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F26582" w:rsidRDefault="00C04D6C" w:rsidP="00C04D6C">
      <w:pPr>
        <w:pStyle w:val="Annexetitre"/>
      </w:pPr>
      <w:r w:rsidRPr="00F26582">
        <w:t>ANEXO VI – Instruções para a divulgação de informações sobre o âmbito de aplicação do quadro regulamentar</w:t>
      </w:r>
    </w:p>
    <w:p w14:paraId="4DDCFE1F" w14:textId="77777777" w:rsidR="00C04D6C" w:rsidRPr="00F26582" w:rsidRDefault="00C04D6C" w:rsidP="00C04D6C">
      <w:pPr>
        <w:rPr>
          <w:rFonts w:ascii="Times New Roman" w:hAnsi="Times New Roman" w:cs="Times New Roman"/>
          <w:b/>
          <w:sz w:val="24"/>
        </w:rPr>
      </w:pPr>
    </w:p>
    <w:p w14:paraId="320DC4CD" w14:textId="77777777" w:rsidR="00C04D6C" w:rsidRPr="00F26582" w:rsidRDefault="00C04D6C" w:rsidP="00C04D6C">
      <w:pPr>
        <w:rPr>
          <w:rFonts w:ascii="Times New Roman" w:hAnsi="Times New Roman" w:cs="Times New Roman"/>
          <w:b/>
          <w:sz w:val="24"/>
        </w:rPr>
      </w:pPr>
      <w:r w:rsidRPr="00F26582">
        <w:rPr>
          <w:rFonts w:ascii="Times New Roman" w:hAnsi="Times New Roman"/>
          <w:b/>
          <w:sz w:val="24"/>
        </w:rPr>
        <w:t>Modelo EU LI1 – Diferenças entre os âmbitos de consolidação contabilístico e regulamentar e mapeamento das categorias das demonstrações financeiras com as categorias de risco regulamentares.</w:t>
      </w:r>
      <w:r w:rsidRPr="00F26582">
        <w:rPr>
          <w:rFonts w:ascii="Times New Roman" w:hAnsi="Times New Roman"/>
          <w:sz w:val="24"/>
        </w:rPr>
        <w:t xml:space="preserve"> Formato flexível.</w:t>
      </w:r>
    </w:p>
    <w:p w14:paraId="5543C8A2" w14:textId="77777777" w:rsidR="00C04D6C" w:rsidRPr="00F26582" w:rsidRDefault="00C04D6C" w:rsidP="00C04D6C">
      <w:pPr>
        <w:rPr>
          <w:rFonts w:ascii="Times New Roman" w:hAnsi="Times New Roman" w:cs="Times New Roman"/>
          <w:b/>
          <w:sz w:val="24"/>
        </w:rPr>
      </w:pPr>
    </w:p>
    <w:p w14:paraId="2474D8BA" w14:textId="373BCCC7" w:rsidR="00C04D6C" w:rsidRPr="00F26582" w:rsidRDefault="00C04D6C" w:rsidP="00C04D6C">
      <w:pPr>
        <w:pStyle w:val="ListParagraph"/>
        <w:numPr>
          <w:ilvl w:val="0"/>
          <w:numId w:val="1"/>
        </w:numPr>
        <w:spacing w:before="120" w:after="120"/>
        <w:ind w:left="425" w:hanging="357"/>
        <w:jc w:val="both"/>
        <w:rPr>
          <w:rFonts w:ascii="Times New Roman" w:hAnsi="Times New Roman"/>
          <w:sz w:val="24"/>
        </w:rPr>
      </w:pPr>
      <w:r w:rsidRPr="00F26582">
        <w:rPr>
          <w:rFonts w:ascii="Times New Roman" w:hAnsi="Times New Roman"/>
          <w:sz w:val="24"/>
        </w:rPr>
        <w:t>As instituições devem divulgar as informações referidas no artigo 436.º, alínea c), do Regulamento (UE) n.º 575/2013</w:t>
      </w:r>
      <w:r w:rsidRPr="00F26582">
        <w:rPr>
          <w:rStyle w:val="FootnoteReference"/>
        </w:rPr>
        <w:footnoteReference w:id="1"/>
      </w:r>
      <w:r w:rsidRPr="00F26582">
        <w:rPr>
          <w:rFonts w:ascii="Times New Roman" w:hAnsi="Times New Roman"/>
          <w:sz w:val="24"/>
        </w:rPr>
        <w:t xml:space="preserve"> («CRR»), seguindo as instruções indicadas abaixo no presente anexo, a fim de preencher o modelo EU LI1 apresentado no anexo V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F26582"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F26582" w:rsidRDefault="00C04D6C" w:rsidP="00D819DE">
            <w:pPr>
              <w:pStyle w:val="TableTitle"/>
              <w:spacing w:before="0" w:after="0"/>
              <w:jc w:val="left"/>
              <w:rPr>
                <w:rFonts w:ascii="Times New Roman" w:hAnsi="Times New Roman"/>
                <w:noProof w:val="0"/>
                <w:sz w:val="24"/>
                <w:szCs w:val="24"/>
              </w:rPr>
            </w:pPr>
            <w:r w:rsidRPr="00F26582">
              <w:rPr>
                <w:rFonts w:ascii="Times New Roman" w:hAnsi="Times New Roman"/>
                <w:noProof w:val="0"/>
                <w:sz w:val="24"/>
              </w:rPr>
              <w:t>Referências jurídicas e instruções</w:t>
            </w:r>
          </w:p>
        </w:tc>
      </w:tr>
      <w:tr w:rsidR="00C04D6C" w:rsidRPr="00F26582"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F26582" w:rsidRDefault="00C04D6C" w:rsidP="00D819DE">
            <w:pPr>
              <w:autoSpaceDE w:val="0"/>
              <w:autoSpaceDN w:val="0"/>
              <w:adjustRightInd w:val="0"/>
              <w:rPr>
                <w:rFonts w:ascii="Times New Roman" w:hAnsi="Times New Roman" w:cs="Times New Roman"/>
                <w:b/>
                <w:sz w:val="24"/>
              </w:rPr>
            </w:pPr>
            <w:r w:rsidRPr="00F26582">
              <w:rPr>
                <w:rFonts w:ascii="Times New Roman" w:hAnsi="Times New Roman"/>
                <w:b/>
                <w:sz w:val="24"/>
              </w:rPr>
              <w:t>Número da linha</w:t>
            </w:r>
          </w:p>
        </w:tc>
        <w:tc>
          <w:tcPr>
            <w:tcW w:w="7655" w:type="dxa"/>
            <w:tcBorders>
              <w:bottom w:val="single" w:sz="4" w:space="0" w:color="auto"/>
            </w:tcBorders>
            <w:shd w:val="clear" w:color="auto" w:fill="D9D9D9" w:themeFill="background1" w:themeFillShade="D9"/>
          </w:tcPr>
          <w:p w14:paraId="717F672A" w14:textId="77777777" w:rsidR="00C04D6C" w:rsidRPr="00F26582" w:rsidRDefault="00C04D6C" w:rsidP="00D819DE">
            <w:pPr>
              <w:autoSpaceDE w:val="0"/>
              <w:autoSpaceDN w:val="0"/>
              <w:adjustRightInd w:val="0"/>
              <w:rPr>
                <w:rFonts w:ascii="Times New Roman" w:hAnsi="Times New Roman" w:cs="Times New Roman"/>
                <w:color w:val="000000"/>
                <w:sz w:val="24"/>
              </w:rPr>
            </w:pPr>
            <w:r w:rsidRPr="00F26582">
              <w:rPr>
                <w:rFonts w:ascii="Times New Roman" w:hAnsi="Times New Roman"/>
                <w:b/>
                <w:sz w:val="24"/>
              </w:rPr>
              <w:t>Explicação</w:t>
            </w:r>
          </w:p>
        </w:tc>
      </w:tr>
      <w:tr w:rsidR="00C04D6C" w:rsidRPr="00F26582"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F26582" w:rsidRDefault="00C04D6C" w:rsidP="00D819DE">
            <w:pPr>
              <w:spacing w:before="60" w:after="120"/>
              <w:rPr>
                <w:rFonts w:ascii="Times New Roman" w:hAnsi="Times New Roman" w:cs="Times New Roman"/>
                <w:sz w:val="24"/>
              </w:rPr>
            </w:pPr>
            <w:r w:rsidRPr="00F26582">
              <w:rPr>
                <w:rFonts w:ascii="Times New Roman" w:hAnsi="Times New Roman"/>
                <w:sz w:val="24"/>
              </w:rPr>
              <w:t>1 a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 xml:space="preserve">Ativos totais </w:t>
            </w:r>
          </w:p>
          <w:p w14:paraId="77036C79"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 xml:space="preserve">A estrutura de linhas deve ser a mesma que a estrutura de linhas do balanço utilizada no último relato financeiro disponível da instituição. </w:t>
            </w:r>
          </w:p>
          <w:p w14:paraId="596558D7" w14:textId="64BFE85A" w:rsidR="00C04D6C" w:rsidRPr="00F26582" w:rsidRDefault="00C04D6C" w:rsidP="00D819DE">
            <w:pPr>
              <w:spacing w:after="120"/>
              <w:jc w:val="both"/>
              <w:rPr>
                <w:rFonts w:ascii="Times New Roman" w:eastAsia="Times New Roman" w:hAnsi="Times New Roman" w:cs="Times New Roman"/>
                <w:sz w:val="24"/>
              </w:rPr>
            </w:pPr>
            <w:r w:rsidRPr="00F26582">
              <w:rPr>
                <w:rFonts w:ascii="Times New Roman" w:hAnsi="Times New Roman"/>
                <w:sz w:val="24"/>
              </w:rPr>
              <w:t>o termo «relato financeiro» refere-se às demonstrações financeiras anuais individuais e consolidadas definidas nos artigos 4.º e 24.º da Diretiva</w:t>
            </w:r>
            <w:r w:rsidR="000339A0" w:rsidRPr="00F26582">
              <w:rPr>
                <w:rFonts w:ascii="Times New Roman" w:hAnsi="Times New Roman"/>
                <w:sz w:val="24"/>
              </w:rPr>
              <w:t> </w:t>
            </w:r>
            <w:r w:rsidRPr="00F26582">
              <w:rPr>
                <w:rFonts w:ascii="Times New Roman" w:hAnsi="Times New Roman"/>
                <w:sz w:val="24"/>
              </w:rPr>
              <w:t>2013/34/UE</w:t>
            </w:r>
            <w:r w:rsidRPr="00F26582">
              <w:rPr>
                <w:rStyle w:val="FootnoteReference"/>
                <w:rFonts w:eastAsia="Times New Roman" w:cs="Times New Roman"/>
              </w:rPr>
              <w:footnoteReference w:id="2"/>
            </w:r>
            <w:r w:rsidRPr="00F26582">
              <w:rPr>
                <w:rFonts w:ascii="Times New Roman" w:hAnsi="Times New Roman"/>
                <w:sz w:val="24"/>
              </w:rPr>
              <w:t>, bem como (quando aplicável) às demonstrações financeiras na aceção das normas internacionais de contabilidade aprovadas na UE em aplicação do Regulamento (CE) n.º 1606/2002</w:t>
            </w:r>
            <w:r w:rsidRPr="00F26582">
              <w:rPr>
                <w:rStyle w:val="FootnoteReference"/>
                <w:rFonts w:eastAsia="Times New Roman" w:cs="Times New Roman"/>
              </w:rPr>
              <w:footnoteReference w:id="3"/>
            </w:r>
            <w:r w:rsidRPr="00F26582">
              <w:rPr>
                <w:rFonts w:ascii="Times New Roman" w:hAnsi="Times New Roman"/>
                <w:sz w:val="24"/>
              </w:rPr>
              <w:t>.</w:t>
            </w:r>
          </w:p>
        </w:tc>
      </w:tr>
      <w:tr w:rsidR="00C04D6C" w:rsidRPr="00F26582"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F26582" w:rsidRDefault="00C04D6C" w:rsidP="00D819DE">
            <w:pPr>
              <w:spacing w:before="60" w:after="120"/>
              <w:rPr>
                <w:rFonts w:ascii="Times New Roman" w:hAnsi="Times New Roman" w:cs="Times New Roman"/>
                <w:sz w:val="24"/>
              </w:rPr>
            </w:pPr>
            <w:r w:rsidRPr="00F26582">
              <w:rPr>
                <w:rFonts w:ascii="Times New Roman" w:hAnsi="Times New Roman"/>
                <w:sz w:val="24"/>
              </w:rPr>
              <w:t>1 a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Total do passivo</w:t>
            </w:r>
          </w:p>
          <w:p w14:paraId="3FFCF1F9"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 xml:space="preserve">A estrutura de linhas deve ser a mesma que a estrutura de linhas do balanço utilizada no último relato financeiro disponível da instituição. </w:t>
            </w:r>
          </w:p>
          <w:p w14:paraId="65DBAE9A" w14:textId="3DA53CDB" w:rsidR="00C04D6C" w:rsidRPr="00F26582" w:rsidRDefault="00C04D6C" w:rsidP="00D819DE">
            <w:pPr>
              <w:spacing w:after="120"/>
              <w:jc w:val="both"/>
              <w:rPr>
                <w:rFonts w:ascii="Times New Roman" w:eastAsia="Times New Roman" w:hAnsi="Times New Roman" w:cs="Times New Roman"/>
                <w:sz w:val="24"/>
              </w:rPr>
            </w:pPr>
            <w:r w:rsidRPr="00F26582">
              <w:rPr>
                <w:rFonts w:ascii="Times New Roman" w:hAnsi="Times New Roman"/>
                <w:sz w:val="24"/>
              </w:rPr>
              <w:t>o termo «relato financeiro» refere-se às demonstrações financeiras anuais individuais e consolidadas definidas nos artigos 4.º e 24.º da Diretiva</w:t>
            </w:r>
            <w:r w:rsidR="000339A0" w:rsidRPr="00F26582">
              <w:rPr>
                <w:rFonts w:ascii="Times New Roman" w:hAnsi="Times New Roman"/>
                <w:sz w:val="24"/>
              </w:rPr>
              <w:t> </w:t>
            </w:r>
            <w:r w:rsidRPr="00F26582">
              <w:rPr>
                <w:rFonts w:ascii="Times New Roman" w:hAnsi="Times New Roman"/>
                <w:sz w:val="24"/>
              </w:rPr>
              <w:t>2013/34/UE, bem como (quando aplicável) às demonstrações financeiras na aceção das normas internacionais de contabilidade aprovadas na UE em aplicação do Regulamento (CE) n.º 1606/2002.</w:t>
            </w:r>
          </w:p>
        </w:tc>
      </w:tr>
    </w:tbl>
    <w:p w14:paraId="4B76983A" w14:textId="77777777" w:rsidR="00C04D6C" w:rsidRPr="00F26582" w:rsidRDefault="00C04D6C" w:rsidP="00C04D6C">
      <w:pPr>
        <w:rPr>
          <w:rFonts w:ascii="Times New Roman" w:hAnsi="Times New Roman" w:cs="Times New Roman"/>
          <w:sz w:val="24"/>
        </w:rPr>
      </w:pPr>
    </w:p>
    <w:p w14:paraId="771E373C" w14:textId="77777777" w:rsidR="000F2B47" w:rsidRPr="00F26582" w:rsidRDefault="000F2B47" w:rsidP="00C04D6C">
      <w:pPr>
        <w:rPr>
          <w:rFonts w:ascii="Times New Roman" w:hAnsi="Times New Roman" w:cs="Times New Roman"/>
          <w:sz w:val="24"/>
        </w:rPr>
      </w:pPr>
    </w:p>
    <w:p w14:paraId="1FBAD891" w14:textId="77777777" w:rsidR="00C04D6C" w:rsidRPr="00F26582"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F26582"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F26582" w:rsidRDefault="00C04D6C" w:rsidP="00D819DE">
            <w:pPr>
              <w:pStyle w:val="TableTitle"/>
              <w:spacing w:before="0" w:after="0"/>
              <w:jc w:val="left"/>
              <w:rPr>
                <w:rFonts w:ascii="Times New Roman" w:hAnsi="Times New Roman"/>
                <w:noProof w:val="0"/>
                <w:sz w:val="24"/>
                <w:szCs w:val="24"/>
              </w:rPr>
            </w:pPr>
            <w:r w:rsidRPr="00F26582">
              <w:rPr>
                <w:rFonts w:ascii="Times New Roman" w:hAnsi="Times New Roman"/>
                <w:noProof w:val="0"/>
                <w:sz w:val="24"/>
              </w:rPr>
              <w:lastRenderedPageBreak/>
              <w:t>Referências jurídicas e instruções</w:t>
            </w:r>
          </w:p>
        </w:tc>
      </w:tr>
      <w:tr w:rsidR="00C04D6C" w:rsidRPr="00F26582"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F26582" w:rsidRDefault="00C04D6C" w:rsidP="00D819DE">
            <w:pPr>
              <w:autoSpaceDE w:val="0"/>
              <w:autoSpaceDN w:val="0"/>
              <w:adjustRightInd w:val="0"/>
              <w:rPr>
                <w:rFonts w:ascii="Times New Roman" w:hAnsi="Times New Roman" w:cs="Times New Roman"/>
                <w:b/>
                <w:sz w:val="24"/>
              </w:rPr>
            </w:pPr>
            <w:r w:rsidRPr="00F26582">
              <w:rPr>
                <w:rFonts w:ascii="Times New Roman" w:hAnsi="Times New Roman"/>
                <w:b/>
                <w:sz w:val="24"/>
              </w:rPr>
              <w:t>Referência da coluna</w:t>
            </w:r>
          </w:p>
        </w:tc>
        <w:tc>
          <w:tcPr>
            <w:tcW w:w="7655" w:type="dxa"/>
            <w:tcBorders>
              <w:bottom w:val="nil"/>
            </w:tcBorders>
            <w:shd w:val="clear" w:color="auto" w:fill="D9D9D9" w:themeFill="background1" w:themeFillShade="D9"/>
          </w:tcPr>
          <w:p w14:paraId="516C4F8F" w14:textId="77777777" w:rsidR="00C04D6C" w:rsidRPr="00F26582" w:rsidRDefault="00C04D6C" w:rsidP="00D819DE">
            <w:pPr>
              <w:autoSpaceDE w:val="0"/>
              <w:autoSpaceDN w:val="0"/>
              <w:adjustRightInd w:val="0"/>
              <w:rPr>
                <w:rFonts w:ascii="Times New Roman" w:hAnsi="Times New Roman" w:cs="Times New Roman"/>
                <w:color w:val="000000"/>
                <w:sz w:val="24"/>
              </w:rPr>
            </w:pPr>
            <w:r w:rsidRPr="00F26582">
              <w:rPr>
                <w:rFonts w:ascii="Times New Roman" w:hAnsi="Times New Roman"/>
                <w:b/>
                <w:sz w:val="24"/>
              </w:rPr>
              <w:t>Explicação</w:t>
            </w:r>
          </w:p>
        </w:tc>
      </w:tr>
      <w:tr w:rsidR="00C04D6C" w:rsidRPr="00F26582" w14:paraId="7AEEADD6" w14:textId="77777777" w:rsidTr="00D819DE">
        <w:trPr>
          <w:trHeight w:val="238"/>
        </w:trPr>
        <w:tc>
          <w:tcPr>
            <w:tcW w:w="1384" w:type="dxa"/>
            <w:shd w:val="clear" w:color="auto" w:fill="FFFFFF" w:themeFill="background1"/>
          </w:tcPr>
          <w:p w14:paraId="64E74DA3" w14:textId="77777777" w:rsidR="00C04D6C" w:rsidRPr="00F26582" w:rsidRDefault="00C04D6C" w:rsidP="00D819DE">
            <w:pPr>
              <w:autoSpaceDE w:val="0"/>
              <w:autoSpaceDN w:val="0"/>
              <w:adjustRightInd w:val="0"/>
              <w:spacing w:before="60"/>
              <w:jc w:val="center"/>
              <w:rPr>
                <w:rFonts w:ascii="Times New Roman" w:hAnsi="Times New Roman" w:cs="Times New Roman"/>
                <w:b/>
                <w:sz w:val="24"/>
              </w:rPr>
            </w:pPr>
            <w:r w:rsidRPr="00F26582">
              <w:rPr>
                <w:rFonts w:ascii="Times New Roman" w:hAnsi="Times New Roman"/>
                <w:b/>
                <w:sz w:val="24"/>
              </w:rPr>
              <w:t>a</w:t>
            </w:r>
          </w:p>
        </w:tc>
        <w:tc>
          <w:tcPr>
            <w:tcW w:w="7655" w:type="dxa"/>
            <w:shd w:val="clear" w:color="auto" w:fill="FFFFFF" w:themeFill="background1"/>
          </w:tcPr>
          <w:p w14:paraId="189A484C"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Montantes escriturados tal como apresentados nas demonstrações financeiras publicadas</w:t>
            </w:r>
          </w:p>
          <w:p w14:paraId="71D45C87" w14:textId="6931A054" w:rsidR="00C04D6C" w:rsidRPr="00F26582" w:rsidRDefault="00C04D6C" w:rsidP="00D819DE">
            <w:pPr>
              <w:spacing w:before="60" w:after="120"/>
              <w:jc w:val="both"/>
              <w:rPr>
                <w:rFonts w:ascii="Times New Roman" w:hAnsi="Times New Roman" w:cs="Times New Roman"/>
                <w:sz w:val="24"/>
              </w:rPr>
            </w:pPr>
            <w:r w:rsidRPr="00F26582">
              <w:rPr>
                <w:rFonts w:ascii="Times New Roman" w:hAnsi="Times New Roman"/>
                <w:sz w:val="24"/>
              </w:rPr>
              <w:t>O montante inscrito no lado dos ativos e no lado dos passivos do balanço estabelecido na sequência dos requisitos de consolidação no quadro contabilístico aplicável, incluindo os quadros baseados na Diretiva</w:t>
            </w:r>
            <w:r w:rsidR="000339A0" w:rsidRPr="00F26582">
              <w:rPr>
                <w:rFonts w:ascii="Times New Roman" w:hAnsi="Times New Roman"/>
                <w:sz w:val="24"/>
              </w:rPr>
              <w:t> </w:t>
            </w:r>
            <w:r w:rsidRPr="00F26582">
              <w:rPr>
                <w:rFonts w:ascii="Times New Roman" w:hAnsi="Times New Roman"/>
                <w:sz w:val="24"/>
              </w:rPr>
              <w:t>2013/34/UE e na Diretiva 86/635/CEE</w:t>
            </w:r>
            <w:r w:rsidRPr="00F26582">
              <w:rPr>
                <w:rStyle w:val="FootnoteReference"/>
                <w:rFonts w:eastAsia="Times New Roman" w:cs="Times New Roman"/>
              </w:rPr>
              <w:footnoteReference w:id="4"/>
            </w:r>
            <w:r w:rsidRPr="00F26582">
              <w:rPr>
                <w:rFonts w:ascii="Times New Roman" w:hAnsi="Times New Roman"/>
                <w:sz w:val="24"/>
              </w:rPr>
              <w:t xml:space="preserve">, ou nas normas internacionais de contabilidade aprovadas na UE. </w:t>
            </w:r>
          </w:p>
        </w:tc>
      </w:tr>
      <w:tr w:rsidR="00C04D6C" w:rsidRPr="00F26582" w14:paraId="080AF56A" w14:textId="77777777" w:rsidTr="00D819DE">
        <w:trPr>
          <w:trHeight w:val="238"/>
        </w:trPr>
        <w:tc>
          <w:tcPr>
            <w:tcW w:w="1384" w:type="dxa"/>
            <w:shd w:val="clear" w:color="auto" w:fill="FFFFFF" w:themeFill="background1"/>
          </w:tcPr>
          <w:p w14:paraId="318FE241"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t>b</w:t>
            </w:r>
          </w:p>
        </w:tc>
        <w:tc>
          <w:tcPr>
            <w:tcW w:w="7655" w:type="dxa"/>
            <w:shd w:val="clear" w:color="auto" w:fill="FFFFFF" w:themeFill="background1"/>
          </w:tcPr>
          <w:p w14:paraId="77E7A6A9"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 xml:space="preserve">Montantes escriturados no âmbito de consolidação prudencial </w:t>
            </w:r>
          </w:p>
          <w:p w14:paraId="0CF19370" w14:textId="77777777" w:rsidR="00C04D6C" w:rsidRPr="00F26582" w:rsidRDefault="00C04D6C" w:rsidP="00D819DE">
            <w:pPr>
              <w:jc w:val="both"/>
              <w:rPr>
                <w:rFonts w:ascii="Times New Roman" w:hAnsi="Times New Roman" w:cs="Times New Roman"/>
                <w:sz w:val="24"/>
              </w:rPr>
            </w:pPr>
            <w:r w:rsidRPr="00F26582">
              <w:rPr>
                <w:rFonts w:ascii="Times New Roman" w:hAnsi="Times New Roman"/>
                <w:sz w:val="24"/>
              </w:rPr>
              <w:t>O montante inscrito no lado do ativo e no lado do passivo do balanço estabelecido na sequência dos requisitos de consolidação regulamentar da parte I, título II, secções 2 e 3, do CRR.</w:t>
            </w:r>
          </w:p>
          <w:p w14:paraId="2AB1F4D9" w14:textId="77777777" w:rsidR="00C04D6C" w:rsidRPr="00F26582" w:rsidRDefault="00C04D6C" w:rsidP="00D819DE">
            <w:pPr>
              <w:spacing w:before="60" w:after="120"/>
              <w:jc w:val="both"/>
              <w:rPr>
                <w:rFonts w:ascii="Times New Roman" w:hAnsi="Times New Roman" w:cs="Times New Roman"/>
                <w:b/>
                <w:sz w:val="24"/>
              </w:rPr>
            </w:pPr>
            <w:r w:rsidRPr="00F26582">
              <w:rPr>
                <w:rFonts w:ascii="Times New Roman" w:hAnsi="Times New Roman"/>
                <w:sz w:val="24"/>
              </w:rPr>
              <w:t xml:space="preserve">Se o âmbito de consolidação contabilística e o âmbito de consolidação prudencial forem exatamente os mesmos, as colunas </w:t>
            </w:r>
            <w:r w:rsidRPr="00F26582">
              <w:rPr>
                <w:rFonts w:ascii="Times New Roman" w:hAnsi="Times New Roman"/>
                <w:i/>
                <w:sz w:val="24"/>
              </w:rPr>
              <w:t>a</w:t>
            </w:r>
            <w:r w:rsidRPr="00F26582">
              <w:rPr>
                <w:rFonts w:ascii="Times New Roman" w:hAnsi="Times New Roman"/>
                <w:sz w:val="24"/>
              </w:rPr>
              <w:t xml:space="preserve"> e </w:t>
            </w:r>
            <w:r w:rsidRPr="00F26582">
              <w:rPr>
                <w:rFonts w:ascii="Times New Roman" w:hAnsi="Times New Roman"/>
                <w:i/>
                <w:sz w:val="24"/>
              </w:rPr>
              <w:t>b</w:t>
            </w:r>
            <w:r w:rsidRPr="00F26582">
              <w:rPr>
                <w:rFonts w:ascii="Times New Roman" w:hAnsi="Times New Roman"/>
                <w:sz w:val="24"/>
              </w:rPr>
              <w:t xml:space="preserve"> devem ser fundidas.</w:t>
            </w:r>
          </w:p>
        </w:tc>
      </w:tr>
      <w:tr w:rsidR="00C04D6C" w:rsidRPr="00F26582" w14:paraId="55AFC8CE" w14:textId="77777777" w:rsidTr="00D819DE">
        <w:trPr>
          <w:trHeight w:val="238"/>
        </w:trPr>
        <w:tc>
          <w:tcPr>
            <w:tcW w:w="1384" w:type="dxa"/>
            <w:shd w:val="clear" w:color="auto" w:fill="FFFFFF" w:themeFill="background1"/>
          </w:tcPr>
          <w:p w14:paraId="2775890C"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t>c</w:t>
            </w:r>
          </w:p>
        </w:tc>
        <w:tc>
          <w:tcPr>
            <w:tcW w:w="7655" w:type="dxa"/>
            <w:shd w:val="clear" w:color="auto" w:fill="FFFFFF" w:themeFill="background1"/>
          </w:tcPr>
          <w:p w14:paraId="63176B46"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Montantes escriturados dos elementos sujeitos ao quadro do risco de crédito</w:t>
            </w:r>
          </w:p>
          <w:p w14:paraId="147B3513" w14:textId="77777777" w:rsidR="00C04D6C" w:rsidRPr="00F26582" w:rsidRDefault="00C04D6C" w:rsidP="00D819DE">
            <w:pPr>
              <w:spacing w:before="60" w:after="120"/>
              <w:jc w:val="both"/>
              <w:rPr>
                <w:rFonts w:ascii="Times New Roman" w:hAnsi="Times New Roman" w:cs="Times New Roman"/>
                <w:b/>
                <w:sz w:val="24"/>
              </w:rPr>
            </w:pPr>
            <w:r w:rsidRPr="00F26582">
              <w:rPr>
                <w:rFonts w:ascii="Times New Roman" w:hAnsi="Times New Roman"/>
                <w:sz w:val="24"/>
              </w:rPr>
              <w:t>Os montantes escriturados no âmbito da consolidação prudencial de elementos (exceto elementos extrapatrimoniais) a que se aplica a parte III, título II, capítulos 2 e 3, do CRR</w:t>
            </w:r>
          </w:p>
        </w:tc>
      </w:tr>
      <w:tr w:rsidR="00C04D6C" w:rsidRPr="00F26582" w14:paraId="30C9B062" w14:textId="77777777" w:rsidTr="00D819DE">
        <w:trPr>
          <w:trHeight w:val="238"/>
        </w:trPr>
        <w:tc>
          <w:tcPr>
            <w:tcW w:w="1384" w:type="dxa"/>
            <w:shd w:val="clear" w:color="auto" w:fill="FFFFFF" w:themeFill="background1"/>
          </w:tcPr>
          <w:p w14:paraId="53B77BCC" w14:textId="77777777" w:rsidR="00C04D6C" w:rsidRPr="00F26582" w:rsidRDefault="00C04D6C" w:rsidP="00D819DE">
            <w:pPr>
              <w:autoSpaceDE w:val="0"/>
              <w:autoSpaceDN w:val="0"/>
              <w:adjustRightInd w:val="0"/>
              <w:spacing w:before="60"/>
              <w:jc w:val="center"/>
              <w:rPr>
                <w:rFonts w:ascii="Times New Roman" w:hAnsi="Times New Roman" w:cs="Times New Roman"/>
                <w:b/>
                <w:sz w:val="24"/>
              </w:rPr>
            </w:pPr>
            <w:r w:rsidRPr="00F26582">
              <w:rPr>
                <w:rFonts w:ascii="Times New Roman" w:hAnsi="Times New Roman"/>
                <w:b/>
                <w:sz w:val="24"/>
              </w:rPr>
              <w:t>d</w:t>
            </w:r>
          </w:p>
        </w:tc>
        <w:tc>
          <w:tcPr>
            <w:tcW w:w="7655" w:type="dxa"/>
            <w:shd w:val="clear" w:color="auto" w:fill="FFFFFF" w:themeFill="background1"/>
          </w:tcPr>
          <w:p w14:paraId="41152FB4" w14:textId="77777777" w:rsidR="00C04D6C" w:rsidRPr="00F26582" w:rsidRDefault="00C04D6C" w:rsidP="00D819DE">
            <w:pPr>
              <w:spacing w:before="60" w:after="120"/>
              <w:ind w:left="34"/>
              <w:jc w:val="both"/>
              <w:rPr>
                <w:rFonts w:ascii="Times New Roman" w:eastAsia="Times New Roman" w:hAnsi="Times New Roman" w:cs="Times New Roman"/>
                <w:b/>
                <w:sz w:val="24"/>
              </w:rPr>
            </w:pPr>
            <w:r w:rsidRPr="00F26582">
              <w:rPr>
                <w:rFonts w:ascii="Times New Roman" w:hAnsi="Times New Roman"/>
                <w:b/>
                <w:sz w:val="24"/>
              </w:rPr>
              <w:t>Montantes escriturados dos elementos sujeitos ao quadro de risco de crédito de contraparte</w:t>
            </w:r>
          </w:p>
          <w:p w14:paraId="64D3EA20" w14:textId="77777777" w:rsidR="00C04D6C" w:rsidRPr="00F26582" w:rsidRDefault="00C04D6C" w:rsidP="00D819DE">
            <w:pPr>
              <w:spacing w:before="60" w:after="120"/>
              <w:ind w:left="34"/>
              <w:jc w:val="both"/>
              <w:rPr>
                <w:rFonts w:ascii="Times New Roman" w:hAnsi="Times New Roman" w:cs="Times New Roman"/>
                <w:b/>
                <w:sz w:val="24"/>
              </w:rPr>
            </w:pPr>
            <w:r w:rsidRPr="00F26582">
              <w:rPr>
                <w:rFonts w:ascii="Times New Roman" w:hAnsi="Times New Roman"/>
                <w:sz w:val="24"/>
              </w:rPr>
              <w:t>Os montantes escriturados no âmbito da consolidação prudencial de elementos (exceto elementos extrapatrimoniais) a que se aplica a parte III, título II, capítulo 6, do CRR</w:t>
            </w:r>
          </w:p>
        </w:tc>
      </w:tr>
      <w:tr w:rsidR="00C04D6C" w:rsidRPr="00F26582" w14:paraId="7E7B04C2" w14:textId="77777777" w:rsidTr="00D819DE">
        <w:trPr>
          <w:trHeight w:val="238"/>
        </w:trPr>
        <w:tc>
          <w:tcPr>
            <w:tcW w:w="1384" w:type="dxa"/>
            <w:shd w:val="clear" w:color="auto" w:fill="FFFFFF" w:themeFill="background1"/>
          </w:tcPr>
          <w:p w14:paraId="44806283"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t>e</w:t>
            </w:r>
          </w:p>
        </w:tc>
        <w:tc>
          <w:tcPr>
            <w:tcW w:w="7655" w:type="dxa"/>
            <w:shd w:val="clear" w:color="auto" w:fill="FFFFFF" w:themeFill="background1"/>
          </w:tcPr>
          <w:p w14:paraId="0C501D4D" w14:textId="77777777" w:rsidR="00C04D6C" w:rsidRPr="00F26582" w:rsidRDefault="00C04D6C" w:rsidP="00D819DE">
            <w:pPr>
              <w:spacing w:before="60" w:after="120"/>
              <w:ind w:left="34"/>
              <w:jc w:val="both"/>
              <w:rPr>
                <w:rFonts w:ascii="Times New Roman" w:eastAsia="Times New Roman" w:hAnsi="Times New Roman" w:cs="Times New Roman"/>
                <w:sz w:val="24"/>
              </w:rPr>
            </w:pPr>
            <w:r w:rsidRPr="00F26582">
              <w:rPr>
                <w:rFonts w:ascii="Times New Roman" w:hAnsi="Times New Roman"/>
                <w:b/>
                <w:sz w:val="24"/>
              </w:rPr>
              <w:t xml:space="preserve">Montantes escriturados dos elementos sujeitos ao quadro de titularização </w:t>
            </w:r>
          </w:p>
          <w:p w14:paraId="7880C10D" w14:textId="77777777" w:rsidR="00C04D6C" w:rsidRPr="00F26582" w:rsidRDefault="00C04D6C" w:rsidP="00D819DE">
            <w:pPr>
              <w:spacing w:before="60" w:after="120"/>
              <w:ind w:left="34"/>
              <w:jc w:val="both"/>
              <w:rPr>
                <w:rFonts w:ascii="Times New Roman" w:eastAsia="Times New Roman" w:hAnsi="Times New Roman" w:cs="Times New Roman"/>
                <w:sz w:val="24"/>
              </w:rPr>
            </w:pPr>
            <w:r w:rsidRPr="00F26582">
              <w:rPr>
                <w:rFonts w:ascii="Times New Roman" w:hAnsi="Times New Roman"/>
                <w:sz w:val="24"/>
              </w:rPr>
              <w:t>Os montantes escriturados no âmbito da consolidação prudencial de elementos (exceto elementos extrapatrimoniais) não incluídos na carteira de negociação a que aplica a parte III, título II, capítulo 5, do CRR</w:t>
            </w:r>
          </w:p>
        </w:tc>
      </w:tr>
      <w:tr w:rsidR="00C04D6C" w:rsidRPr="00F26582" w14:paraId="2B965A81" w14:textId="77777777" w:rsidTr="00D819DE">
        <w:trPr>
          <w:trHeight w:val="238"/>
        </w:trPr>
        <w:tc>
          <w:tcPr>
            <w:tcW w:w="1384" w:type="dxa"/>
            <w:shd w:val="clear" w:color="auto" w:fill="FFFFFF" w:themeFill="background1"/>
          </w:tcPr>
          <w:p w14:paraId="50727C30"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t>f</w:t>
            </w:r>
          </w:p>
        </w:tc>
        <w:tc>
          <w:tcPr>
            <w:tcW w:w="7655" w:type="dxa"/>
            <w:shd w:val="clear" w:color="auto" w:fill="FFFFFF" w:themeFill="background1"/>
          </w:tcPr>
          <w:p w14:paraId="53132510" w14:textId="77777777" w:rsidR="00C04D6C" w:rsidRPr="00F26582" w:rsidRDefault="00C04D6C" w:rsidP="00D819DE">
            <w:pPr>
              <w:spacing w:before="60" w:after="120"/>
              <w:ind w:left="34"/>
              <w:jc w:val="both"/>
              <w:rPr>
                <w:rFonts w:ascii="Times New Roman" w:eastAsia="Times New Roman" w:hAnsi="Times New Roman" w:cs="Times New Roman"/>
                <w:sz w:val="24"/>
              </w:rPr>
            </w:pPr>
            <w:r w:rsidRPr="00F26582">
              <w:rPr>
                <w:rFonts w:ascii="Times New Roman" w:hAnsi="Times New Roman"/>
                <w:b/>
                <w:sz w:val="24"/>
              </w:rPr>
              <w:t>Montantes escriturados dos elementos sujeitos ao quadro de risco de mercado</w:t>
            </w:r>
          </w:p>
          <w:p w14:paraId="10B10DC1" w14:textId="77777777" w:rsidR="00C04D6C" w:rsidRPr="00F26582" w:rsidRDefault="00C04D6C" w:rsidP="00D819DE">
            <w:pPr>
              <w:spacing w:before="60" w:after="120"/>
              <w:ind w:left="34"/>
              <w:jc w:val="both"/>
              <w:rPr>
                <w:rFonts w:ascii="Times New Roman" w:hAnsi="Times New Roman"/>
                <w:sz w:val="24"/>
              </w:rPr>
            </w:pPr>
            <w:r w:rsidRPr="00F26582">
              <w:rPr>
                <w:rFonts w:ascii="Times New Roman" w:hAnsi="Times New Roman"/>
                <w:sz w:val="24"/>
              </w:rPr>
              <w:t>Os montantes escriturados no âmbito da consolidação prudencial de elementos (exceto elementos extrapatrimoniais) a que se aplica a parte III, título IV, do CRR. Os elementos correspondentes a posições de titularização na carteira de negociação (aos quais se aplicam os requisitos da parte III, título IV, do CRR) devem ser inscritos nesta coluna.</w:t>
            </w:r>
          </w:p>
          <w:p w14:paraId="2081B8AC" w14:textId="77777777" w:rsidR="000F2B47" w:rsidRPr="00F26582" w:rsidRDefault="000F2B47" w:rsidP="00D819DE">
            <w:pPr>
              <w:spacing w:before="60" w:after="120"/>
              <w:ind w:left="34"/>
              <w:jc w:val="both"/>
              <w:rPr>
                <w:rFonts w:ascii="Times New Roman" w:hAnsi="Times New Roman" w:cs="Times New Roman"/>
                <w:b/>
                <w:sz w:val="24"/>
              </w:rPr>
            </w:pPr>
          </w:p>
        </w:tc>
      </w:tr>
      <w:tr w:rsidR="00C04D6C" w:rsidRPr="00F26582" w14:paraId="4EA0353D" w14:textId="77777777" w:rsidTr="00D819DE">
        <w:trPr>
          <w:trHeight w:val="238"/>
        </w:trPr>
        <w:tc>
          <w:tcPr>
            <w:tcW w:w="1384" w:type="dxa"/>
            <w:shd w:val="clear" w:color="auto" w:fill="FFFFFF" w:themeFill="background1"/>
          </w:tcPr>
          <w:p w14:paraId="421ACD4C"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lastRenderedPageBreak/>
              <w:t>g</w:t>
            </w:r>
          </w:p>
        </w:tc>
        <w:tc>
          <w:tcPr>
            <w:tcW w:w="7655" w:type="dxa"/>
            <w:shd w:val="clear" w:color="auto" w:fill="FFFFFF" w:themeFill="background1"/>
          </w:tcPr>
          <w:p w14:paraId="1942AC90" w14:textId="77777777" w:rsidR="00C04D6C" w:rsidRPr="00F26582" w:rsidRDefault="00C04D6C" w:rsidP="00D819DE">
            <w:pPr>
              <w:spacing w:before="60" w:after="120"/>
              <w:ind w:left="34"/>
              <w:jc w:val="both"/>
              <w:rPr>
                <w:rFonts w:ascii="Times New Roman" w:eastAsia="Times New Roman" w:hAnsi="Times New Roman" w:cs="Times New Roman"/>
                <w:sz w:val="24"/>
              </w:rPr>
            </w:pPr>
            <w:r w:rsidRPr="00F26582">
              <w:rPr>
                <w:rFonts w:ascii="Times New Roman" w:hAnsi="Times New Roman"/>
                <w:b/>
                <w:sz w:val="24"/>
              </w:rPr>
              <w:t>Montantes escriturados dos elementos não sujeitos a requisitos de fundos próprios ou sujeitos a deduções aos fundos próprios</w:t>
            </w:r>
          </w:p>
          <w:p w14:paraId="2DE2BC86" w14:textId="77777777" w:rsidR="00C04D6C" w:rsidRPr="00F26582" w:rsidRDefault="00C04D6C" w:rsidP="00D819DE">
            <w:pPr>
              <w:spacing w:before="60" w:after="120"/>
              <w:ind w:left="34"/>
              <w:jc w:val="both"/>
              <w:rPr>
                <w:rFonts w:ascii="Times New Roman" w:eastAsia="Times New Roman" w:hAnsi="Times New Roman" w:cs="Times New Roman"/>
                <w:sz w:val="24"/>
              </w:rPr>
            </w:pPr>
            <w:r w:rsidRPr="00F26582">
              <w:rPr>
                <w:rFonts w:ascii="Times New Roman" w:hAnsi="Times New Roman"/>
                <w:sz w:val="24"/>
              </w:rPr>
              <w:t>Os montantes escriturados no âmbito da consolidação prudencial de elementos (exceto elementos extrapatrimoniais) não sujeitos a requisitos de fundos próprios nos termos do CRR; montantes escriturados no âmbito da consolidação prudencial de elementos (exceto elementos extrapatrimoniais) que estão sujeitos a deduções aos fundos próprios nos termos da parte II do CRR.</w:t>
            </w:r>
          </w:p>
          <w:p w14:paraId="6E671A99" w14:textId="77777777" w:rsidR="00C04D6C" w:rsidRPr="00F26582" w:rsidRDefault="00C04D6C" w:rsidP="00D819DE">
            <w:pPr>
              <w:spacing w:before="60" w:after="120"/>
              <w:ind w:left="34"/>
              <w:jc w:val="both"/>
              <w:rPr>
                <w:rFonts w:ascii="Times New Roman" w:eastAsia="Times New Roman" w:hAnsi="Times New Roman" w:cs="Times New Roman"/>
                <w:sz w:val="24"/>
              </w:rPr>
            </w:pPr>
            <w:r w:rsidRPr="00F26582">
              <w:rPr>
                <w:rFonts w:ascii="Times New Roman" w:hAnsi="Times New Roman"/>
                <w:sz w:val="24"/>
              </w:rPr>
              <w:t xml:space="preserve">Os elementos deduzidos podem incluir, por exemplo, os elementos enumerados nos artigos 37.º, 38.º, 39.º e 41.º do CRR. </w:t>
            </w:r>
          </w:p>
          <w:p w14:paraId="04744916" w14:textId="77777777" w:rsidR="00C04D6C" w:rsidRPr="00F26582" w:rsidRDefault="00C04D6C" w:rsidP="00D819DE">
            <w:pPr>
              <w:spacing w:before="60" w:after="120"/>
              <w:ind w:left="34"/>
              <w:jc w:val="both"/>
              <w:rPr>
                <w:rFonts w:ascii="Times New Roman" w:eastAsia="Times New Roman" w:hAnsi="Times New Roman" w:cs="Times New Roman"/>
                <w:sz w:val="24"/>
              </w:rPr>
            </w:pPr>
            <w:r w:rsidRPr="00F26582">
              <w:rPr>
                <w:rFonts w:ascii="Times New Roman" w:hAnsi="Times New Roman"/>
                <w:sz w:val="24"/>
              </w:rPr>
              <w:t>Os montantes divulgados como ativos devem ser os montantes efetivamente deduzidos dos fundos próprios, tendo em conta qualquer compensação com passivos permitida por (e qualquer limiar de) dedução aplicável de acordo com os artigos pertinentes da parte II do CRR.</w:t>
            </w:r>
          </w:p>
          <w:p w14:paraId="7C247AE0"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Quando é atribuído um ponderador de risco de 1 250 % aos elementos enumerados no artigo 36.º, n.º 1, alínea k), e no artigo 48.º, do CRR, em vez de serem deduzidos, estes não devem ser divulgados na coluna g deste modelo, mas nas outras colunas correspondentes do modelo EU LI1. O mesmo se aplica a qualquer outro elemento a que seja atribuído um ponderador de risco de 1 250 % de acordo com os requisitos do CRR.</w:t>
            </w:r>
          </w:p>
          <w:p w14:paraId="1E8AD1D2" w14:textId="77777777" w:rsidR="00C04D6C" w:rsidRPr="00F26582" w:rsidRDefault="00C04D6C" w:rsidP="00D819DE">
            <w:pPr>
              <w:spacing w:before="60" w:after="120"/>
              <w:jc w:val="both"/>
              <w:rPr>
                <w:rFonts w:ascii="Times New Roman" w:hAnsi="Times New Roman" w:cs="Times New Roman"/>
                <w:b/>
                <w:sz w:val="24"/>
              </w:rPr>
            </w:pPr>
            <w:r w:rsidRPr="00F26582">
              <w:rPr>
                <w:rFonts w:ascii="Times New Roman" w:hAnsi="Times New Roman"/>
                <w:sz w:val="24"/>
              </w:rPr>
              <w:t>Os montantes para os passivos são os montantes de passivos que devem ser tomados em consideração para a determinação do montante de ativos a deduzir aos fundos próprios nos termos dos artigos relevantes da parte II do CRR. Além disso, devem ser divulgados nesta coluna todos os passivos que não os i) relevantes para efeitos da aplicação dos requisitos da parte III, título II, capítulo 4, do CRR, ou ii) relevantes para efeitos da aplicação dos requisitos da parte III, título II, capítulo 6, bem como do título IV, do CRR.</w:t>
            </w:r>
          </w:p>
        </w:tc>
      </w:tr>
      <w:tr w:rsidR="00C04D6C" w:rsidRPr="00F26582" w14:paraId="7179E48D" w14:textId="77777777" w:rsidTr="00D819DE">
        <w:trPr>
          <w:trHeight w:val="238"/>
        </w:trPr>
        <w:tc>
          <w:tcPr>
            <w:tcW w:w="1384" w:type="dxa"/>
            <w:shd w:val="clear" w:color="auto" w:fill="FFFFFF" w:themeFill="background1"/>
          </w:tcPr>
          <w:p w14:paraId="732737BA"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t>todas</w:t>
            </w:r>
          </w:p>
        </w:tc>
        <w:tc>
          <w:tcPr>
            <w:tcW w:w="7655" w:type="dxa"/>
            <w:shd w:val="clear" w:color="auto" w:fill="FFFFFF" w:themeFill="background1"/>
          </w:tcPr>
          <w:p w14:paraId="4291E137" w14:textId="77777777" w:rsidR="00C04D6C" w:rsidRPr="00F26582" w:rsidRDefault="00C04D6C" w:rsidP="00D819DE">
            <w:pPr>
              <w:spacing w:before="60" w:after="120"/>
              <w:ind w:left="34"/>
              <w:jc w:val="both"/>
              <w:rPr>
                <w:rFonts w:ascii="Times New Roman" w:eastAsia="Times New Roman" w:hAnsi="Times New Roman" w:cs="Times New Roman"/>
                <w:b/>
                <w:color w:val="000000" w:themeColor="text1"/>
                <w:sz w:val="24"/>
              </w:rPr>
            </w:pPr>
            <w:r w:rsidRPr="00F26582">
              <w:rPr>
                <w:rFonts w:ascii="Times New Roman" w:hAnsi="Times New Roman"/>
                <w:sz w:val="24"/>
              </w:rPr>
              <w:t xml:space="preserve">Quando um único elemento pressupõe requisitos de fundos próprios de acordo com mais de um quadro de risco, os valores devem ser divulgados em todas as colunas correspondentes aos requisitos de fundos próprios subjacentes. Consequentemente, a soma dos montantes das colunas </w:t>
            </w:r>
            <w:r w:rsidRPr="00F26582">
              <w:rPr>
                <w:rFonts w:ascii="Times New Roman" w:hAnsi="Times New Roman"/>
                <w:i/>
                <w:sz w:val="24"/>
              </w:rPr>
              <w:t>c</w:t>
            </w:r>
            <w:r w:rsidRPr="00F26582">
              <w:rPr>
                <w:rFonts w:ascii="Times New Roman" w:hAnsi="Times New Roman"/>
                <w:sz w:val="24"/>
              </w:rPr>
              <w:t xml:space="preserve"> a</w:t>
            </w:r>
            <w:r w:rsidRPr="00F26582">
              <w:rPr>
                <w:rFonts w:ascii="Times New Roman" w:hAnsi="Times New Roman"/>
                <w:i/>
                <w:sz w:val="24"/>
              </w:rPr>
              <w:t xml:space="preserve"> g</w:t>
            </w:r>
            <w:r w:rsidRPr="00F26582">
              <w:rPr>
                <w:rFonts w:ascii="Times New Roman" w:hAnsi="Times New Roman"/>
                <w:sz w:val="24"/>
              </w:rPr>
              <w:t xml:space="preserve"> deste modelo pode ser superior ao montante indicado na coluna </w:t>
            </w:r>
            <w:r w:rsidRPr="00F26582">
              <w:rPr>
                <w:rFonts w:ascii="Times New Roman" w:hAnsi="Times New Roman"/>
                <w:i/>
                <w:sz w:val="24"/>
              </w:rPr>
              <w:t>b</w:t>
            </w:r>
            <w:r w:rsidRPr="00F26582">
              <w:rPr>
                <w:rFonts w:ascii="Times New Roman" w:hAnsi="Times New Roman"/>
                <w:sz w:val="24"/>
              </w:rPr>
              <w:t xml:space="preserve"> deste modelo. As instituições devem fornecer explicações qualitativas sobre ativos e passivos que estão sujeitos a requisitos de fundos próprios relativamente a mais de um quadro de risco constante da parte III do CRR.</w:t>
            </w:r>
          </w:p>
        </w:tc>
      </w:tr>
    </w:tbl>
    <w:p w14:paraId="6C41F2CD" w14:textId="77777777" w:rsidR="00C04D6C" w:rsidRPr="00F26582" w:rsidRDefault="00C04D6C" w:rsidP="00C04D6C">
      <w:pPr>
        <w:spacing w:after="120"/>
        <w:jc w:val="both"/>
        <w:rPr>
          <w:rFonts w:ascii="Times New Roman" w:hAnsi="Times New Roman" w:cs="Times New Roman"/>
          <w:b/>
          <w:sz w:val="24"/>
        </w:rPr>
      </w:pPr>
    </w:p>
    <w:p w14:paraId="390C8CCC" w14:textId="77777777" w:rsidR="00C04D6C" w:rsidRPr="00F26582" w:rsidRDefault="00C04D6C" w:rsidP="00C04D6C">
      <w:pPr>
        <w:spacing w:after="120"/>
        <w:jc w:val="both"/>
        <w:rPr>
          <w:rFonts w:ascii="Times New Roman" w:hAnsi="Times New Roman" w:cs="Times New Roman"/>
          <w:b/>
          <w:sz w:val="24"/>
        </w:rPr>
      </w:pPr>
      <w:r w:rsidRPr="00F26582">
        <w:rPr>
          <w:rFonts w:ascii="Times New Roman" w:hAnsi="Times New Roman"/>
          <w:b/>
          <w:sz w:val="24"/>
        </w:rPr>
        <w:t xml:space="preserve">Modelo EU LI2 – Principais fontes de diferenças entre os montantes das posições em risco regulamentares e os montantes escriturados nas demonstrações financeiras. </w:t>
      </w:r>
      <w:r w:rsidRPr="00F26582">
        <w:rPr>
          <w:rFonts w:ascii="Times New Roman" w:hAnsi="Times New Roman"/>
          <w:sz w:val="24"/>
        </w:rPr>
        <w:t>Formato fixo.</w:t>
      </w:r>
      <w:r w:rsidRPr="00F26582">
        <w:rPr>
          <w:rFonts w:ascii="Times New Roman" w:hAnsi="Times New Roman"/>
          <w:b/>
          <w:sz w:val="24"/>
        </w:rPr>
        <w:t xml:space="preserve"> </w:t>
      </w:r>
    </w:p>
    <w:p w14:paraId="31823E5C" w14:textId="77777777" w:rsidR="00C04D6C" w:rsidRPr="00F26582"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F26582">
        <w:rPr>
          <w:rFonts w:ascii="Times New Roman" w:hAnsi="Times New Roman"/>
          <w:color w:val="000000" w:themeColor="text1"/>
          <w:sz w:val="24"/>
        </w:rPr>
        <w:t>As instituições devem divulgar as informações referidas no artigo 436.º, alínea d), do CRR</w:t>
      </w:r>
      <w:r w:rsidRPr="00F26582">
        <w:rPr>
          <w:rFonts w:ascii="Times New Roman" w:hAnsi="Times New Roman"/>
          <w:sz w:val="24"/>
        </w:rPr>
        <w:t xml:space="preserve"> («CRR»), seguindo as instruções indicadas abaixo no presente anexo, a fim de preencher o modelo EU LI2 apresentado no anexo V do presente Regulamento de Execução</w:t>
      </w:r>
      <w:r w:rsidRPr="00F26582">
        <w:rPr>
          <w:rFonts w:ascii="Times New Roman" w:hAnsi="Times New Roman"/>
          <w:color w:val="000000" w:themeColor="text1"/>
          <w:sz w:val="24"/>
        </w:rPr>
        <w:t>.</w:t>
      </w:r>
    </w:p>
    <w:p w14:paraId="29A99F5A" w14:textId="77777777" w:rsidR="000F2B47" w:rsidRPr="00F26582" w:rsidRDefault="000F2B47" w:rsidP="000F2B47">
      <w:pPr>
        <w:spacing w:before="120" w:after="120"/>
        <w:jc w:val="both"/>
        <w:rPr>
          <w:rFonts w:ascii="Times New Roman" w:hAnsi="Times New Roman"/>
          <w:color w:val="000000" w:themeColor="text1"/>
          <w:sz w:val="24"/>
        </w:rPr>
      </w:pPr>
    </w:p>
    <w:p w14:paraId="24321E19" w14:textId="77777777" w:rsidR="000F2B47" w:rsidRPr="00F26582" w:rsidRDefault="000F2B47" w:rsidP="000F2B47">
      <w:pPr>
        <w:spacing w:before="120" w:after="120"/>
        <w:jc w:val="both"/>
        <w:rPr>
          <w:rFonts w:ascii="Times New Roman" w:hAnsi="Times New Roman"/>
          <w:color w:val="000000" w:themeColor="text1"/>
          <w:sz w:val="24"/>
        </w:rPr>
      </w:pPr>
    </w:p>
    <w:p w14:paraId="311C59E1" w14:textId="77777777" w:rsidR="000F2B47" w:rsidRPr="00F26582" w:rsidRDefault="000F2B47" w:rsidP="000F2B47">
      <w:pPr>
        <w:spacing w:before="120" w:after="120"/>
        <w:jc w:val="both"/>
        <w:rPr>
          <w:rFonts w:ascii="Times New Roman" w:hAnsi="Times New Roman"/>
          <w:color w:val="000000" w:themeColor="text1"/>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F26582"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F26582" w:rsidRDefault="00C04D6C" w:rsidP="00D819DE">
            <w:pPr>
              <w:rPr>
                <w:rFonts w:ascii="Times New Roman" w:hAnsi="Times New Roman" w:cs="Times New Roman"/>
                <w:b/>
                <w:sz w:val="24"/>
                <w:highlight w:val="yellow"/>
              </w:rPr>
            </w:pPr>
            <w:r w:rsidRPr="00F26582">
              <w:rPr>
                <w:rFonts w:ascii="Times New Roman" w:hAnsi="Times New Roman"/>
                <w:b/>
                <w:sz w:val="24"/>
              </w:rPr>
              <w:lastRenderedPageBreak/>
              <w:t>Referências jurídicas e instruções</w:t>
            </w:r>
          </w:p>
        </w:tc>
      </w:tr>
      <w:tr w:rsidR="00C04D6C" w:rsidRPr="00F26582" w14:paraId="351DFAD6" w14:textId="77777777" w:rsidTr="00D819DE">
        <w:trPr>
          <w:trHeight w:val="238"/>
        </w:trPr>
        <w:tc>
          <w:tcPr>
            <w:tcW w:w="1384" w:type="dxa"/>
            <w:shd w:val="clear" w:color="auto" w:fill="D9D9D9" w:themeFill="background1" w:themeFillShade="D9"/>
          </w:tcPr>
          <w:p w14:paraId="210F6178" w14:textId="77777777" w:rsidR="00C04D6C" w:rsidRPr="00F26582" w:rsidRDefault="00C04D6C" w:rsidP="00D819DE">
            <w:pPr>
              <w:autoSpaceDE w:val="0"/>
              <w:autoSpaceDN w:val="0"/>
              <w:adjustRightInd w:val="0"/>
              <w:rPr>
                <w:rFonts w:ascii="Times New Roman" w:hAnsi="Times New Roman" w:cs="Times New Roman"/>
                <w:b/>
                <w:sz w:val="24"/>
              </w:rPr>
            </w:pPr>
            <w:r w:rsidRPr="00F26582">
              <w:rPr>
                <w:rFonts w:ascii="Times New Roman" w:hAnsi="Times New Roman"/>
                <w:b/>
                <w:sz w:val="24"/>
              </w:rPr>
              <w:t>Número da linha</w:t>
            </w:r>
          </w:p>
        </w:tc>
        <w:tc>
          <w:tcPr>
            <w:tcW w:w="7655" w:type="dxa"/>
            <w:shd w:val="clear" w:color="auto" w:fill="D9D9D9" w:themeFill="background1" w:themeFillShade="D9"/>
          </w:tcPr>
          <w:p w14:paraId="661B01B9" w14:textId="77777777" w:rsidR="00C04D6C" w:rsidRPr="00F26582" w:rsidRDefault="00C04D6C" w:rsidP="00D819DE">
            <w:pPr>
              <w:autoSpaceDE w:val="0"/>
              <w:autoSpaceDN w:val="0"/>
              <w:adjustRightInd w:val="0"/>
              <w:rPr>
                <w:rFonts w:ascii="Times New Roman" w:hAnsi="Times New Roman" w:cs="Times New Roman"/>
                <w:color w:val="000000"/>
                <w:sz w:val="24"/>
              </w:rPr>
            </w:pPr>
            <w:r w:rsidRPr="00F26582">
              <w:rPr>
                <w:rFonts w:ascii="Times New Roman" w:hAnsi="Times New Roman"/>
                <w:b/>
                <w:sz w:val="24"/>
              </w:rPr>
              <w:t>Explicação</w:t>
            </w:r>
          </w:p>
        </w:tc>
      </w:tr>
      <w:tr w:rsidR="00C04D6C" w:rsidRPr="00F26582" w14:paraId="6B5341A1" w14:textId="77777777" w:rsidTr="00D819DE">
        <w:trPr>
          <w:trHeight w:val="238"/>
        </w:trPr>
        <w:tc>
          <w:tcPr>
            <w:tcW w:w="1384" w:type="dxa"/>
            <w:shd w:val="clear" w:color="auto" w:fill="FFFFFF" w:themeFill="background1"/>
          </w:tcPr>
          <w:p w14:paraId="5A2CBB68"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1</w:t>
            </w:r>
          </w:p>
        </w:tc>
        <w:tc>
          <w:tcPr>
            <w:tcW w:w="7655" w:type="dxa"/>
            <w:shd w:val="clear" w:color="auto" w:fill="FFFFFF" w:themeFill="background1"/>
          </w:tcPr>
          <w:p w14:paraId="011E728E"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Montante escriturado dos ativos no âmbito de consolidação prudencial</w:t>
            </w:r>
          </w:p>
          <w:p w14:paraId="081D6909" w14:textId="77777777" w:rsidR="00C04D6C" w:rsidRPr="00F26582" w:rsidRDefault="00C04D6C" w:rsidP="00D819DE">
            <w:pPr>
              <w:spacing w:before="60" w:after="120"/>
              <w:jc w:val="both"/>
              <w:rPr>
                <w:rFonts w:ascii="Times New Roman" w:hAnsi="Times New Roman" w:cs="Times New Roman"/>
                <w:b/>
                <w:sz w:val="24"/>
              </w:rPr>
            </w:pPr>
            <w:r w:rsidRPr="00F26582">
              <w:rPr>
                <w:rFonts w:ascii="Times New Roman" w:hAnsi="Times New Roman"/>
                <w:sz w:val="24"/>
              </w:rPr>
              <w:t xml:space="preserve">Os montantes indicados nas colunas b a e são os mesmo que os montantes das colunas c a f do modelo EU LI1. </w:t>
            </w:r>
          </w:p>
        </w:tc>
      </w:tr>
      <w:tr w:rsidR="00C04D6C" w:rsidRPr="00F26582" w14:paraId="263E4ACD" w14:textId="77777777" w:rsidTr="00D819DE">
        <w:trPr>
          <w:trHeight w:val="238"/>
        </w:trPr>
        <w:tc>
          <w:tcPr>
            <w:tcW w:w="1384" w:type="dxa"/>
            <w:shd w:val="clear" w:color="auto" w:fill="FFFFFF" w:themeFill="background1"/>
          </w:tcPr>
          <w:p w14:paraId="7409AE24"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2</w:t>
            </w:r>
          </w:p>
        </w:tc>
        <w:tc>
          <w:tcPr>
            <w:tcW w:w="7655" w:type="dxa"/>
            <w:shd w:val="clear" w:color="auto" w:fill="FFFFFF" w:themeFill="background1"/>
          </w:tcPr>
          <w:p w14:paraId="326A8BD9" w14:textId="77777777" w:rsidR="00C04D6C" w:rsidRPr="00F26582" w:rsidRDefault="00C04D6C" w:rsidP="00D819DE">
            <w:pPr>
              <w:autoSpaceDE w:val="0"/>
              <w:autoSpaceDN w:val="0"/>
              <w:adjustRightInd w:val="0"/>
              <w:spacing w:before="60" w:after="120"/>
              <w:rPr>
                <w:rFonts w:ascii="Times New Roman" w:hAnsi="Times New Roman" w:cs="Times New Roman"/>
                <w:b/>
                <w:sz w:val="24"/>
              </w:rPr>
            </w:pPr>
            <w:r w:rsidRPr="00F26582">
              <w:rPr>
                <w:rFonts w:ascii="Times New Roman" w:hAnsi="Times New Roman"/>
                <w:b/>
                <w:sz w:val="24"/>
              </w:rPr>
              <w:t>Montante escriturado dos passivos no âmbito de consolidação prudencial</w:t>
            </w:r>
          </w:p>
          <w:p w14:paraId="3C83C58B" w14:textId="77777777" w:rsidR="00C04D6C" w:rsidRPr="00F26582" w:rsidRDefault="00C04D6C" w:rsidP="00D819DE">
            <w:pPr>
              <w:autoSpaceDE w:val="0"/>
              <w:autoSpaceDN w:val="0"/>
              <w:adjustRightInd w:val="0"/>
              <w:spacing w:before="60" w:after="120"/>
              <w:jc w:val="both"/>
              <w:rPr>
                <w:rFonts w:ascii="Times New Roman" w:hAnsi="Times New Roman" w:cs="Times New Roman"/>
                <w:b/>
                <w:sz w:val="24"/>
              </w:rPr>
            </w:pPr>
            <w:r w:rsidRPr="00F26582">
              <w:rPr>
                <w:rFonts w:ascii="Times New Roman" w:hAnsi="Times New Roman"/>
                <w:sz w:val="24"/>
              </w:rPr>
              <w:t>Os montantes indicados nas colunas b a e são os mesmo que os montantes das colunas c a f do modelo EU LI1.</w:t>
            </w:r>
          </w:p>
        </w:tc>
      </w:tr>
      <w:tr w:rsidR="00C04D6C" w:rsidRPr="00F26582" w14:paraId="2311BC4F" w14:textId="77777777" w:rsidTr="00D819DE">
        <w:trPr>
          <w:trHeight w:val="238"/>
        </w:trPr>
        <w:tc>
          <w:tcPr>
            <w:tcW w:w="1384" w:type="dxa"/>
            <w:shd w:val="clear" w:color="auto" w:fill="FFFFFF" w:themeFill="background1"/>
          </w:tcPr>
          <w:p w14:paraId="3EC86421"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3</w:t>
            </w:r>
          </w:p>
        </w:tc>
        <w:tc>
          <w:tcPr>
            <w:tcW w:w="7655" w:type="dxa"/>
            <w:shd w:val="clear" w:color="auto" w:fill="FFFFFF" w:themeFill="background1"/>
          </w:tcPr>
          <w:p w14:paraId="28B60EAC"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 xml:space="preserve">Montante líquido total no âmbito da consolidação prudencial </w:t>
            </w:r>
          </w:p>
          <w:p w14:paraId="6B5D974D"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O montante após compensação patrimonial entre ativos e passivos no âmbito da consolidação prudencial, independentemente da elegibilidade desses ativos e passivos no quadro das regras específicas de compensação em aplicação da parte III, título II, capítulos 4 e 5, bem como da parte II, título IV, do CRR</w:t>
            </w:r>
          </w:p>
          <w:p w14:paraId="0082555F" w14:textId="77777777" w:rsidR="00C04D6C" w:rsidRPr="00F26582" w:rsidRDefault="00C04D6C" w:rsidP="00D819DE">
            <w:pPr>
              <w:spacing w:before="60" w:after="120"/>
              <w:jc w:val="both"/>
              <w:rPr>
                <w:rFonts w:ascii="Times New Roman" w:eastAsia="Times New Roman" w:hAnsi="Times New Roman" w:cs="Times New Roman"/>
                <w:color w:val="A8D08D" w:themeColor="accent6" w:themeTint="99"/>
                <w:sz w:val="24"/>
              </w:rPr>
            </w:pPr>
            <w:r w:rsidRPr="00F26582">
              <w:rPr>
                <w:rFonts w:ascii="Times New Roman" w:hAnsi="Times New Roman"/>
                <w:sz w:val="24"/>
              </w:rPr>
              <w:t>O montante indicado nesta linha deve ser igual ao valor indicado na linha 1, deduzido do valor indicado na linha 2 deste modelo.</w:t>
            </w:r>
          </w:p>
        </w:tc>
      </w:tr>
      <w:tr w:rsidR="00C04D6C" w:rsidRPr="00F26582" w14:paraId="3CEA5481" w14:textId="77777777" w:rsidTr="00D819DE">
        <w:trPr>
          <w:trHeight w:val="238"/>
        </w:trPr>
        <w:tc>
          <w:tcPr>
            <w:tcW w:w="1384" w:type="dxa"/>
            <w:shd w:val="clear" w:color="auto" w:fill="FFFFFF" w:themeFill="background1"/>
          </w:tcPr>
          <w:p w14:paraId="7A71EF46"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4</w:t>
            </w:r>
          </w:p>
        </w:tc>
        <w:tc>
          <w:tcPr>
            <w:tcW w:w="7655" w:type="dxa"/>
            <w:shd w:val="clear" w:color="auto" w:fill="FFFFFF" w:themeFill="background1"/>
          </w:tcPr>
          <w:p w14:paraId="7FF54E31"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Montantes extrapatrimoniais</w:t>
            </w:r>
          </w:p>
          <w:p w14:paraId="00C5BCD8"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 xml:space="preserve">Incluem as posições em risco extrapatrimoniais originais, antes da utilização de qualquer fator de conversão, se aplicável, constantes da demonstração de elementos extrapatrimoniais, de acordo com o âmbito da consolidação prudencial nas colunas </w:t>
            </w:r>
            <w:r w:rsidRPr="00F26582">
              <w:rPr>
                <w:rFonts w:ascii="Times New Roman" w:hAnsi="Times New Roman"/>
                <w:i/>
                <w:sz w:val="24"/>
              </w:rPr>
              <w:t>a</w:t>
            </w:r>
            <w:r w:rsidRPr="00F26582">
              <w:rPr>
                <w:rFonts w:ascii="Times New Roman" w:hAnsi="Times New Roman"/>
                <w:sz w:val="24"/>
              </w:rPr>
              <w:t xml:space="preserve"> a </w:t>
            </w:r>
            <w:r w:rsidRPr="00F26582">
              <w:rPr>
                <w:rFonts w:ascii="Times New Roman" w:hAnsi="Times New Roman"/>
                <w:i/>
                <w:sz w:val="24"/>
              </w:rPr>
              <w:t>d</w:t>
            </w:r>
            <w:r w:rsidRPr="00F26582">
              <w:rPr>
                <w:rFonts w:ascii="Times New Roman" w:hAnsi="Times New Roman"/>
                <w:sz w:val="24"/>
              </w:rPr>
              <w:t xml:space="preserve"> deste modelo. </w:t>
            </w:r>
          </w:p>
        </w:tc>
      </w:tr>
      <w:tr w:rsidR="00C04D6C" w:rsidRPr="00F26582" w14:paraId="0215A6DC" w14:textId="77777777" w:rsidTr="00D819DE">
        <w:trPr>
          <w:trHeight w:val="238"/>
        </w:trPr>
        <w:tc>
          <w:tcPr>
            <w:tcW w:w="1384" w:type="dxa"/>
            <w:shd w:val="clear" w:color="auto" w:fill="FFFFFF" w:themeFill="background1"/>
          </w:tcPr>
          <w:p w14:paraId="04B8AEE3"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5</w:t>
            </w:r>
          </w:p>
        </w:tc>
        <w:tc>
          <w:tcPr>
            <w:tcW w:w="7655" w:type="dxa"/>
            <w:shd w:val="clear" w:color="auto" w:fill="FFFFFF" w:themeFill="background1"/>
          </w:tcPr>
          <w:p w14:paraId="3C19E71F" w14:textId="77777777" w:rsidR="00C04D6C" w:rsidRPr="00F26582" w:rsidRDefault="00C04D6C" w:rsidP="00D819DE">
            <w:pPr>
              <w:spacing w:before="60" w:after="120"/>
              <w:jc w:val="both"/>
              <w:rPr>
                <w:rFonts w:ascii="Times New Roman" w:eastAsia="Times New Roman" w:hAnsi="Times New Roman" w:cs="Times New Roman"/>
                <w:b/>
                <w:i/>
                <w:sz w:val="24"/>
              </w:rPr>
            </w:pPr>
            <w:r w:rsidRPr="00F26582">
              <w:rPr>
                <w:rFonts w:ascii="Times New Roman" w:hAnsi="Times New Roman"/>
                <w:b/>
                <w:i/>
                <w:sz w:val="24"/>
              </w:rPr>
              <w:t>Diferenças nas avaliações</w:t>
            </w:r>
          </w:p>
          <w:p w14:paraId="48C473FE"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Impacto do montante escriturado dos ajustamentos de valor de acordo com a parte II, título I, capítulo 2, artigo 34.º, e com a parte III, título I, capítulo 3, artigo 105.º, do CRR, no que se refere às posições em risco, quer incluídas ou não na carteira de negociação, contabilizadas ao justo valor, de acordo com o quadro contabilístico aplicável.</w:t>
            </w:r>
          </w:p>
          <w:p w14:paraId="33A2A80C"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sz w:val="24"/>
              </w:rPr>
              <w:t>Este montante deve ser coerente com o montante indicado na linha 7 do modelo EU CC1, bem como com o montante indicado na linha 12, coluna f, do modelo EU PV1.</w:t>
            </w:r>
          </w:p>
        </w:tc>
      </w:tr>
      <w:tr w:rsidR="00C04D6C" w:rsidRPr="00F26582" w14:paraId="2EDE1179" w14:textId="77777777" w:rsidTr="00D819DE">
        <w:trPr>
          <w:trHeight w:val="238"/>
        </w:trPr>
        <w:tc>
          <w:tcPr>
            <w:tcW w:w="1384" w:type="dxa"/>
            <w:shd w:val="clear" w:color="auto" w:fill="FFFFFF" w:themeFill="background1"/>
          </w:tcPr>
          <w:p w14:paraId="13AEF8E0"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6</w:t>
            </w:r>
          </w:p>
        </w:tc>
        <w:tc>
          <w:tcPr>
            <w:tcW w:w="7655" w:type="dxa"/>
            <w:shd w:val="clear" w:color="auto" w:fill="FFFFFF" w:themeFill="background1"/>
          </w:tcPr>
          <w:p w14:paraId="3A8E70A3" w14:textId="77777777" w:rsidR="00C04D6C" w:rsidRPr="00F26582" w:rsidRDefault="00C04D6C" w:rsidP="00D819DE">
            <w:pPr>
              <w:spacing w:before="60" w:after="120"/>
              <w:jc w:val="both"/>
              <w:rPr>
                <w:rFonts w:ascii="Times New Roman" w:eastAsia="Times New Roman" w:hAnsi="Times New Roman" w:cs="Times New Roman"/>
                <w:b/>
                <w:i/>
                <w:sz w:val="24"/>
              </w:rPr>
            </w:pPr>
            <w:r w:rsidRPr="00F26582">
              <w:rPr>
                <w:rFonts w:ascii="Times New Roman" w:hAnsi="Times New Roman"/>
                <w:b/>
                <w:i/>
                <w:sz w:val="24"/>
              </w:rPr>
              <w:t>Diferenças devidas a regras de compensação diferentes das já inscritas na linha 2 deste modelo</w:t>
            </w:r>
          </w:p>
          <w:p w14:paraId="0583DDBB" w14:textId="77777777" w:rsidR="00C04D6C" w:rsidRPr="00F26582" w:rsidRDefault="00C04D6C" w:rsidP="00D819DE">
            <w:pPr>
              <w:spacing w:before="60" w:after="120"/>
              <w:jc w:val="both"/>
              <w:rPr>
                <w:rFonts w:ascii="Times New Roman" w:eastAsia="Times New Roman" w:hAnsi="Times New Roman" w:cs="Times New Roman"/>
                <w:i/>
                <w:sz w:val="24"/>
              </w:rPr>
            </w:pPr>
            <w:r w:rsidRPr="00F26582">
              <w:rPr>
                <w:rFonts w:ascii="Times New Roman" w:hAnsi="Times New Roman"/>
                <w:sz w:val="24"/>
              </w:rPr>
              <w:t xml:space="preserve">Este elemento refere-se aos montantes líquidos das posições em risco patrimoniais e extrapatrimoniais, após a aplicação das regras específicas de compensação constantes da parte III, título II, capítulos 4 e 5, bem como da parte III, título IV, do CRR. O impacto da aplicação das regras de compensação pode ser negativo (no caso de ser necessário compensar mais posições em risco do que o acontece com o recurso à compensação dos elementos patrimoniais na linha 2 deste modelo) ou positivo (no caso de a aplicação das regras de compensação constantes do CRR conduzir a um </w:t>
            </w:r>
            <w:r w:rsidRPr="00F26582">
              <w:rPr>
                <w:rFonts w:ascii="Times New Roman" w:hAnsi="Times New Roman"/>
                <w:sz w:val="24"/>
              </w:rPr>
              <w:lastRenderedPageBreak/>
              <w:t>montante a compensar inferior ao da compensação dos elementos patrimoniais na linha 2 deste modelo).</w:t>
            </w:r>
          </w:p>
        </w:tc>
      </w:tr>
      <w:tr w:rsidR="00C04D6C" w:rsidRPr="00F26582" w14:paraId="44759EAA" w14:textId="77777777" w:rsidTr="00D819DE">
        <w:trPr>
          <w:trHeight w:val="238"/>
        </w:trPr>
        <w:tc>
          <w:tcPr>
            <w:tcW w:w="1384" w:type="dxa"/>
            <w:shd w:val="clear" w:color="auto" w:fill="FFFFFF" w:themeFill="background1"/>
          </w:tcPr>
          <w:p w14:paraId="18510DD3"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lastRenderedPageBreak/>
              <w:t>7</w:t>
            </w:r>
          </w:p>
        </w:tc>
        <w:tc>
          <w:tcPr>
            <w:tcW w:w="7655" w:type="dxa"/>
            <w:shd w:val="clear" w:color="auto" w:fill="FFFFFF" w:themeFill="background1"/>
          </w:tcPr>
          <w:p w14:paraId="788C1A56" w14:textId="77777777" w:rsidR="00C04D6C" w:rsidRPr="00F26582" w:rsidRDefault="00C04D6C" w:rsidP="00D819DE">
            <w:pPr>
              <w:spacing w:before="60" w:after="120"/>
              <w:jc w:val="both"/>
              <w:rPr>
                <w:rFonts w:ascii="Times New Roman" w:eastAsia="Times New Roman" w:hAnsi="Times New Roman" w:cs="Times New Roman"/>
                <w:b/>
                <w:i/>
                <w:sz w:val="24"/>
              </w:rPr>
            </w:pPr>
            <w:r w:rsidRPr="00F26582">
              <w:rPr>
                <w:rFonts w:ascii="Times New Roman" w:hAnsi="Times New Roman"/>
                <w:b/>
                <w:i/>
                <w:sz w:val="24"/>
              </w:rPr>
              <w:t>Diferenças devidas à consideração das provisões</w:t>
            </w:r>
          </w:p>
          <w:p w14:paraId="31DB4868"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sz w:val="24"/>
              </w:rPr>
              <w:t>A reintegração no valor das posições em risco dos ajustamentos para o risco específico e geral de crédito (tal como definidos no Regulamento Delegado (UE) n.º 183/2014) da Comissão</w:t>
            </w:r>
            <w:r w:rsidRPr="00F26582">
              <w:rPr>
                <w:rStyle w:val="FootnoteReference"/>
                <w:rFonts w:eastAsia="Times New Roman" w:cs="Times New Roman"/>
              </w:rPr>
              <w:footnoteReference w:id="5"/>
            </w:r>
            <w:r w:rsidRPr="00F26582">
              <w:rPr>
                <w:rFonts w:ascii="Times New Roman" w:hAnsi="Times New Roman"/>
                <w:sz w:val="24"/>
              </w:rPr>
              <w:t xml:space="preserve">) deduzidos, de acordo com o quadro contabilístico aplicável, do montante escriturado das posições em risco nos termos da parte III, título II, capítulo 3, do CRR, para fins de ponderação de risco. Relativamente às posições ponderadas pelo risco de acordo com a parte III, título II, capítulo 2 do CRR, quando o montante escriturado nas demonstrações financeiras no âmbito da consolidação prudencial tiver sido reduzido por elementos considerados ajustamentos para o risco geral de crédito ao abrigo do mesmo regulamento delegado, estes elementos têm de ser reintegrados no valor das posições em risco. </w:t>
            </w:r>
          </w:p>
        </w:tc>
      </w:tr>
      <w:tr w:rsidR="00C04D6C" w:rsidRPr="00F26582" w14:paraId="0A77124E" w14:textId="77777777" w:rsidTr="00D819DE">
        <w:trPr>
          <w:trHeight w:val="238"/>
        </w:trPr>
        <w:tc>
          <w:tcPr>
            <w:tcW w:w="1384" w:type="dxa"/>
            <w:shd w:val="clear" w:color="auto" w:fill="FFFFFF" w:themeFill="background1"/>
          </w:tcPr>
          <w:p w14:paraId="6F54B446"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8</w:t>
            </w:r>
          </w:p>
        </w:tc>
        <w:tc>
          <w:tcPr>
            <w:tcW w:w="7655" w:type="dxa"/>
            <w:shd w:val="clear" w:color="auto" w:fill="FFFFFF" w:themeFill="background1"/>
          </w:tcPr>
          <w:p w14:paraId="1F94DD70" w14:textId="77777777" w:rsidR="00C04D6C" w:rsidRPr="00F26582" w:rsidRDefault="00C04D6C" w:rsidP="00D819DE">
            <w:pPr>
              <w:jc w:val="both"/>
              <w:rPr>
                <w:rFonts w:ascii="Times New Roman" w:eastAsia="Times New Roman" w:hAnsi="Times New Roman" w:cs="Times New Roman"/>
                <w:b/>
                <w:i/>
                <w:sz w:val="24"/>
              </w:rPr>
            </w:pPr>
            <w:r w:rsidRPr="00F26582">
              <w:rPr>
                <w:rFonts w:ascii="Times New Roman" w:hAnsi="Times New Roman"/>
                <w:b/>
                <w:i/>
                <w:sz w:val="24"/>
              </w:rPr>
              <w:t xml:space="preserve">Diferenças devidas à aplicação de técnicas de redução do risco de crédito </w:t>
            </w:r>
          </w:p>
          <w:p w14:paraId="2CFFDCD8" w14:textId="77777777" w:rsidR="00C04D6C" w:rsidRPr="00F26582" w:rsidRDefault="00C04D6C" w:rsidP="00D819DE">
            <w:pPr>
              <w:jc w:val="both"/>
              <w:rPr>
                <w:rFonts w:ascii="Times New Roman" w:eastAsia="Times New Roman" w:hAnsi="Times New Roman" w:cs="Times New Roman"/>
                <w:b/>
                <w:i/>
                <w:sz w:val="24"/>
              </w:rPr>
            </w:pPr>
          </w:p>
          <w:p w14:paraId="6EC8050F" w14:textId="77777777" w:rsidR="00C04D6C" w:rsidRPr="00F26582" w:rsidRDefault="00C04D6C" w:rsidP="00D819DE">
            <w:pPr>
              <w:spacing w:after="120"/>
              <w:jc w:val="both"/>
              <w:rPr>
                <w:rFonts w:ascii="Times New Roman" w:eastAsia="Times New Roman" w:hAnsi="Times New Roman" w:cs="Times New Roman"/>
                <w:sz w:val="24"/>
              </w:rPr>
            </w:pPr>
            <w:r w:rsidRPr="00F26582">
              <w:rPr>
                <w:rFonts w:ascii="Times New Roman" w:hAnsi="Times New Roman"/>
                <w:sz w:val="24"/>
              </w:rPr>
              <w:t xml:space="preserve">O impacto, sobre o valor das posições em risco no âmbito da consolidação prudencial, da aplicação das técnicas de redução do risco de crédito definidas no CRR. </w:t>
            </w:r>
          </w:p>
        </w:tc>
      </w:tr>
      <w:tr w:rsidR="00C04D6C" w:rsidRPr="00F26582" w14:paraId="05ED1EDD" w14:textId="77777777" w:rsidTr="00D819DE">
        <w:trPr>
          <w:trHeight w:val="238"/>
        </w:trPr>
        <w:tc>
          <w:tcPr>
            <w:tcW w:w="1384" w:type="dxa"/>
            <w:shd w:val="clear" w:color="auto" w:fill="FFFFFF" w:themeFill="background1"/>
          </w:tcPr>
          <w:p w14:paraId="1505E593"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9</w:t>
            </w:r>
          </w:p>
        </w:tc>
        <w:tc>
          <w:tcPr>
            <w:tcW w:w="7655" w:type="dxa"/>
            <w:shd w:val="clear" w:color="auto" w:fill="FFFFFF" w:themeFill="background1"/>
          </w:tcPr>
          <w:p w14:paraId="1E44E476" w14:textId="77777777" w:rsidR="00C04D6C" w:rsidRPr="00F26582" w:rsidRDefault="00C04D6C" w:rsidP="00D819DE">
            <w:pPr>
              <w:jc w:val="both"/>
              <w:rPr>
                <w:rFonts w:ascii="Times New Roman" w:eastAsia="Times New Roman" w:hAnsi="Times New Roman" w:cs="Times New Roman"/>
                <w:b/>
                <w:i/>
                <w:sz w:val="24"/>
              </w:rPr>
            </w:pPr>
            <w:r w:rsidRPr="00F26582">
              <w:rPr>
                <w:rFonts w:ascii="Times New Roman" w:hAnsi="Times New Roman"/>
                <w:b/>
                <w:i/>
                <w:sz w:val="24"/>
              </w:rPr>
              <w:t>Diferenças devidas aos fatores de conversão de crédito</w:t>
            </w:r>
          </w:p>
          <w:p w14:paraId="53FD5536" w14:textId="77777777" w:rsidR="00C04D6C" w:rsidRPr="00F26582" w:rsidRDefault="00C04D6C" w:rsidP="00D819DE">
            <w:pPr>
              <w:jc w:val="both"/>
              <w:rPr>
                <w:rFonts w:ascii="Times New Roman" w:eastAsia="Times New Roman" w:hAnsi="Times New Roman" w:cs="Times New Roman"/>
                <w:b/>
                <w:i/>
                <w:sz w:val="24"/>
              </w:rPr>
            </w:pPr>
          </w:p>
          <w:p w14:paraId="38BAEA5C" w14:textId="77777777" w:rsidR="00C04D6C" w:rsidRPr="00F26582" w:rsidRDefault="00C04D6C" w:rsidP="00D819DE">
            <w:pPr>
              <w:spacing w:after="120"/>
              <w:jc w:val="both"/>
              <w:rPr>
                <w:rFonts w:ascii="Times New Roman" w:eastAsia="Times New Roman" w:hAnsi="Times New Roman" w:cs="Times New Roman"/>
                <w:sz w:val="24"/>
              </w:rPr>
            </w:pPr>
            <w:r w:rsidRPr="00F26582">
              <w:rPr>
                <w:rFonts w:ascii="Times New Roman" w:hAnsi="Times New Roman"/>
                <w:sz w:val="24"/>
              </w:rPr>
              <w:t>O impacto, sobre o valor das posições em risco extrapatrimoniais no âmbito da consolidação prudencial, da aplicação dos fatores de conversão pertinentes nos termos do CRR.</w:t>
            </w:r>
          </w:p>
          <w:p w14:paraId="75BD9AEB" w14:textId="77777777" w:rsidR="00C04D6C" w:rsidRPr="00F26582" w:rsidRDefault="00C04D6C" w:rsidP="00D819DE">
            <w:pPr>
              <w:spacing w:after="120"/>
              <w:jc w:val="both"/>
              <w:rPr>
                <w:rFonts w:ascii="Times New Roman" w:eastAsia="Times New Roman" w:hAnsi="Times New Roman" w:cs="Times New Roman"/>
                <w:b/>
                <w:sz w:val="24"/>
              </w:rPr>
            </w:pPr>
            <w:r w:rsidRPr="00F26582">
              <w:rPr>
                <w:rFonts w:ascii="Times New Roman" w:hAnsi="Times New Roman"/>
                <w:sz w:val="24"/>
              </w:rPr>
              <w:t>O fator de conversão para os elementos extrapatrimoniais a ponderar pelo risco em aplicação da parte III, título II, do CRR, deve ser determinado nos termos dos artigos 111.º, 166.º, 167.º e 182.º (como aplicável ao risco de crédito) e no artigo 246.º do CRR (conforme aplicável ao risco de titularização).</w:t>
            </w:r>
          </w:p>
        </w:tc>
      </w:tr>
      <w:tr w:rsidR="00C04D6C" w:rsidRPr="00F26582" w14:paraId="72BAD6AF" w14:textId="77777777" w:rsidTr="00D819DE">
        <w:trPr>
          <w:trHeight w:val="238"/>
        </w:trPr>
        <w:tc>
          <w:tcPr>
            <w:tcW w:w="1384" w:type="dxa"/>
            <w:shd w:val="clear" w:color="auto" w:fill="FFFFFF" w:themeFill="background1"/>
          </w:tcPr>
          <w:p w14:paraId="74C5B091"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10</w:t>
            </w:r>
          </w:p>
        </w:tc>
        <w:tc>
          <w:tcPr>
            <w:tcW w:w="7655" w:type="dxa"/>
            <w:shd w:val="clear" w:color="auto" w:fill="FFFFFF" w:themeFill="background1"/>
          </w:tcPr>
          <w:p w14:paraId="5F1391ED" w14:textId="77777777" w:rsidR="00C04D6C" w:rsidRPr="00F26582" w:rsidRDefault="00C04D6C" w:rsidP="00D819DE">
            <w:pPr>
              <w:spacing w:after="240"/>
              <w:jc w:val="both"/>
              <w:rPr>
                <w:rFonts w:ascii="Times New Roman" w:eastAsia="Times New Roman" w:hAnsi="Times New Roman" w:cs="Times New Roman"/>
                <w:b/>
                <w:i/>
                <w:sz w:val="24"/>
              </w:rPr>
            </w:pPr>
            <w:r w:rsidRPr="00F26582">
              <w:rPr>
                <w:rFonts w:ascii="Times New Roman" w:hAnsi="Times New Roman"/>
                <w:b/>
                <w:i/>
                <w:sz w:val="24"/>
              </w:rPr>
              <w:t>Diferenças devidas à titularização com transferência de risco</w:t>
            </w:r>
          </w:p>
          <w:p w14:paraId="0CD216A1" w14:textId="77777777" w:rsidR="00C04D6C" w:rsidRPr="00F26582" w:rsidRDefault="00C04D6C" w:rsidP="00D819DE">
            <w:pPr>
              <w:spacing w:after="120"/>
              <w:jc w:val="both"/>
              <w:rPr>
                <w:rFonts w:ascii="Times New Roman" w:eastAsia="Times New Roman" w:hAnsi="Times New Roman" w:cs="Times New Roman"/>
                <w:sz w:val="24"/>
              </w:rPr>
            </w:pPr>
            <w:r w:rsidRPr="00F26582">
              <w:rPr>
                <w:rFonts w:ascii="Times New Roman" w:hAnsi="Times New Roman"/>
                <w:sz w:val="24"/>
              </w:rPr>
              <w:t>O impacto, sobre o valor das posições em risco sobre titularizações, da utilização de transações titularizadas para transferir o risco de crédito para terceiros nos termos do CRR.</w:t>
            </w:r>
          </w:p>
        </w:tc>
      </w:tr>
      <w:tr w:rsidR="00C04D6C" w:rsidRPr="00F26582" w14:paraId="07DA820F" w14:textId="77777777" w:rsidTr="00D819DE">
        <w:trPr>
          <w:trHeight w:val="238"/>
        </w:trPr>
        <w:tc>
          <w:tcPr>
            <w:tcW w:w="1384" w:type="dxa"/>
            <w:shd w:val="clear" w:color="auto" w:fill="FFFFFF" w:themeFill="background1"/>
          </w:tcPr>
          <w:p w14:paraId="04CADA42"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11</w:t>
            </w:r>
          </w:p>
        </w:tc>
        <w:tc>
          <w:tcPr>
            <w:tcW w:w="7655" w:type="dxa"/>
            <w:shd w:val="clear" w:color="auto" w:fill="FFFFFF" w:themeFill="background1"/>
          </w:tcPr>
          <w:p w14:paraId="7523D1FE" w14:textId="77777777" w:rsidR="00C04D6C" w:rsidRPr="00F26582" w:rsidRDefault="00C04D6C" w:rsidP="00D819DE">
            <w:pPr>
              <w:spacing w:before="60" w:after="120"/>
              <w:jc w:val="both"/>
              <w:rPr>
                <w:rFonts w:ascii="Times New Roman" w:eastAsia="Times New Roman" w:hAnsi="Times New Roman" w:cs="Times New Roman"/>
                <w:b/>
                <w:i/>
                <w:sz w:val="24"/>
              </w:rPr>
            </w:pPr>
            <w:r w:rsidRPr="00F26582">
              <w:rPr>
                <w:rFonts w:ascii="Times New Roman" w:hAnsi="Times New Roman"/>
                <w:b/>
                <w:i/>
                <w:sz w:val="24"/>
              </w:rPr>
              <w:t xml:space="preserve">Outras diferenças </w:t>
            </w:r>
            <w:r w:rsidRPr="00F26582">
              <w:rPr>
                <w:rFonts w:ascii="Times New Roman" w:hAnsi="Times New Roman"/>
                <w:i/>
                <w:sz w:val="24"/>
              </w:rPr>
              <w:t>(se relevante)</w:t>
            </w:r>
          </w:p>
          <w:p w14:paraId="7A3BEA11"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Outros fatores determinantes no que respeita às diferenças entre os montantes escriturados das demonstrações financeiros no âmbito de aplicação regulamentar e os montantes das posições em risco para fins regulamentares.</w:t>
            </w:r>
          </w:p>
          <w:p w14:paraId="678F847C" w14:textId="77777777" w:rsidR="00C04D6C" w:rsidRPr="00F26582" w:rsidRDefault="00C04D6C" w:rsidP="00D819DE">
            <w:pPr>
              <w:spacing w:before="60" w:after="120"/>
              <w:jc w:val="both"/>
              <w:rPr>
                <w:rFonts w:ascii="Times New Roman" w:eastAsia="Times New Roman" w:hAnsi="Times New Roman" w:cs="Times New Roman"/>
                <w:b/>
                <w:i/>
                <w:sz w:val="24"/>
              </w:rPr>
            </w:pPr>
            <w:r w:rsidRPr="00F26582">
              <w:rPr>
                <w:rFonts w:ascii="Times New Roman" w:hAnsi="Times New Roman"/>
                <w:sz w:val="24"/>
              </w:rPr>
              <w:t>As instituições devem complementar as divulgações quantitativas inscritas nesta linha com explicações qualitativas sobre os principais fatores destas diferenças no quadro EU-LIA.</w:t>
            </w:r>
          </w:p>
        </w:tc>
      </w:tr>
      <w:tr w:rsidR="00C04D6C" w:rsidRPr="00F26582" w14:paraId="2957570B" w14:textId="77777777" w:rsidTr="00D819DE">
        <w:trPr>
          <w:trHeight w:val="238"/>
        </w:trPr>
        <w:tc>
          <w:tcPr>
            <w:tcW w:w="1384" w:type="dxa"/>
            <w:shd w:val="clear" w:color="auto" w:fill="FFFFFF" w:themeFill="background1"/>
          </w:tcPr>
          <w:p w14:paraId="64BC3A56"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lastRenderedPageBreak/>
              <w:t>12</w:t>
            </w:r>
          </w:p>
        </w:tc>
        <w:tc>
          <w:tcPr>
            <w:tcW w:w="7655" w:type="dxa"/>
            <w:shd w:val="clear" w:color="auto" w:fill="FFFFFF" w:themeFill="background1"/>
          </w:tcPr>
          <w:p w14:paraId="2416DA9F"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Montantes das posições em risco considerados para fins regulamentares</w:t>
            </w:r>
          </w:p>
          <w:p w14:paraId="1BCDD663"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O montante agregado considerado como ponto de partida para o cálculo do montante das posições ponderadas pelo risco (RWEA) após a aplicação de técnicas de redução do risco de crédito (CRM) que não a compensação prevista na parte III, título II, capítulo 4 do CRR, e após a aplicação dos requisitos de compensação constantes da parte III, título II, capítulos 4 e 5 e do título IV do CRR para cada uma das categorias de risco.</w:t>
            </w:r>
          </w:p>
          <w:p w14:paraId="42A65886"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Caso seja aplicado o Método-Padrão, trata-se do valor após a aplicação de ajustamentos para risco específico de crédito, de ajustamentos de valor adicionais nos termos dos artigos 34.º e 110.º do CRR e de outras reduções de fundos próprios, relacionadas com o elemento do ativo. No que respeita aos elementos extrapatrimoniais constantes do anexo I do presente Regulamento de Execução, o valor das posições em risco é o valor nominal após redução dos ajustamentos para risco específico de crédito, multiplicado pela percentagem aplicável mencionada no artigo 111.º, n.º 1, alíneas a) e d), do CRR.</w:t>
            </w:r>
          </w:p>
          <w:p w14:paraId="029EEE3E"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No que respeita ao método IRB, o valor divulgado deve ser o valor da posição em risco na aceção dos artigos 166.º, 167.º e 168.º do CRR.</w:t>
            </w:r>
          </w:p>
          <w:p w14:paraId="262660AB"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 xml:space="preserve">Assim, os montantes escriturados tal como apresentados nas demonstrações financeiras no âmbito da consolidação prudencial devem ser divulgados nas linhas 1 a 3 correspondentes deste modelo, enquanto as posições em risco extrapatrimoniais originais devem ser divulgadas na linha 4 deste modelo. Qualquer aumento ou redução regulamentar específico relativo a estes montantes deve ser inscrito nas linhas 5 a 11 deste modelo, a fim de explicar como reconciliar estes montantes com o montante da exposição para efeitos regulamentares como ponto de partida para o cálculo dos RWEA em conformidade com cada um dos quadros mencionados nas colunas </w:t>
            </w:r>
            <w:r w:rsidRPr="00F26582">
              <w:rPr>
                <w:rFonts w:ascii="Times New Roman" w:hAnsi="Times New Roman"/>
                <w:i/>
                <w:sz w:val="24"/>
              </w:rPr>
              <w:t>b</w:t>
            </w:r>
            <w:r w:rsidRPr="00F26582">
              <w:rPr>
                <w:rFonts w:ascii="Times New Roman" w:hAnsi="Times New Roman"/>
                <w:sz w:val="24"/>
              </w:rPr>
              <w:t xml:space="preserve"> a </w:t>
            </w:r>
            <w:r w:rsidRPr="00F26582">
              <w:rPr>
                <w:rFonts w:ascii="Times New Roman" w:hAnsi="Times New Roman"/>
                <w:i/>
                <w:sz w:val="24"/>
              </w:rPr>
              <w:t>e</w:t>
            </w:r>
            <w:r w:rsidRPr="00F26582">
              <w:rPr>
                <w:rFonts w:ascii="Times New Roman" w:hAnsi="Times New Roman"/>
                <w:sz w:val="24"/>
              </w:rPr>
              <w:t xml:space="preserve"> deste modelo. Tal significa que, em particular, no que respeita ao risco de crédito, os montantes das posições em risco tidos em conta para fins regulamentares a divulgar na linha 12 deste modelo será diferente dos montantes escriturados apresentados nas demonstrações financeiras no âmbito de consolidação prudencial, devido ao tratamento prudencial específico das provisões contabilísticas para o cálculo dos RWEA.</w:t>
            </w:r>
          </w:p>
        </w:tc>
      </w:tr>
    </w:tbl>
    <w:p w14:paraId="16B30017" w14:textId="77777777" w:rsidR="00C04D6C" w:rsidRPr="00F26582" w:rsidRDefault="00C04D6C" w:rsidP="00C04D6C">
      <w:pPr>
        <w:jc w:val="both"/>
        <w:rPr>
          <w:rFonts w:ascii="Times New Roman" w:hAnsi="Times New Roman" w:cs="Times New Roman"/>
          <w:sz w:val="24"/>
        </w:rPr>
      </w:pPr>
    </w:p>
    <w:p w14:paraId="6C172395" w14:textId="77777777" w:rsidR="00C04D6C" w:rsidRPr="00F26582"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F26582" w14:paraId="419A1964" w14:textId="77777777" w:rsidTr="00D819DE">
        <w:trPr>
          <w:trHeight w:val="238"/>
        </w:trPr>
        <w:tc>
          <w:tcPr>
            <w:tcW w:w="9039" w:type="dxa"/>
            <w:gridSpan w:val="2"/>
            <w:shd w:val="clear" w:color="auto" w:fill="D9D9D9" w:themeFill="background1" w:themeFillShade="D9"/>
          </w:tcPr>
          <w:p w14:paraId="4EBCF1EE" w14:textId="77777777" w:rsidR="00C04D6C" w:rsidRPr="00F26582" w:rsidRDefault="00C04D6C" w:rsidP="00D819DE">
            <w:pPr>
              <w:autoSpaceDE w:val="0"/>
              <w:autoSpaceDN w:val="0"/>
              <w:adjustRightInd w:val="0"/>
              <w:rPr>
                <w:rFonts w:ascii="Times New Roman" w:hAnsi="Times New Roman" w:cs="Times New Roman"/>
                <w:b/>
                <w:sz w:val="24"/>
              </w:rPr>
            </w:pPr>
            <w:r w:rsidRPr="00F26582">
              <w:rPr>
                <w:rFonts w:ascii="Times New Roman" w:hAnsi="Times New Roman"/>
                <w:b/>
                <w:sz w:val="24"/>
              </w:rPr>
              <w:t>Referências jurídicas e instruções</w:t>
            </w:r>
          </w:p>
        </w:tc>
      </w:tr>
      <w:tr w:rsidR="00C04D6C" w:rsidRPr="00F26582"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F26582" w:rsidRDefault="00C04D6C" w:rsidP="00D819DE">
            <w:pPr>
              <w:autoSpaceDE w:val="0"/>
              <w:autoSpaceDN w:val="0"/>
              <w:adjustRightInd w:val="0"/>
              <w:spacing w:before="60" w:after="120"/>
              <w:rPr>
                <w:rFonts w:ascii="Times New Roman" w:hAnsi="Times New Roman" w:cs="Times New Roman"/>
                <w:b/>
                <w:sz w:val="24"/>
              </w:rPr>
            </w:pPr>
            <w:r w:rsidRPr="00F26582">
              <w:rPr>
                <w:rFonts w:ascii="Times New Roman" w:hAnsi="Times New Roman"/>
                <w:b/>
                <w:sz w:val="24"/>
              </w:rPr>
              <w:t>Referência da coluna</w:t>
            </w:r>
          </w:p>
        </w:tc>
        <w:tc>
          <w:tcPr>
            <w:tcW w:w="7655" w:type="dxa"/>
            <w:tcBorders>
              <w:bottom w:val="single" w:sz="4" w:space="0" w:color="auto"/>
            </w:tcBorders>
            <w:shd w:val="clear" w:color="auto" w:fill="D9D9D9" w:themeFill="background1" w:themeFillShade="D9"/>
          </w:tcPr>
          <w:p w14:paraId="05B9A787" w14:textId="77777777" w:rsidR="00C04D6C" w:rsidRPr="00F26582" w:rsidRDefault="00C04D6C" w:rsidP="00D819DE">
            <w:pPr>
              <w:autoSpaceDE w:val="0"/>
              <w:autoSpaceDN w:val="0"/>
              <w:adjustRightInd w:val="0"/>
              <w:spacing w:before="60" w:after="120"/>
              <w:rPr>
                <w:rFonts w:ascii="Times New Roman" w:hAnsi="Times New Roman" w:cs="Times New Roman"/>
                <w:color w:val="000000"/>
                <w:sz w:val="24"/>
              </w:rPr>
            </w:pPr>
            <w:r w:rsidRPr="00F26582">
              <w:rPr>
                <w:rFonts w:ascii="Times New Roman" w:hAnsi="Times New Roman"/>
                <w:b/>
                <w:sz w:val="24"/>
              </w:rPr>
              <w:t>Explicação</w:t>
            </w:r>
          </w:p>
        </w:tc>
      </w:tr>
      <w:tr w:rsidR="00C04D6C" w:rsidRPr="00F26582"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t>a</w:t>
            </w:r>
          </w:p>
        </w:tc>
        <w:tc>
          <w:tcPr>
            <w:tcW w:w="7655" w:type="dxa"/>
            <w:tcBorders>
              <w:bottom w:val="single" w:sz="4" w:space="0" w:color="auto"/>
            </w:tcBorders>
            <w:shd w:val="clear" w:color="auto" w:fill="FFFFFF" w:themeFill="background1"/>
          </w:tcPr>
          <w:p w14:paraId="182CBF30" w14:textId="77777777" w:rsidR="00C04D6C" w:rsidRPr="00F26582" w:rsidRDefault="00C04D6C" w:rsidP="00D819DE">
            <w:pPr>
              <w:spacing w:before="60" w:after="120"/>
              <w:jc w:val="both"/>
              <w:rPr>
                <w:rFonts w:ascii="Times New Roman" w:hAnsi="Times New Roman"/>
                <w:b/>
                <w:sz w:val="24"/>
              </w:rPr>
            </w:pPr>
            <w:r w:rsidRPr="00F26582">
              <w:rPr>
                <w:rFonts w:ascii="Times New Roman" w:hAnsi="Times New Roman"/>
                <w:b/>
                <w:sz w:val="24"/>
              </w:rPr>
              <w:t>Total</w:t>
            </w:r>
          </w:p>
          <w:p w14:paraId="07AF5974"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Total da coluna a do modelo EU LI2 = Montantes da coluna b do modelo EU LI1 – montantes da coluna g do modelo EU LI1.</w:t>
            </w:r>
          </w:p>
        </w:tc>
      </w:tr>
      <w:tr w:rsidR="00C04D6C" w:rsidRPr="00F26582"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4468BD08" w14:textId="77777777" w:rsidR="00C04D6C" w:rsidRPr="00F26582" w:rsidRDefault="00C04D6C" w:rsidP="00D819DE">
            <w:pPr>
              <w:spacing w:before="60" w:after="120"/>
              <w:jc w:val="both"/>
              <w:rPr>
                <w:rFonts w:ascii="Times New Roman" w:hAnsi="Times New Roman"/>
                <w:sz w:val="24"/>
              </w:rPr>
            </w:pPr>
            <w:r w:rsidRPr="00F26582">
              <w:rPr>
                <w:rFonts w:ascii="Times New Roman" w:hAnsi="Times New Roman"/>
                <w:sz w:val="24"/>
              </w:rPr>
              <w:t xml:space="preserve">A repartição das colunas nas categorias de risco regulamentares </w:t>
            </w:r>
            <w:r w:rsidRPr="00F26582">
              <w:rPr>
                <w:rFonts w:ascii="Times New Roman" w:hAnsi="Times New Roman"/>
                <w:i/>
                <w:sz w:val="24"/>
              </w:rPr>
              <w:t>b</w:t>
            </w:r>
            <w:r w:rsidRPr="00F26582">
              <w:rPr>
                <w:rFonts w:ascii="Times New Roman" w:hAnsi="Times New Roman"/>
                <w:sz w:val="24"/>
              </w:rPr>
              <w:t xml:space="preserve"> a </w:t>
            </w:r>
            <w:r w:rsidRPr="00F26582">
              <w:rPr>
                <w:rFonts w:ascii="Times New Roman" w:hAnsi="Times New Roman"/>
                <w:i/>
                <w:sz w:val="24"/>
              </w:rPr>
              <w:t>e</w:t>
            </w:r>
            <w:r w:rsidRPr="00F26582">
              <w:rPr>
                <w:rFonts w:ascii="Times New Roman" w:hAnsi="Times New Roman"/>
                <w:sz w:val="24"/>
              </w:rPr>
              <w:t xml:space="preserve"> corresponde à repartição constante da parte III do CRR. </w:t>
            </w:r>
          </w:p>
          <w:p w14:paraId="3008A540" w14:textId="77777777" w:rsidR="000F2B47" w:rsidRPr="00F26582" w:rsidRDefault="000F2B47" w:rsidP="00D819DE">
            <w:pPr>
              <w:spacing w:before="60" w:after="120"/>
              <w:jc w:val="both"/>
              <w:rPr>
                <w:rFonts w:ascii="Times New Roman" w:eastAsia="Times New Roman" w:hAnsi="Times New Roman" w:cs="Times New Roman"/>
                <w:sz w:val="24"/>
              </w:rPr>
            </w:pPr>
          </w:p>
        </w:tc>
      </w:tr>
      <w:tr w:rsidR="00C04D6C" w:rsidRPr="00F26582"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lastRenderedPageBreak/>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Quadro do risco de crédito</w:t>
            </w:r>
          </w:p>
          <w:p w14:paraId="0254C74A" w14:textId="77777777" w:rsidR="00C04D6C" w:rsidRPr="00F26582" w:rsidRDefault="00C04D6C" w:rsidP="00D819DE">
            <w:pPr>
              <w:spacing w:before="60" w:after="120"/>
              <w:jc w:val="both"/>
              <w:rPr>
                <w:rFonts w:ascii="Times New Roman" w:hAnsi="Times New Roman" w:cs="Times New Roman"/>
                <w:sz w:val="24"/>
              </w:rPr>
            </w:pPr>
            <w:r w:rsidRPr="00F26582">
              <w:rPr>
                <w:rFonts w:ascii="Times New Roman" w:hAnsi="Times New Roman"/>
                <w:sz w:val="24"/>
              </w:rPr>
              <w:t>Posições em risco na parte III, título II, do CRR</w:t>
            </w:r>
          </w:p>
          <w:p w14:paraId="096E08B3"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 xml:space="preserve">As posições em risco abrangidas pelo quadro de risco de crédito devem corresponder ao montante das posições em risco aplicado no método-padrão para o risco de crédito (ver parte III, título II, capítulo 2, artigo 111.º, do CRR) ou às posições em risco em situação de incumprimento (EAD) na abordagem «Risco de crédito – método das notações internas» (ver parte III, título II, capítulo 3, artigos 166.º, 167.º e 168.º, do CRR). </w:t>
            </w:r>
          </w:p>
        </w:tc>
      </w:tr>
      <w:tr w:rsidR="00C04D6C" w:rsidRPr="00F26582"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 xml:space="preserve">Quadro da titularização </w:t>
            </w:r>
          </w:p>
          <w:p w14:paraId="67C4B0D7" w14:textId="77777777" w:rsidR="00C04D6C" w:rsidRPr="00F26582" w:rsidRDefault="00C04D6C" w:rsidP="00D819DE">
            <w:pPr>
              <w:spacing w:before="60" w:after="120"/>
              <w:jc w:val="both"/>
              <w:rPr>
                <w:rFonts w:ascii="Times New Roman" w:eastAsia="Times New Roman" w:hAnsi="Times New Roman" w:cs="Times New Roman"/>
                <w:color w:val="A8D08D" w:themeColor="accent6" w:themeTint="99"/>
                <w:sz w:val="24"/>
              </w:rPr>
            </w:pPr>
            <w:r w:rsidRPr="00F26582">
              <w:rPr>
                <w:rFonts w:ascii="Times New Roman" w:hAnsi="Times New Roman"/>
                <w:sz w:val="24"/>
              </w:rPr>
              <w:t>Posições em risco não incluídas na carteira de negociação indicadas na parte III, título II, capítulo 5, do CRR</w:t>
            </w:r>
          </w:p>
          <w:p w14:paraId="7FC11C3E"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sz w:val="24"/>
              </w:rPr>
              <w:t>As posições em risco sobre titularizações devem ser determinadas em conformidade com a parte III, título II, capítulo 5, artigo 246.º, do CRR.</w:t>
            </w:r>
          </w:p>
        </w:tc>
      </w:tr>
      <w:tr w:rsidR="00C04D6C" w:rsidRPr="00F26582"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Quadro de risco de crédito de contraparte (CCR)</w:t>
            </w:r>
          </w:p>
          <w:p w14:paraId="00BCF7AF" w14:textId="77777777" w:rsidR="00C04D6C" w:rsidRPr="00F26582" w:rsidRDefault="00C04D6C" w:rsidP="00D819DE">
            <w:pPr>
              <w:spacing w:before="60" w:after="120"/>
              <w:jc w:val="both"/>
              <w:rPr>
                <w:rFonts w:ascii="Times New Roman" w:hAnsi="Times New Roman"/>
                <w:b/>
                <w:sz w:val="24"/>
              </w:rPr>
            </w:pPr>
            <w:r w:rsidRPr="00F26582">
              <w:rPr>
                <w:rFonts w:ascii="Times New Roman" w:hAnsi="Times New Roman"/>
                <w:sz w:val="24"/>
              </w:rPr>
              <w:t>As posições em risco consideradas na parte III, título II, capítulo 6, do CRR.</w:t>
            </w:r>
          </w:p>
        </w:tc>
      </w:tr>
      <w:tr w:rsidR="00C04D6C" w:rsidRPr="00F26582"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Quadro do risco de mercado</w:t>
            </w:r>
          </w:p>
          <w:p w14:paraId="73E5DB24" w14:textId="77777777" w:rsidR="00C04D6C" w:rsidRPr="00F26582" w:rsidRDefault="00C04D6C" w:rsidP="00D819DE">
            <w:pPr>
              <w:spacing w:before="60" w:after="120"/>
              <w:jc w:val="both"/>
              <w:rPr>
                <w:rFonts w:ascii="Times New Roman" w:hAnsi="Times New Roman"/>
                <w:sz w:val="24"/>
              </w:rPr>
            </w:pPr>
            <w:r w:rsidRPr="00F26582">
              <w:rPr>
                <w:rFonts w:ascii="Times New Roman" w:hAnsi="Times New Roman"/>
                <w:sz w:val="24"/>
              </w:rPr>
              <w:t>Posições em risco sujeitas a risco de mercado correspondentes a posições sujeitas ao quadro de risco de mercado na parte III, título IV, do CRR</w:t>
            </w:r>
          </w:p>
          <w:p w14:paraId="5414F913"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No que respeita a esta coluna, apenas devem ser divulgadas as linhas 1 a 3 e 12 deste modelo.</w:t>
            </w:r>
          </w:p>
        </w:tc>
      </w:tr>
      <w:tr w:rsidR="00C04D6C" w:rsidRPr="00F26582"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todas</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 xml:space="preserve">Quando um único elemento pressupõe requisitos de fundos próprios de acordo com mais de um quadro de risco, deve ser divulgado em todas as colunas correspondentes aos requisitos de fundos próprios. Consequentemente, a soma dos montantes das colunas </w:t>
            </w:r>
            <w:r w:rsidRPr="00F26582">
              <w:rPr>
                <w:rFonts w:ascii="Times New Roman" w:hAnsi="Times New Roman"/>
                <w:i/>
                <w:sz w:val="24"/>
              </w:rPr>
              <w:t>b</w:t>
            </w:r>
            <w:r w:rsidRPr="00F26582">
              <w:rPr>
                <w:rFonts w:ascii="Times New Roman" w:hAnsi="Times New Roman"/>
                <w:sz w:val="24"/>
              </w:rPr>
              <w:t xml:space="preserve"> a </w:t>
            </w:r>
            <w:r w:rsidRPr="00F26582">
              <w:rPr>
                <w:rFonts w:ascii="Times New Roman" w:hAnsi="Times New Roman"/>
                <w:i/>
                <w:sz w:val="24"/>
              </w:rPr>
              <w:t>e</w:t>
            </w:r>
            <w:r w:rsidRPr="00F26582">
              <w:rPr>
                <w:rFonts w:ascii="Times New Roman" w:hAnsi="Times New Roman"/>
                <w:sz w:val="24"/>
              </w:rPr>
              <w:t xml:space="preserve"> deste modelo pode ser superior ao montante indicado na coluna </w:t>
            </w:r>
            <w:r w:rsidRPr="00F26582">
              <w:rPr>
                <w:rFonts w:ascii="Times New Roman" w:hAnsi="Times New Roman"/>
                <w:i/>
                <w:sz w:val="24"/>
              </w:rPr>
              <w:t>a</w:t>
            </w:r>
            <w:r w:rsidRPr="00F26582">
              <w:rPr>
                <w:rFonts w:ascii="Times New Roman" w:hAnsi="Times New Roman"/>
                <w:sz w:val="24"/>
              </w:rPr>
              <w:t xml:space="preserve"> deste modelo. As instituições devem fornecer explicações qualitativas sobre ativos e passivos que estão sujeitos a requisitos de fundos próprios relativamente a mais de um quadro de risco constante da parte III do CRR.</w:t>
            </w:r>
          </w:p>
        </w:tc>
      </w:tr>
    </w:tbl>
    <w:p w14:paraId="09488D0C" w14:textId="77777777" w:rsidR="00C04D6C" w:rsidRPr="00F26582" w:rsidRDefault="00C04D6C" w:rsidP="00C04D6C">
      <w:pPr>
        <w:jc w:val="both"/>
        <w:rPr>
          <w:rFonts w:ascii="Times New Roman" w:hAnsi="Times New Roman" w:cs="Times New Roman"/>
          <w:sz w:val="24"/>
        </w:rPr>
      </w:pPr>
    </w:p>
    <w:p w14:paraId="3F57B012" w14:textId="77777777" w:rsidR="00C04D6C" w:rsidRPr="00F26582" w:rsidRDefault="00C04D6C" w:rsidP="00C04D6C">
      <w:pPr>
        <w:jc w:val="both"/>
        <w:rPr>
          <w:rFonts w:ascii="Times New Roman" w:hAnsi="Times New Roman" w:cs="Times New Roman"/>
          <w:b/>
          <w:sz w:val="24"/>
        </w:rPr>
      </w:pPr>
      <w:r w:rsidRPr="00F26582">
        <w:rPr>
          <w:rFonts w:ascii="Times New Roman" w:hAnsi="Times New Roman"/>
          <w:b/>
          <w:sz w:val="24"/>
        </w:rPr>
        <w:t>Modelo EU LI3 – Especificação das diferenças nos âmbitos da consolidação (entidade a entidade)</w:t>
      </w:r>
    </w:p>
    <w:p w14:paraId="220A6A8C" w14:textId="77777777" w:rsidR="00C04D6C" w:rsidRPr="00F26582"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sidRPr="00F26582">
        <w:rPr>
          <w:rFonts w:ascii="Times New Roman" w:hAnsi="Times New Roman"/>
          <w:color w:val="000000" w:themeColor="text1"/>
          <w:sz w:val="24"/>
        </w:rPr>
        <w:t xml:space="preserve">As instituições devem </w:t>
      </w:r>
      <w:r w:rsidRPr="00F26582">
        <w:rPr>
          <w:rFonts w:ascii="Times New Roman" w:hAnsi="Times New Roman"/>
          <w:sz w:val="24"/>
        </w:rPr>
        <w:t xml:space="preserve">divulgar as informações referidas no </w:t>
      </w:r>
      <w:r w:rsidRPr="00F26582">
        <w:rPr>
          <w:rFonts w:ascii="Times New Roman" w:hAnsi="Times New Roman"/>
          <w:color w:val="000000" w:themeColor="text1"/>
          <w:sz w:val="24"/>
        </w:rPr>
        <w:t>artigo 436.º, alínea b), do CRR,</w:t>
      </w:r>
      <w:r w:rsidRPr="00F26582">
        <w:rPr>
          <w:rFonts w:ascii="Times New Roman" w:hAnsi="Times New Roman"/>
          <w:sz w:val="24"/>
        </w:rPr>
        <w:t xml:space="preserve"> seguindo as instruções indicadas abaixo no presente anexo, a fim de preencher o modelo EU LI3 apresentado no anexo V do presente Regulamento de Execução</w:t>
      </w:r>
      <w:r w:rsidRPr="00F26582">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F26582"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F26582" w:rsidRDefault="00C04D6C" w:rsidP="00D819DE">
            <w:pPr>
              <w:rPr>
                <w:rFonts w:ascii="Times New Roman" w:hAnsi="Times New Roman" w:cs="Times New Roman"/>
                <w:b/>
                <w:sz w:val="24"/>
                <w:highlight w:val="yellow"/>
              </w:rPr>
            </w:pPr>
            <w:r w:rsidRPr="00F26582">
              <w:rPr>
                <w:rFonts w:ascii="Times New Roman" w:hAnsi="Times New Roman"/>
                <w:b/>
                <w:sz w:val="24"/>
              </w:rPr>
              <w:t>Referências jurídicas e instruções</w:t>
            </w:r>
          </w:p>
        </w:tc>
      </w:tr>
      <w:tr w:rsidR="00C04D6C" w:rsidRPr="00F26582" w14:paraId="7049E2D0" w14:textId="77777777" w:rsidTr="00D819DE">
        <w:trPr>
          <w:trHeight w:val="238"/>
        </w:trPr>
        <w:tc>
          <w:tcPr>
            <w:tcW w:w="1384" w:type="dxa"/>
            <w:shd w:val="clear" w:color="auto" w:fill="D9D9D9" w:themeFill="background1" w:themeFillShade="D9"/>
          </w:tcPr>
          <w:p w14:paraId="308DE13D" w14:textId="77777777" w:rsidR="00C04D6C" w:rsidRPr="00F26582" w:rsidRDefault="00C04D6C" w:rsidP="00D819DE">
            <w:pPr>
              <w:autoSpaceDE w:val="0"/>
              <w:autoSpaceDN w:val="0"/>
              <w:adjustRightInd w:val="0"/>
              <w:jc w:val="center"/>
              <w:rPr>
                <w:rFonts w:ascii="Times New Roman" w:hAnsi="Times New Roman" w:cs="Times New Roman"/>
                <w:b/>
                <w:sz w:val="24"/>
              </w:rPr>
            </w:pPr>
            <w:r w:rsidRPr="00F26582">
              <w:rPr>
                <w:rFonts w:ascii="Times New Roman" w:hAnsi="Times New Roman"/>
                <w:b/>
                <w:sz w:val="24"/>
              </w:rPr>
              <w:t>Número da linha</w:t>
            </w:r>
          </w:p>
        </w:tc>
        <w:tc>
          <w:tcPr>
            <w:tcW w:w="7655" w:type="dxa"/>
            <w:shd w:val="clear" w:color="auto" w:fill="D9D9D9" w:themeFill="background1" w:themeFillShade="D9"/>
          </w:tcPr>
          <w:p w14:paraId="4E06A738" w14:textId="77777777" w:rsidR="00C04D6C" w:rsidRPr="00F26582" w:rsidRDefault="00C04D6C" w:rsidP="00D819DE">
            <w:pPr>
              <w:autoSpaceDE w:val="0"/>
              <w:autoSpaceDN w:val="0"/>
              <w:adjustRightInd w:val="0"/>
              <w:rPr>
                <w:rFonts w:ascii="Times New Roman" w:hAnsi="Times New Roman" w:cs="Times New Roman"/>
                <w:color w:val="000000"/>
                <w:sz w:val="24"/>
              </w:rPr>
            </w:pPr>
            <w:r w:rsidRPr="00F26582">
              <w:rPr>
                <w:rFonts w:ascii="Times New Roman" w:hAnsi="Times New Roman"/>
                <w:b/>
                <w:sz w:val="24"/>
              </w:rPr>
              <w:t>Explicação</w:t>
            </w:r>
          </w:p>
        </w:tc>
      </w:tr>
      <w:tr w:rsidR="00C04D6C" w:rsidRPr="00F26582" w14:paraId="1334C028" w14:textId="77777777" w:rsidTr="00D819DE">
        <w:trPr>
          <w:trHeight w:val="238"/>
        </w:trPr>
        <w:tc>
          <w:tcPr>
            <w:tcW w:w="1384" w:type="dxa"/>
            <w:shd w:val="clear" w:color="auto" w:fill="FFFFFF" w:themeFill="background1"/>
          </w:tcPr>
          <w:p w14:paraId="5D8F2CBD" w14:textId="77777777" w:rsidR="00C04D6C" w:rsidRPr="00F26582"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F26582" w:rsidRDefault="00C04D6C" w:rsidP="00D819DE">
            <w:pPr>
              <w:autoSpaceDE w:val="0"/>
              <w:autoSpaceDN w:val="0"/>
              <w:adjustRightInd w:val="0"/>
              <w:spacing w:before="60" w:after="120"/>
              <w:jc w:val="both"/>
              <w:rPr>
                <w:rFonts w:ascii="Times New Roman" w:hAnsi="Times New Roman" w:cs="Times New Roman"/>
                <w:b/>
                <w:sz w:val="24"/>
              </w:rPr>
            </w:pPr>
            <w:r w:rsidRPr="00F26582">
              <w:rPr>
                <w:rFonts w:ascii="Times New Roman" w:hAnsi="Times New Roman"/>
                <w:sz w:val="24"/>
              </w:rPr>
              <w:t>As linhas são flexíveis. As divulgações devem ser fornecidas para as entidades incluídas nos âmbitos contabilístico e regulamentar da consolidação, tal como definidas no quadro contabilístico aplicável e na parte I, título II, secções 2 e 3, do CRR, para as quais o método de consolidação contabilística é diferente do método de consolidação regulamentar. Uma linha por entidade.</w:t>
            </w:r>
          </w:p>
        </w:tc>
      </w:tr>
    </w:tbl>
    <w:p w14:paraId="69BC7E98" w14:textId="77777777" w:rsidR="00C04D6C" w:rsidRPr="00F26582" w:rsidRDefault="00C04D6C" w:rsidP="00C04D6C">
      <w:pPr>
        <w:rPr>
          <w:rFonts w:ascii="Times New Roman" w:hAnsi="Times New Roman" w:cs="Times New Roman"/>
          <w:sz w:val="24"/>
        </w:rPr>
      </w:pPr>
    </w:p>
    <w:p w14:paraId="7F5172AB" w14:textId="77777777" w:rsidR="00C04D6C" w:rsidRPr="00F26582"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F26582"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F26582" w:rsidRDefault="00C04D6C" w:rsidP="00D819DE">
            <w:pPr>
              <w:rPr>
                <w:rFonts w:ascii="Times New Roman" w:hAnsi="Times New Roman" w:cs="Times New Roman"/>
                <w:b/>
                <w:sz w:val="24"/>
                <w:highlight w:val="yellow"/>
              </w:rPr>
            </w:pPr>
            <w:r w:rsidRPr="00F26582">
              <w:rPr>
                <w:rFonts w:ascii="Times New Roman" w:hAnsi="Times New Roman"/>
                <w:b/>
                <w:sz w:val="24"/>
              </w:rPr>
              <w:t>Referências jurídicas e instruções</w:t>
            </w:r>
          </w:p>
        </w:tc>
      </w:tr>
      <w:tr w:rsidR="00C04D6C" w:rsidRPr="00F26582" w14:paraId="26169E7C" w14:textId="77777777" w:rsidTr="00D819DE">
        <w:trPr>
          <w:trHeight w:val="238"/>
        </w:trPr>
        <w:tc>
          <w:tcPr>
            <w:tcW w:w="1384" w:type="dxa"/>
            <w:shd w:val="clear" w:color="auto" w:fill="D9D9D9" w:themeFill="background1" w:themeFillShade="D9"/>
          </w:tcPr>
          <w:p w14:paraId="0FDC6645" w14:textId="77777777" w:rsidR="00C04D6C" w:rsidRPr="00F26582" w:rsidRDefault="00C04D6C" w:rsidP="00D819DE">
            <w:pPr>
              <w:autoSpaceDE w:val="0"/>
              <w:autoSpaceDN w:val="0"/>
              <w:adjustRightInd w:val="0"/>
              <w:jc w:val="center"/>
              <w:rPr>
                <w:rFonts w:ascii="Times New Roman" w:hAnsi="Times New Roman" w:cs="Times New Roman"/>
                <w:b/>
                <w:sz w:val="24"/>
              </w:rPr>
            </w:pPr>
            <w:r w:rsidRPr="00F26582">
              <w:rPr>
                <w:rFonts w:ascii="Times New Roman" w:hAnsi="Times New Roman"/>
                <w:b/>
                <w:sz w:val="24"/>
              </w:rPr>
              <w:t>Referência da coluna</w:t>
            </w:r>
          </w:p>
        </w:tc>
        <w:tc>
          <w:tcPr>
            <w:tcW w:w="7655" w:type="dxa"/>
            <w:shd w:val="clear" w:color="auto" w:fill="D9D9D9" w:themeFill="background1" w:themeFillShade="D9"/>
          </w:tcPr>
          <w:p w14:paraId="154C2AE7" w14:textId="77777777" w:rsidR="00C04D6C" w:rsidRPr="00F26582" w:rsidRDefault="00C04D6C" w:rsidP="00D819DE">
            <w:pPr>
              <w:autoSpaceDE w:val="0"/>
              <w:autoSpaceDN w:val="0"/>
              <w:adjustRightInd w:val="0"/>
              <w:rPr>
                <w:rFonts w:ascii="Times New Roman" w:hAnsi="Times New Roman" w:cs="Times New Roman"/>
                <w:color w:val="000000"/>
                <w:sz w:val="24"/>
              </w:rPr>
            </w:pPr>
            <w:r w:rsidRPr="00F26582">
              <w:rPr>
                <w:rFonts w:ascii="Times New Roman" w:hAnsi="Times New Roman"/>
                <w:b/>
                <w:sz w:val="24"/>
              </w:rPr>
              <w:t>Explicação</w:t>
            </w:r>
          </w:p>
        </w:tc>
      </w:tr>
      <w:tr w:rsidR="00C04D6C" w:rsidRPr="00F26582" w14:paraId="3A2CC9C4" w14:textId="77777777" w:rsidTr="00D819DE">
        <w:trPr>
          <w:trHeight w:val="238"/>
        </w:trPr>
        <w:tc>
          <w:tcPr>
            <w:tcW w:w="1384" w:type="dxa"/>
            <w:shd w:val="clear" w:color="auto" w:fill="auto"/>
          </w:tcPr>
          <w:p w14:paraId="4CCAC839"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a</w:t>
            </w:r>
          </w:p>
        </w:tc>
        <w:tc>
          <w:tcPr>
            <w:tcW w:w="7655" w:type="dxa"/>
            <w:shd w:val="clear" w:color="auto" w:fill="auto"/>
          </w:tcPr>
          <w:p w14:paraId="1A700FFF" w14:textId="77777777" w:rsidR="00C04D6C" w:rsidRPr="00F26582" w:rsidRDefault="00C04D6C" w:rsidP="00D819DE">
            <w:pPr>
              <w:keepNext/>
              <w:spacing w:before="60" w:after="120"/>
              <w:jc w:val="both"/>
              <w:rPr>
                <w:rFonts w:ascii="Times New Roman" w:eastAsia="Times New Roman" w:hAnsi="Times New Roman" w:cs="Times New Roman"/>
                <w:b/>
                <w:sz w:val="24"/>
              </w:rPr>
            </w:pPr>
            <w:r w:rsidRPr="00F26582">
              <w:rPr>
                <w:rFonts w:ascii="Times New Roman" w:hAnsi="Times New Roman"/>
                <w:b/>
                <w:sz w:val="24"/>
              </w:rPr>
              <w:t>Nome da entidade</w:t>
            </w:r>
          </w:p>
          <w:p w14:paraId="58226295" w14:textId="77777777" w:rsidR="00C04D6C" w:rsidRPr="00F26582" w:rsidRDefault="00C04D6C" w:rsidP="00D819DE">
            <w:pPr>
              <w:keepNext/>
              <w:spacing w:before="60" w:after="120"/>
              <w:jc w:val="both"/>
              <w:rPr>
                <w:rFonts w:ascii="Times New Roman" w:hAnsi="Times New Roman" w:cs="Times New Roman"/>
                <w:b/>
                <w:sz w:val="24"/>
              </w:rPr>
            </w:pPr>
            <w:r w:rsidRPr="00F26582">
              <w:rPr>
                <w:rFonts w:ascii="Times New Roman" w:hAnsi="Times New Roman"/>
                <w:sz w:val="24"/>
              </w:rPr>
              <w:t>A denominação comercial de qualquer entidade incluída ou excluída do âmbito regulamentar e contabilístico da consolidação de uma instituição.</w:t>
            </w:r>
          </w:p>
        </w:tc>
      </w:tr>
      <w:tr w:rsidR="00C04D6C" w:rsidRPr="00F26582" w14:paraId="7D6C8905" w14:textId="77777777" w:rsidTr="00D819DE">
        <w:trPr>
          <w:trHeight w:val="238"/>
        </w:trPr>
        <w:tc>
          <w:tcPr>
            <w:tcW w:w="1384" w:type="dxa"/>
            <w:shd w:val="clear" w:color="auto" w:fill="auto"/>
          </w:tcPr>
          <w:p w14:paraId="634543A9"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b</w:t>
            </w:r>
          </w:p>
        </w:tc>
        <w:tc>
          <w:tcPr>
            <w:tcW w:w="7655" w:type="dxa"/>
            <w:shd w:val="clear" w:color="auto" w:fill="auto"/>
          </w:tcPr>
          <w:p w14:paraId="734193F7" w14:textId="77777777" w:rsidR="00C04D6C" w:rsidRPr="00F26582" w:rsidRDefault="00C04D6C" w:rsidP="00D819DE">
            <w:pPr>
              <w:keepNext/>
              <w:spacing w:before="60" w:after="120"/>
              <w:jc w:val="both"/>
              <w:rPr>
                <w:rFonts w:ascii="Times New Roman" w:eastAsia="Times New Roman" w:hAnsi="Times New Roman" w:cs="Times New Roman"/>
                <w:b/>
                <w:sz w:val="24"/>
              </w:rPr>
            </w:pPr>
            <w:r w:rsidRPr="00F26582">
              <w:rPr>
                <w:rFonts w:ascii="Times New Roman" w:hAnsi="Times New Roman"/>
                <w:b/>
                <w:sz w:val="24"/>
              </w:rPr>
              <w:t>Método de consolidação contabilística</w:t>
            </w:r>
          </w:p>
          <w:p w14:paraId="35D66850" w14:textId="77777777" w:rsidR="00C04D6C" w:rsidRPr="00F26582" w:rsidRDefault="00C04D6C" w:rsidP="00D819DE">
            <w:pPr>
              <w:keepNext/>
              <w:spacing w:before="60" w:after="120"/>
              <w:jc w:val="both"/>
              <w:rPr>
                <w:rFonts w:ascii="Times New Roman" w:hAnsi="Times New Roman" w:cs="Times New Roman"/>
                <w:b/>
                <w:sz w:val="24"/>
              </w:rPr>
            </w:pPr>
            <w:r w:rsidRPr="00F26582">
              <w:rPr>
                <w:rFonts w:ascii="Times New Roman" w:hAnsi="Times New Roman"/>
                <w:sz w:val="24"/>
              </w:rPr>
              <w:t>O método de consolidação utilizado de acordo com o quadro contabilístico aplicável.</w:t>
            </w:r>
          </w:p>
        </w:tc>
      </w:tr>
      <w:tr w:rsidR="00C04D6C" w:rsidRPr="00F26582" w14:paraId="7823BE70" w14:textId="77777777" w:rsidTr="00D819DE">
        <w:trPr>
          <w:trHeight w:val="238"/>
        </w:trPr>
        <w:tc>
          <w:tcPr>
            <w:tcW w:w="1384" w:type="dxa"/>
            <w:shd w:val="clear" w:color="auto" w:fill="auto"/>
          </w:tcPr>
          <w:p w14:paraId="47D17B5A" w14:textId="77777777" w:rsidR="00C04D6C" w:rsidRPr="00F26582" w:rsidRDefault="00C04D6C" w:rsidP="00D819DE">
            <w:pPr>
              <w:autoSpaceDE w:val="0"/>
              <w:autoSpaceDN w:val="0"/>
              <w:adjustRightInd w:val="0"/>
              <w:spacing w:before="60" w:after="120"/>
              <w:jc w:val="center"/>
              <w:rPr>
                <w:rFonts w:ascii="Times New Roman" w:hAnsi="Times New Roman" w:cs="Times New Roman"/>
                <w:sz w:val="24"/>
              </w:rPr>
            </w:pPr>
            <w:r w:rsidRPr="00F26582">
              <w:rPr>
                <w:rFonts w:ascii="Times New Roman" w:hAnsi="Times New Roman"/>
                <w:sz w:val="24"/>
              </w:rPr>
              <w:t>c a g</w:t>
            </w:r>
          </w:p>
        </w:tc>
        <w:tc>
          <w:tcPr>
            <w:tcW w:w="7655" w:type="dxa"/>
            <w:shd w:val="clear" w:color="auto" w:fill="auto"/>
          </w:tcPr>
          <w:p w14:paraId="4A761352" w14:textId="77777777" w:rsidR="00C04D6C" w:rsidRPr="00F26582" w:rsidRDefault="00C04D6C" w:rsidP="00D819DE">
            <w:pPr>
              <w:keepNext/>
              <w:spacing w:before="60" w:after="120"/>
              <w:jc w:val="both"/>
              <w:rPr>
                <w:rFonts w:ascii="Times New Roman" w:eastAsia="Times New Roman" w:hAnsi="Times New Roman" w:cs="Times New Roman"/>
                <w:b/>
                <w:sz w:val="24"/>
              </w:rPr>
            </w:pPr>
            <w:r w:rsidRPr="00F26582">
              <w:rPr>
                <w:rFonts w:ascii="Times New Roman" w:hAnsi="Times New Roman"/>
                <w:b/>
                <w:sz w:val="24"/>
              </w:rPr>
              <w:t>Método de consolidação regulamentar</w:t>
            </w:r>
          </w:p>
          <w:p w14:paraId="2ED012A6" w14:textId="59A38FF7" w:rsidR="00C04D6C" w:rsidRPr="00F26582" w:rsidRDefault="00C04D6C" w:rsidP="00D819DE">
            <w:pPr>
              <w:keepNext/>
              <w:spacing w:before="60" w:after="120"/>
              <w:jc w:val="both"/>
              <w:rPr>
                <w:rFonts w:ascii="Times New Roman" w:eastAsia="Times New Roman" w:hAnsi="Times New Roman" w:cs="Times New Roman"/>
                <w:sz w:val="24"/>
              </w:rPr>
            </w:pPr>
            <w:r w:rsidRPr="00F26582">
              <w:rPr>
                <w:rFonts w:ascii="Times New Roman" w:hAnsi="Times New Roman"/>
                <w:sz w:val="24"/>
              </w:rPr>
              <w:t>O método de consolidação aplicado para efeitos da parte I, título II, capítulo</w:t>
            </w:r>
            <w:r w:rsidR="000339A0" w:rsidRPr="00F26582">
              <w:rPr>
                <w:rFonts w:ascii="Times New Roman" w:hAnsi="Times New Roman"/>
                <w:sz w:val="24"/>
              </w:rPr>
              <w:t> </w:t>
            </w:r>
            <w:r w:rsidRPr="00F26582">
              <w:rPr>
                <w:rFonts w:ascii="Times New Roman" w:hAnsi="Times New Roman"/>
                <w:sz w:val="24"/>
              </w:rPr>
              <w:t>2, do CRR.</w:t>
            </w:r>
          </w:p>
          <w:p w14:paraId="7F682652" w14:textId="77777777" w:rsidR="00C04D6C" w:rsidRPr="00F26582" w:rsidRDefault="00C04D6C" w:rsidP="00D819DE">
            <w:pPr>
              <w:keepNext/>
              <w:spacing w:before="60" w:after="120"/>
              <w:jc w:val="both"/>
              <w:rPr>
                <w:rFonts w:ascii="Times New Roman" w:eastAsia="Times New Roman" w:hAnsi="Times New Roman" w:cs="Times New Roman"/>
                <w:sz w:val="24"/>
              </w:rPr>
            </w:pPr>
            <w:r w:rsidRPr="00F26582">
              <w:rPr>
                <w:rFonts w:ascii="Times New Roman" w:hAnsi="Times New Roman"/>
                <w:sz w:val="24"/>
              </w:rPr>
              <w:t>No mínimo, devem ser divulgados os métodos enumerados no artigo 436.º, alínea b), do CRR.</w:t>
            </w:r>
          </w:p>
          <w:p w14:paraId="59930495" w14:textId="77777777" w:rsidR="00C04D6C" w:rsidRPr="00F26582" w:rsidRDefault="00C04D6C" w:rsidP="00D819DE">
            <w:pPr>
              <w:keepNext/>
              <w:spacing w:before="60" w:after="120"/>
              <w:jc w:val="both"/>
              <w:rPr>
                <w:rFonts w:ascii="Times New Roman" w:hAnsi="Times New Roman" w:cs="Times New Roman"/>
                <w:b/>
                <w:sz w:val="24"/>
              </w:rPr>
            </w:pPr>
            <w:r w:rsidRPr="00F26582">
              <w:rPr>
                <w:rFonts w:ascii="Times New Roman" w:hAnsi="Times New Roman"/>
                <w:sz w:val="24"/>
              </w:rPr>
              <w:t>As instituições devem assinalar as colunas aplicáveis para identificar o método de consolidação de cada entidade no quadro contabilístico e se, no âmbito da consolidação prudencial, cada entidade é i) totalmente consolidada, ii) consolidada de forma proporcional, iii) reconhecida ao abrigo do método da equivalência patrimonial; iv) não é objeto de consolidação nem de dedução ou v) objeto de dedução.</w:t>
            </w:r>
          </w:p>
        </w:tc>
      </w:tr>
      <w:tr w:rsidR="00C04D6C" w:rsidRPr="00F26582" w14:paraId="39E2D62B" w14:textId="77777777" w:rsidTr="00D819DE">
        <w:trPr>
          <w:trHeight w:val="238"/>
        </w:trPr>
        <w:tc>
          <w:tcPr>
            <w:tcW w:w="1384" w:type="dxa"/>
            <w:shd w:val="clear" w:color="auto" w:fill="auto"/>
          </w:tcPr>
          <w:p w14:paraId="0E4DC7A0" w14:textId="77777777" w:rsidR="00C04D6C" w:rsidRPr="00F26582" w:rsidRDefault="00C04D6C" w:rsidP="00D819DE">
            <w:pPr>
              <w:autoSpaceDE w:val="0"/>
              <w:autoSpaceDN w:val="0"/>
              <w:adjustRightInd w:val="0"/>
              <w:spacing w:before="60" w:after="120"/>
              <w:jc w:val="center"/>
              <w:rPr>
                <w:rFonts w:ascii="Times New Roman" w:hAnsi="Times New Roman" w:cs="Times New Roman"/>
                <w:b/>
                <w:sz w:val="24"/>
              </w:rPr>
            </w:pPr>
            <w:r w:rsidRPr="00F26582">
              <w:rPr>
                <w:rFonts w:ascii="Times New Roman" w:hAnsi="Times New Roman"/>
                <w:b/>
                <w:sz w:val="24"/>
              </w:rPr>
              <w:t>h</w:t>
            </w:r>
          </w:p>
        </w:tc>
        <w:tc>
          <w:tcPr>
            <w:tcW w:w="7655" w:type="dxa"/>
            <w:shd w:val="clear" w:color="auto" w:fill="auto"/>
          </w:tcPr>
          <w:p w14:paraId="58EFFF31" w14:textId="77777777" w:rsidR="00C04D6C" w:rsidRPr="00F26582" w:rsidRDefault="00C04D6C" w:rsidP="00D819DE">
            <w:pPr>
              <w:spacing w:before="60" w:after="120"/>
              <w:jc w:val="both"/>
              <w:rPr>
                <w:rFonts w:ascii="Times New Roman" w:eastAsia="Times New Roman" w:hAnsi="Times New Roman" w:cs="Times New Roman"/>
                <w:b/>
                <w:sz w:val="24"/>
              </w:rPr>
            </w:pPr>
            <w:r w:rsidRPr="00F26582">
              <w:rPr>
                <w:rFonts w:ascii="Times New Roman" w:hAnsi="Times New Roman"/>
                <w:b/>
                <w:sz w:val="24"/>
              </w:rPr>
              <w:t>Descrição da entidade</w:t>
            </w:r>
          </w:p>
          <w:p w14:paraId="0A1DF23D" w14:textId="77777777" w:rsidR="00C04D6C" w:rsidRPr="00F26582" w:rsidRDefault="00C04D6C" w:rsidP="00D819DE">
            <w:pPr>
              <w:spacing w:before="60" w:after="120"/>
              <w:jc w:val="both"/>
              <w:rPr>
                <w:rFonts w:ascii="Times New Roman" w:eastAsia="Times New Roman" w:hAnsi="Times New Roman" w:cs="Times New Roman"/>
                <w:sz w:val="24"/>
              </w:rPr>
            </w:pPr>
            <w:r w:rsidRPr="00F26582">
              <w:rPr>
                <w:rFonts w:ascii="Times New Roman" w:hAnsi="Times New Roman"/>
                <w:sz w:val="24"/>
              </w:rPr>
              <w:t>Uma breve descrição da entidade, com (no mínimo) a divulgação do seu setor de atividade.</w:t>
            </w:r>
          </w:p>
        </w:tc>
      </w:tr>
    </w:tbl>
    <w:p w14:paraId="4E3EF873" w14:textId="77777777" w:rsidR="00C04D6C" w:rsidRPr="00F26582" w:rsidRDefault="00C04D6C" w:rsidP="00C04D6C">
      <w:pPr>
        <w:rPr>
          <w:rFonts w:ascii="Times New Roman" w:hAnsi="Times New Roman" w:cs="Times New Roman"/>
          <w:sz w:val="24"/>
        </w:rPr>
      </w:pPr>
    </w:p>
    <w:p w14:paraId="60CE42E5" w14:textId="77777777" w:rsidR="00C04D6C" w:rsidRPr="00F26582" w:rsidRDefault="00C04D6C" w:rsidP="00C04D6C">
      <w:pPr>
        <w:jc w:val="both"/>
        <w:rPr>
          <w:rFonts w:ascii="Times New Roman" w:hAnsi="Times New Roman" w:cs="Times New Roman"/>
          <w:sz w:val="24"/>
        </w:rPr>
      </w:pPr>
      <w:r w:rsidRPr="00F26582">
        <w:rPr>
          <w:rFonts w:ascii="Times New Roman" w:hAnsi="Times New Roman"/>
          <w:b/>
          <w:sz w:val="24"/>
        </w:rPr>
        <w:t xml:space="preserve">Modelo EU LIA – Explicação das diferenças entre os montantes das posições em risco contabilísticos e regulamentares. </w:t>
      </w:r>
      <w:r w:rsidRPr="00F26582">
        <w:rPr>
          <w:rFonts w:ascii="Times New Roman" w:hAnsi="Times New Roman"/>
          <w:sz w:val="24"/>
        </w:rPr>
        <w:t>Caixas de texto livre para divulgação de informações qualitativas</w:t>
      </w:r>
    </w:p>
    <w:p w14:paraId="63E93357" w14:textId="77777777" w:rsidR="00C04D6C" w:rsidRPr="00F26582" w:rsidRDefault="00C04D6C" w:rsidP="00C04D6C">
      <w:pPr>
        <w:jc w:val="both"/>
        <w:rPr>
          <w:rFonts w:ascii="Times New Roman" w:hAnsi="Times New Roman" w:cs="Times New Roman"/>
          <w:sz w:val="24"/>
        </w:rPr>
      </w:pPr>
    </w:p>
    <w:p w14:paraId="04637CE1" w14:textId="77777777" w:rsidR="00C04D6C" w:rsidRPr="00F26582"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F26582">
        <w:rPr>
          <w:rFonts w:ascii="Times New Roman" w:hAnsi="Times New Roman"/>
          <w:sz w:val="24"/>
        </w:rPr>
        <w:t>As instituições</w:t>
      </w:r>
      <w:r w:rsidRPr="00F26582">
        <w:rPr>
          <w:rFonts w:ascii="Times New Roman" w:hAnsi="Times New Roman"/>
          <w:color w:val="000000" w:themeColor="text1"/>
          <w:sz w:val="24"/>
        </w:rPr>
        <w:t xml:space="preserve"> devem divulgar as informações referidas no artigo 436.º, alíneas b) e d), do CRR</w:t>
      </w:r>
      <w:r w:rsidRPr="00F26582">
        <w:rPr>
          <w:rFonts w:ascii="Times New Roman" w:hAnsi="Times New Roman"/>
          <w:sz w:val="24"/>
        </w:rPr>
        <w:t>, seguindo as instruções indicadas abaixo no presente anexo, a fim de preencher o modelo EU-LIA apresentado no anexo V do presente Regulamento de Execução</w:t>
      </w:r>
      <w:r w:rsidRPr="00F26582">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F26582"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F26582" w:rsidRDefault="00C04D6C" w:rsidP="00D819DE">
            <w:pPr>
              <w:rPr>
                <w:rFonts w:ascii="Times New Roman" w:hAnsi="Times New Roman" w:cs="Times New Roman"/>
                <w:b/>
                <w:sz w:val="24"/>
                <w:highlight w:val="yellow"/>
              </w:rPr>
            </w:pPr>
            <w:r w:rsidRPr="00F26582">
              <w:rPr>
                <w:rFonts w:ascii="Times New Roman" w:hAnsi="Times New Roman"/>
                <w:b/>
                <w:sz w:val="24"/>
              </w:rPr>
              <w:t>Referências jurídicas e instruções</w:t>
            </w:r>
          </w:p>
        </w:tc>
      </w:tr>
      <w:tr w:rsidR="00C04D6C" w:rsidRPr="00F26582"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F26582" w:rsidRDefault="00C04D6C" w:rsidP="00D819DE">
            <w:pPr>
              <w:autoSpaceDE w:val="0"/>
              <w:autoSpaceDN w:val="0"/>
              <w:adjustRightInd w:val="0"/>
              <w:rPr>
                <w:rFonts w:ascii="Times New Roman" w:hAnsi="Times New Roman" w:cs="Times New Roman"/>
                <w:b/>
                <w:sz w:val="24"/>
              </w:rPr>
            </w:pPr>
            <w:r w:rsidRPr="00F26582">
              <w:rPr>
                <w:rFonts w:ascii="Times New Roman" w:hAnsi="Times New Roman"/>
                <w:b/>
                <w:sz w:val="24"/>
              </w:rPr>
              <w:t>Número da linha</w:t>
            </w:r>
          </w:p>
        </w:tc>
        <w:tc>
          <w:tcPr>
            <w:tcW w:w="7655" w:type="dxa"/>
            <w:tcBorders>
              <w:bottom w:val="single" w:sz="4" w:space="0" w:color="auto"/>
            </w:tcBorders>
            <w:shd w:val="clear" w:color="auto" w:fill="D9D9D9" w:themeFill="background1" w:themeFillShade="D9"/>
          </w:tcPr>
          <w:p w14:paraId="4B23E869" w14:textId="77777777" w:rsidR="00C04D6C" w:rsidRPr="00F26582" w:rsidRDefault="00C04D6C" w:rsidP="00D819DE">
            <w:pPr>
              <w:autoSpaceDE w:val="0"/>
              <w:autoSpaceDN w:val="0"/>
              <w:adjustRightInd w:val="0"/>
              <w:rPr>
                <w:rFonts w:ascii="Times New Roman" w:hAnsi="Times New Roman" w:cs="Times New Roman"/>
                <w:color w:val="000000"/>
                <w:sz w:val="24"/>
              </w:rPr>
            </w:pPr>
            <w:r w:rsidRPr="00F26582">
              <w:rPr>
                <w:rFonts w:ascii="Times New Roman" w:hAnsi="Times New Roman"/>
                <w:b/>
                <w:sz w:val="24"/>
              </w:rPr>
              <w:t>Explicação</w:t>
            </w:r>
          </w:p>
        </w:tc>
      </w:tr>
      <w:tr w:rsidR="00C04D6C" w:rsidRPr="00F26582"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F26582" w:rsidRDefault="00C04D6C" w:rsidP="00D819DE">
            <w:pPr>
              <w:spacing w:before="60" w:after="120"/>
              <w:jc w:val="center"/>
              <w:rPr>
                <w:rFonts w:ascii="Times New Roman" w:hAnsi="Times New Roman" w:cs="Times New Roman"/>
                <w:sz w:val="24"/>
              </w:rPr>
            </w:pPr>
            <w:r w:rsidRPr="00F26582">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06A21937" w14:textId="77777777" w:rsidR="00C04D6C" w:rsidRPr="00F26582" w:rsidRDefault="00C04D6C" w:rsidP="00D819DE">
            <w:pPr>
              <w:spacing w:after="120"/>
              <w:jc w:val="both"/>
              <w:rPr>
                <w:rFonts w:ascii="Times New Roman" w:eastAsia="Times New Roman" w:hAnsi="Times New Roman" w:cs="Times New Roman"/>
                <w:sz w:val="24"/>
              </w:rPr>
            </w:pPr>
            <w:r w:rsidRPr="00F26582">
              <w:rPr>
                <w:rFonts w:ascii="Times New Roman" w:hAnsi="Times New Roman"/>
                <w:sz w:val="24"/>
              </w:rPr>
              <w:t>As instituições devem explicar e quantificar as origens de quaisquer diferenças significativas entre os valores das colunas a e b do modelo EU LI1, independentemente de as diferenças resultarem de diferentes regras de consolidação ou da utilização de diferentes normas contabilísticas entre as consolidações contabilísticas e regulamentares.</w:t>
            </w:r>
          </w:p>
        </w:tc>
      </w:tr>
      <w:tr w:rsidR="00C04D6C" w:rsidRPr="00F26582"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F26582" w:rsidRDefault="00C04D6C" w:rsidP="00D819DE">
            <w:pPr>
              <w:spacing w:before="60" w:after="120"/>
              <w:jc w:val="center"/>
              <w:rPr>
                <w:rFonts w:ascii="Times New Roman" w:hAnsi="Times New Roman" w:cs="Times New Roman"/>
                <w:sz w:val="24"/>
              </w:rPr>
            </w:pPr>
            <w:r w:rsidRPr="00F26582">
              <w:rPr>
                <w:rFonts w:ascii="Times New Roman" w:hAnsi="Times New Roman"/>
                <w:sz w:val="24"/>
              </w:rPr>
              <w:lastRenderedPageBreak/>
              <w:t>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F26582" w:rsidRDefault="00C04D6C" w:rsidP="00D819DE">
            <w:pPr>
              <w:spacing w:after="120"/>
              <w:jc w:val="both"/>
              <w:rPr>
                <w:rFonts w:ascii="Times New Roman" w:eastAsia="Times New Roman" w:hAnsi="Times New Roman" w:cs="Times New Roman"/>
                <w:sz w:val="24"/>
              </w:rPr>
            </w:pPr>
            <w:r w:rsidRPr="00F26582">
              <w:rPr>
                <w:rFonts w:ascii="Times New Roman" w:hAnsi="Times New Roman"/>
                <w:sz w:val="24"/>
              </w:rPr>
              <w:t>As instituições devem explicar as origens das diferenças entre os montantes escriturados no âmbito da consolidação prudencial e os montantes considerados para fins regulamentares indicados no modelo EU LI2.</w:t>
            </w:r>
          </w:p>
        </w:tc>
      </w:tr>
    </w:tbl>
    <w:p w14:paraId="5B834D3C" w14:textId="77777777" w:rsidR="00C04D6C" w:rsidRPr="00F26582" w:rsidRDefault="00C04D6C" w:rsidP="00C04D6C">
      <w:pPr>
        <w:ind w:left="360"/>
        <w:jc w:val="both"/>
        <w:rPr>
          <w:rFonts w:ascii="Times New Roman" w:hAnsi="Times New Roman" w:cs="Times New Roman"/>
          <w:sz w:val="24"/>
        </w:rPr>
      </w:pPr>
      <w:r w:rsidRPr="00F26582">
        <w:rPr>
          <w:rFonts w:ascii="Times New Roman" w:hAnsi="Times New Roman"/>
          <w:sz w:val="24"/>
        </w:rPr>
        <w:t xml:space="preserve"> </w:t>
      </w:r>
    </w:p>
    <w:p w14:paraId="5736EA43" w14:textId="77777777" w:rsidR="00C04D6C" w:rsidRPr="00F26582" w:rsidRDefault="00C04D6C" w:rsidP="00C04D6C">
      <w:pPr>
        <w:spacing w:after="120"/>
        <w:rPr>
          <w:rFonts w:ascii="Times New Roman" w:hAnsi="Times New Roman" w:cs="Times New Roman"/>
          <w:sz w:val="24"/>
        </w:rPr>
      </w:pPr>
      <w:r w:rsidRPr="00F26582">
        <w:rPr>
          <w:rFonts w:ascii="Times New Roman" w:hAnsi="Times New Roman"/>
          <w:b/>
          <w:sz w:val="24"/>
        </w:rPr>
        <w:t>Quadro EU LIB — Outras informações qualitativas sobre o âmbito de aplicação.</w:t>
      </w:r>
      <w:r w:rsidRPr="00F26582">
        <w:rPr>
          <w:rFonts w:ascii="Times New Roman" w:hAnsi="Times New Roman"/>
          <w:sz w:val="24"/>
        </w:rPr>
        <w:t xml:space="preserve"> Caixas de texto livre para divulgação de informações qualitativas</w:t>
      </w:r>
    </w:p>
    <w:p w14:paraId="70C5E2A8" w14:textId="77777777" w:rsidR="00C04D6C" w:rsidRPr="00F26582" w:rsidRDefault="00C04D6C" w:rsidP="00C04D6C">
      <w:pPr>
        <w:pStyle w:val="ListParagraph"/>
        <w:numPr>
          <w:ilvl w:val="0"/>
          <w:numId w:val="1"/>
        </w:numPr>
        <w:spacing w:before="120" w:after="120"/>
        <w:ind w:left="425" w:hanging="357"/>
        <w:jc w:val="both"/>
        <w:rPr>
          <w:rFonts w:ascii="Times New Roman" w:hAnsi="Times New Roman"/>
          <w:sz w:val="24"/>
        </w:rPr>
      </w:pPr>
      <w:r w:rsidRPr="00F26582">
        <w:rPr>
          <w:rFonts w:ascii="Times New Roman" w:hAnsi="Times New Roman"/>
          <w:sz w:val="24"/>
        </w:rPr>
        <w:t>As instituições devem divulgar as informações referidas no artigo 436.º, alíneas f), g) e h), do CRR, seguindo as instruções indicadas abaixo no presente anexo, a fim de preencher o modelo EU LIB apresentado no anexo 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F26582"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F26582" w:rsidRDefault="00C04D6C" w:rsidP="00D819DE">
            <w:pPr>
              <w:rPr>
                <w:rFonts w:ascii="Times New Roman" w:hAnsi="Times New Roman" w:cs="Times New Roman"/>
                <w:b/>
                <w:sz w:val="24"/>
              </w:rPr>
            </w:pPr>
            <w:r w:rsidRPr="00F26582">
              <w:rPr>
                <w:rFonts w:ascii="Times New Roman" w:hAnsi="Times New Roman"/>
                <w:b/>
                <w:sz w:val="24"/>
              </w:rPr>
              <w:t>Referências jurídicas e instruções</w:t>
            </w:r>
          </w:p>
        </w:tc>
      </w:tr>
      <w:tr w:rsidR="00C04D6C" w:rsidRPr="00F26582" w14:paraId="61AC473B" w14:textId="77777777" w:rsidTr="00D819DE">
        <w:trPr>
          <w:trHeight w:val="238"/>
        </w:trPr>
        <w:tc>
          <w:tcPr>
            <w:tcW w:w="1384" w:type="dxa"/>
            <w:shd w:val="clear" w:color="auto" w:fill="D9D9D9" w:themeFill="background1" w:themeFillShade="D9"/>
          </w:tcPr>
          <w:p w14:paraId="6AC8D0E9" w14:textId="77777777" w:rsidR="00C04D6C" w:rsidRPr="00F26582" w:rsidRDefault="00C04D6C" w:rsidP="00D819DE">
            <w:pPr>
              <w:autoSpaceDE w:val="0"/>
              <w:autoSpaceDN w:val="0"/>
              <w:adjustRightInd w:val="0"/>
              <w:rPr>
                <w:rFonts w:ascii="Times New Roman" w:hAnsi="Times New Roman" w:cs="Times New Roman"/>
                <w:b/>
                <w:sz w:val="24"/>
              </w:rPr>
            </w:pPr>
            <w:r w:rsidRPr="00F26582">
              <w:rPr>
                <w:rFonts w:ascii="Times New Roman" w:hAnsi="Times New Roman"/>
                <w:b/>
                <w:sz w:val="24"/>
              </w:rPr>
              <w:t>Número da linha</w:t>
            </w:r>
          </w:p>
        </w:tc>
        <w:tc>
          <w:tcPr>
            <w:tcW w:w="7655" w:type="dxa"/>
            <w:shd w:val="clear" w:color="auto" w:fill="D9D9D9" w:themeFill="background1" w:themeFillShade="D9"/>
          </w:tcPr>
          <w:p w14:paraId="35037BAC" w14:textId="77777777" w:rsidR="00C04D6C" w:rsidRPr="00F26582" w:rsidRDefault="00C04D6C" w:rsidP="00D819DE">
            <w:pPr>
              <w:autoSpaceDE w:val="0"/>
              <w:autoSpaceDN w:val="0"/>
              <w:adjustRightInd w:val="0"/>
              <w:rPr>
                <w:rFonts w:ascii="Times New Roman" w:hAnsi="Times New Roman" w:cs="Times New Roman"/>
                <w:color w:val="000000"/>
                <w:sz w:val="24"/>
              </w:rPr>
            </w:pPr>
            <w:r w:rsidRPr="00F26582">
              <w:rPr>
                <w:rFonts w:ascii="Times New Roman" w:hAnsi="Times New Roman"/>
                <w:b/>
                <w:sz w:val="24"/>
              </w:rPr>
              <w:t>Explicação</w:t>
            </w:r>
          </w:p>
        </w:tc>
      </w:tr>
      <w:tr w:rsidR="00C04D6C" w:rsidRPr="00F26582" w14:paraId="3DBACA53" w14:textId="77777777" w:rsidTr="00D819DE">
        <w:trPr>
          <w:trHeight w:val="238"/>
        </w:trPr>
        <w:tc>
          <w:tcPr>
            <w:tcW w:w="1384" w:type="dxa"/>
            <w:shd w:val="clear" w:color="auto" w:fill="auto"/>
          </w:tcPr>
          <w:p w14:paraId="293582CB" w14:textId="77777777" w:rsidR="00C04D6C" w:rsidRPr="00F26582" w:rsidRDefault="00C04D6C" w:rsidP="00D819DE">
            <w:pPr>
              <w:autoSpaceDE w:val="0"/>
              <w:autoSpaceDN w:val="0"/>
              <w:adjustRightInd w:val="0"/>
              <w:jc w:val="center"/>
              <w:rPr>
                <w:rFonts w:ascii="Times New Roman" w:hAnsi="Times New Roman" w:cs="Times New Roman"/>
                <w:b/>
                <w:sz w:val="24"/>
              </w:rPr>
            </w:pPr>
            <w:r w:rsidRPr="00F26582">
              <w:rPr>
                <w:rFonts w:ascii="Times New Roman" w:hAnsi="Times New Roman"/>
                <w:sz w:val="24"/>
              </w:rPr>
              <w:t>a)</w:t>
            </w:r>
          </w:p>
        </w:tc>
        <w:tc>
          <w:tcPr>
            <w:tcW w:w="7655" w:type="dxa"/>
            <w:shd w:val="clear" w:color="auto" w:fill="auto"/>
          </w:tcPr>
          <w:p w14:paraId="04E76FDB" w14:textId="77777777" w:rsidR="00C04D6C" w:rsidRPr="00F26582" w:rsidRDefault="00C04D6C" w:rsidP="00D819DE">
            <w:pPr>
              <w:autoSpaceDE w:val="0"/>
              <w:autoSpaceDN w:val="0"/>
              <w:adjustRightInd w:val="0"/>
              <w:spacing w:before="60" w:after="60"/>
              <w:jc w:val="both"/>
              <w:rPr>
                <w:rFonts w:ascii="Times New Roman" w:hAnsi="Times New Roman" w:cs="Times New Roman"/>
                <w:b/>
                <w:sz w:val="24"/>
              </w:rPr>
            </w:pPr>
            <w:r w:rsidRPr="00F26582">
              <w:rPr>
                <w:rFonts w:ascii="Times New Roman" w:hAnsi="Times New Roman"/>
                <w:sz w:val="24"/>
              </w:rPr>
              <w:t>As instituições devem divulgar quaisquer impedimentos significativos, de direito ou de facto, atuais ou esperados, a uma transferência tempestiva de fundos próprios ou ao pronto reembolso de passivos entre a empresa-mãe e as suas filiais.</w:t>
            </w:r>
          </w:p>
        </w:tc>
      </w:tr>
      <w:tr w:rsidR="00C04D6C" w:rsidRPr="00F26582" w14:paraId="237826AC" w14:textId="77777777" w:rsidTr="00D819DE">
        <w:trPr>
          <w:trHeight w:val="238"/>
        </w:trPr>
        <w:tc>
          <w:tcPr>
            <w:tcW w:w="1384" w:type="dxa"/>
            <w:shd w:val="clear" w:color="auto" w:fill="auto"/>
          </w:tcPr>
          <w:p w14:paraId="41F09A9C" w14:textId="77777777" w:rsidR="00C04D6C" w:rsidRPr="00F26582" w:rsidRDefault="00C04D6C" w:rsidP="00D819DE">
            <w:pPr>
              <w:autoSpaceDE w:val="0"/>
              <w:autoSpaceDN w:val="0"/>
              <w:adjustRightInd w:val="0"/>
              <w:jc w:val="center"/>
              <w:rPr>
                <w:rFonts w:ascii="Times New Roman" w:hAnsi="Times New Roman" w:cs="Times New Roman"/>
                <w:b/>
                <w:sz w:val="24"/>
              </w:rPr>
            </w:pPr>
            <w:r w:rsidRPr="00F26582">
              <w:rPr>
                <w:rFonts w:ascii="Times New Roman" w:hAnsi="Times New Roman"/>
                <w:sz w:val="24"/>
              </w:rPr>
              <w:t>b)</w:t>
            </w:r>
          </w:p>
        </w:tc>
        <w:tc>
          <w:tcPr>
            <w:tcW w:w="7655" w:type="dxa"/>
            <w:shd w:val="clear" w:color="auto" w:fill="auto"/>
          </w:tcPr>
          <w:p w14:paraId="46681EF3" w14:textId="77777777" w:rsidR="00C04D6C" w:rsidRPr="00F26582" w:rsidRDefault="00C04D6C" w:rsidP="00D819DE">
            <w:pPr>
              <w:autoSpaceDE w:val="0"/>
              <w:autoSpaceDN w:val="0"/>
              <w:adjustRightInd w:val="0"/>
              <w:spacing w:before="60" w:after="60"/>
              <w:jc w:val="both"/>
              <w:rPr>
                <w:rFonts w:ascii="Times New Roman" w:hAnsi="Times New Roman" w:cs="Times New Roman"/>
                <w:b/>
                <w:sz w:val="24"/>
              </w:rPr>
            </w:pPr>
            <w:r w:rsidRPr="00F26582">
              <w:rPr>
                <w:rFonts w:ascii="Times New Roman" w:hAnsi="Times New Roman"/>
                <w:sz w:val="24"/>
              </w:rPr>
              <w:t>Quando aplicável, as instituições devem divulgar a designação das filiais não incluídas na consolidação.</w:t>
            </w:r>
          </w:p>
        </w:tc>
      </w:tr>
      <w:tr w:rsidR="00C04D6C" w:rsidRPr="00F26582" w14:paraId="6F7114DB" w14:textId="77777777" w:rsidTr="00D819DE">
        <w:trPr>
          <w:trHeight w:val="238"/>
        </w:trPr>
        <w:tc>
          <w:tcPr>
            <w:tcW w:w="1384" w:type="dxa"/>
            <w:shd w:val="clear" w:color="auto" w:fill="auto"/>
          </w:tcPr>
          <w:p w14:paraId="53705885" w14:textId="77777777" w:rsidR="00C04D6C" w:rsidRPr="00F26582" w:rsidRDefault="00C04D6C" w:rsidP="00D819DE">
            <w:pPr>
              <w:autoSpaceDE w:val="0"/>
              <w:autoSpaceDN w:val="0"/>
              <w:adjustRightInd w:val="0"/>
              <w:jc w:val="center"/>
              <w:rPr>
                <w:rFonts w:ascii="Times New Roman" w:hAnsi="Times New Roman" w:cs="Times New Roman"/>
                <w:b/>
                <w:sz w:val="24"/>
              </w:rPr>
            </w:pPr>
            <w:r w:rsidRPr="00F26582">
              <w:rPr>
                <w:rFonts w:ascii="Times New Roman" w:hAnsi="Times New Roman"/>
                <w:sz w:val="24"/>
              </w:rPr>
              <w:t>c)</w:t>
            </w:r>
          </w:p>
        </w:tc>
        <w:tc>
          <w:tcPr>
            <w:tcW w:w="7655" w:type="dxa"/>
            <w:shd w:val="clear" w:color="auto" w:fill="auto"/>
          </w:tcPr>
          <w:p w14:paraId="1800BD76" w14:textId="77777777" w:rsidR="00C04D6C" w:rsidRPr="00F26582" w:rsidRDefault="00C04D6C" w:rsidP="00D819DE">
            <w:pPr>
              <w:autoSpaceDE w:val="0"/>
              <w:autoSpaceDN w:val="0"/>
              <w:adjustRightInd w:val="0"/>
              <w:spacing w:before="60" w:after="60"/>
              <w:jc w:val="both"/>
              <w:rPr>
                <w:rFonts w:ascii="Times New Roman" w:hAnsi="Times New Roman" w:cs="Times New Roman"/>
                <w:b/>
                <w:sz w:val="24"/>
              </w:rPr>
            </w:pPr>
            <w:r w:rsidRPr="00F26582">
              <w:rPr>
                <w:rFonts w:ascii="Times New Roman" w:hAnsi="Times New Roman"/>
                <w:sz w:val="24"/>
              </w:rPr>
              <w:t>Quando aplicável, as instituições devem divulgar as circunstâncias em que é utilizada a derrogação referida no artigo 7.º do CRR ou é utilizado o método de consolidação individual estabelecido no artigo 9.º do CRR.</w:t>
            </w:r>
          </w:p>
        </w:tc>
      </w:tr>
      <w:tr w:rsidR="00C04D6C" w:rsidRPr="00F26582"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F26582" w:rsidRDefault="00C04D6C" w:rsidP="00D819DE">
            <w:pPr>
              <w:autoSpaceDE w:val="0"/>
              <w:autoSpaceDN w:val="0"/>
              <w:adjustRightInd w:val="0"/>
              <w:jc w:val="center"/>
              <w:rPr>
                <w:rFonts w:ascii="Times New Roman" w:hAnsi="Times New Roman" w:cs="Times New Roman"/>
                <w:b/>
                <w:sz w:val="24"/>
              </w:rPr>
            </w:pPr>
            <w:r w:rsidRPr="00F26582">
              <w:rPr>
                <w:rFonts w:ascii="Times New Roman" w:hAnsi="Times New Roman"/>
                <w:sz w:val="24"/>
              </w:rPr>
              <w:t>d)</w:t>
            </w:r>
          </w:p>
        </w:tc>
        <w:tc>
          <w:tcPr>
            <w:tcW w:w="7655" w:type="dxa"/>
            <w:tcBorders>
              <w:bottom w:val="single" w:sz="4" w:space="0" w:color="auto"/>
            </w:tcBorders>
            <w:shd w:val="clear" w:color="auto" w:fill="auto"/>
          </w:tcPr>
          <w:p w14:paraId="2E8CF528" w14:textId="77777777" w:rsidR="00C04D6C" w:rsidRPr="00F26582" w:rsidRDefault="00C04D6C" w:rsidP="00D819DE">
            <w:pPr>
              <w:autoSpaceDE w:val="0"/>
              <w:autoSpaceDN w:val="0"/>
              <w:adjustRightInd w:val="0"/>
              <w:spacing w:before="60" w:after="60"/>
              <w:jc w:val="both"/>
              <w:rPr>
                <w:rFonts w:ascii="Times New Roman" w:hAnsi="Times New Roman" w:cs="Times New Roman"/>
                <w:b/>
                <w:sz w:val="24"/>
              </w:rPr>
            </w:pPr>
            <w:r w:rsidRPr="00F26582">
              <w:rPr>
                <w:rFonts w:ascii="Times New Roman" w:hAnsi="Times New Roman"/>
                <w:sz w:val="24"/>
              </w:rPr>
              <w:t>Quando aplicável, as instituições devem divulgar o montante agregado pelo qual os fundos próprios efetivos são inferiores aos requeridos em todas as filiais não incluídas na consolidação, e a designação dessas filiais.</w:t>
            </w:r>
          </w:p>
        </w:tc>
      </w:tr>
    </w:tbl>
    <w:p w14:paraId="26403B4C" w14:textId="77777777" w:rsidR="00C04D6C" w:rsidRPr="00F26582" w:rsidRDefault="00C04D6C" w:rsidP="00C04D6C">
      <w:pPr>
        <w:rPr>
          <w:rFonts w:ascii="Times New Roman" w:hAnsi="Times New Roman" w:cs="Times New Roman"/>
          <w:sz w:val="24"/>
        </w:rPr>
      </w:pPr>
    </w:p>
    <w:p w14:paraId="092F96DF" w14:textId="77777777" w:rsidR="00C04D6C" w:rsidRPr="00F26582" w:rsidRDefault="00C04D6C" w:rsidP="00C04D6C">
      <w:pPr>
        <w:spacing w:after="120"/>
        <w:jc w:val="both"/>
        <w:rPr>
          <w:rFonts w:ascii="Times New Roman" w:hAnsi="Times New Roman" w:cs="Times New Roman"/>
          <w:sz w:val="24"/>
        </w:rPr>
      </w:pPr>
      <w:r w:rsidRPr="00F26582">
        <w:rPr>
          <w:rFonts w:ascii="Times New Roman" w:hAnsi="Times New Roman"/>
          <w:b/>
          <w:sz w:val="24"/>
        </w:rPr>
        <w:t xml:space="preserve">Modelo EU PV1 – Ajustamentos de avaliação prudente (PVA): </w:t>
      </w:r>
      <w:r w:rsidRPr="00F26582">
        <w:rPr>
          <w:rFonts w:ascii="Times New Roman" w:hAnsi="Times New Roman"/>
          <w:sz w:val="24"/>
        </w:rPr>
        <w:t>Formato fixo</w:t>
      </w:r>
    </w:p>
    <w:p w14:paraId="01BBAEB3" w14:textId="77777777" w:rsidR="00C04D6C" w:rsidRPr="00F26582" w:rsidRDefault="00C04D6C" w:rsidP="00C04D6C">
      <w:pPr>
        <w:pStyle w:val="ListParagraph"/>
        <w:numPr>
          <w:ilvl w:val="0"/>
          <w:numId w:val="1"/>
        </w:numPr>
        <w:spacing w:before="60" w:after="120"/>
        <w:jc w:val="both"/>
        <w:rPr>
          <w:rFonts w:ascii="Times New Roman" w:hAnsi="Times New Roman"/>
          <w:sz w:val="24"/>
        </w:rPr>
      </w:pPr>
      <w:r w:rsidRPr="00F26582">
        <w:rPr>
          <w:rFonts w:ascii="Times New Roman" w:hAnsi="Times New Roman"/>
          <w:sz w:val="24"/>
        </w:rPr>
        <w:t>As instituições que apliquem a abordagem de base para a determinação do ajustamento de avaliação prudente nos termos do capítulo III do Regulamento Delegado (UE) 2016/101 da Comissão</w:t>
      </w:r>
      <w:r w:rsidRPr="00F26582">
        <w:rPr>
          <w:rStyle w:val="FootnoteReference"/>
          <w:rFonts w:ascii="Times New Roman" w:hAnsi="Times New Roman"/>
          <w:bCs/>
          <w:sz w:val="24"/>
          <w:szCs w:val="24"/>
        </w:rPr>
        <w:footnoteReference w:id="6"/>
      </w:r>
      <w:r w:rsidRPr="00F26582">
        <w:rPr>
          <w:rFonts w:ascii="Times New Roman" w:hAnsi="Times New Roman"/>
          <w:sz w:val="24"/>
        </w:rPr>
        <w:t xml:space="preserve"> devem divulgar as informações referidas no artigo 436.º, alínea e), do CRR, seguindo as orientações indicadas abaixo no presente anexo, a fim de preencher o modelo EU PV1 apresentado no anexo 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F26582"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F26582" w:rsidRDefault="00C04D6C" w:rsidP="00D819DE">
            <w:pPr>
              <w:rPr>
                <w:rFonts w:ascii="Times New Roman" w:hAnsi="Times New Roman" w:cs="Times New Roman"/>
                <w:b/>
                <w:sz w:val="24"/>
              </w:rPr>
            </w:pPr>
            <w:r w:rsidRPr="00F26582">
              <w:rPr>
                <w:rFonts w:ascii="Times New Roman" w:hAnsi="Times New Roman"/>
                <w:b/>
                <w:sz w:val="24"/>
              </w:rPr>
              <w:t>Referências jurídicas e instruções</w:t>
            </w:r>
          </w:p>
        </w:tc>
      </w:tr>
      <w:tr w:rsidR="00C04D6C" w:rsidRPr="00F26582" w14:paraId="50701F6D" w14:textId="77777777" w:rsidTr="00D819DE">
        <w:trPr>
          <w:trHeight w:val="238"/>
        </w:trPr>
        <w:tc>
          <w:tcPr>
            <w:tcW w:w="1384" w:type="dxa"/>
            <w:shd w:val="clear" w:color="auto" w:fill="D9D9D9" w:themeFill="background1" w:themeFillShade="D9"/>
          </w:tcPr>
          <w:p w14:paraId="69902A51" w14:textId="77777777" w:rsidR="00C04D6C" w:rsidRPr="00F26582" w:rsidRDefault="00C04D6C" w:rsidP="00D819DE">
            <w:pPr>
              <w:autoSpaceDE w:val="0"/>
              <w:autoSpaceDN w:val="0"/>
              <w:adjustRightInd w:val="0"/>
              <w:rPr>
                <w:rFonts w:ascii="Times New Roman" w:hAnsi="Times New Roman" w:cs="Times New Roman"/>
                <w:b/>
                <w:sz w:val="24"/>
              </w:rPr>
            </w:pPr>
            <w:r w:rsidRPr="00F26582">
              <w:rPr>
                <w:rFonts w:ascii="Times New Roman" w:hAnsi="Times New Roman"/>
                <w:b/>
                <w:sz w:val="24"/>
              </w:rPr>
              <w:t>Número da linha</w:t>
            </w:r>
          </w:p>
        </w:tc>
        <w:tc>
          <w:tcPr>
            <w:tcW w:w="7655" w:type="dxa"/>
            <w:shd w:val="clear" w:color="auto" w:fill="D9D9D9" w:themeFill="background1" w:themeFillShade="D9"/>
          </w:tcPr>
          <w:p w14:paraId="5AB442B6" w14:textId="77777777" w:rsidR="00C04D6C" w:rsidRPr="00F26582" w:rsidRDefault="00C04D6C" w:rsidP="00D819DE">
            <w:pPr>
              <w:autoSpaceDE w:val="0"/>
              <w:autoSpaceDN w:val="0"/>
              <w:adjustRightInd w:val="0"/>
              <w:rPr>
                <w:rFonts w:ascii="Times New Roman" w:hAnsi="Times New Roman" w:cs="Times New Roman"/>
                <w:color w:val="000000"/>
                <w:sz w:val="24"/>
              </w:rPr>
            </w:pPr>
            <w:r w:rsidRPr="00F26582">
              <w:rPr>
                <w:rFonts w:ascii="Times New Roman" w:hAnsi="Times New Roman"/>
                <w:b/>
                <w:sz w:val="24"/>
              </w:rPr>
              <w:t>Explicação</w:t>
            </w:r>
          </w:p>
        </w:tc>
      </w:tr>
      <w:tr w:rsidR="00C04D6C" w:rsidRPr="00F26582"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F26582" w:rsidRDefault="00C04D6C" w:rsidP="00D819DE">
            <w:pPr>
              <w:autoSpaceDE w:val="0"/>
              <w:autoSpaceDN w:val="0"/>
              <w:adjustRightInd w:val="0"/>
              <w:jc w:val="center"/>
              <w:rPr>
                <w:rFonts w:ascii="Times New Roman" w:hAnsi="Times New Roman" w:cs="Times New Roman"/>
                <w:sz w:val="24"/>
              </w:rPr>
            </w:pPr>
            <w:r w:rsidRPr="00F26582">
              <w:rPr>
                <w:rFonts w:ascii="Times New Roman" w:hAnsi="Times New Roman"/>
                <w:sz w:val="24"/>
              </w:rPr>
              <w:t>Linhas 1 a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F26582" w:rsidRDefault="00C04D6C" w:rsidP="00D819DE">
            <w:pPr>
              <w:spacing w:beforeLines="60" w:before="144" w:afterLines="60" w:after="144"/>
              <w:rPr>
                <w:rStyle w:val="InstructionsTabelleberschrift"/>
                <w:rFonts w:ascii="Times New Roman" w:hAnsi="Times New Roman"/>
                <w:sz w:val="24"/>
              </w:rPr>
            </w:pPr>
            <w:r w:rsidRPr="00F26582">
              <w:rPr>
                <w:rStyle w:val="InstructionsTabelleberschrift"/>
                <w:rFonts w:ascii="Times New Roman" w:hAnsi="Times New Roman"/>
                <w:sz w:val="24"/>
              </w:rPr>
              <w:t>AVA ao nível das categorias</w:t>
            </w:r>
          </w:p>
          <w:p w14:paraId="4E570456" w14:textId="77777777" w:rsidR="00C04D6C" w:rsidRPr="00F26582" w:rsidRDefault="00C04D6C" w:rsidP="00D819DE">
            <w:pPr>
              <w:spacing w:beforeLines="60" w:before="144" w:afterLines="60" w:after="144"/>
              <w:jc w:val="both"/>
              <w:rPr>
                <w:rFonts w:ascii="Times New Roman" w:hAnsi="Times New Roman" w:cs="Times New Roman"/>
                <w:sz w:val="24"/>
              </w:rPr>
            </w:pPr>
            <w:r w:rsidRPr="00F26582">
              <w:rPr>
                <w:rFonts w:ascii="Times New Roman" w:hAnsi="Times New Roman"/>
                <w:sz w:val="24"/>
              </w:rPr>
              <w:t xml:space="preserve">Os AVA de nível de categoria para «incerteza dos preços de mercado», «custos de encerramento das posições», «risco de modelo», «posições concentradas», «custos administrativos futuros», «rescisão antecipada» e «riscos operacionais» são determinados, respetivamente, nos termos dos </w:t>
            </w:r>
            <w:r w:rsidRPr="00F26582">
              <w:rPr>
                <w:rFonts w:ascii="Times New Roman" w:hAnsi="Times New Roman"/>
                <w:sz w:val="24"/>
              </w:rPr>
              <w:lastRenderedPageBreak/>
              <w:t>artigos 9.º a 11.º e 14.º a 17.º do Regulamento Delegado (UE) 2016/101 da Comissão.</w:t>
            </w:r>
          </w:p>
          <w:p w14:paraId="7B4E3C64" w14:textId="36F7F81B" w:rsidR="00C04D6C" w:rsidRPr="00F26582" w:rsidRDefault="00C04D6C" w:rsidP="00D819DE">
            <w:pPr>
              <w:spacing w:beforeLines="60" w:before="144" w:afterLines="60" w:after="144"/>
              <w:jc w:val="both"/>
              <w:rPr>
                <w:rFonts w:ascii="Times New Roman" w:hAnsi="Times New Roman" w:cs="Times New Roman"/>
                <w:sz w:val="24"/>
              </w:rPr>
            </w:pPr>
            <w:r w:rsidRPr="00F26582">
              <w:rPr>
                <w:rFonts w:ascii="Times New Roman" w:hAnsi="Times New Roman"/>
                <w:sz w:val="24"/>
              </w:rPr>
              <w:t>No que respeita às categorias «incerteza dos preços de mercado», «custos de encerramento das posições» e «risco de modelo», que estão sujeitas a benefícios de diversificação, tal como estabelecido, respetivamente, no artigo</w:t>
            </w:r>
            <w:r w:rsidR="000339A0" w:rsidRPr="00F26582">
              <w:rPr>
                <w:rFonts w:ascii="Times New Roman" w:hAnsi="Times New Roman"/>
                <w:sz w:val="24"/>
              </w:rPr>
              <w:t> </w:t>
            </w:r>
            <w:r w:rsidRPr="00F26582">
              <w:rPr>
                <w:rFonts w:ascii="Times New Roman" w:hAnsi="Times New Roman"/>
                <w:sz w:val="24"/>
              </w:rPr>
              <w:t xml:space="preserve">9.º, n.º 6, no artigo 10.º, n.º 7 e no artigo 11.º, n.º 7, do Regulamento Delegado (UE) 2016/101, os AVA de nível de categoria devem ser divulgados nas colunas </w:t>
            </w:r>
            <w:r w:rsidRPr="00F26582">
              <w:rPr>
                <w:rFonts w:ascii="Times New Roman" w:hAnsi="Times New Roman"/>
                <w:i/>
                <w:sz w:val="24"/>
              </w:rPr>
              <w:t>a</w:t>
            </w:r>
            <w:r w:rsidRPr="00F26582">
              <w:rPr>
                <w:rFonts w:ascii="Times New Roman" w:hAnsi="Times New Roman"/>
                <w:sz w:val="24"/>
              </w:rPr>
              <w:t xml:space="preserve"> a EU-e2 deste modelo como a soma dos AVA individuais antes do benefício de diversificação. Os benefícios de diversificação nos termos do artigo 9.º, n.º 6, do artigo 10.º, n.º 7 e do artigo 11.º, n.º 7, do Regulamento Delegado (UE) 2016/101 da Comissão devem ser inscritos na coluna </w:t>
            </w:r>
            <w:r w:rsidRPr="00F26582">
              <w:rPr>
                <w:rFonts w:ascii="Times New Roman" w:hAnsi="Times New Roman"/>
                <w:i/>
                <w:sz w:val="24"/>
              </w:rPr>
              <w:t>f</w:t>
            </w:r>
            <w:r w:rsidRPr="00F26582">
              <w:rPr>
                <w:rFonts w:ascii="Times New Roman" w:hAnsi="Times New Roman"/>
                <w:sz w:val="24"/>
              </w:rPr>
              <w:t xml:space="preserve"> deste modelo.</w:t>
            </w:r>
          </w:p>
        </w:tc>
      </w:tr>
      <w:tr w:rsidR="00C04D6C" w:rsidRPr="00F26582"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lastRenderedPageBreak/>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F26582" w:rsidRDefault="00C04D6C" w:rsidP="00D819DE">
            <w:pPr>
              <w:spacing w:beforeLines="60" w:before="144" w:afterLines="60" w:after="144"/>
              <w:jc w:val="both"/>
              <w:rPr>
                <w:rStyle w:val="InstructionsTabelleberschrift"/>
                <w:rFonts w:ascii="Times New Roman" w:hAnsi="Times New Roman"/>
                <w:sz w:val="24"/>
              </w:rPr>
            </w:pPr>
            <w:r w:rsidRPr="00F26582">
              <w:rPr>
                <w:rStyle w:val="InstructionsTabelleberschrift"/>
                <w:rFonts w:ascii="Times New Roman" w:hAnsi="Times New Roman"/>
                <w:sz w:val="24"/>
              </w:rPr>
              <w:t>Incerteza dos preços de mercado</w:t>
            </w:r>
          </w:p>
          <w:p w14:paraId="3D2F4674" w14:textId="77777777" w:rsidR="00C04D6C" w:rsidRPr="00F26582" w:rsidRDefault="00C04D6C" w:rsidP="00D819DE">
            <w:pPr>
              <w:spacing w:beforeLines="60" w:before="144" w:afterLines="60" w:after="144"/>
              <w:jc w:val="both"/>
              <w:rPr>
                <w:rFonts w:ascii="Times New Roman" w:hAnsi="Times New Roman" w:cs="Times New Roman"/>
                <w:sz w:val="24"/>
              </w:rPr>
            </w:pPr>
            <w:r w:rsidRPr="00F26582">
              <w:rPr>
                <w:rFonts w:ascii="Times New Roman" w:hAnsi="Times New Roman"/>
                <w:sz w:val="24"/>
              </w:rPr>
              <w:t>Artigo 105, n.º 10, do CRR</w:t>
            </w:r>
          </w:p>
          <w:p w14:paraId="59AE9885" w14:textId="77777777" w:rsidR="00C04D6C" w:rsidRPr="00F26582" w:rsidRDefault="00C04D6C" w:rsidP="00D819DE">
            <w:pPr>
              <w:autoSpaceDE w:val="0"/>
              <w:autoSpaceDN w:val="0"/>
              <w:adjustRightInd w:val="0"/>
              <w:spacing w:after="120"/>
              <w:jc w:val="both"/>
              <w:rPr>
                <w:rFonts w:ascii="Times New Roman" w:hAnsi="Times New Roman" w:cs="Times New Roman"/>
                <w:sz w:val="24"/>
              </w:rPr>
            </w:pPr>
            <w:r w:rsidRPr="00F26582">
              <w:rPr>
                <w:rFonts w:ascii="Times New Roman" w:hAnsi="Times New Roman"/>
                <w:sz w:val="24"/>
              </w:rPr>
              <w:t>Os AVA baseados na incerteza dos preços de mercado devem ser calculados em conformidade com o artigo 9.º do Regulamento Delegado (UE) 2016/101 da Comissão.</w:t>
            </w:r>
          </w:p>
        </w:tc>
      </w:tr>
      <w:tr w:rsidR="00C04D6C" w:rsidRPr="00F26582"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F26582" w:rsidRDefault="00C04D6C" w:rsidP="00D819DE">
            <w:pPr>
              <w:autoSpaceDE w:val="0"/>
              <w:autoSpaceDN w:val="0"/>
              <w:adjustRightInd w:val="0"/>
              <w:spacing w:before="60" w:after="120"/>
              <w:jc w:val="both"/>
              <w:rPr>
                <w:rFonts w:ascii="Times New Roman" w:hAnsi="Times New Roman" w:cs="Times New Roman"/>
                <w:b/>
                <w:sz w:val="24"/>
              </w:rPr>
            </w:pPr>
            <w:r w:rsidRPr="00F26582">
              <w:rPr>
                <w:rStyle w:val="InstructionsTabelleberschrift"/>
                <w:rFonts w:ascii="Times New Roman" w:hAnsi="Times New Roman"/>
                <w:sz w:val="24"/>
              </w:rPr>
              <w:t>Não aplicável</w:t>
            </w:r>
          </w:p>
        </w:tc>
      </w:tr>
      <w:tr w:rsidR="00C04D6C" w:rsidRPr="00F26582"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F26582" w:rsidRDefault="00C04D6C" w:rsidP="00D819DE">
            <w:pPr>
              <w:spacing w:beforeLines="60" w:before="144" w:afterLines="60" w:after="144"/>
              <w:jc w:val="both"/>
              <w:rPr>
                <w:rStyle w:val="InstructionsTabelleberschrift"/>
                <w:rFonts w:ascii="Times New Roman" w:hAnsi="Times New Roman"/>
                <w:sz w:val="24"/>
              </w:rPr>
            </w:pPr>
            <w:r w:rsidRPr="00F26582">
              <w:rPr>
                <w:rStyle w:val="InstructionsTabelleberschrift"/>
                <w:rFonts w:ascii="Times New Roman" w:hAnsi="Times New Roman"/>
                <w:sz w:val="24"/>
              </w:rPr>
              <w:t>Custos de encerramento</w:t>
            </w:r>
          </w:p>
          <w:p w14:paraId="7AF430E9" w14:textId="77777777" w:rsidR="00C04D6C" w:rsidRPr="00F26582" w:rsidRDefault="00C04D6C" w:rsidP="00D819DE">
            <w:pPr>
              <w:spacing w:beforeLines="60" w:before="144" w:afterLines="60" w:after="144"/>
              <w:jc w:val="both"/>
              <w:rPr>
                <w:rFonts w:ascii="Times New Roman" w:hAnsi="Times New Roman" w:cs="Times New Roman"/>
                <w:sz w:val="24"/>
              </w:rPr>
            </w:pPr>
            <w:r w:rsidRPr="00F26582">
              <w:rPr>
                <w:rFonts w:ascii="Times New Roman" w:hAnsi="Times New Roman"/>
                <w:sz w:val="24"/>
              </w:rPr>
              <w:t>Artigo 105, n.º 10, do CRR</w:t>
            </w:r>
          </w:p>
          <w:p w14:paraId="05054C64" w14:textId="77777777" w:rsidR="00C04D6C" w:rsidRPr="00F26582" w:rsidRDefault="00C04D6C" w:rsidP="00D819DE">
            <w:pPr>
              <w:autoSpaceDE w:val="0"/>
              <w:autoSpaceDN w:val="0"/>
              <w:adjustRightInd w:val="0"/>
              <w:spacing w:before="60" w:after="120"/>
              <w:jc w:val="both"/>
              <w:rPr>
                <w:rFonts w:ascii="Times New Roman" w:hAnsi="Times New Roman" w:cs="Times New Roman"/>
                <w:sz w:val="24"/>
              </w:rPr>
            </w:pPr>
            <w:r w:rsidRPr="00F26582">
              <w:rPr>
                <w:rFonts w:ascii="Times New Roman" w:hAnsi="Times New Roman"/>
                <w:sz w:val="24"/>
              </w:rPr>
              <w:t>Os AVA baseados nos custos de encerramento de posições devem ser calculados em conformidade com o artigo 10.º do Regulamento Delegado (UE) 2016/101 da Comissão.</w:t>
            </w:r>
          </w:p>
        </w:tc>
      </w:tr>
      <w:tr w:rsidR="00C04D6C" w:rsidRPr="00F26582"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F26582" w:rsidRDefault="00C04D6C" w:rsidP="00D819DE">
            <w:pPr>
              <w:spacing w:beforeLines="60" w:before="144" w:afterLines="60" w:after="144"/>
              <w:jc w:val="both"/>
              <w:rPr>
                <w:rStyle w:val="InstructionsTabelleberschrift"/>
                <w:rFonts w:ascii="Times New Roman" w:hAnsi="Times New Roman"/>
                <w:sz w:val="24"/>
              </w:rPr>
            </w:pPr>
            <w:r w:rsidRPr="00F26582">
              <w:rPr>
                <w:rStyle w:val="InstructionsTabelleberschrift"/>
                <w:rFonts w:ascii="Times New Roman" w:hAnsi="Times New Roman"/>
                <w:sz w:val="24"/>
              </w:rPr>
              <w:t>Posições concentradas</w:t>
            </w:r>
          </w:p>
          <w:p w14:paraId="08370B0D" w14:textId="77777777" w:rsidR="00C04D6C" w:rsidRPr="00F26582" w:rsidRDefault="00C04D6C" w:rsidP="00D819DE">
            <w:pPr>
              <w:spacing w:beforeLines="60" w:before="144" w:afterLines="60" w:after="144"/>
              <w:jc w:val="both"/>
              <w:rPr>
                <w:rFonts w:ascii="Times New Roman" w:hAnsi="Times New Roman" w:cs="Times New Roman"/>
                <w:sz w:val="24"/>
              </w:rPr>
            </w:pPr>
            <w:r w:rsidRPr="00F26582">
              <w:rPr>
                <w:rFonts w:ascii="Times New Roman" w:hAnsi="Times New Roman"/>
                <w:sz w:val="24"/>
              </w:rPr>
              <w:t>Artigo 105, n.º 11, do CRR</w:t>
            </w:r>
          </w:p>
          <w:p w14:paraId="42AFA9B2" w14:textId="77777777" w:rsidR="00C04D6C" w:rsidRPr="00F26582" w:rsidRDefault="00C04D6C" w:rsidP="00D819DE">
            <w:pPr>
              <w:pStyle w:val="Default"/>
              <w:spacing w:after="120"/>
              <w:jc w:val="both"/>
              <w:rPr>
                <w:rFonts w:ascii="Times New Roman" w:hAnsi="Times New Roman" w:cs="Times New Roman"/>
              </w:rPr>
            </w:pPr>
            <w:r w:rsidRPr="00F26582">
              <w:rPr>
                <w:rFonts w:ascii="Times New Roman" w:hAnsi="Times New Roman"/>
              </w:rPr>
              <w:t>Os AVA baseados nas posições concentradas devem ser calculados em conformidade com o artigo 14.º do Regulamento Delegado (UE) 2016/101 da Comissão.</w:t>
            </w:r>
          </w:p>
        </w:tc>
      </w:tr>
      <w:tr w:rsidR="00C04D6C" w:rsidRPr="00F26582"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F26582" w:rsidRDefault="00C04D6C" w:rsidP="00D819DE">
            <w:pPr>
              <w:spacing w:beforeLines="60" w:before="144" w:afterLines="60" w:after="144"/>
              <w:jc w:val="both"/>
              <w:rPr>
                <w:rStyle w:val="InstructionsTabelleberschrift"/>
                <w:rFonts w:ascii="Times New Roman" w:hAnsi="Times New Roman"/>
                <w:sz w:val="24"/>
              </w:rPr>
            </w:pPr>
            <w:r w:rsidRPr="00F26582">
              <w:rPr>
                <w:rStyle w:val="InstructionsTabelleberschrift"/>
                <w:rFonts w:ascii="Times New Roman" w:hAnsi="Times New Roman"/>
                <w:sz w:val="24"/>
              </w:rPr>
              <w:t>Rescisão antecipada</w:t>
            </w:r>
          </w:p>
          <w:p w14:paraId="52C42C79" w14:textId="77777777" w:rsidR="00C04D6C" w:rsidRPr="00F26582" w:rsidRDefault="00C04D6C" w:rsidP="00D819DE">
            <w:pPr>
              <w:spacing w:beforeLines="60" w:before="144" w:afterLines="60" w:after="144"/>
              <w:jc w:val="both"/>
              <w:rPr>
                <w:rFonts w:ascii="Times New Roman" w:hAnsi="Times New Roman" w:cs="Times New Roman"/>
                <w:sz w:val="24"/>
              </w:rPr>
            </w:pPr>
            <w:r w:rsidRPr="00F26582">
              <w:rPr>
                <w:rFonts w:ascii="Times New Roman" w:hAnsi="Times New Roman"/>
                <w:sz w:val="24"/>
              </w:rPr>
              <w:t>Artigo 105, n.º 10, do CRR</w:t>
            </w:r>
          </w:p>
          <w:p w14:paraId="4AEB079B" w14:textId="77777777" w:rsidR="00C04D6C" w:rsidRPr="00F26582" w:rsidRDefault="00C04D6C" w:rsidP="00D819DE">
            <w:pPr>
              <w:pStyle w:val="Default"/>
              <w:spacing w:before="60" w:after="120"/>
              <w:jc w:val="both"/>
              <w:rPr>
                <w:rFonts w:ascii="Times New Roman" w:hAnsi="Times New Roman" w:cs="Times New Roman"/>
              </w:rPr>
            </w:pPr>
            <w:r w:rsidRPr="00F26582">
              <w:rPr>
                <w:rFonts w:ascii="Times New Roman" w:hAnsi="Times New Roman"/>
              </w:rPr>
              <w:t>Os AVA baseados na rescisão antecipada devem ser calculados em conformidade com o artigo 16.º do Regulamento Delegado (UE) 2016/101 da Comissão.</w:t>
            </w:r>
          </w:p>
        </w:tc>
      </w:tr>
      <w:tr w:rsidR="00C04D6C" w:rsidRPr="00F26582"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F26582" w:rsidRDefault="00C04D6C" w:rsidP="00D819DE">
            <w:pPr>
              <w:spacing w:beforeLines="60" w:before="144" w:afterLines="60" w:after="144"/>
              <w:jc w:val="both"/>
              <w:rPr>
                <w:rStyle w:val="InstructionsTabelleberschrift"/>
                <w:rFonts w:ascii="Times New Roman" w:hAnsi="Times New Roman"/>
                <w:sz w:val="24"/>
              </w:rPr>
            </w:pPr>
            <w:r w:rsidRPr="00F26582">
              <w:rPr>
                <w:rStyle w:val="InstructionsTabelleberschrift"/>
                <w:rFonts w:ascii="Times New Roman" w:hAnsi="Times New Roman"/>
                <w:sz w:val="24"/>
              </w:rPr>
              <w:t>Risco de modelo</w:t>
            </w:r>
          </w:p>
          <w:p w14:paraId="49ED331A" w14:textId="77777777" w:rsidR="00C04D6C" w:rsidRPr="00F26582" w:rsidRDefault="00C04D6C" w:rsidP="00D819DE">
            <w:pPr>
              <w:spacing w:beforeLines="60" w:before="144" w:afterLines="60" w:after="144"/>
              <w:jc w:val="both"/>
              <w:rPr>
                <w:rFonts w:ascii="Times New Roman" w:hAnsi="Times New Roman" w:cs="Times New Roman"/>
                <w:sz w:val="24"/>
              </w:rPr>
            </w:pPr>
            <w:r w:rsidRPr="00F26582">
              <w:rPr>
                <w:rFonts w:ascii="Times New Roman" w:hAnsi="Times New Roman"/>
                <w:sz w:val="24"/>
              </w:rPr>
              <w:t>Artigo 105, n.º 10, do CRR</w:t>
            </w:r>
          </w:p>
          <w:p w14:paraId="2BCE5220" w14:textId="77777777" w:rsidR="00C04D6C" w:rsidRPr="00F26582" w:rsidRDefault="00C04D6C" w:rsidP="00D819DE">
            <w:pPr>
              <w:pStyle w:val="Default"/>
              <w:spacing w:before="60" w:after="120"/>
              <w:jc w:val="both"/>
              <w:rPr>
                <w:rFonts w:ascii="Times New Roman" w:hAnsi="Times New Roman" w:cs="Times New Roman"/>
              </w:rPr>
            </w:pPr>
            <w:r w:rsidRPr="00F26582">
              <w:rPr>
                <w:rFonts w:ascii="Times New Roman" w:hAnsi="Times New Roman"/>
              </w:rPr>
              <w:t xml:space="preserve">Os AVA baseados no risco de modelo devem ser calculados em conformidade com o artigo 11.º do Regulamento Delegado (UE) 2016/101 da Comissão. </w:t>
            </w:r>
          </w:p>
        </w:tc>
      </w:tr>
      <w:tr w:rsidR="00C04D6C" w:rsidRPr="00F26582"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lastRenderedPageBreak/>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F26582" w:rsidRDefault="00C04D6C" w:rsidP="00D819DE">
            <w:pPr>
              <w:spacing w:beforeLines="60" w:before="144" w:afterLines="60" w:after="144"/>
              <w:jc w:val="both"/>
              <w:rPr>
                <w:rStyle w:val="InstructionsTabelleberschrift"/>
                <w:rFonts w:ascii="Times New Roman" w:hAnsi="Times New Roman"/>
                <w:sz w:val="24"/>
              </w:rPr>
            </w:pPr>
            <w:r w:rsidRPr="00F26582">
              <w:rPr>
                <w:rStyle w:val="InstructionsTabelleberschrift"/>
                <w:rFonts w:ascii="Times New Roman" w:hAnsi="Times New Roman"/>
                <w:sz w:val="24"/>
              </w:rPr>
              <w:t>Risco operacional</w:t>
            </w:r>
          </w:p>
          <w:p w14:paraId="3EE7FBBF" w14:textId="77777777" w:rsidR="00C04D6C" w:rsidRPr="00F26582" w:rsidRDefault="00C04D6C" w:rsidP="00D819DE">
            <w:pPr>
              <w:spacing w:beforeLines="60" w:before="144" w:afterLines="60" w:after="144"/>
              <w:jc w:val="both"/>
              <w:rPr>
                <w:rFonts w:ascii="Times New Roman" w:hAnsi="Times New Roman" w:cs="Times New Roman"/>
                <w:sz w:val="24"/>
              </w:rPr>
            </w:pPr>
            <w:r w:rsidRPr="00F26582">
              <w:rPr>
                <w:rFonts w:ascii="Times New Roman" w:hAnsi="Times New Roman"/>
                <w:sz w:val="24"/>
              </w:rPr>
              <w:t>Artigo 105, n.º 10, do CRR</w:t>
            </w:r>
          </w:p>
          <w:p w14:paraId="64B1AD8B" w14:textId="77777777" w:rsidR="00C04D6C" w:rsidRPr="00F26582" w:rsidRDefault="00C04D6C" w:rsidP="00D819DE">
            <w:pPr>
              <w:pStyle w:val="Default"/>
              <w:spacing w:before="60" w:after="120"/>
              <w:jc w:val="both"/>
              <w:rPr>
                <w:rFonts w:ascii="Times New Roman" w:hAnsi="Times New Roman" w:cs="Times New Roman"/>
                <w:i/>
              </w:rPr>
            </w:pPr>
            <w:r w:rsidRPr="00F26582">
              <w:rPr>
                <w:rFonts w:ascii="Times New Roman" w:hAnsi="Times New Roman"/>
              </w:rPr>
              <w:t>Os AVA baseados no risco operacional devem ser calculados em conformidade com o artigo 17.º do Regulamento Delegado (UE) 2016/101 da Comissão.</w:t>
            </w:r>
          </w:p>
        </w:tc>
      </w:tr>
      <w:tr w:rsidR="00C04D6C" w:rsidRPr="00F26582"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F26582" w:rsidRDefault="00C04D6C" w:rsidP="00D819DE">
            <w:pPr>
              <w:pStyle w:val="Default"/>
              <w:spacing w:after="120"/>
              <w:jc w:val="both"/>
              <w:rPr>
                <w:rFonts w:ascii="Times New Roman" w:hAnsi="Times New Roman" w:cs="Times New Roman"/>
              </w:rPr>
            </w:pPr>
            <w:r w:rsidRPr="00F26582">
              <w:rPr>
                <w:rStyle w:val="InstructionsTabelleberschrift"/>
                <w:rFonts w:ascii="Times New Roman" w:hAnsi="Times New Roman"/>
              </w:rPr>
              <w:t>Não aplicável</w:t>
            </w:r>
          </w:p>
        </w:tc>
      </w:tr>
      <w:tr w:rsidR="00C04D6C" w:rsidRPr="00F26582"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F26582" w:rsidRDefault="00C04D6C" w:rsidP="00D819DE">
            <w:pPr>
              <w:pStyle w:val="Default"/>
              <w:spacing w:after="120"/>
              <w:jc w:val="both"/>
              <w:rPr>
                <w:rFonts w:ascii="Times New Roman" w:hAnsi="Times New Roman" w:cs="Times New Roman"/>
              </w:rPr>
            </w:pPr>
            <w:r w:rsidRPr="00F26582">
              <w:rPr>
                <w:rStyle w:val="InstructionsTabelleberschrift"/>
                <w:rFonts w:ascii="Times New Roman" w:hAnsi="Times New Roman"/>
              </w:rPr>
              <w:t>Não aplicável</w:t>
            </w:r>
          </w:p>
        </w:tc>
      </w:tr>
      <w:tr w:rsidR="00C04D6C" w:rsidRPr="00F26582"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F26582" w:rsidRDefault="00C04D6C" w:rsidP="00D819DE">
            <w:pPr>
              <w:spacing w:beforeLines="60" w:before="144" w:afterLines="60" w:after="144"/>
              <w:jc w:val="both"/>
              <w:rPr>
                <w:rStyle w:val="InstructionsTabelleberschrift"/>
                <w:rFonts w:ascii="Times New Roman" w:hAnsi="Times New Roman"/>
                <w:sz w:val="24"/>
              </w:rPr>
            </w:pPr>
            <w:r w:rsidRPr="00F26582">
              <w:rPr>
                <w:rStyle w:val="InstructionsTabelleberschrift"/>
                <w:rFonts w:ascii="Times New Roman" w:hAnsi="Times New Roman"/>
                <w:sz w:val="24"/>
              </w:rPr>
              <w:t>Custos administrativos futuros</w:t>
            </w:r>
          </w:p>
          <w:p w14:paraId="03DE0824" w14:textId="77777777" w:rsidR="00C04D6C" w:rsidRPr="00F26582" w:rsidRDefault="00C04D6C" w:rsidP="00D819DE">
            <w:pPr>
              <w:spacing w:beforeLines="60" w:before="144" w:afterLines="60" w:after="144"/>
              <w:jc w:val="both"/>
              <w:rPr>
                <w:rFonts w:ascii="Times New Roman" w:hAnsi="Times New Roman" w:cs="Times New Roman"/>
                <w:sz w:val="24"/>
              </w:rPr>
            </w:pPr>
            <w:r w:rsidRPr="00F26582">
              <w:rPr>
                <w:rFonts w:ascii="Times New Roman" w:hAnsi="Times New Roman"/>
                <w:sz w:val="24"/>
              </w:rPr>
              <w:t>Artigo 105, n.º 10, do CRR</w:t>
            </w:r>
          </w:p>
          <w:p w14:paraId="77EAFF21" w14:textId="77777777" w:rsidR="00C04D6C" w:rsidRPr="00F26582" w:rsidRDefault="00C04D6C" w:rsidP="00D819DE">
            <w:pPr>
              <w:pStyle w:val="Default"/>
              <w:spacing w:after="120"/>
              <w:jc w:val="both"/>
              <w:rPr>
                <w:rFonts w:ascii="Times New Roman" w:hAnsi="Times New Roman" w:cs="Times New Roman"/>
              </w:rPr>
            </w:pPr>
            <w:r w:rsidRPr="00F26582">
              <w:rPr>
                <w:rFonts w:ascii="Times New Roman" w:hAnsi="Times New Roman"/>
              </w:rPr>
              <w:t>Os AVA baseados nos custos administrativos futuros devem ser calculados em conformidade com o artigo 15.º do Regulamento Delegado (UE) 2016/101 da Comissão.</w:t>
            </w:r>
          </w:p>
        </w:tc>
      </w:tr>
      <w:tr w:rsidR="00C04D6C" w:rsidRPr="00F26582"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F26582" w:rsidRDefault="00C04D6C" w:rsidP="00D819DE">
            <w:pPr>
              <w:pStyle w:val="Default"/>
              <w:spacing w:after="120"/>
              <w:jc w:val="both"/>
              <w:rPr>
                <w:rFonts w:ascii="Times New Roman" w:hAnsi="Times New Roman" w:cs="Times New Roman"/>
              </w:rPr>
            </w:pPr>
            <w:r w:rsidRPr="00F26582">
              <w:rPr>
                <w:rFonts w:ascii="Times New Roman" w:hAnsi="Times New Roman"/>
              </w:rPr>
              <w:t>Não aplicável</w:t>
            </w:r>
          </w:p>
        </w:tc>
      </w:tr>
      <w:tr w:rsidR="00C04D6C" w:rsidRPr="00F26582"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F26582" w:rsidRDefault="00C04D6C" w:rsidP="00D819DE">
            <w:pPr>
              <w:spacing w:beforeLines="60" w:before="144" w:afterLines="60" w:after="144"/>
              <w:jc w:val="both"/>
              <w:rPr>
                <w:rStyle w:val="InstructionsTabelleberschrift"/>
                <w:rFonts w:ascii="Times New Roman" w:hAnsi="Times New Roman"/>
                <w:sz w:val="24"/>
              </w:rPr>
            </w:pPr>
            <w:r w:rsidRPr="00F26582">
              <w:rPr>
                <w:rStyle w:val="InstructionsTabelleberschrift"/>
                <w:rFonts w:ascii="Times New Roman" w:hAnsi="Times New Roman"/>
                <w:sz w:val="24"/>
              </w:rPr>
              <w:t>Total dos ajustamentos de valor adicionais</w:t>
            </w:r>
          </w:p>
          <w:p w14:paraId="773818D3" w14:textId="77777777" w:rsidR="00C04D6C" w:rsidRPr="00F26582" w:rsidRDefault="00C04D6C" w:rsidP="00D819DE">
            <w:pPr>
              <w:pStyle w:val="Default"/>
              <w:spacing w:after="120"/>
              <w:jc w:val="both"/>
              <w:rPr>
                <w:rFonts w:ascii="Times New Roman" w:hAnsi="Times New Roman" w:cs="Times New Roman"/>
                <w:color w:val="auto"/>
              </w:rPr>
            </w:pPr>
            <w:r w:rsidRPr="00F26582">
              <w:rPr>
                <w:rFonts w:ascii="Times New Roman" w:hAnsi="Times New Roman"/>
                <w:color w:val="auto"/>
              </w:rPr>
              <w:t xml:space="preserve">O total dos AVA a deduzir dos fundos próprios ao abrigo dos artigos 34.º e 105.º do CRR deve ser divulgado na linha 12, coluna </w:t>
            </w:r>
            <w:r w:rsidRPr="00F26582">
              <w:rPr>
                <w:rFonts w:ascii="Times New Roman" w:hAnsi="Times New Roman"/>
                <w:i/>
                <w:color w:val="auto"/>
              </w:rPr>
              <w:t>f</w:t>
            </w:r>
            <w:r w:rsidRPr="00F26582">
              <w:rPr>
                <w:rFonts w:ascii="Times New Roman" w:hAnsi="Times New Roman"/>
                <w:color w:val="auto"/>
              </w:rPr>
              <w:t xml:space="preserve">, </w:t>
            </w:r>
            <w:r w:rsidRPr="00F26582">
              <w:rPr>
                <w:rFonts w:ascii="Times New Roman" w:hAnsi="Times New Roman"/>
              </w:rPr>
              <w:t>deste modelo</w:t>
            </w:r>
            <w:r w:rsidRPr="00F26582">
              <w:rPr>
                <w:rFonts w:ascii="Times New Roman" w:hAnsi="Times New Roman"/>
                <w:color w:val="auto"/>
              </w:rPr>
              <w:t xml:space="preserve">. Este montante deve ser coerente com o montante indicado na linha 7 do modelo EU CC1, bem como com o montante indicado na linha 5, coluna a, do modelo EU LI2. </w:t>
            </w:r>
          </w:p>
          <w:p w14:paraId="3E1D4E77" w14:textId="77777777" w:rsidR="00C04D6C" w:rsidRPr="00F26582" w:rsidRDefault="00C04D6C" w:rsidP="00D819DE">
            <w:pPr>
              <w:pStyle w:val="Default"/>
              <w:spacing w:after="120"/>
              <w:jc w:val="both"/>
              <w:rPr>
                <w:rFonts w:ascii="Times New Roman" w:hAnsi="Times New Roman" w:cs="Times New Roman"/>
                <w:color w:val="auto"/>
              </w:rPr>
            </w:pPr>
            <w:r w:rsidRPr="00F26582">
              <w:rPr>
                <w:rFonts w:ascii="Times New Roman" w:hAnsi="Times New Roman"/>
                <w:color w:val="auto"/>
              </w:rPr>
              <w:t xml:space="preserve">No que respeita às carteiras sujeitas à abordagem de base estabelecida no capítulo III do Regulamento Delegado (UE) 2016/101 da Comissão relativo à avaliação prudente, o total dos AVA é a soma dos montantes das linhas 1 a 10 deste modelo e, se aplicável, dos montantes calculados em conformidade com o artigo 7.º, n.º 2, alínea b), subalíneas i), ii) e iii), do mesmo regulamento delegado, no que respeita às carteiras sujeitas à abordagem alternativa. </w:t>
            </w:r>
          </w:p>
          <w:p w14:paraId="0557EFCB" w14:textId="77777777" w:rsidR="00C04D6C" w:rsidRPr="00F26582" w:rsidRDefault="00C04D6C" w:rsidP="00D819DE">
            <w:pPr>
              <w:pStyle w:val="Default"/>
              <w:spacing w:after="120"/>
              <w:jc w:val="both"/>
              <w:rPr>
                <w:rFonts w:ascii="Times New Roman" w:hAnsi="Times New Roman" w:cs="Times New Roman"/>
              </w:rPr>
            </w:pPr>
            <w:r w:rsidRPr="00F26582">
              <w:rPr>
                <w:rFonts w:ascii="Times New Roman" w:hAnsi="Times New Roman"/>
                <w:color w:val="auto"/>
              </w:rPr>
              <w:t xml:space="preserve">No que respeita às carteiras sujeitas à abordagem simplificada estabelecida no capítulo II do Regulamento Delegado (UE) 2016/101 da Comissão relativo à avaliação prudente, o total dos AVA inscrito na coluna </w:t>
            </w:r>
            <w:r w:rsidRPr="00F26582">
              <w:rPr>
                <w:rFonts w:ascii="Times New Roman" w:hAnsi="Times New Roman"/>
                <w:i/>
                <w:color w:val="auto"/>
              </w:rPr>
              <w:t>f</w:t>
            </w:r>
            <w:r w:rsidRPr="00F26582">
              <w:rPr>
                <w:rFonts w:ascii="Times New Roman" w:hAnsi="Times New Roman"/>
                <w:color w:val="auto"/>
              </w:rPr>
              <w:t xml:space="preserve"> deste modelo é o montante calculado em conformidade com o artigo 5.º do mesmo capítulo.</w:t>
            </w:r>
          </w:p>
        </w:tc>
      </w:tr>
      <w:tr w:rsidR="00C04D6C" w:rsidRPr="00F26582"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F26582" w:rsidRDefault="00C04D6C" w:rsidP="00D819DE">
            <w:pPr>
              <w:pStyle w:val="Applicationdirecte"/>
              <w:spacing w:before="0"/>
              <w:rPr>
                <w:b/>
              </w:rPr>
            </w:pPr>
            <w:r w:rsidRPr="00F26582">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F26582" w:rsidRDefault="00C04D6C" w:rsidP="00D819DE">
            <w:pPr>
              <w:pStyle w:val="TableMainHeading"/>
              <w:spacing w:before="60"/>
              <w:jc w:val="both"/>
              <w:rPr>
                <w:rFonts w:ascii="Times New Roman" w:hAnsi="Times New Roman"/>
                <w:b/>
                <w:sz w:val="24"/>
                <w:szCs w:val="24"/>
              </w:rPr>
            </w:pPr>
            <w:r w:rsidRPr="00F26582">
              <w:rPr>
                <w:rFonts w:ascii="Times New Roman" w:hAnsi="Times New Roman"/>
                <w:b/>
                <w:sz w:val="24"/>
              </w:rPr>
              <w:t>Explicação</w:t>
            </w:r>
          </w:p>
        </w:tc>
      </w:tr>
      <w:tr w:rsidR="00C04D6C" w:rsidRPr="00F26582"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F26582" w:rsidRDefault="00C04D6C" w:rsidP="00D819DE">
            <w:pPr>
              <w:autoSpaceDE w:val="0"/>
              <w:autoSpaceDN w:val="0"/>
              <w:adjustRightInd w:val="0"/>
              <w:spacing w:before="60" w:after="120"/>
              <w:jc w:val="both"/>
              <w:rPr>
                <w:rFonts w:ascii="Times New Roman" w:hAnsi="Times New Roman" w:cs="Times New Roman"/>
                <w:b/>
                <w:sz w:val="24"/>
                <w:u w:val="single"/>
              </w:rPr>
            </w:pPr>
            <w:r w:rsidRPr="00F26582">
              <w:rPr>
                <w:rFonts w:ascii="Times New Roman" w:hAnsi="Times New Roman"/>
                <w:b/>
                <w:sz w:val="24"/>
                <w:u w:val="single"/>
              </w:rPr>
              <w:t>Repartição por CATEGORIA DE RISCO</w:t>
            </w:r>
          </w:p>
          <w:p w14:paraId="19554FB9" w14:textId="77777777" w:rsidR="00C04D6C" w:rsidRPr="00F26582" w:rsidRDefault="00C04D6C" w:rsidP="00D819DE">
            <w:pPr>
              <w:spacing w:beforeLines="60" w:before="144" w:afterLines="60" w:after="144"/>
              <w:jc w:val="both"/>
              <w:rPr>
                <w:rFonts w:ascii="Times New Roman" w:hAnsi="Times New Roman" w:cs="Times New Roman"/>
                <w:sz w:val="24"/>
              </w:rPr>
            </w:pPr>
            <w:r w:rsidRPr="00F26582">
              <w:rPr>
                <w:rFonts w:ascii="Times New Roman" w:hAnsi="Times New Roman"/>
                <w:sz w:val="24"/>
              </w:rPr>
              <w:t xml:space="preserve">As instituições devem afetar os seus ativos e passivos avaliados pelo justo valor incluídos no cálculo do limiar em conformidade com o artigo 4.º, n.º 1, do Regulamento Delegado (UE) 2016/101 (carteira de negociação e extra carteira de negociação) às seguintes categorias de risco: taxas de juro, cambial, crédito, ações, mercadorias. </w:t>
            </w:r>
          </w:p>
          <w:p w14:paraId="78E03628" w14:textId="77777777" w:rsidR="00C04D6C" w:rsidRPr="00F26582" w:rsidRDefault="00C04D6C" w:rsidP="00D819DE">
            <w:pPr>
              <w:spacing w:beforeLines="60" w:before="144" w:afterLines="60" w:after="144"/>
              <w:jc w:val="both"/>
              <w:rPr>
                <w:rFonts w:ascii="Times New Roman" w:hAnsi="Times New Roman" w:cs="Times New Roman"/>
                <w:b/>
                <w:sz w:val="24"/>
                <w:u w:val="single"/>
              </w:rPr>
            </w:pPr>
            <w:r w:rsidRPr="00F26582">
              <w:rPr>
                <w:rFonts w:ascii="Times New Roman" w:hAnsi="Times New Roman"/>
                <w:sz w:val="24"/>
              </w:rPr>
              <w:t>A repartição nestas colunas exclui os AVA calculados em conformidade com os artigos 12.º e 13.º do Regulamento Delegado (UE) 2016/101 da Comissão, que são divulgados nas colunas EU-e1 e EU-e2 deste modelo.</w:t>
            </w:r>
          </w:p>
        </w:tc>
      </w:tr>
      <w:tr w:rsidR="00C04D6C" w:rsidRPr="00F26582"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F26582"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F26582" w:rsidRDefault="00C04D6C" w:rsidP="00D819DE">
            <w:pPr>
              <w:jc w:val="both"/>
              <w:rPr>
                <w:rFonts w:ascii="Times New Roman" w:hAnsi="Times New Roman" w:cs="Times New Roman"/>
                <w:color w:val="000000"/>
                <w:sz w:val="24"/>
              </w:rPr>
            </w:pPr>
            <w:r w:rsidRPr="00F26582">
              <w:rPr>
                <w:rFonts w:ascii="Times New Roman" w:hAnsi="Times New Roman"/>
                <w:color w:val="000000"/>
                <w:sz w:val="24"/>
              </w:rPr>
              <w:t>EU e1</w:t>
            </w:r>
          </w:p>
          <w:p w14:paraId="5276CC33" w14:textId="77777777" w:rsidR="00C04D6C" w:rsidRPr="00F26582"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F26582" w:rsidRDefault="00C04D6C" w:rsidP="00D819DE">
            <w:pPr>
              <w:autoSpaceDE w:val="0"/>
              <w:autoSpaceDN w:val="0"/>
              <w:adjustRightInd w:val="0"/>
              <w:spacing w:before="60" w:after="120"/>
              <w:jc w:val="both"/>
              <w:rPr>
                <w:rFonts w:ascii="Times New Roman" w:hAnsi="Times New Roman" w:cs="Times New Roman"/>
                <w:b/>
                <w:sz w:val="24"/>
                <w:u w:val="single"/>
              </w:rPr>
            </w:pPr>
            <w:r w:rsidRPr="00F26582">
              <w:rPr>
                <w:rFonts w:ascii="Times New Roman" w:hAnsi="Times New Roman"/>
                <w:b/>
                <w:sz w:val="24"/>
                <w:u w:val="single"/>
              </w:rPr>
              <w:t>AVA ao nível das categorias — incerteza de avaliação: AVA baseados nas margens de crédito antecipadas</w:t>
            </w:r>
          </w:p>
          <w:p w14:paraId="2381E111" w14:textId="77777777" w:rsidR="00C04D6C" w:rsidRPr="00F26582" w:rsidRDefault="00C04D6C" w:rsidP="00D819DE">
            <w:pPr>
              <w:spacing w:beforeLines="60" w:before="144" w:afterLines="60" w:after="144"/>
              <w:rPr>
                <w:rFonts w:ascii="Times New Roman" w:hAnsi="Times New Roman" w:cs="Times New Roman"/>
                <w:sz w:val="24"/>
              </w:rPr>
            </w:pPr>
            <w:r w:rsidRPr="00F26582">
              <w:rPr>
                <w:rFonts w:ascii="Times New Roman" w:hAnsi="Times New Roman"/>
                <w:sz w:val="24"/>
              </w:rPr>
              <w:t xml:space="preserve">Artigo 105.º, n.º 10, do CRR, e artigo 12.º do Regulamento Delegado (UE) 2016/101 da Comissão </w:t>
            </w:r>
          </w:p>
          <w:p w14:paraId="48A3FCCD" w14:textId="77777777" w:rsidR="00C04D6C" w:rsidRPr="00F26582" w:rsidRDefault="00C04D6C" w:rsidP="00D819DE">
            <w:pPr>
              <w:spacing w:beforeLines="60" w:before="144" w:afterLines="60" w:after="144"/>
              <w:jc w:val="both"/>
              <w:rPr>
                <w:rFonts w:ascii="Times New Roman" w:hAnsi="Times New Roman" w:cs="Times New Roman"/>
                <w:b/>
                <w:sz w:val="24"/>
                <w:u w:val="single"/>
              </w:rPr>
            </w:pPr>
            <w:r w:rsidRPr="00F26582">
              <w:rPr>
                <w:rFonts w:ascii="Times New Roman" w:hAnsi="Times New Roman"/>
                <w:sz w:val="24"/>
              </w:rPr>
              <w:t>O total dos AVA calculado para as margens de crédito antecipadas («AVA sobre CVA») e a sua repartição entre AVA baseados na incerteza dos preços de mercado, nos custos de encerramento das posições ou no risco de modelo deve ser calculado em conformidade com o artigo 12.º do Regulamento Delegado (UE) 2016/101 da Comissão.</w:t>
            </w:r>
          </w:p>
        </w:tc>
      </w:tr>
      <w:tr w:rsidR="00C04D6C" w:rsidRPr="00F26582"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F26582"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F26582" w:rsidRDefault="00C04D6C" w:rsidP="00D819DE">
            <w:pPr>
              <w:jc w:val="both"/>
              <w:rPr>
                <w:rFonts w:ascii="Times New Roman" w:hAnsi="Times New Roman" w:cs="Times New Roman"/>
                <w:color w:val="000000"/>
                <w:sz w:val="24"/>
              </w:rPr>
            </w:pPr>
            <w:r w:rsidRPr="00F26582">
              <w:rPr>
                <w:rFonts w:ascii="Times New Roman" w:hAnsi="Times New Roman"/>
                <w:color w:val="000000"/>
                <w:sz w:val="24"/>
              </w:rPr>
              <w:t>EU e2</w:t>
            </w:r>
          </w:p>
          <w:p w14:paraId="067E72C8" w14:textId="77777777" w:rsidR="00C04D6C" w:rsidRPr="00F26582"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F26582" w:rsidRDefault="00C04D6C" w:rsidP="00D819DE">
            <w:pPr>
              <w:autoSpaceDE w:val="0"/>
              <w:autoSpaceDN w:val="0"/>
              <w:adjustRightInd w:val="0"/>
              <w:spacing w:before="60" w:after="120"/>
              <w:jc w:val="both"/>
              <w:rPr>
                <w:rFonts w:ascii="Times New Roman" w:hAnsi="Times New Roman" w:cs="Times New Roman"/>
                <w:b/>
                <w:sz w:val="24"/>
                <w:u w:val="single"/>
              </w:rPr>
            </w:pPr>
            <w:r w:rsidRPr="00F26582">
              <w:rPr>
                <w:rFonts w:ascii="Times New Roman" w:hAnsi="Times New Roman"/>
                <w:b/>
                <w:sz w:val="24"/>
                <w:u w:val="single"/>
              </w:rPr>
              <w:t>AVA de nível de categoria – AVA baseados nos custos de investimento e de financiamento</w:t>
            </w:r>
          </w:p>
          <w:p w14:paraId="4E0DC4BC" w14:textId="77777777" w:rsidR="00C04D6C" w:rsidRPr="00F26582" w:rsidRDefault="00C04D6C" w:rsidP="00D819DE">
            <w:pPr>
              <w:spacing w:beforeLines="60" w:before="144" w:afterLines="60" w:after="144"/>
              <w:rPr>
                <w:rFonts w:ascii="Times New Roman" w:hAnsi="Times New Roman" w:cs="Times New Roman"/>
                <w:caps/>
                <w:sz w:val="24"/>
                <w:u w:val="single"/>
              </w:rPr>
            </w:pPr>
            <w:r w:rsidRPr="00F26582">
              <w:rPr>
                <w:rFonts w:ascii="Times New Roman" w:hAnsi="Times New Roman"/>
                <w:sz w:val="24"/>
              </w:rPr>
              <w:t>Artigo 105.º, n.º 10, do CRR, e artigo 13.º do Regulamento Delegado (UE) 2016/101 da Comissão</w:t>
            </w:r>
          </w:p>
          <w:p w14:paraId="014133D9" w14:textId="77777777" w:rsidR="00C04D6C" w:rsidRPr="00F26582" w:rsidRDefault="00C04D6C" w:rsidP="00D819DE">
            <w:pPr>
              <w:spacing w:beforeLines="60" w:before="144" w:afterLines="60" w:after="144"/>
              <w:jc w:val="both"/>
              <w:rPr>
                <w:rFonts w:ascii="Times New Roman" w:hAnsi="Times New Roman" w:cs="Times New Roman"/>
                <w:b/>
                <w:sz w:val="24"/>
                <w:u w:val="single"/>
              </w:rPr>
            </w:pPr>
            <w:r w:rsidRPr="00F26582">
              <w:rPr>
                <w:rFonts w:ascii="Times New Roman" w:hAnsi="Times New Roman"/>
                <w:sz w:val="24"/>
              </w:rPr>
              <w:t>O total dos AVA calculado para os custos de investimento e de financiamento e a sua repartição entre AVA baseados na incerteza dos preços de mercado, nos custos de encerramento das posições ou no risco de modelo deve ser calculado em conformidade com o artigo 13.º do Regulamento Delegado (UE) 2016/101 da Comissão.</w:t>
            </w:r>
          </w:p>
        </w:tc>
      </w:tr>
      <w:tr w:rsidR="00C04D6C" w:rsidRPr="00F26582"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F26582" w:rsidRDefault="00C04D6C" w:rsidP="00D819DE">
            <w:pPr>
              <w:jc w:val="both"/>
              <w:rPr>
                <w:rFonts w:ascii="Times New Roman" w:hAnsi="Times New Roman" w:cs="Times New Roman"/>
                <w:color w:val="000000"/>
                <w:sz w:val="24"/>
              </w:rPr>
            </w:pPr>
            <w:r w:rsidRPr="00F26582">
              <w:rPr>
                <w:rFonts w:ascii="Times New Roman" w:hAnsi="Times New Roman"/>
                <w:color w:val="000000"/>
                <w:sz w:val="24"/>
              </w:rPr>
              <w:t>f</w:t>
            </w:r>
          </w:p>
          <w:p w14:paraId="4BAD70B7" w14:textId="77777777" w:rsidR="00C04D6C" w:rsidRPr="00F26582"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F26582" w:rsidRDefault="00C04D6C" w:rsidP="00D819DE">
            <w:pPr>
              <w:autoSpaceDE w:val="0"/>
              <w:autoSpaceDN w:val="0"/>
              <w:adjustRightInd w:val="0"/>
              <w:spacing w:before="60" w:after="120"/>
              <w:jc w:val="both"/>
              <w:rPr>
                <w:rFonts w:ascii="Times New Roman" w:hAnsi="Times New Roman" w:cs="Times New Roman"/>
                <w:b/>
                <w:sz w:val="24"/>
                <w:u w:val="single"/>
              </w:rPr>
            </w:pPr>
            <w:r w:rsidRPr="00F26582">
              <w:rPr>
                <w:rFonts w:ascii="Times New Roman" w:hAnsi="Times New Roman"/>
                <w:b/>
                <w:sz w:val="24"/>
                <w:u w:val="single"/>
              </w:rPr>
              <w:t>Total o nível das categorias após diversificação</w:t>
            </w:r>
          </w:p>
          <w:p w14:paraId="7AC1D089" w14:textId="36190F14" w:rsidR="00C04D6C" w:rsidRPr="00F26582" w:rsidRDefault="00C04D6C" w:rsidP="00D819DE">
            <w:pPr>
              <w:autoSpaceDE w:val="0"/>
              <w:autoSpaceDN w:val="0"/>
              <w:adjustRightInd w:val="0"/>
              <w:spacing w:before="60" w:after="120"/>
              <w:jc w:val="both"/>
              <w:rPr>
                <w:rFonts w:ascii="Times New Roman" w:hAnsi="Times New Roman" w:cs="Times New Roman"/>
                <w:sz w:val="24"/>
              </w:rPr>
            </w:pPr>
            <w:r w:rsidRPr="00F26582">
              <w:rPr>
                <w:rFonts w:ascii="Times New Roman" w:hAnsi="Times New Roman"/>
                <w:sz w:val="24"/>
              </w:rPr>
              <w:t>No que respeita às carteiras sujeitas à abordagem de base tal como estabelecido no capítulo III do Regulamento Delegado (UE) 2016/101, o total ao nível das categorias após diversificação deve incluir o total dos AVA calculado de acordo com a abordagem de base para os ativos e passivos avaliados pelo justo valor incluídos no cálculo do limiar em conformidade com o artigo 4.º, n.º 1 do Regulamento Delegado (UE) 2016/101 da Comissão. Inclui os benefícios da diversificação definidos em conformidade com o artigo</w:t>
            </w:r>
            <w:r w:rsidR="000339A0" w:rsidRPr="00F26582">
              <w:rPr>
                <w:rFonts w:ascii="Times New Roman" w:hAnsi="Times New Roman"/>
                <w:sz w:val="24"/>
              </w:rPr>
              <w:t> </w:t>
            </w:r>
            <w:r w:rsidRPr="00F26582">
              <w:rPr>
                <w:rFonts w:ascii="Times New Roman" w:hAnsi="Times New Roman"/>
                <w:sz w:val="24"/>
              </w:rPr>
              <w:t>9.º, n.º 6, com o artigo 10.º, n.º 7, e com o artigo 11.º, n.º 7, do Regulamento Delegado (UE) 2016/101 da Comissão.</w:t>
            </w:r>
          </w:p>
          <w:p w14:paraId="786A07B6" w14:textId="77777777" w:rsidR="00C04D6C" w:rsidRPr="00F26582" w:rsidRDefault="00C04D6C" w:rsidP="00D819DE">
            <w:pPr>
              <w:autoSpaceDE w:val="0"/>
              <w:autoSpaceDN w:val="0"/>
              <w:adjustRightInd w:val="0"/>
              <w:spacing w:before="60" w:after="120"/>
              <w:jc w:val="both"/>
              <w:rPr>
                <w:rFonts w:ascii="Times New Roman" w:hAnsi="Times New Roman" w:cs="Times New Roman"/>
                <w:sz w:val="24"/>
              </w:rPr>
            </w:pPr>
            <w:r w:rsidRPr="00F26582">
              <w:rPr>
                <w:rFonts w:ascii="Times New Roman" w:hAnsi="Times New Roman"/>
                <w:sz w:val="24"/>
              </w:rPr>
              <w:t xml:space="preserve">O total dos AVA incluído na linha 12, coluna </w:t>
            </w:r>
            <w:r w:rsidRPr="00F26582">
              <w:rPr>
                <w:rFonts w:ascii="Times New Roman" w:hAnsi="Times New Roman"/>
                <w:i/>
                <w:sz w:val="24"/>
              </w:rPr>
              <w:t xml:space="preserve">f </w:t>
            </w:r>
            <w:r w:rsidRPr="00F26582">
              <w:rPr>
                <w:rFonts w:ascii="Times New Roman" w:hAnsi="Times New Roman"/>
                <w:sz w:val="24"/>
              </w:rPr>
              <w:t>deste modelo deve incluir os montantes calculados em conformidade com o artigo 7.º, n.º 2, alínea b), subalíneas i) a iii), do Regulamento Delegado (UE) 2016/101, no que respeita às carteiras sujeitas à abordagem alternativa, se aplicável.</w:t>
            </w:r>
          </w:p>
          <w:p w14:paraId="16B6B958" w14:textId="77777777" w:rsidR="00C04D6C" w:rsidRPr="00F26582" w:rsidRDefault="00C04D6C" w:rsidP="00D819DE">
            <w:pPr>
              <w:autoSpaceDE w:val="0"/>
              <w:autoSpaceDN w:val="0"/>
              <w:adjustRightInd w:val="0"/>
              <w:spacing w:before="60" w:after="120"/>
              <w:jc w:val="both"/>
              <w:rPr>
                <w:rFonts w:ascii="Times New Roman" w:hAnsi="Times New Roman" w:cs="Times New Roman"/>
                <w:i/>
                <w:sz w:val="24"/>
              </w:rPr>
            </w:pPr>
            <w:r w:rsidRPr="00F26582">
              <w:rPr>
                <w:rFonts w:ascii="Times New Roman" w:hAnsi="Times New Roman"/>
                <w:sz w:val="24"/>
              </w:rPr>
              <w:t>No que respeita às carteiras sujeitas à abordagem simplificada tal como estabelecido no capítulo II do Regulamento Delegado (UE) 2016/101 da Comissão relativo à avaliação prudente, o total dos AVA inscrito na linha 12 deste modelo é o montante calculado em conformidade com o artigo 5.º do mesmo capítulo.</w:t>
            </w:r>
          </w:p>
        </w:tc>
      </w:tr>
      <w:tr w:rsidR="00C04D6C" w:rsidRPr="00F26582"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F26582" w:rsidRDefault="00C04D6C" w:rsidP="00D819DE">
            <w:pPr>
              <w:autoSpaceDE w:val="0"/>
              <w:autoSpaceDN w:val="0"/>
              <w:adjustRightInd w:val="0"/>
              <w:spacing w:before="60" w:after="120"/>
              <w:jc w:val="both"/>
              <w:rPr>
                <w:rFonts w:ascii="Times New Roman" w:hAnsi="Times New Roman" w:cs="Times New Roman"/>
                <w:b/>
                <w:sz w:val="24"/>
                <w:u w:val="single"/>
              </w:rPr>
            </w:pPr>
            <w:r w:rsidRPr="00F26582">
              <w:rPr>
                <w:rFonts w:ascii="Times New Roman" w:hAnsi="Times New Roman"/>
                <w:b/>
                <w:sz w:val="24"/>
                <w:u w:val="single"/>
              </w:rPr>
              <w:t>do qual: total segundo o método de base na carteira de negociação</w:t>
            </w:r>
          </w:p>
          <w:p w14:paraId="77520A81" w14:textId="77777777" w:rsidR="00C04D6C" w:rsidRPr="00F26582" w:rsidRDefault="00C04D6C" w:rsidP="00D819DE">
            <w:pPr>
              <w:autoSpaceDE w:val="0"/>
              <w:autoSpaceDN w:val="0"/>
              <w:adjustRightInd w:val="0"/>
              <w:spacing w:before="60" w:after="120"/>
              <w:jc w:val="both"/>
              <w:rPr>
                <w:rFonts w:ascii="Times New Roman" w:hAnsi="Times New Roman" w:cs="Times New Roman"/>
                <w:sz w:val="24"/>
              </w:rPr>
            </w:pPr>
            <w:r w:rsidRPr="00F26582">
              <w:rPr>
                <w:rFonts w:ascii="Times New Roman" w:hAnsi="Times New Roman"/>
                <w:sz w:val="24"/>
              </w:rPr>
              <w:t xml:space="preserve">Para cada categoria de AVA relevante, no que respeita às carteiras sujeitas à abordagem de base, tal como estabelecido no capítulo III do Regulamento Delegado (UE) 2016/101 da Comissão, a percentagem de AVA resultante das posições detidas na «carteira de negociação»: todas as posições em instrumentos financeiros e em mercadorias detidas por uma instituição, seja </w:t>
            </w:r>
            <w:r w:rsidRPr="00F26582">
              <w:rPr>
                <w:rFonts w:ascii="Times New Roman" w:hAnsi="Times New Roman"/>
                <w:sz w:val="24"/>
              </w:rPr>
              <w:lastRenderedPageBreak/>
              <w:t xml:space="preserve">para efeitos de negociação, seja para cobertura de posições detidas para efeitos de negociação, nos termos do artigo 104.º do CRR. </w:t>
            </w:r>
          </w:p>
          <w:p w14:paraId="2169FF03" w14:textId="7563B27E" w:rsidR="00C04D6C" w:rsidRPr="00F26582" w:rsidRDefault="00C04D6C" w:rsidP="00D819DE">
            <w:pPr>
              <w:autoSpaceDE w:val="0"/>
              <w:autoSpaceDN w:val="0"/>
              <w:adjustRightInd w:val="0"/>
              <w:spacing w:before="60" w:after="120"/>
              <w:jc w:val="both"/>
              <w:rPr>
                <w:rFonts w:ascii="Times New Roman" w:hAnsi="Times New Roman" w:cs="Times New Roman"/>
                <w:b/>
                <w:sz w:val="24"/>
                <w:u w:val="single"/>
              </w:rPr>
            </w:pPr>
            <w:r w:rsidRPr="00F26582">
              <w:rPr>
                <w:rFonts w:ascii="Times New Roman" w:hAnsi="Times New Roman"/>
                <w:sz w:val="24"/>
              </w:rPr>
              <w:t>O valor divulgado deve incluir os benefícios da diversificação definidos em conformidade com o artigo 9.º, n.º 6, com o artigo 10.º, n.º 7, e com o artigo</w:t>
            </w:r>
            <w:r w:rsidR="000339A0" w:rsidRPr="00F26582">
              <w:rPr>
                <w:rFonts w:ascii="Times New Roman" w:hAnsi="Times New Roman"/>
                <w:sz w:val="24"/>
              </w:rPr>
              <w:t> </w:t>
            </w:r>
            <w:r w:rsidRPr="00F26582">
              <w:rPr>
                <w:rFonts w:ascii="Times New Roman" w:hAnsi="Times New Roman"/>
                <w:sz w:val="24"/>
              </w:rPr>
              <w:t>11.º, n.º 7, do Regulamento Delegado (UE) 2016/101 da Comissão.</w:t>
            </w:r>
          </w:p>
        </w:tc>
      </w:tr>
      <w:tr w:rsidR="00C04D6C" w:rsidRPr="00F26582"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F26582" w:rsidRDefault="00C04D6C" w:rsidP="00D819DE">
            <w:pPr>
              <w:autoSpaceDE w:val="0"/>
              <w:autoSpaceDN w:val="0"/>
              <w:adjustRightInd w:val="0"/>
              <w:jc w:val="both"/>
              <w:rPr>
                <w:rFonts w:ascii="Times New Roman" w:hAnsi="Times New Roman" w:cs="Times New Roman"/>
                <w:sz w:val="24"/>
              </w:rPr>
            </w:pPr>
            <w:r w:rsidRPr="00F26582">
              <w:rPr>
                <w:rFonts w:ascii="Times New Roman" w:hAnsi="Times New Roman"/>
                <w:sz w:val="24"/>
              </w:rP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F26582" w:rsidRDefault="00C04D6C" w:rsidP="00D819DE">
            <w:pPr>
              <w:autoSpaceDE w:val="0"/>
              <w:autoSpaceDN w:val="0"/>
              <w:adjustRightInd w:val="0"/>
              <w:spacing w:before="60" w:after="120"/>
              <w:jc w:val="both"/>
              <w:rPr>
                <w:rFonts w:ascii="Times New Roman" w:hAnsi="Times New Roman" w:cs="Times New Roman"/>
                <w:b/>
                <w:sz w:val="24"/>
                <w:u w:val="single"/>
              </w:rPr>
            </w:pPr>
            <w:r w:rsidRPr="00F26582">
              <w:rPr>
                <w:rFonts w:ascii="Times New Roman" w:hAnsi="Times New Roman"/>
                <w:b/>
                <w:sz w:val="24"/>
                <w:u w:val="single"/>
              </w:rPr>
              <w:t>do qual: total segundo o método de base na carteira bancária</w:t>
            </w:r>
          </w:p>
          <w:p w14:paraId="4EC457E4" w14:textId="77777777" w:rsidR="00C04D6C" w:rsidRPr="00F26582" w:rsidRDefault="00C04D6C" w:rsidP="00D819DE">
            <w:pPr>
              <w:autoSpaceDE w:val="0"/>
              <w:autoSpaceDN w:val="0"/>
              <w:adjustRightInd w:val="0"/>
              <w:spacing w:before="60" w:after="120"/>
              <w:jc w:val="both"/>
              <w:rPr>
                <w:rFonts w:ascii="Times New Roman" w:hAnsi="Times New Roman" w:cs="Times New Roman"/>
                <w:color w:val="000000"/>
                <w:sz w:val="24"/>
              </w:rPr>
            </w:pPr>
            <w:r w:rsidRPr="00F26582">
              <w:rPr>
                <w:rFonts w:ascii="Times New Roman" w:hAnsi="Times New Roman"/>
                <w:sz w:val="24"/>
              </w:rPr>
              <w:t xml:space="preserve">Para cada categoria de AVA relevante, no que respeita às carteiras sujeitas à abordagem de base, tal como estabelecido no capítulo III do Regulamento Delegado (UE) 2016/101 da Comissão, a percentagem de AVA resultante das </w:t>
            </w:r>
            <w:r w:rsidRPr="00F26582">
              <w:rPr>
                <w:rFonts w:ascii="Times New Roman" w:hAnsi="Times New Roman"/>
                <w:color w:val="000000"/>
                <w:sz w:val="24"/>
              </w:rPr>
              <w:t xml:space="preserve">posições avaliadas pelo justo valor </w:t>
            </w:r>
            <w:r w:rsidRPr="00F26582">
              <w:rPr>
                <w:rFonts w:ascii="Times New Roman" w:hAnsi="Times New Roman"/>
                <w:sz w:val="24"/>
              </w:rPr>
              <w:t>em instrumentos financeiros e em mercadorias</w:t>
            </w:r>
            <w:r w:rsidRPr="00F26582">
              <w:rPr>
                <w:rFonts w:ascii="Times New Roman" w:hAnsi="Times New Roman"/>
                <w:color w:val="000000"/>
                <w:sz w:val="24"/>
              </w:rPr>
              <w:t xml:space="preserve"> não detidas na carteira de negociação</w:t>
            </w:r>
            <w:r w:rsidRPr="00F26582">
              <w:rPr>
                <w:rFonts w:ascii="Times New Roman" w:hAnsi="Times New Roman"/>
                <w:sz w:val="24"/>
              </w:rPr>
              <w:t>.</w:t>
            </w:r>
          </w:p>
          <w:p w14:paraId="5D6CB732" w14:textId="45F1BB27" w:rsidR="00C04D6C" w:rsidRPr="00F26582" w:rsidRDefault="00C04D6C" w:rsidP="00D819DE">
            <w:pPr>
              <w:autoSpaceDE w:val="0"/>
              <w:autoSpaceDN w:val="0"/>
              <w:adjustRightInd w:val="0"/>
              <w:spacing w:before="60" w:after="120"/>
              <w:jc w:val="both"/>
              <w:rPr>
                <w:rFonts w:ascii="Times New Roman" w:hAnsi="Times New Roman" w:cs="Times New Roman"/>
                <w:sz w:val="24"/>
              </w:rPr>
            </w:pPr>
            <w:r w:rsidRPr="00F26582">
              <w:rPr>
                <w:rFonts w:ascii="Times New Roman" w:hAnsi="Times New Roman"/>
                <w:sz w:val="24"/>
              </w:rPr>
              <w:t>O valor divulgado deve incluir os benefícios da diversificação definidos em conformidade com o artigo 9.º, n.º 6, com o artigo 10.º, n.º 7, e com o artigo</w:t>
            </w:r>
            <w:r w:rsidR="000339A0" w:rsidRPr="00F26582">
              <w:rPr>
                <w:rFonts w:ascii="Times New Roman" w:hAnsi="Times New Roman"/>
                <w:sz w:val="24"/>
              </w:rPr>
              <w:t> </w:t>
            </w:r>
            <w:r w:rsidRPr="00F26582">
              <w:rPr>
                <w:rFonts w:ascii="Times New Roman" w:hAnsi="Times New Roman"/>
                <w:sz w:val="24"/>
              </w:rPr>
              <w:t>11.º, n.º 7, do Regulamento Delegado (UE) 2016/101 da Comissão.</w:t>
            </w:r>
          </w:p>
        </w:tc>
      </w:tr>
    </w:tbl>
    <w:p w14:paraId="1DA9D705" w14:textId="77777777" w:rsidR="004E3F4D" w:rsidRPr="00F26582" w:rsidRDefault="004E3F4D" w:rsidP="00C04D6C"/>
    <w:sectPr w:rsidR="004E3F4D" w:rsidRPr="00F2658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EUR-Lex (europa.eu)</w:t>
        </w:r>
      </w:hyperlink>
      <w:r>
        <w:t>).</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ab/>
        <w:t>REGULAMENTO (CE) n.º 1606/2002 DO PARLAMENTO EUROPEU E DO CONSELHO, de 19 de julho de 2002, relativo à aplicação das normas internacionais de contabilidade (JO L 243 de 11.9.2002, p.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ab/>
        <w:t>DIRETIVA 86/635/CEE DO CONSELHO, de 8 de dezembro de 1986, relativa às contas anuais e às contas consolidadas dos bancos e outras instituições financeiras (JO L 372 de 31.12.1986, p.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ab/>
        <w:t>REGULAMENTO DELEGADO (UE) n.º 183/2014 DA COMISSÃO, de 20 de dezembro de 2013, que complementa o Regulamento (UE) n.</w:t>
      </w:r>
      <w:r w:rsidRPr="000339A0">
        <w:rPr>
          <w:vertAlign w:val="superscript"/>
        </w:rPr>
        <w:t>o</w:t>
      </w:r>
      <w:r>
        <w:t xml:space="preserve"> 575/2013 do Parlamento Europeu e do Conselho, relativo aos requisitos prudenciais para as instituições de crédito e para as empresas de investimento, no que respeita às normas técnicas de regulamentação para especificação do cálculo dos ajustamentos para o risco específico e geral de crédito (JO L 57 de 27.2.2014, p.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ab/>
        <w:t>REGULAMENTO DELEGADO (UE) 2016/101 DA COMISSÃO, de 26 de outubro de 2015, que complementa o Regulamento (UE) n.º 575/2013 do Parlamento Europeu e do Conselho no que diz respeito às normas técnicas de regulamentação relativas à avaliação prudente ao abrigo do artigo 105.º, n.º 14 (JO L 21 de 28.1.2016, p.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26B05EE"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24C2DB"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D4B697"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pt-PT"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0339A0"/>
    <w:rsid w:val="000F2B47"/>
    <w:rsid w:val="002C7922"/>
    <w:rsid w:val="003330FC"/>
    <w:rsid w:val="004E3F4D"/>
    <w:rsid w:val="005B3D23"/>
    <w:rsid w:val="009F69A4"/>
    <w:rsid w:val="00AF0EB9"/>
    <w:rsid w:val="00C04D6C"/>
    <w:rsid w:val="00ED3B2B"/>
    <w:rsid w:val="00F265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04D6C"/>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38A944-F11D-41BA-9581-822473DB9A3A}"/>
</file>

<file path=customXml/itemProps2.xml><?xml version="1.0" encoding="utf-8"?>
<ds:datastoreItem xmlns:ds="http://schemas.openxmlformats.org/officeDocument/2006/customXml" ds:itemID="{E3491EA6-F0EC-4633-9720-B02AE40E23C9}"/>
</file>

<file path=customXml/itemProps3.xml><?xml version="1.0" encoding="utf-8"?>
<ds:datastoreItem xmlns:ds="http://schemas.openxmlformats.org/officeDocument/2006/customXml" ds:itemID="{2E4DFCDB-34EE-4A23-9265-996E0A36A68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13</Pages>
  <Words>4537</Words>
  <Characters>24005</Characters>
  <Application>Microsoft Office Word</Application>
  <DocSecurity>0</DocSecurity>
  <Lines>571</Lines>
  <Paragraphs>282</Paragraphs>
  <ScaleCrop>false</ScaleCrop>
  <Company>European Banking Authority</Company>
  <LinksUpToDate>false</LinksUpToDate>
  <CharactersWithSpaces>28260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STUART MAGALHAES Joana Raquel (DGT)</cp:lastModifiedBy>
  <cp:revision>8</cp:revision>
  <dcterms:created xsi:type="dcterms:W3CDTF">2021-03-11T11:51:00Z</dcterms:created>
  <dcterms:modified xsi:type="dcterms:W3CDTF">2024-10-17T14:48:00Z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