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0ADA6" w14:textId="77777777" w:rsidR="00166FFE" w:rsidRPr="0031221C" w:rsidRDefault="00A1733E" w:rsidP="006A78BA">
      <w:pPr>
        <w:pStyle w:val="Annexetitre"/>
        <w:rPr>
          <w:sz w:val="28"/>
          <w:szCs w:val="28"/>
          <w:u w:val="none"/>
        </w:rPr>
      </w:pPr>
      <w:r>
        <w:rPr>
          <w:sz w:val="28"/>
          <w:u w:val="none"/>
        </w:rPr>
        <w:t xml:space="preserve">BILAG II</w:t>
      </w:r>
    </w:p>
    <w:p w14:paraId="3EED48F6" w14:textId="77777777" w:rsidR="00A1733E" w:rsidRPr="0031221C" w:rsidRDefault="00A1733E" w:rsidP="006A78BA">
      <w:pPr>
        <w:pStyle w:val="Annexetitre"/>
        <w:rPr>
          <w:u w:val="none"/>
        </w:rPr>
      </w:pPr>
      <w:r>
        <w:rPr>
          <w:u w:val="none"/>
        </w:rPr>
        <w:t xml:space="preserve">"BILAG XXXVIII</w:t>
      </w:r>
    </w:p>
    <w:p w14:paraId="77F10DF1" w14:textId="10384F48" w:rsidR="006A78BA" w:rsidRPr="0031221C" w:rsidRDefault="0078309E" w:rsidP="006A78BA">
      <w:pPr>
        <w:pStyle w:val="Annexetitre"/>
        <w:rPr>
          <w:u w:val="none"/>
        </w:rPr>
      </w:pPr>
      <w:r>
        <w:rPr>
          <w:u w:val="none"/>
        </w:rPr>
        <w:t xml:space="preserve">Instrukser vedrørende om renterisici i positioner, der ikke indgår i handelsbeholdningen</w:t>
      </w:r>
    </w:p>
    <w:p w14:paraId="09721089" w14:textId="77777777" w:rsidR="006A78BA" w:rsidRPr="0031221C" w:rsidRDefault="006A78BA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A0C8EE" w14:textId="01383A2B" w:rsidR="00CD3692" w:rsidRPr="0031221C" w:rsidRDefault="00166FFE" w:rsidP="00CD3692">
      <w:pPr>
        <w:rPr>
          <w:bCs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Oplysningsinstrukser for skema EU IRRBBA</w:t>
      </w:r>
      <w:r>
        <w:rPr>
          <w:b/>
          <w:sz w:val="24"/>
          <w:rFonts w:ascii="Times New Roman" w:hAnsi="Times New Roman"/>
        </w:rPr>
        <w:t xml:space="preserve"> </w:t>
      </w:r>
    </w:p>
    <w:p w14:paraId="7E4925DA" w14:textId="77777777" w:rsidR="00CD3692" w:rsidRPr="0031221C" w:rsidRDefault="00CD3692" w:rsidP="00CD3692">
      <w:pPr>
        <w:rPr>
          <w:rFonts w:ascii="Times New Roman" w:hAnsi="Times New Roman"/>
          <w:bCs/>
          <w:sz w:val="24"/>
        </w:rPr>
      </w:pPr>
    </w:p>
    <w:p w14:paraId="31D9779B" w14:textId="7383F91C" w:rsidR="00580D58" w:rsidRPr="0031221C" w:rsidRDefault="00580D58" w:rsidP="00470043">
      <w:pPr>
        <w:spacing w:after="120"/>
        <w:jc w:val="both"/>
        <w:rPr>
          <w:color w:val="000000"/>
          <w:szCs w:val="22"/>
          <w:rFonts w:ascii="Calibri" w:eastAsia="Times New Roman" w:hAnsi="Calibri" w:cs="Times New Roman"/>
        </w:rPr>
      </w:pPr>
      <w:r>
        <w:rPr>
          <w:sz w:val="24"/>
          <w:rFonts w:ascii="Times New Roman" w:hAnsi="Times New Roman"/>
        </w:rPr>
        <w:t xml:space="preserve">Institutterne offentliggør de kvalitative oplysninger, der er anført nedenfor, på grundlag af deres interne risikomålingsmetode, standardmetode eller forenklede standardmetode, hvor det er relevant, i overensstemmelse med artikel 84 i direktiv 2013/36/EU.</w:t>
      </w:r>
    </w:p>
    <w:p w14:paraId="3D633743" w14:textId="14CE6FC2" w:rsidR="00C07A00" w:rsidRDefault="0017255F" w:rsidP="000D6C4D">
      <w:pPr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Disse instrukser er udarbejdet på grundlag af kravene i artikel 448 i forordning (EU) nr. 575/2013 og i overensstemmelse med Basel søjle 3-oplysningsstandarden.</w:t>
      </w:r>
      <w:r>
        <w:rPr>
          <w:sz w:val="24"/>
          <w:rFonts w:ascii="Times New Roman" w:hAnsi="Times New Roman"/>
        </w:rPr>
        <w:t xml:space="preserve"> </w:t>
      </w:r>
    </w:p>
    <w:p w14:paraId="4EA230EE" w14:textId="77777777" w:rsidR="000D6C4D" w:rsidRPr="0031221C" w:rsidRDefault="000D6C4D" w:rsidP="000D6C4D">
      <w:pPr>
        <w:jc w:val="both"/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CD3692" w:rsidRPr="0031221C" w14:paraId="5A9E0A69" w14:textId="77777777" w:rsidTr="00F930E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C1AD4" w14:textId="77777777" w:rsidR="00CD3692" w:rsidRPr="0031221C" w:rsidRDefault="00CD3692" w:rsidP="00F930E4">
            <w:pPr>
              <w:rPr>
                <w:b/>
                <w:bCs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D3692" w:rsidRPr="0031221C" w14:paraId="254CB684" w14:textId="77777777" w:rsidTr="00F930E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23E59" w14:textId="77777777" w:rsidR="00CD3692" w:rsidRPr="0031221C" w:rsidRDefault="00CD3692" w:rsidP="00F930E4">
            <w:pPr>
              <w:rPr>
                <w:b/>
                <w:bCs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Række nr.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EE539" w14:textId="77777777" w:rsidR="00CD3692" w:rsidRPr="0031221C" w:rsidRDefault="00CD3692" w:rsidP="00F930E4">
            <w:pPr>
              <w:rPr>
                <w:b/>
                <w:bCs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Forklaring</w:t>
            </w:r>
          </w:p>
        </w:tc>
      </w:tr>
      <w:tr w:rsidR="00FC2089" w:rsidRPr="0031221C" w14:paraId="5BBA757F" w14:textId="77777777" w:rsidTr="00C143B2">
        <w:trPr>
          <w:trHeight w:val="244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657E" w14:textId="73DDAA01" w:rsidR="00FC2089" w:rsidRPr="0031221C" w:rsidRDefault="00FC2089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a)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7E25" w14:textId="66C09E90" w:rsidR="00FC2089" w:rsidRPr="0031221C" w:rsidRDefault="00465DF4" w:rsidP="00F930E4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En beskrivelse af, hvordan instituttet definerer IRRBB med henblik på risikostyring og -måling</w:t>
            </w:r>
          </w:p>
          <w:p w14:paraId="3FB34713" w14:textId="03A80E6F" w:rsidR="00FC2089" w:rsidRPr="0031221C" w:rsidRDefault="00133E44" w:rsidP="00721ADE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1, litra e), i forordning (EU) nr. 575/2013 skal institutterne give en generel beskrivelse af, hvordan renterisikoen for deres aktiviteter uden for handelsbeholdningen med henblik på de kompetente myndigheders kontrol i overensstemmelse med artikel 84 i direktiv 2013/36/EU defineres, måles, begrænses og kontrolleres.</w:t>
            </w:r>
          </w:p>
        </w:tc>
      </w:tr>
      <w:tr w:rsidR="00465DF4" w:rsidRPr="0031221C" w14:paraId="68082CB2" w14:textId="77777777" w:rsidTr="00F930E4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5CC" w14:textId="1C705731" w:rsidR="00465DF4" w:rsidRPr="0031221C" w:rsidRDefault="00465DF4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b)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FF4A" w14:textId="20E6E488" w:rsidR="00465DF4" w:rsidRPr="0031221C" w:rsidRDefault="00EA2452" w:rsidP="00F930E4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En beskrivelse af instituttets overordnede forvaltnings- og begrænsningsstrategier for IRRBB</w:t>
            </w:r>
          </w:p>
          <w:p w14:paraId="204A9378" w14:textId="5470BAC2" w:rsidR="005F58E6" w:rsidRPr="0031221C" w:rsidRDefault="005F58E6" w:rsidP="007012E2">
            <w:pPr>
              <w:spacing w:before="120" w:after="120"/>
              <w:jc w:val="both"/>
              <w:rPr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1, litra f), i forordning (EU) nr. 575/2013 skal institutterne give en generel beskrivelse af IRRBB's overordnede forvaltnings- og begrænsningsstrategier, herunder: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overvågning af den økonomiske værdi af kapitalgrundlag og nettorenteindtægter i forhold til fastlagte grænser, risikoafdækningspraksis, udførelse af stresstest, resultatanalyse, betydningen af uafhængig revision, aktiv-passiv-styringsudvalgets rolle og praksis, instituttets praksis for at sikre passende modelvalidering og rettidige ajourføringer af modeller som reaktion på ændrede markedsvilkår.</w:t>
            </w:r>
          </w:p>
        </w:tc>
      </w:tr>
      <w:tr w:rsidR="00EA2452" w:rsidRPr="0031221C" w14:paraId="00B80900" w14:textId="77777777" w:rsidTr="00C41D59">
        <w:trPr>
          <w:trHeight w:val="8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63AB" w14:textId="4C8DCD01" w:rsidR="00EA2452" w:rsidRPr="0031221C" w:rsidRDefault="00EA2452" w:rsidP="00EA2452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C5C7" w14:textId="77777777" w:rsidR="008F617B" w:rsidRPr="0031221C" w:rsidRDefault="008F617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074838C9" w14:textId="79671406" w:rsidR="00716636" w:rsidRPr="0031221C" w:rsidRDefault="00716636" w:rsidP="00B650A9">
            <w:pPr>
              <w:spacing w:after="120"/>
              <w:jc w:val="both"/>
              <w:rPr>
                <w:b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Hyppigheden af beregningen af instituttets IRRBB-foranstaltninger og en beskrivelse af de specifikke mål, som instituttet anvender til at måle dets følsomhed over for IRRBB</w:t>
            </w:r>
          </w:p>
          <w:p w14:paraId="6FC20A2F" w14:textId="7F1E505C" w:rsidR="00EA2452" w:rsidRPr="0031221C" w:rsidRDefault="00716636" w:rsidP="00B650A9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1, litra e), nr. i) og v), i forordning (EU) nr. 575/2013 skal institutterne give en generel beskrivelse af de specifikke risikomål, der anvendes til at estimere ændringer i deres økonomiske værdi af kapitalgrundlag og i deres nettorenteindtægter, og angive, hvor ofte renterisikoen evalueres.</w:t>
            </w:r>
          </w:p>
          <w:p w14:paraId="3C576B31" w14:textId="6E0F133A" w:rsidR="0013410F" w:rsidRPr="0031221C" w:rsidRDefault="0013410F" w:rsidP="00721ADE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2, i forordning (EU) nr. 575/2013 finder beskrivelsen af de specifikke risikomål, der anvendes til at måle følsomheden over for IRRBB, ikke anvendelse på institutter, der anvender standardmetoden eller den forenklede standardmetode, som er omhandlet i artikel 84, stk. 1, i direktiv 2013/36/EU.</w:t>
            </w:r>
          </w:p>
        </w:tc>
      </w:tr>
      <w:tr w:rsidR="00716636" w:rsidRPr="0031221C" w14:paraId="3452DFD3" w14:textId="77777777" w:rsidTr="00C143B2">
        <w:trPr>
          <w:trHeight w:val="19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998" w14:textId="3472E13E" w:rsidR="00716636" w:rsidRPr="0031221C" w:rsidRDefault="00716636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C818" w14:textId="713F89A4" w:rsidR="00716636" w:rsidRPr="0031221C" w:rsidRDefault="00716636" w:rsidP="00716636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En beskrivelse af scenarier for rentestød og stressscenarier, som instituttet anvender til at estimere ændringer i den økonomiske værdi og i nettorenteindtægter (hvis relevant)</w:t>
            </w:r>
          </w:p>
          <w:p w14:paraId="24AB856B" w14:textId="5DBA799D" w:rsidR="00716636" w:rsidRPr="0031221C" w:rsidRDefault="00716636" w:rsidP="00226654">
            <w:pPr>
              <w:spacing w:before="120"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1, litra e), nr. iii), i forordning (EU) nr. 575/2013 skal institutterne give en generel beskrivelse af de scenarier for rentestød, som anvendes til at estimere renterisikoen.</w:t>
            </w:r>
          </w:p>
          <w:p w14:paraId="05DE1832" w14:textId="3AF43FAB" w:rsidR="0013410F" w:rsidRPr="0031221C" w:rsidRDefault="0013410F" w:rsidP="00721ADE">
            <w:pPr>
              <w:spacing w:before="120" w:after="120"/>
              <w:jc w:val="both"/>
              <w:rPr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2, i forordning (EU) nr. 575/2013 finder offentliggørelseskravet ikke anvendelse på institutter, der anvender standardmetoden eller den forenklede standardmetode, som er omhandlet i artikel 84, stk. 1, i direktiv 2013/36/EU.</w:t>
            </w:r>
          </w:p>
        </w:tc>
      </w:tr>
      <w:tr w:rsidR="00716636" w:rsidRPr="0031221C" w14:paraId="7F74CA5A" w14:textId="77777777" w:rsidTr="00005B93">
        <w:trPr>
          <w:trHeight w:val="29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618" w14:textId="7713D88E" w:rsidR="00716636" w:rsidRPr="0031221C" w:rsidRDefault="00716636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e)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839" w14:textId="00FE41FE" w:rsidR="0094340A" w:rsidRPr="0031221C" w:rsidRDefault="0094340A" w:rsidP="00F930E4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En beskrivelse af de vigtigste modellerings- og parameterantagelser, som adskiller sig fra dem, der anvendes til offentliggørelse af skema EU IRRBB1 (hvis relevant)</w:t>
            </w:r>
          </w:p>
          <w:p w14:paraId="15A00557" w14:textId="4EC63038" w:rsidR="00716636" w:rsidRPr="0031221C" w:rsidRDefault="0094340A" w:rsidP="0094340A">
            <w:pPr>
              <w:spacing w:before="120"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1, litra e), nr. ii), i forordning (EU) nr. 575/2013 skal instituttet, hvis de vigtigste modellerings- og parameterantagelser, der anvendes i instituttets interne målesystemer, adskiller fra dem, der er omhandlet i artikel 98, stk. 5a, i direktiv 2013/36/EU, og som anvendes til offentliggørelse i skema EU IRRBB1, give en generel beskrivelse af disse antagelser, herunder rationalet for disse forskelle (f.eks. historiske data, offentliggjort forskning, ledelsens vurdering og analyse osv.).</w:t>
            </w:r>
          </w:p>
          <w:p w14:paraId="3FF39A57" w14:textId="5F109832" w:rsidR="003B1160" w:rsidRPr="0031221C" w:rsidRDefault="0013410F" w:rsidP="00721ADE">
            <w:pPr>
              <w:spacing w:before="120"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2, i forordning (EU) nr. 575/2013 finder offentliggørelseskravet ikke anvendelse på institutter, der anvender standardmetoden eller den forenklede standardmetode, som er omhandlet i artikel 84, stk. 1, i direktiv 2013/36/EU.</w:t>
            </w:r>
          </w:p>
        </w:tc>
      </w:tr>
      <w:tr w:rsidR="0094340A" w:rsidRPr="0031221C" w14:paraId="766E1A7E" w14:textId="77777777" w:rsidTr="00005B93">
        <w:trPr>
          <w:trHeight w:val="23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BE99" w14:textId="6073D3B2" w:rsidR="0094340A" w:rsidRPr="0031221C" w:rsidRDefault="0094340A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f)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639B" w14:textId="05CA8B66" w:rsidR="0094340A" w:rsidRPr="0031221C" w:rsidRDefault="001A6E70" w:rsidP="00B650A9">
            <w:pPr>
              <w:spacing w:after="120"/>
              <w:jc w:val="both"/>
              <w:rPr>
                <w:b/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rFonts w:ascii="Times New Roman" w:hAnsi="Times New Roman"/>
              </w:rPr>
              <w:t xml:space="preserve">En overordnet beskrivelse af, hvordan instituttet afdækker sin IRRBB og den dertil knyttede regnskabsmæssige behandling (hvis relevant)</w:t>
            </w:r>
          </w:p>
          <w:p w14:paraId="70B99ACF" w14:textId="007FE981" w:rsidR="0094340A" w:rsidRPr="0031221C" w:rsidRDefault="001A6E70" w:rsidP="00B650A9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overensstemmelse med artikel 448, stk. 1, litra e), nr. iv), i forordning (EU) nr. 575/2013 skal institutterne specifikt identificere virkningen af afdækninger af deres renterisiko, herunder interne afdækninger, der opfylder kravene i artikel 106, stk. 3, i forordning (EU) nr. 575/2013.</w:t>
            </w:r>
          </w:p>
          <w:p w14:paraId="4C51BA8A" w14:textId="2771AF79" w:rsidR="0013410F" w:rsidRPr="0031221C" w:rsidRDefault="0013410F" w:rsidP="00721ADE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2, i forordning (EU) nr. 575/2013 finder offentliggørelseskravet ikke anvendelse på institutter, der anvender standardmetoden eller den forenklede standardmetode, som er omhandlet i artikel 84, stk. 1, i direktiv 2013/36/EU.</w:t>
            </w:r>
          </w:p>
        </w:tc>
      </w:tr>
      <w:tr w:rsidR="00CD3692" w:rsidRPr="0031221C" w14:paraId="6344348E" w14:textId="77777777" w:rsidTr="0064412E">
        <w:trPr>
          <w:trHeight w:val="1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4B5" w14:textId="349E9B67" w:rsidR="00CD3692" w:rsidRPr="0031221C" w:rsidRDefault="00CF6849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g)</w:t>
            </w:r>
            <w:r>
              <w:rPr>
                <w:color w:val="000000"/>
                <w:rFonts w:ascii="Times New Roman" w:hAnsi="Times New Roman"/>
              </w:rPr>
              <w:t xml:space="preserve"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390" w14:textId="6E2E0F9E" w:rsidR="00CD3692" w:rsidRPr="0031221C" w:rsidRDefault="00EA1CF8" w:rsidP="00B650A9">
            <w:pPr>
              <w:spacing w:before="120" w:after="120"/>
              <w:jc w:val="both"/>
              <w:rPr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En beskrivelse af de vigtigste modellerings- og parameterantagelser, der anvendes til IRRBB-foranstaltningerne i skema EU IRRBB1 (hvis relevant)</w:t>
            </w:r>
          </w:p>
          <w:p w14:paraId="083A4172" w14:textId="093A90CF" w:rsidR="00CD3692" w:rsidRPr="0031221C" w:rsidRDefault="00133E44" w:rsidP="00B650A9">
            <w:p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1, litra c), i forordning (EU) nr. 575/2013 skal institutterne give en generel beskrivelse af de vigtigste modellerings- og parameterantagelser, bortset fra dem, der er omhandlet i artikel 98, stk. 5a, litra b) og c), i direktiv 2013/36/EU, og som anvendes ved beregning af ændringer i den økonomiske værdi af kapitalgrundlaget og nettorenteindtægterne, i skema EU IRRBB1.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Denne generelle beskrivelse skal som minimum omfatte:</w:t>
            </w:r>
          </w:p>
          <w:p w14:paraId="26388E97" w14:textId="6114187E" w:rsidR="00843F8C" w:rsidRPr="0031221C" w:rsidRDefault="0016128F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hvordan den gennemsnitlige rentetilpasningstid for indskud med ubestemt løbetid er blevet fastsat, herunder eventuelle unikke produktegenskaber, der påvirker forudsatte adfærdsmæssige revurderingstidspunkt</w:t>
            </w:r>
          </w:p>
          <w:p w14:paraId="01CB0AA3" w14:textId="2D904141" w:rsidR="00843F8C" w:rsidRPr="0031221C" w:rsidRDefault="00843F8C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den metode, der er anvendt til at estimere renten for førtidig indfrielse af lånet og/eller renten for førtidig hævning af tidsindskud, og andre væsentlige antagelser</w:t>
            </w:r>
          </w:p>
          <w:p w14:paraId="1BD4D78B" w14:textId="273602CC" w:rsidR="00AE69B7" w:rsidRPr="0031221C" w:rsidRDefault="00745B25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eventuelle andre antagelser, herunder for instrumenter med adfærdsmæssige optionaliteter, som har en væsentlig indvirkning på IRRBB-foranstaltningerne som oplyst i skema EU IRRBB1, herunder en redegørelse for, hvorfor disse er væsentlige.</w:t>
            </w:r>
          </w:p>
          <w:p w14:paraId="2195D942" w14:textId="77777777" w:rsidR="005E2B3A" w:rsidRPr="0031221C" w:rsidRDefault="005E2B3A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5155CA71" w14:textId="23D5624A" w:rsidR="005E2B3A" w:rsidRPr="0031221C" w:rsidRDefault="005E2B3A" w:rsidP="00721ADE">
            <w:pPr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2, i forordning (EU) nr. 575/2013 finder offentliggørelseskravet ikke anvendelse på institutter, der anvender standardmetoden eller den forenklede standardmetode, som er omhandlet i artikel 84, stk. 1, i direktiv 2013/36/EU.</w:t>
            </w:r>
          </w:p>
        </w:tc>
      </w:tr>
      <w:tr w:rsidR="00CD3692" w:rsidRPr="0031221C" w14:paraId="124DC3B1" w14:textId="77777777" w:rsidTr="00F930E4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4D2" w14:textId="3A2AB43A" w:rsidR="00CD3692" w:rsidRPr="0031221C" w:rsidRDefault="00C143B2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h)</w:t>
            </w:r>
            <w:r>
              <w:rPr>
                <w:color w:val="000000"/>
                <w:rFonts w:ascii="Times New Roman" w:hAnsi="Times New Roman"/>
              </w:rPr>
              <w:t xml:space="preserve"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F6D" w14:textId="6C923999" w:rsidR="003C310D" w:rsidRPr="0031221C" w:rsidRDefault="003C310D" w:rsidP="00B650A9">
            <w:pPr>
              <w:spacing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Forklaring af for IRRBB-foranstaltningernes betydning og af deres betydelige variationer siden foregående offentliggørelse</w:t>
            </w:r>
          </w:p>
          <w:p w14:paraId="79D598A4" w14:textId="45AA4311" w:rsidR="00CD3692" w:rsidRPr="0031221C" w:rsidRDefault="00133E44" w:rsidP="00942E61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1, litra d), i forordning (EU) nr. 575/2013 skal institutterne give en generel forklaring af betydningen af de IRRBB-foranstaltninger, der er offentliggjort i skema EU IRRBB1, og af eventuelle væsentlige ændringer af disse IRRBB-foranstaltninger siden den foregående referencedato for offentliggørelse.</w:t>
            </w:r>
          </w:p>
        </w:tc>
      </w:tr>
      <w:tr w:rsidR="007573CB" w:rsidRPr="0031221C" w14:paraId="7AE95BD0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7D5" w14:textId="3CB7C340" w:rsidR="007573CB" w:rsidRPr="0031221C" w:rsidRDefault="00912FEC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BD64" w14:textId="782047AF" w:rsidR="007573CB" w:rsidRPr="0031221C" w:rsidRDefault="007573CB" w:rsidP="00B650A9">
            <w:pPr>
              <w:spacing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Eventuelle andre relevante oplysninger om IRRBB-foranstaltningerne offentliggjort i skema EU IRRBB1 (valgfrit)</w:t>
            </w:r>
          </w:p>
          <w:p w14:paraId="4A261DD1" w14:textId="6EDF41BA" w:rsidR="007F15BF" w:rsidRPr="0031221C" w:rsidRDefault="007573CB" w:rsidP="00B650A9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Andre relevante oplysninger, som institutterne ønsker at offentliggøre vedrørende IRRBB-foranstaltningerne i skema EU IRRBB1.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</w:p>
          <w:p w14:paraId="10A0910D" w14:textId="43AEBA65" w:rsidR="007573CB" w:rsidRPr="0031221C" w:rsidRDefault="002B630E" w:rsidP="002B630E">
            <w:pPr>
              <w:spacing w:after="120"/>
              <w:jc w:val="both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Indtil kriterierne i retningslinjerne i artikel 84, stk. 6, i direktiv 2013/36/EU og de yderligere elementer, der er anført i artikel 98, stk. 5a, i direktiv 2013/36/EU, finder anvendelse, skal institutterne offentliggøre de parametre, der anvendes til stødscenarierne i forbindelse med tilsyn, den definition af nettorenteindtægter, de anvender, og andre relevante oplysninger til forståelse af, hvordan ændringerne i nettorenteindtægterne er blevet beregnet i skema EU IRRBB1.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</w:p>
        </w:tc>
      </w:tr>
      <w:tr w:rsidR="004F5466" w:rsidRPr="0031221C" w14:paraId="3C02208B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EA22" w14:textId="416D163F" w:rsidR="004F5466" w:rsidRPr="0031221C" w:rsidRDefault="00EA1CF8" w:rsidP="00F930E4">
            <w:pPr>
              <w:jc w:val="center"/>
              <w:rPr>
                <w:color w:val="000000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(1), (2)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F10" w14:textId="2D31C73F" w:rsidR="00065C44" w:rsidRPr="0031221C" w:rsidRDefault="00EA1CF8" w:rsidP="00B650A9">
            <w:pPr>
              <w:spacing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Offentliggørelse af den gennemsnitlige og længste rentetilpasningstid , der er fastsat for indskud med ubestemt løbetid</w:t>
            </w:r>
          </w:p>
          <w:p w14:paraId="48FA0E44" w14:textId="035E5E4B" w:rsidR="004F5466" w:rsidRPr="0031221C" w:rsidRDefault="00065C44" w:rsidP="00942E61">
            <w:pPr>
              <w:spacing w:after="120"/>
              <w:jc w:val="both"/>
              <w:rPr>
                <w:b/>
                <w:color w:val="000000"/>
                <w:sz w:val="24"/>
                <w:szCs w:val="22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I henhold til artikel 448, stk. 1, litra g), i forordning (EU) nr. 575/2013 skal institutterne offentliggøre den gennemsnitlige og længste rentetilpasningsfrist, der er fastsat for indskud med ubestemt løbetid fra detailmodparter og ikke-finansielle engrosmodparter.</w:t>
            </w: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rPr>
                <w:color w:val="000000"/>
                <w:rFonts w:ascii="Times New Roman" w:hAnsi="Times New Roman"/>
              </w:rPr>
              <w:t xml:space="preserve">Oplysningerne skal særskilt henvise til både den centrale del og det fulde beløb af indskud med ubestemt løbetid fra detailmodparter og ikke-finansielle engrosmodparter.</w:t>
            </w:r>
          </w:p>
        </w:tc>
      </w:tr>
    </w:tbl>
    <w:p w14:paraId="7CCC608C" w14:textId="665437C9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ECF7AE" w14:textId="68E6A9FF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CCE4A80" w14:textId="7996A576" w:rsidR="00CD3692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3569941" w14:textId="4C420FFB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D6BE0F5" w14:textId="4EA1E980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487ACD1" w14:textId="53FD952F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250FBF3" w14:textId="37DE64E1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9D0F024" w14:textId="0F997E3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0E8B64AA" w14:textId="14A1841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354E78F" w14:textId="3B4408D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C13897A" w14:textId="548DECB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3BE97FF" w14:textId="21D9ECFA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064F668" w14:textId="77777777" w:rsidR="000D6C4D" w:rsidRPr="0031221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87F28AF" w14:textId="08831685" w:rsidR="0054744B" w:rsidRPr="0031221C" w:rsidRDefault="00906CCA" w:rsidP="0054744B">
      <w:pPr>
        <w:jc w:val="both"/>
        <w:rPr>
          <w:bCs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Oplysningsinstrukser for skema EU IRRBB1</w:t>
      </w:r>
      <w:r>
        <w:rPr>
          <w:b/>
          <w:sz w:val="24"/>
          <w:rFonts w:ascii="Times New Roman" w:hAnsi="Times New Roman"/>
        </w:rPr>
        <w:t xml:space="preserve"> </w:t>
      </w:r>
    </w:p>
    <w:p w14:paraId="31489412" w14:textId="77777777" w:rsidR="0054744B" w:rsidRPr="0031221C" w:rsidRDefault="0054744B" w:rsidP="0054744B">
      <w:pPr>
        <w:ind w:left="360"/>
        <w:jc w:val="both"/>
        <w:rPr>
          <w:rFonts w:ascii="Times New Roman" w:hAnsi="Times New Roman"/>
          <w:bCs/>
          <w:sz w:val="24"/>
        </w:rPr>
      </w:pPr>
    </w:p>
    <w:p w14:paraId="341C6BAB" w14:textId="32CD6F45" w:rsidR="00580D58" w:rsidRPr="0031221C" w:rsidRDefault="00580D58" w:rsidP="000D6C4D">
      <w:pPr>
        <w:ind w:left="360"/>
        <w:jc w:val="both"/>
        <w:rPr>
          <w:bCs/>
        </w:rPr>
      </w:pPr>
    </w:p>
    <w:p w14:paraId="59C5AC78" w14:textId="3F3BF0EE" w:rsidR="00AC7CEB" w:rsidRPr="0031221C" w:rsidRDefault="00580D58" w:rsidP="0064406C">
      <w:pPr>
        <w:numPr>
          <w:ilvl w:val="0"/>
          <w:numId w:val="9"/>
        </w:numPr>
        <w:jc w:val="both"/>
        <w:rPr>
          <w:bCs/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Institutterne skal vurdere renterisikoen for aktiviteter uden for handelsbeholdningen på grundlag af deres interne risikomålingsmetode, standardmetode eller forenklede standardmetode, hvor det er relevant, i overensstemmelse med artikel 84 i direktiv 2013/36/EU under hensyntagen til stødscenarierne i forbindelse med tilsyn og de fælles modellerings- og parameterantagelser, der er omhandlet i artikel 98, stk. 5a, i direktiv 2013/36/EU.</w:t>
      </w:r>
    </w:p>
    <w:p w14:paraId="18595772" w14:textId="50D032F2" w:rsidR="00580D58" w:rsidRPr="0031221C" w:rsidRDefault="00580D58" w:rsidP="000D6C4D">
      <w:pPr>
        <w:ind w:left="360"/>
        <w:jc w:val="both"/>
        <w:rPr>
          <w:rFonts w:ascii="Times New Roman" w:hAnsi="Times New Roman"/>
          <w:bCs/>
          <w:sz w:val="24"/>
        </w:rPr>
      </w:pPr>
    </w:p>
    <w:p w14:paraId="5E3F5B28" w14:textId="0B4D03FC" w:rsidR="00AC7CEB" w:rsidRPr="0031221C" w:rsidRDefault="00AC7CEB" w:rsidP="0064406C">
      <w:pPr>
        <w:numPr>
          <w:ilvl w:val="0"/>
          <w:numId w:val="9"/>
        </w:numPr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Disse instrukser er udarbejdet på grundlag af kravene i artikel 448 i forordning (EU) nr. 575/2013 og i overensstemmelse med Basel søjle 3-oplysningsstandarden.</w:t>
      </w:r>
      <w:r>
        <w:rPr>
          <w:sz w:val="24"/>
          <w:rFonts w:ascii="Times New Roman" w:hAnsi="Times New Roman"/>
        </w:rPr>
        <w:t xml:space="preserve"> </w:t>
      </w:r>
    </w:p>
    <w:p w14:paraId="71B54BD0" w14:textId="77777777" w:rsidR="00227FDC" w:rsidRPr="0031221C" w:rsidRDefault="00227FDC" w:rsidP="00A81E4E">
      <w:pPr>
        <w:jc w:val="both"/>
        <w:rPr>
          <w:rFonts w:ascii="Times New Roman" w:hAnsi="Times New Roman"/>
          <w:bCs/>
          <w:sz w:val="24"/>
        </w:rPr>
      </w:pPr>
    </w:p>
    <w:p w14:paraId="532A60CC" w14:textId="38E17551" w:rsidR="0054744B" w:rsidRPr="0031221C" w:rsidRDefault="005B5611" w:rsidP="0064406C">
      <w:pPr>
        <w:numPr>
          <w:ilvl w:val="0"/>
          <w:numId w:val="9"/>
        </w:numPr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er ikke forpligtet til at indberette oplysningerne for den foregående periode i deres første offentliggørelse.</w:t>
      </w:r>
    </w:p>
    <w:p w14:paraId="4329A1AB" w14:textId="77777777" w:rsidR="00CE0D17" w:rsidRPr="0031221C" w:rsidRDefault="00CE0D17" w:rsidP="00CE0D17">
      <w:pPr>
        <w:pStyle w:val="ListParagraph"/>
        <w:rPr>
          <w:rFonts w:ascii="Times New Roman" w:hAnsi="Times New Roman"/>
          <w:bCs/>
          <w:sz w:val="24"/>
        </w:rPr>
      </w:pPr>
    </w:p>
    <w:p w14:paraId="6EDD9A3D" w14:textId="77777777" w:rsidR="0060489A" w:rsidRPr="0031221C" w:rsidRDefault="0060489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54744B" w:rsidRPr="0031221C" w14:paraId="4761A8A4" w14:textId="77777777" w:rsidTr="0095024C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110B" w14:textId="04B554CD" w:rsidR="0054744B" w:rsidRPr="0031221C" w:rsidRDefault="0054744B" w:rsidP="0054744B">
            <w:pPr>
              <w:pStyle w:val="TableTitle"/>
              <w:jc w:val="left"/>
              <w:rPr>
                <w:noProof w:val="0"/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Instrukser til udfyldelse af offentliggørelsesskema EU IRRBB1</w:t>
            </w:r>
          </w:p>
        </w:tc>
      </w:tr>
      <w:tr w:rsidR="0054744B" w:rsidRPr="0031221C" w14:paraId="4DCD406D" w14:textId="77777777" w:rsidTr="007C351F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088F66A9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Kolonne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0621506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color w:val="000000"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Forklaring</w:t>
            </w:r>
          </w:p>
        </w:tc>
      </w:tr>
      <w:tr w:rsidR="0054744B" w:rsidRPr="0031221C" w14:paraId="53AAFC46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562D66BF" w14:textId="1E0A8346" w:rsidR="0054744B" w:rsidRPr="0031221C" w:rsidRDefault="00316B9A" w:rsidP="00F55DB0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a, b</w:t>
            </w:r>
          </w:p>
        </w:tc>
        <w:tc>
          <w:tcPr>
            <w:tcW w:w="7768" w:type="dxa"/>
            <w:shd w:val="clear" w:color="auto" w:fill="FFFFFF" w:themeFill="background1"/>
          </w:tcPr>
          <w:p w14:paraId="26CB8AC0" w14:textId="3A3B49B8" w:rsidR="00793890" w:rsidRPr="0031221C" w:rsidRDefault="004E6BD5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Ændringer i den økonomiske værdi af kapitalgrundlaget</w:t>
            </w:r>
          </w:p>
          <w:p w14:paraId="7E84F9AE" w14:textId="3C5E67A3" w:rsidR="002F2E04" w:rsidRPr="0031221C" w:rsidRDefault="009C3247" w:rsidP="009C3247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Artikel 448, stk. 1, litra a), i forordning (EU) nr. 575/2013.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C9FBFE2" w14:textId="0CBAAF6F" w:rsidR="009C2377" w:rsidRPr="0031221C" w:rsidRDefault="009C3247" w:rsidP="009C3247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indberette ændringerne i den økonomiske værdi af kapitalgrundlaget under hvert rentestødscenario i forbindelse med tilsyn for den indeværende og den foregående periode i overensstemmelse med kravene i artikel 84 og 98, stk. 5, i direktiv 2013/36/EU.</w:t>
            </w:r>
          </w:p>
          <w:p w14:paraId="6996A7A9" w14:textId="72F54AA8" w:rsidR="009D7A7D" w:rsidRPr="0031221C" w:rsidRDefault="009D7A7D" w:rsidP="009D7A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744B" w:rsidRPr="0031221C" w14:paraId="6583A42B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619CE943" w14:textId="5F0011ED" w:rsidR="0054744B" w:rsidRPr="0031221C" w:rsidRDefault="00316B9A" w:rsidP="0060489A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c, d</w:t>
            </w:r>
          </w:p>
        </w:tc>
        <w:tc>
          <w:tcPr>
            <w:tcW w:w="7768" w:type="dxa"/>
            <w:shd w:val="clear" w:color="auto" w:fill="FFFFFF" w:themeFill="background1"/>
          </w:tcPr>
          <w:p w14:paraId="5BAD9564" w14:textId="213A9B28" w:rsidR="00305C67" w:rsidRPr="0031221C" w:rsidRDefault="00316B9A" w:rsidP="00305C67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Ændringer i nettorenteindtægterne</w:t>
            </w:r>
          </w:p>
          <w:p w14:paraId="0ED8B6C6" w14:textId="70E8F948" w:rsidR="002F2E04" w:rsidRPr="0031221C" w:rsidRDefault="00CE0D17" w:rsidP="00B81100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Artikel 448, stk. 1, litra b), i forordning (EU) nr. 575/2013.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29DC825" w14:textId="34B035B2" w:rsidR="008E005A" w:rsidRPr="0031221C" w:rsidRDefault="00CE0D17" w:rsidP="00B81100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indberette ændringerne i nettorenteindtægterne under de to rentestødscenarier i forbindelse med tilsyn i skemaet for den indeværende og den foregående periode i overensstemmelse med kravene i artikel 84 og 98, stk. 5, i direktiv 2013/36/EU.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D49064E" w14:textId="1AFABC17" w:rsidR="00C41D59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color w:val="000000"/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Indtil kriterierne i retningslinjerne i artikel 84, stk. 6, i direktiv 2013/36/EU og de yderligere elementer, der er anført i artikel 98, stk. 5a, i direktiv 2013/36/EU, finder anvendelse, skal institutterne beskrive definitionen og de vigtigste karakteristika (scenarier, antagelser og tidshorisonter for nettorenteindtægter) for nettorenteindtægter, som de anvender, i litra i) i skema EU IRRBBA, eller, hvis de lader disse kolonner stå tomme, forklare årsagerne i litra i) i skema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7FDC" w:rsidRPr="0031221C" w14:paraId="55BAD1A1" w14:textId="77777777" w:rsidTr="00A81E4E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CBAA6" w14:textId="77777777" w:rsidR="00227FDC" w:rsidRPr="0031221C" w:rsidRDefault="00227FDC" w:rsidP="00A81E4E">
            <w:pPr>
              <w:autoSpaceDE w:val="0"/>
              <w:autoSpaceDN w:val="0"/>
              <w:adjustRightInd w:val="0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Række</w:t>
            </w:r>
            <w:r>
              <w:rPr>
                <w:b/>
                <w:rFonts w:ascii="Times New Roman" w:hAnsi="Times New Roman"/>
              </w:rPr>
              <w:t xml:space="preserve">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12B66" w14:textId="77777777" w:rsidR="00227FDC" w:rsidRPr="0031221C" w:rsidRDefault="00227FDC" w:rsidP="00A81E4E">
            <w:pPr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Forklaring</w:t>
            </w:r>
          </w:p>
        </w:tc>
      </w:tr>
      <w:tr w:rsidR="00227FDC" w:rsidRPr="0031221C" w14:paraId="58E34903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8E4B4" w14:textId="7F6176AD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AB7B7" w14:textId="385B87B7" w:rsidR="00227FDC" w:rsidRPr="0031221C" w:rsidRDefault="003E3A89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Parallelt opad</w:t>
            </w:r>
          </w:p>
          <w:p w14:paraId="460792B5" w14:textId="200E6EE9" w:rsidR="0080384B" w:rsidRPr="0031221C" w:rsidRDefault="00615DB8" w:rsidP="00B9107D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offentliggøre ændringerne i den økonomiske værdi af kapitalgrundlaget og ændringerne i nettorenteindtægterne ved et konstant parallelt opadrettet stød i rentekurven.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AA6B7BB" w14:textId="14575B1E" w:rsidR="0084271D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Indtil kriterierne i retningslinjerne i artikel 84, stk. 6, i direktiv 2013/36/EU og de yderligere elementer, der er anført i artikel 98, stk. 5a, i direktiv 2013/36/EU, finder anvendelse, beskrives de parametre, der anvendes til dette scenario, i litra i) i tabel EU IRRBBA.</w:t>
            </w:r>
          </w:p>
        </w:tc>
      </w:tr>
      <w:tr w:rsidR="00227FDC" w:rsidRPr="0031221C" w14:paraId="544FB1F8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4EE41" w14:textId="424C34BA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F83F" w14:textId="3625939B" w:rsidR="00227FDC" w:rsidRPr="0031221C" w:rsidRDefault="003E3A89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Parallelt nedad</w:t>
            </w:r>
          </w:p>
          <w:p w14:paraId="1C16CAC1" w14:textId="764F4FC2" w:rsidR="0080384B" w:rsidRPr="0031221C" w:rsidRDefault="0084271D" w:rsidP="00B9107D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offentliggøre ændringerne i den økonomiske værdi af kapitalgrundlaget og ændringerne i nettorenteindtægterne ved et konstant parallelt nedadrettet stød i rentekurven.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D14716A" w14:textId="5D1C74C8" w:rsidR="0084271D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Indtil kriterierne i retningslinjerne i artikel 84, stk. 6, i direktiv 2013/36/EU og de yderligere elementer, der er anført i artikel 98, stk. 5a, i direktiv 2013/36/EU, finder anvendelse, beskrives de parametre, der anvendes til dette scenario, i litra i) i tabel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7FDC" w:rsidRPr="0031221C" w14:paraId="39F33934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555B" w14:textId="0BCBC17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64ADF" w14:textId="1E50F67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bCs w:val="0"/>
                <w:sz w:val="22"/>
                <w:szCs w:val="22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2"/>
                <w:u w:val="none"/>
                <w:rFonts w:ascii="Times New Roman" w:hAnsi="Times New Roman"/>
              </w:rPr>
              <w:t xml:space="preserve">Steepener</w:t>
            </w:r>
          </w:p>
          <w:p w14:paraId="1FAE89D5" w14:textId="27B90C73" w:rsidR="0080384B" w:rsidRPr="0031221C" w:rsidRDefault="003F5907" w:rsidP="00B9107D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offentliggøre ændringerne i den økonomiske værdi af kapitalgrundlaget under et scenario med korte renter nedad og lange renter opad på rentekurven.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B14043C" w14:textId="013A1877" w:rsidR="0084271D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Indtil kriterierne i retningslinjerne i artikel 84, stk. 6, i direktiv 2013/36/EU og de yderligere elementer, der er anført i artikel 98, stk. 5a, i direktiv 2013/36/EU, finder anvendelse, beskrives de parametre, der anvendes til dette scenario, i litra i) i tabel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7FDC" w:rsidRPr="0031221C" w14:paraId="6BC8352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DB3" w14:textId="300BBE3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85C1" w14:textId="65969A2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bCs w:val="0"/>
                <w:sz w:val="22"/>
                <w:szCs w:val="22"/>
                <w:u w:val="none"/>
                <w:rFonts w:ascii="Times New Roman" w:eastAsia="Times New Roman" w:hAnsi="Times New Roman"/>
              </w:rPr>
            </w:pPr>
            <w:r>
              <w:rPr>
                <w:rStyle w:val="InstructionsTabelleberschrift"/>
                <w:sz w:val="22"/>
                <w:u w:val="none"/>
                <w:rFonts w:ascii="Times New Roman" w:hAnsi="Times New Roman"/>
              </w:rPr>
              <w:t xml:space="preserve">Flattener</w:t>
            </w:r>
          </w:p>
          <w:p w14:paraId="3D4F63A7" w14:textId="2CC94F2B" w:rsidR="0080384B" w:rsidRPr="0031221C" w:rsidRDefault="003F5907" w:rsidP="003F5907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offentliggøre ændringerne i den økonomiske værdi af kapitalgrundlaget under et scenario med korte renter opad og lange renter nedad på rentekurven.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8AA63EC" w14:textId="159AECB7" w:rsidR="003C7BCD" w:rsidRPr="0031221C" w:rsidRDefault="00C24484" w:rsidP="00C24484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Indtil kriterierne i retningslinjerne i artikel 84, stk. 6, i direktiv 2013/36/EU og de yderligere elementer, der er anført i artikel 98, stk. 5a, i direktiv 2013/36/EU, finder anvendelse, beskrives de parametre, der anvendes til dette scenario, i litra i) i tabel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7FDC" w:rsidRPr="0031221C" w14:paraId="5A47760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C9AB1" w14:textId="59E27251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7840B" w14:textId="0C1AAD14" w:rsidR="00227FDC" w:rsidRPr="0031221C" w:rsidRDefault="003E3A89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Korte renter opad</w:t>
            </w:r>
          </w:p>
          <w:p w14:paraId="68A86533" w14:textId="7377DB6E" w:rsidR="0080384B" w:rsidRPr="0031221C" w:rsidRDefault="003F5907" w:rsidP="003F5907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offentliggøre ændringerne i den økonomiske værdi af kapitalgrundlaget under et scenario med korte renter opad på rentekurven.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A69073C" w14:textId="59D58E63" w:rsidR="003C7BCD" w:rsidRPr="0031221C" w:rsidRDefault="00C24484" w:rsidP="00C24484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Indtil kriterierne i retningslinjerne i artikel 84, stk. 6, i direktiv 2013/36/EU og de yderligere elementer, der er anført i artikel 98, stk. 5a, i direktiv 2013/36/EU, finder anvendelse, beskrives de parametre, der anvendes til dette scenario, i litra i) i tabel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E0D17" w:rsidRPr="0031221C" w14:paraId="54BF60AA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A67F" w14:textId="4CEC3E89" w:rsidR="00CE0D17" w:rsidRPr="0031221C" w:rsidRDefault="00CE0D17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Cs w:val="22"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8A263" w14:textId="77777777" w:rsidR="00CE0D17" w:rsidRPr="0031221C" w:rsidRDefault="003E3A89" w:rsidP="0060489A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Korte renter nedad</w:t>
            </w:r>
          </w:p>
          <w:p w14:paraId="52648BA1" w14:textId="70C444CA" w:rsidR="0080384B" w:rsidRPr="0031221C" w:rsidRDefault="003F5907" w:rsidP="003F5907">
            <w:pPr>
              <w:spacing w:before="60" w:after="120"/>
              <w:jc w:val="both"/>
              <w:rPr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offentliggøre ændringerne i den økonomiske værdi af kapitalgrundlaget under et scenario med korte renter nedad på rentekurven.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5792CFB" w14:textId="3D985205" w:rsidR="003C7BCD" w:rsidRPr="0031221C" w:rsidRDefault="00C24484" w:rsidP="00C24484">
            <w:pPr>
              <w:spacing w:before="60" w:after="120"/>
              <w:jc w:val="both"/>
              <w:rPr>
                <w:b/>
                <w:szCs w:val="22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Indtil kriterierne i retningslinjerne i artikel 84, stk. 6, i direktiv 2013/36/EU og de yderligere elementer, der er anført i artikel 98, stk. 5a, i direktiv 2013/36/EU, finder anvendelse, beskrives de parametre, der anvendes til dette scenario, i litra i) i tabel EU IRRBBA.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3452EC82" w14:textId="7F3D1507" w:rsidR="00FE2CB5" w:rsidRPr="0031221C" w:rsidRDefault="00FE2CB5" w:rsidP="00FE2CB5">
      <w:pPr>
        <w:jc w:val="both"/>
        <w:rPr>
          <w:rFonts w:ascii="Calibri" w:eastAsia="Times New Roman" w:hAnsi="Calibri" w:cs="Times New Roman"/>
          <w:color w:val="000000"/>
          <w:szCs w:val="22"/>
          <w:lang w:eastAsia="en-GB"/>
        </w:rPr>
      </w:pPr>
    </w:p>
    <w:p w14:paraId="7DD927F3" w14:textId="7DB8FF08" w:rsidR="00FE2CB5" w:rsidRPr="00482070" w:rsidRDefault="005B5611" w:rsidP="00A81E4E">
      <w:r>
        <w:t xml:space="preserve">"</w:t>
      </w:r>
    </w:p>
    <w:sectPr w:rsidR="00FE2CB5" w:rsidRPr="004820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3957D" w16cex:dateUtc="2021-12-14T21:13:00Z"/>
  <w16cex:commentExtensible w16cex:durableId="2563964E" w16cex:dateUtc="2021-12-14T21:16:00Z"/>
  <w16cex:commentExtensible w16cex:durableId="25639664" w16cex:dateUtc="2021-12-14T21:17:00Z"/>
  <w16cex:commentExtensible w16cex:durableId="256396F7" w16cex:dateUtc="2021-12-14T21:19:00Z"/>
  <w16cex:commentExtensible w16cex:durableId="2563976E" w16cex:dateUtc="2021-12-14T21:21:00Z"/>
  <w16cex:commentExtensible w16cex:durableId="2563980B" w16cex:dateUtc="2021-12-14T21:24:00Z"/>
  <w16cex:commentExtensible w16cex:durableId="2564311E" w16cex:dateUtc="2021-12-15T08:17:00Z"/>
  <w16cex:commentExtensible w16cex:durableId="2563999B" w16cex:dateUtc="2021-12-14T21:30:00Z"/>
  <w16cex:commentExtensible w16cex:durableId="256399A9" w16cex:dateUtc="2021-12-14T21:31:00Z"/>
  <w16cex:commentExtensible w16cex:durableId="25639A19" w16cex:dateUtc="2021-12-14T21:32:00Z"/>
  <w16cex:commentExtensible w16cex:durableId="25639A63" w16cex:dateUtc="2021-12-14T21:34:00Z"/>
  <w16cex:commentExtensible w16cex:durableId="25639AC4" w16cex:dateUtc="2021-12-14T21:35:00Z"/>
  <w16cex:commentExtensible w16cex:durableId="25639B49" w16cex:dateUtc="2021-12-14T21:38:00Z"/>
  <w16cex:commentExtensible w16cex:durableId="25639B92" w16cex:dateUtc="2021-12-14T21:39:00Z"/>
  <w16cex:commentExtensible w16cex:durableId="25639C31" w16cex:dateUtc="2021-12-14T21:41:00Z"/>
  <w16cex:commentExtensible w16cex:durableId="25639C57" w16cex:dateUtc="2021-12-14T21:42:00Z"/>
  <w16cex:commentExtensible w16cex:durableId="256431B7" w16cex:dateUtc="2021-12-15T08:19:00Z"/>
  <w16cex:commentExtensible w16cex:durableId="25639D00" w16cex:dateUtc="2021-12-14T21:45:00Z"/>
  <w16cex:commentExtensible w16cex:durableId="25639D16" w16cex:dateUtc="2021-12-14T21:45:00Z"/>
  <w16cex:commentExtensible w16cex:durableId="25639D20" w16cex:dateUtc="2021-12-14T21:45:00Z"/>
  <w16cex:commentExtensible w16cex:durableId="25639D28" w16cex:dateUtc="2021-12-14T2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E20546" w16cid:durableId="25639565"/>
  <w16cid:commentId w16cid:paraId="550322A7" w16cid:durableId="25639566"/>
  <w16cid:commentId w16cid:paraId="6AEC2973" w16cid:durableId="25639567"/>
  <w16cid:commentId w16cid:paraId="77DB14AD" w16cid:durableId="2563957D"/>
  <w16cid:commentId w16cid:paraId="733C91F8" w16cid:durableId="25639568"/>
  <w16cid:commentId w16cid:paraId="3F5E91F2" w16cid:durableId="25639569"/>
  <w16cid:commentId w16cid:paraId="337FF161" w16cid:durableId="2563956A"/>
  <w16cid:commentId w16cid:paraId="7A01F064" w16cid:durableId="2563964E"/>
  <w16cid:commentId w16cid:paraId="6E8632C5" w16cid:durableId="2563956B"/>
  <w16cid:commentId w16cid:paraId="17BF3F7E" w16cid:durableId="25639664"/>
  <w16cid:commentId w16cid:paraId="09696C97" w16cid:durableId="2563956C"/>
  <w16cid:commentId w16cid:paraId="699146E7" w16cid:durableId="2563956D"/>
  <w16cid:commentId w16cid:paraId="4F8BD1C6" w16cid:durableId="256396F7"/>
  <w16cid:commentId w16cid:paraId="041347AD" w16cid:durableId="2563956E"/>
  <w16cid:commentId w16cid:paraId="440AB23A" w16cid:durableId="2563956F"/>
  <w16cid:commentId w16cid:paraId="3BF2C77B" w16cid:durableId="25639570"/>
  <w16cid:commentId w16cid:paraId="31C81043" w16cid:durableId="2563976E"/>
  <w16cid:commentId w16cid:paraId="51EF7DC4" w16cid:durableId="25639571"/>
  <w16cid:commentId w16cid:paraId="57BD693E" w16cid:durableId="2563980B"/>
  <w16cid:commentId w16cid:paraId="61369E07" w16cid:durableId="2564311E"/>
  <w16cid:commentId w16cid:paraId="5E476EB2" w16cid:durableId="25639572"/>
  <w16cid:commentId w16cid:paraId="5E20D633" w16cid:durableId="2563999B"/>
  <w16cid:commentId w16cid:paraId="6EED4264" w16cid:durableId="25639573"/>
  <w16cid:commentId w16cid:paraId="4D7BB019" w16cid:durableId="256399A9"/>
  <w16cid:commentId w16cid:paraId="490C0683" w16cid:durableId="25639574"/>
  <w16cid:commentId w16cid:paraId="7531E822" w16cid:durableId="25639A19"/>
  <w16cid:commentId w16cid:paraId="2C4CCC55" w16cid:durableId="25639575"/>
  <w16cid:commentId w16cid:paraId="1A445087" w16cid:durableId="25639A63"/>
  <w16cid:commentId w16cid:paraId="40CDDC02" w16cid:durableId="25639576"/>
  <w16cid:commentId w16cid:paraId="1702AF2B" w16cid:durableId="25639AC4"/>
  <w16cid:commentId w16cid:paraId="346D5188" w16cid:durableId="25639B49"/>
  <w16cid:commentId w16cid:paraId="330C005A" w16cid:durableId="25639B92"/>
  <w16cid:commentId w16cid:paraId="520D2CC0" w16cid:durableId="25639C31"/>
  <w16cid:commentId w16cid:paraId="278A9C73" w16cid:durableId="25639577"/>
  <w16cid:commentId w16cid:paraId="63424010" w16cid:durableId="25639C57"/>
  <w16cid:commentId w16cid:paraId="36CE4E9B" w16cid:durableId="256431B7"/>
  <w16cid:commentId w16cid:paraId="5090C07A" w16cid:durableId="25639D00"/>
  <w16cid:commentId w16cid:paraId="0D434E15" w16cid:durableId="25639D16"/>
  <w16cid:commentId w16cid:paraId="18CAFB82" w16cid:durableId="25639D20"/>
  <w16cid:commentId w16cid:paraId="33D5E744" w16cid:durableId="25639D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B82AC" w14:textId="77777777" w:rsidR="00B86ED4" w:rsidRDefault="00B86ED4" w:rsidP="003B5C57">
      <w:r>
        <w:separator/>
      </w:r>
    </w:p>
  </w:endnote>
  <w:endnote w:type="continuationSeparator" w:id="0">
    <w:p w14:paraId="76F692C0" w14:textId="77777777" w:rsidR="00B86ED4" w:rsidRDefault="00B86ED4" w:rsidP="003B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2C445" w14:textId="77777777" w:rsidR="004B327C" w:rsidRDefault="004B3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B5D18" w14:textId="77777777" w:rsidR="004B327C" w:rsidRDefault="004B32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6B9CC" w14:textId="77777777" w:rsidR="004B327C" w:rsidRDefault="004B3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7AD1B" w14:textId="77777777" w:rsidR="00B86ED4" w:rsidRDefault="00B86ED4" w:rsidP="003B5C57">
      <w:r>
        <w:separator/>
      </w:r>
    </w:p>
  </w:footnote>
  <w:footnote w:type="continuationSeparator" w:id="0">
    <w:p w14:paraId="14714B02" w14:textId="77777777" w:rsidR="00B86ED4" w:rsidRDefault="00B86ED4" w:rsidP="003B5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E0BA4" w14:textId="77777777" w:rsidR="004B327C" w:rsidRDefault="004B3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53384" w14:textId="77777777" w:rsidR="004B327C" w:rsidRDefault="004B32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2324C" w14:textId="77777777" w:rsidR="004B327C" w:rsidRDefault="004B3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820"/>
    <w:multiLevelType w:val="hybridMultilevel"/>
    <w:tmpl w:val="9008071A"/>
    <w:lvl w:ilvl="0" w:tplc="32880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67BC"/>
    <w:multiLevelType w:val="hybridMultilevel"/>
    <w:tmpl w:val="A320B384"/>
    <w:lvl w:ilvl="0" w:tplc="08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2466072A"/>
    <w:multiLevelType w:val="multilevel"/>
    <w:tmpl w:val="3566011E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45AC"/>
    <w:multiLevelType w:val="hybridMultilevel"/>
    <w:tmpl w:val="98463E24"/>
    <w:lvl w:ilvl="0" w:tplc="6CE4CC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CD6352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0BC6196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1428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67C0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4744B"/>
    <w:rsid w:val="00005B93"/>
    <w:rsid w:val="00013240"/>
    <w:rsid w:val="00025422"/>
    <w:rsid w:val="000469EE"/>
    <w:rsid w:val="00047E00"/>
    <w:rsid w:val="00053035"/>
    <w:rsid w:val="00060307"/>
    <w:rsid w:val="0006327F"/>
    <w:rsid w:val="00063CE6"/>
    <w:rsid w:val="00065C44"/>
    <w:rsid w:val="00067516"/>
    <w:rsid w:val="000A10FC"/>
    <w:rsid w:val="000A53EF"/>
    <w:rsid w:val="000B212C"/>
    <w:rsid w:val="000B28B3"/>
    <w:rsid w:val="000D6C4D"/>
    <w:rsid w:val="000F5EAA"/>
    <w:rsid w:val="000F6E3B"/>
    <w:rsid w:val="000F720A"/>
    <w:rsid w:val="0010640D"/>
    <w:rsid w:val="00110370"/>
    <w:rsid w:val="00111970"/>
    <w:rsid w:val="001163B7"/>
    <w:rsid w:val="00125B00"/>
    <w:rsid w:val="00133E44"/>
    <w:rsid w:val="0013410F"/>
    <w:rsid w:val="00146A3F"/>
    <w:rsid w:val="00146DB4"/>
    <w:rsid w:val="0016128F"/>
    <w:rsid w:val="00166CAA"/>
    <w:rsid w:val="00166FFE"/>
    <w:rsid w:val="00167A62"/>
    <w:rsid w:val="0017255F"/>
    <w:rsid w:val="00177088"/>
    <w:rsid w:val="001810BE"/>
    <w:rsid w:val="00186FD4"/>
    <w:rsid w:val="00187547"/>
    <w:rsid w:val="0019262D"/>
    <w:rsid w:val="001A538C"/>
    <w:rsid w:val="001A6E70"/>
    <w:rsid w:val="001A7DE4"/>
    <w:rsid w:val="001D0BA8"/>
    <w:rsid w:val="001D3283"/>
    <w:rsid w:val="001E248D"/>
    <w:rsid w:val="001E68FA"/>
    <w:rsid w:val="001F11D4"/>
    <w:rsid w:val="001F2FE9"/>
    <w:rsid w:val="00226654"/>
    <w:rsid w:val="00227A69"/>
    <w:rsid w:val="00227FDC"/>
    <w:rsid w:val="0024072B"/>
    <w:rsid w:val="002711B6"/>
    <w:rsid w:val="00271375"/>
    <w:rsid w:val="00292CEC"/>
    <w:rsid w:val="002931F0"/>
    <w:rsid w:val="002B52BC"/>
    <w:rsid w:val="002B630E"/>
    <w:rsid w:val="002B6C39"/>
    <w:rsid w:val="002D655D"/>
    <w:rsid w:val="002E597B"/>
    <w:rsid w:val="002E7E2E"/>
    <w:rsid w:val="002F10D0"/>
    <w:rsid w:val="002F2E04"/>
    <w:rsid w:val="002F726C"/>
    <w:rsid w:val="00305C67"/>
    <w:rsid w:val="0031221C"/>
    <w:rsid w:val="00316B9A"/>
    <w:rsid w:val="003364BD"/>
    <w:rsid w:val="00367A62"/>
    <w:rsid w:val="0037080E"/>
    <w:rsid w:val="00371201"/>
    <w:rsid w:val="00371886"/>
    <w:rsid w:val="0038371B"/>
    <w:rsid w:val="003942C9"/>
    <w:rsid w:val="003A2001"/>
    <w:rsid w:val="003A5365"/>
    <w:rsid w:val="003B1160"/>
    <w:rsid w:val="003B4F8B"/>
    <w:rsid w:val="003B5C57"/>
    <w:rsid w:val="003C03B3"/>
    <w:rsid w:val="003C310D"/>
    <w:rsid w:val="003C78DE"/>
    <w:rsid w:val="003C7BCD"/>
    <w:rsid w:val="003D086C"/>
    <w:rsid w:val="003E1403"/>
    <w:rsid w:val="003E3A89"/>
    <w:rsid w:val="003F5907"/>
    <w:rsid w:val="004018B3"/>
    <w:rsid w:val="00416C73"/>
    <w:rsid w:val="0042024E"/>
    <w:rsid w:val="00426CEC"/>
    <w:rsid w:val="0043059C"/>
    <w:rsid w:val="0045248D"/>
    <w:rsid w:val="00453AC4"/>
    <w:rsid w:val="00465DF4"/>
    <w:rsid w:val="00470043"/>
    <w:rsid w:val="00482070"/>
    <w:rsid w:val="004858AF"/>
    <w:rsid w:val="00487F1C"/>
    <w:rsid w:val="0049568B"/>
    <w:rsid w:val="004979A6"/>
    <w:rsid w:val="004A12CC"/>
    <w:rsid w:val="004B0B2A"/>
    <w:rsid w:val="004B327C"/>
    <w:rsid w:val="004D27DD"/>
    <w:rsid w:val="004E2266"/>
    <w:rsid w:val="004E6BD5"/>
    <w:rsid w:val="004F5466"/>
    <w:rsid w:val="00503DC1"/>
    <w:rsid w:val="00504410"/>
    <w:rsid w:val="00512477"/>
    <w:rsid w:val="00520421"/>
    <w:rsid w:val="00523FE8"/>
    <w:rsid w:val="005470E3"/>
    <w:rsid w:val="0054744B"/>
    <w:rsid w:val="00550EA4"/>
    <w:rsid w:val="00565F5A"/>
    <w:rsid w:val="00573FD3"/>
    <w:rsid w:val="00580D58"/>
    <w:rsid w:val="00586B82"/>
    <w:rsid w:val="00593C4B"/>
    <w:rsid w:val="00595903"/>
    <w:rsid w:val="005A5573"/>
    <w:rsid w:val="005B367A"/>
    <w:rsid w:val="005B5611"/>
    <w:rsid w:val="005D48C1"/>
    <w:rsid w:val="005E2B3A"/>
    <w:rsid w:val="005F4729"/>
    <w:rsid w:val="005F58E6"/>
    <w:rsid w:val="006001A4"/>
    <w:rsid w:val="00604339"/>
    <w:rsid w:val="0060489A"/>
    <w:rsid w:val="00607494"/>
    <w:rsid w:val="00615DB8"/>
    <w:rsid w:val="00616CF0"/>
    <w:rsid w:val="0064406C"/>
    <w:rsid w:val="0064412E"/>
    <w:rsid w:val="006473E8"/>
    <w:rsid w:val="00653207"/>
    <w:rsid w:val="00681608"/>
    <w:rsid w:val="00697A36"/>
    <w:rsid w:val="006A78BA"/>
    <w:rsid w:val="006B3947"/>
    <w:rsid w:val="006C2CA1"/>
    <w:rsid w:val="006C6FD2"/>
    <w:rsid w:val="006D4BE6"/>
    <w:rsid w:val="006D6B49"/>
    <w:rsid w:val="006D6C52"/>
    <w:rsid w:val="006F391A"/>
    <w:rsid w:val="006F69ED"/>
    <w:rsid w:val="007012E2"/>
    <w:rsid w:val="00711138"/>
    <w:rsid w:val="00716636"/>
    <w:rsid w:val="00721ADE"/>
    <w:rsid w:val="007269B1"/>
    <w:rsid w:val="00745B25"/>
    <w:rsid w:val="007573CB"/>
    <w:rsid w:val="00763C4D"/>
    <w:rsid w:val="00765030"/>
    <w:rsid w:val="007700DF"/>
    <w:rsid w:val="00775FD9"/>
    <w:rsid w:val="0078309E"/>
    <w:rsid w:val="00793890"/>
    <w:rsid w:val="007A1366"/>
    <w:rsid w:val="007A4AA0"/>
    <w:rsid w:val="007A7AFA"/>
    <w:rsid w:val="007B3033"/>
    <w:rsid w:val="007C351F"/>
    <w:rsid w:val="007D1AE4"/>
    <w:rsid w:val="007F15BF"/>
    <w:rsid w:val="007F71C4"/>
    <w:rsid w:val="0080384B"/>
    <w:rsid w:val="00804CDC"/>
    <w:rsid w:val="008220B0"/>
    <w:rsid w:val="00834F07"/>
    <w:rsid w:val="00835D8A"/>
    <w:rsid w:val="0084271D"/>
    <w:rsid w:val="00842C3A"/>
    <w:rsid w:val="00843F8C"/>
    <w:rsid w:val="00844CC6"/>
    <w:rsid w:val="00862897"/>
    <w:rsid w:val="0086459A"/>
    <w:rsid w:val="0087249C"/>
    <w:rsid w:val="008766A5"/>
    <w:rsid w:val="00885EBE"/>
    <w:rsid w:val="0088622B"/>
    <w:rsid w:val="00886EB3"/>
    <w:rsid w:val="008A053C"/>
    <w:rsid w:val="008A5827"/>
    <w:rsid w:val="008B589A"/>
    <w:rsid w:val="008E005A"/>
    <w:rsid w:val="008F617B"/>
    <w:rsid w:val="00904C4D"/>
    <w:rsid w:val="00906CCA"/>
    <w:rsid w:val="00912FEC"/>
    <w:rsid w:val="009222ED"/>
    <w:rsid w:val="00925221"/>
    <w:rsid w:val="00926D41"/>
    <w:rsid w:val="00942E61"/>
    <w:rsid w:val="0094340A"/>
    <w:rsid w:val="0094354B"/>
    <w:rsid w:val="00947B6C"/>
    <w:rsid w:val="0095024C"/>
    <w:rsid w:val="00952741"/>
    <w:rsid w:val="009528FB"/>
    <w:rsid w:val="0095538A"/>
    <w:rsid w:val="0095708D"/>
    <w:rsid w:val="00976355"/>
    <w:rsid w:val="0098778C"/>
    <w:rsid w:val="009A3E6C"/>
    <w:rsid w:val="009A42C9"/>
    <w:rsid w:val="009C2377"/>
    <w:rsid w:val="009C3247"/>
    <w:rsid w:val="009D1BA6"/>
    <w:rsid w:val="009D7A7D"/>
    <w:rsid w:val="00A0381B"/>
    <w:rsid w:val="00A05663"/>
    <w:rsid w:val="00A1733E"/>
    <w:rsid w:val="00A2202B"/>
    <w:rsid w:val="00A22F00"/>
    <w:rsid w:val="00A56B74"/>
    <w:rsid w:val="00A64295"/>
    <w:rsid w:val="00A67645"/>
    <w:rsid w:val="00A77093"/>
    <w:rsid w:val="00A81E4E"/>
    <w:rsid w:val="00A8375D"/>
    <w:rsid w:val="00A930B2"/>
    <w:rsid w:val="00AB382F"/>
    <w:rsid w:val="00AC7CEB"/>
    <w:rsid w:val="00AC7DCE"/>
    <w:rsid w:val="00AD6D9C"/>
    <w:rsid w:val="00AE69B7"/>
    <w:rsid w:val="00AF252C"/>
    <w:rsid w:val="00AF3439"/>
    <w:rsid w:val="00B4159D"/>
    <w:rsid w:val="00B44524"/>
    <w:rsid w:val="00B54332"/>
    <w:rsid w:val="00B56EBF"/>
    <w:rsid w:val="00B650A9"/>
    <w:rsid w:val="00B66A3D"/>
    <w:rsid w:val="00B81100"/>
    <w:rsid w:val="00B82005"/>
    <w:rsid w:val="00B8650B"/>
    <w:rsid w:val="00B86ED4"/>
    <w:rsid w:val="00B9107D"/>
    <w:rsid w:val="00B923DC"/>
    <w:rsid w:val="00B94237"/>
    <w:rsid w:val="00BB39FB"/>
    <w:rsid w:val="00BB574D"/>
    <w:rsid w:val="00BC025C"/>
    <w:rsid w:val="00BF2E73"/>
    <w:rsid w:val="00C006B4"/>
    <w:rsid w:val="00C07A00"/>
    <w:rsid w:val="00C143B2"/>
    <w:rsid w:val="00C1556C"/>
    <w:rsid w:val="00C206DE"/>
    <w:rsid w:val="00C24484"/>
    <w:rsid w:val="00C307AB"/>
    <w:rsid w:val="00C41D59"/>
    <w:rsid w:val="00C42692"/>
    <w:rsid w:val="00C4502B"/>
    <w:rsid w:val="00C4547F"/>
    <w:rsid w:val="00C612FA"/>
    <w:rsid w:val="00C71181"/>
    <w:rsid w:val="00C76C94"/>
    <w:rsid w:val="00C77A9E"/>
    <w:rsid w:val="00CA2AD5"/>
    <w:rsid w:val="00CD3692"/>
    <w:rsid w:val="00CE0D17"/>
    <w:rsid w:val="00CF6849"/>
    <w:rsid w:val="00D14F4A"/>
    <w:rsid w:val="00D267B0"/>
    <w:rsid w:val="00D31F66"/>
    <w:rsid w:val="00D6257E"/>
    <w:rsid w:val="00D6294D"/>
    <w:rsid w:val="00D727B4"/>
    <w:rsid w:val="00D76DCA"/>
    <w:rsid w:val="00D7725E"/>
    <w:rsid w:val="00D97456"/>
    <w:rsid w:val="00DB6997"/>
    <w:rsid w:val="00DC1B4D"/>
    <w:rsid w:val="00DD20B0"/>
    <w:rsid w:val="00DF18F3"/>
    <w:rsid w:val="00DF58CB"/>
    <w:rsid w:val="00E0485C"/>
    <w:rsid w:val="00E05113"/>
    <w:rsid w:val="00E0540C"/>
    <w:rsid w:val="00E05823"/>
    <w:rsid w:val="00E22DED"/>
    <w:rsid w:val="00E251C6"/>
    <w:rsid w:val="00E4184D"/>
    <w:rsid w:val="00E47444"/>
    <w:rsid w:val="00E74FF6"/>
    <w:rsid w:val="00E825AF"/>
    <w:rsid w:val="00EA0ADF"/>
    <w:rsid w:val="00EA1CF8"/>
    <w:rsid w:val="00EA2452"/>
    <w:rsid w:val="00EA5AA0"/>
    <w:rsid w:val="00EA5C4B"/>
    <w:rsid w:val="00EC3E7F"/>
    <w:rsid w:val="00EE3ECC"/>
    <w:rsid w:val="00EF335F"/>
    <w:rsid w:val="00F01CEA"/>
    <w:rsid w:val="00F070E6"/>
    <w:rsid w:val="00F10FFC"/>
    <w:rsid w:val="00F24E72"/>
    <w:rsid w:val="00F441CD"/>
    <w:rsid w:val="00F470EA"/>
    <w:rsid w:val="00F55DB0"/>
    <w:rsid w:val="00F666E7"/>
    <w:rsid w:val="00F720A8"/>
    <w:rsid w:val="00F931AD"/>
    <w:rsid w:val="00FA7485"/>
    <w:rsid w:val="00FB03B8"/>
    <w:rsid w:val="00FB0584"/>
    <w:rsid w:val="00FC2089"/>
    <w:rsid w:val="00FC55A8"/>
    <w:rsid w:val="00FD20DB"/>
    <w:rsid w:val="00FD6A8F"/>
    <w:rsid w:val="00FD7503"/>
    <w:rsid w:val="00FE2CB5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6743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44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Title"/>
    <w:basedOn w:val="Normal"/>
    <w:next w:val="Normal"/>
    <w:link w:val="TableTitleChar"/>
    <w:rsid w:val="0054744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54744B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BB39F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B39FB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2B52BC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05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823"/>
    <w:rPr>
      <w:rFonts w:eastAsiaTheme="minorEastAsia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823"/>
    <w:rPr>
      <w:rFonts w:eastAsiaTheme="minorEastAsia"/>
      <w:b/>
      <w:bCs/>
      <w:sz w:val="20"/>
      <w:szCs w:val="20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23"/>
    <w:rPr>
      <w:rFonts w:ascii="Segoe UI" w:eastAsiaTheme="minorEastAsia" w:hAnsi="Segoe UI" w:cs="Segoe UI"/>
      <w:sz w:val="18"/>
      <w:szCs w:val="18"/>
      <w:lang w:val="da-DK"/>
    </w:rPr>
  </w:style>
  <w:style w:type="paragraph" w:styleId="ListParagraph">
    <w:name w:val="List Paragraph"/>
    <w:basedOn w:val="Normal"/>
    <w:uiPriority w:val="34"/>
    <w:qFormat/>
    <w:rsid w:val="00A81E4E"/>
    <w:pPr>
      <w:ind w:left="720"/>
      <w:contextualSpacing/>
    </w:pPr>
  </w:style>
  <w:style w:type="paragraph" w:customStyle="1" w:styleId="Annexetitre">
    <w:name w:val="Annexe titre"/>
    <w:basedOn w:val="Normal"/>
    <w:next w:val="Normal"/>
    <w:rsid w:val="006A78B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CM1">
    <w:name w:val="CM1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customStyle="1" w:styleId="CM3">
    <w:name w:val="CM3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styleId="Revision">
    <w:name w:val="Revision"/>
    <w:hidden/>
    <w:uiPriority w:val="99"/>
    <w:semiHidden/>
    <w:rsid w:val="00F441CD"/>
    <w:pPr>
      <w:spacing w:after="0" w:line="240" w:lineRule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6C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C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C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7153-8381-41E6-B52D-20FA0B8D4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3D9742-892B-41C8-91B7-CD968AB8D3C5}"/>
</file>

<file path=customXml/itemProps3.xml><?xml version="1.0" encoding="utf-8"?>
<ds:datastoreItem xmlns:ds="http://schemas.openxmlformats.org/officeDocument/2006/customXml" ds:itemID="{758B80B9-248C-4251-A53E-76E3A2FE3655}"/>
</file>

<file path=customXml/itemProps4.xml><?xml version="1.0" encoding="utf-8"?>
<ds:datastoreItem xmlns:ds="http://schemas.openxmlformats.org/officeDocument/2006/customXml" ds:itemID="{B0D2F57A-50F7-4D84-AFAE-B54A32A75A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1912</Words>
  <Characters>10748</Characters>
  <Application>Microsoft Office Word</Application>
  <DocSecurity>0</DocSecurity>
  <Lines>233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2022-01-27T09:43:00Z</dcterms:created>
  <dcterms:modified xsi:type="dcterms:W3CDTF">2022-01-27T09:44:00Z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