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PT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ANEXO XLIV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Instruções para a divulgação das posições em risco sobre criptoativos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>Modelo EU CAE 1 — Modelo para os criptoativos</w:t>
      </w:r>
      <w:bookmarkEnd w:id="2"/>
      <w:r>
        <w:rPr>
          <w:rFonts w:ascii="Times New Roman" w:hAnsi="Times New Roman"/>
          <w:sz w:val="24"/>
          <w:u w:val="none"/>
        </w:rPr>
        <w:t xml:space="preserve"> Formato fixo.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>As instituições devem aplicar as instruções indicadas abaixo para preencher o modelo EU CAE1 apresentado no anexo XLIII das soluções informáticas da EBA para divulgar as informações sobre os montantes das posições ponderadas pelo risco e os requisitos de fundos próprios para os tipos de posições em risco sobre criptoativos a que se refere o artigo 501.º-D, n.º 2, do Regulamento (UE) n.º 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Referências jurídicas e instruções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Número da coluna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Explicação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Valor das posições em risco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>Valor das posições em risco sobre criptoativos para os diferentes tipos de criptoativos a que se refere o artigo 501.º-D, n.º 2, do Regulamento (UE) n.º 575/2013.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Montantes das posições ponderadas pelo risco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Artigo 501.º-D, n.º 2, do Regulamento (UE) n.º 575/2013.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>Os montantes das posições ponderadas pelo risco para os diferentes tipos de posições em risco sobre criptoativos calculados em conformidade com o artigo 501.º-D, n.º 2, alínea f), do Regulamento (UE) n.º 575/2013.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Requisitos de fundos próprios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Artigo 501.º-D, n.º 2, do Regulamento (UE) n.º 575/2013.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Os requisitos de fundos próprios correspondentes aos montantes das posições ponderadas pelo risco para os diferentes tipos de criptoativos.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Referências jurídicas e instruções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Número da linha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Explicação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</w:rPr>
              <w:t>Ativos tradicionais sob a forma de criptofichas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Artigo 501.º-D, n.º 2, alínea a), do Regulamento (UE) n.</w:t>
            </w:r>
            <w:r w:rsidRPr="00A97E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vertAlign w:val="superscript"/>
              </w:rPr>
              <w:t>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lastRenderedPageBreak/>
              <w:t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Criptofichas referenciadas a ativos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t>Artigo 501.º-D, n.º 2, alínea b), do Regulamento (UE) n.º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Posições em risco sobre outros criptoativos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Artigo 501.º-D, n.º 2, alínea c), do Regulamento (UE) n.</w:t>
            </w:r>
            <w:r w:rsidRPr="00A97EFA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vertAlign w:val="superscript"/>
              </w:rPr>
              <w:t>o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t>Outras posições em risco sobre criptoativos que sejam diferentes das alíneas a) e b) do artigo 501.º-D, n.º 2, do Regulamento (UE) n.º 575/2013.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Total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Valores totais calculados como a soma das linhas 1, 2 e 3.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 montante total das posições em risco é igual ao montante divulgado na linha Eu24a, coluna a) do modelo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Os requisitos de fundos próprios totais são iguais ao montante divulgado na linha EU 24a, coluna c) do modelo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Rubrica para memória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Posições em risco sobre outros criptoativos expressas em percentagem dos fundos próprios de nível 1 das instituições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Artigo 501.º-D, n.º 3, do Regulamento (UE) n.º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t>Regulamento (UE) n.º 575/2013 do Parlamento Europeu e do Conselho, 26 de junho de 2013, relativo aos requisitos prudenciais das instituições de crédito e que altera o Regulamento (UE) n.º 648/2012, com a redação que lhe foi dada pelo Regulamento (UE) 2024/1623 (</w:t>
      </w:r>
      <w:hyperlink r:id="rId1" w:history="1">
        <w:r>
          <w:rPr>
            <w:rStyle w:val="Hyperlink"/>
            <w:color w:val="800080"/>
          </w:rPr>
          <w:t>JO L 176 de 27.6.2013, p.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Regulamento — UE — 2024/1623 — PT — EUR-Lex (europa.eu)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pt-PT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97EF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pt-P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pt-P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pt-P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pt-P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pt-P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pt-P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pt-P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pt-P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pt-P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pt-P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pt-P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pt-P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pt-P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pt-P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T/TXT/?uri=OJ:L_202401623" TargetMode="External"/><Relationship Id="rId1" Type="http://schemas.openxmlformats.org/officeDocument/2006/relationships/hyperlink" Target="https://eur-lex.europa.eu/legal-content/P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D185DC-8901-47B2-8D8C-365A4C8CCA29}"/>
</file>

<file path=customXml/itemProps3.xml><?xml version="1.0" encoding="utf-8"?>
<ds:datastoreItem xmlns:ds="http://schemas.openxmlformats.org/officeDocument/2006/customXml" ds:itemID="{8223F7C3-A621-4713-8205-BADBB0A3410B}"/>
</file>

<file path=customXml/itemProps4.xml><?xml version="1.0" encoding="utf-8"?>
<ds:datastoreItem xmlns:ds="http://schemas.openxmlformats.org/officeDocument/2006/customXml" ds:itemID="{0B773168-B66B-4E12-B62A-842F6C905E6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2038</Characters>
  <Application>Microsoft Office Word</Application>
  <DocSecurity>0</DocSecurity>
  <Lines>72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