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18EB1590" w:rsidR="001A67EA" w:rsidRPr="007F4CC8" w:rsidRDefault="001A67EA" w:rsidP="001A67EA">
      <w:pPr>
        <w:pStyle w:val="Annexetitre"/>
        <w:spacing w:before="0"/>
      </w:pPr>
      <w:r>
        <w:t>ALLEGATO XVIII - Informativa sull</w:t>
      </w:r>
      <w:r w:rsidR="00096137">
        <w:t>'</w:t>
      </w:r>
      <w:r>
        <w:t>uso di tecniche di attenuazione del rischio di credito</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Tabella EU CRC: obblighi di informativa qualitativa sulle tecniche di CRM - Formato flessibile</w:t>
      </w:r>
    </w:p>
    <w:p w14:paraId="163D083B" w14:textId="03F5448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Gli enti pubblicano le informazioni di cui all</w:t>
      </w:r>
      <w:r w:rsidR="00096137">
        <w:rPr>
          <w:rFonts w:ascii="Times New Roman" w:hAnsi="Times New Roman"/>
          <w:sz w:val="24"/>
        </w:rPr>
        <w:t>'</w:t>
      </w:r>
      <w:r>
        <w:rPr>
          <w:rFonts w:ascii="Times New Roman" w:hAnsi="Times New Roman"/>
          <w:sz w:val="24"/>
        </w:rPr>
        <w:t xml:space="preserve">articolo </w:t>
      </w:r>
      <w:r w:rsidRPr="00096137">
        <w:rPr>
          <w:rFonts w:ascii="Times New Roman" w:hAnsi="Times New Roman"/>
          <w:sz w:val="24"/>
        </w:rPr>
        <w:t>453</w:t>
      </w:r>
      <w:r>
        <w:rPr>
          <w:rFonts w:ascii="Times New Roman" w:hAnsi="Times New Roman"/>
          <w:sz w:val="24"/>
        </w:rPr>
        <w:t>, lettere da a) a i), del regolamento (UE) n. </w:t>
      </w:r>
      <w:r w:rsidRPr="00096137">
        <w:rPr>
          <w:rFonts w:ascii="Times New Roman" w:hAnsi="Times New Roman"/>
          <w:sz w:val="24"/>
        </w:rPr>
        <w:t>575</w:t>
      </w:r>
      <w:r>
        <w:rPr>
          <w:rFonts w:ascii="Times New Roman" w:hAnsi="Times New Roman"/>
          <w:sz w:val="24"/>
        </w:rPr>
        <w:t>/</w:t>
      </w:r>
      <w:r w:rsidRPr="00096137">
        <w:rPr>
          <w:rFonts w:ascii="Times New Roman" w:hAnsi="Times New Roman"/>
          <w:sz w:val="24"/>
        </w:rPr>
        <w:t>2013</w:t>
      </w:r>
      <w:r>
        <w:rPr>
          <w:rFonts w:ascii="Times New Roman" w:hAnsi="Times New Roman"/>
          <w:sz w:val="24"/>
        </w:rPr>
        <w:t xml:space="preserve"> («CRR»)</w:t>
      </w:r>
      <w:r>
        <w:rPr>
          <w:rStyle w:val="FootnoteReference"/>
          <w:rFonts w:ascii="Times New Roman" w:hAnsi="Times New Roman" w:cs="Times New Roman"/>
          <w:sz w:val="24"/>
        </w:rPr>
        <w:footnoteReference w:id="1"/>
      </w:r>
      <w:r>
        <w:rPr>
          <w:rFonts w:ascii="Times New Roman" w:hAnsi="Times New Roman"/>
          <w:sz w:val="24"/>
        </w:rPr>
        <w:t xml:space="preserve"> seguendo le istruzioni fornite di seguito nel presente allegato per compilare la tabella EU CRC di cui all</w:t>
      </w:r>
      <w:r w:rsidR="00096137">
        <w:rPr>
          <w:rFonts w:ascii="Times New Roman" w:hAnsi="Times New Roman"/>
          <w:sz w:val="24"/>
        </w:rPr>
        <w:t>'</w:t>
      </w:r>
      <w:r>
        <w:rPr>
          <w:rFonts w:ascii="Times New Roman" w:hAnsi="Times New Roman"/>
          <w:sz w:val="24"/>
        </w:rPr>
        <w:t>allegato XVII delle soluzioni IT dell</w:t>
      </w:r>
      <w:r w:rsidR="00096137">
        <w:rPr>
          <w:rFonts w:ascii="Times New Roman" w:hAnsi="Times New Roman"/>
          <w:sz w:val="24"/>
        </w:rPr>
        <w:t>'</w:t>
      </w:r>
      <w:r>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DB7565">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Riga</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riferimento</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Riferimenti giuridici e istruzioni</w:t>
            </w:r>
          </w:p>
        </w:tc>
      </w:tr>
      <w:tr w:rsidR="001A67EA" w:rsidRPr="007F4CC8" w14:paraId="60B868A1" w14:textId="77777777" w:rsidTr="00DB7565">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Spiegazione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ayout w:type="fixed"/>
        <w:tblLook w:val="04A0" w:firstRow="1" w:lastRow="0" w:firstColumn="1" w:lastColumn="0" w:noHBand="0" w:noVBand="1"/>
      </w:tblPr>
      <w:tblGrid>
        <w:gridCol w:w="1408"/>
        <w:gridCol w:w="1392"/>
        <w:gridCol w:w="6272"/>
      </w:tblGrid>
      <w:tr w:rsidR="001A67EA" w:rsidRPr="007F4CC8" w14:paraId="6046C957" w14:textId="77777777" w:rsidTr="00DB7565">
        <w:trPr>
          <w:cnfStyle w:val="100000000000" w:firstRow="1" w:lastRow="0" w:firstColumn="0" w:lastColumn="0" w:oddVBand="0" w:evenVBand="0" w:oddHBand="0" w:evenHBand="0" w:firstRowFirstColumn="0" w:firstRowLastColumn="0" w:lastRowFirstColumn="0" w:lastRowLastColumn="0"/>
          <w:trHeight w:val="843"/>
        </w:trPr>
        <w:tc>
          <w:tcPr>
            <w:tcW w:w="1408"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139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Articolo </w:t>
            </w:r>
            <w:r w:rsidRPr="00096137">
              <w:rPr>
                <w:rFonts w:ascii="Times New Roman" w:hAnsi="Times New Roman"/>
                <w:sz w:val="24"/>
              </w:rPr>
              <w:t>453</w:t>
            </w:r>
            <w:r>
              <w:rPr>
                <w:rFonts w:ascii="Times New Roman" w:hAnsi="Times New Roman"/>
                <w:sz w:val="24"/>
              </w:rPr>
              <w:t>, lettera a), del CRR</w:t>
            </w:r>
          </w:p>
        </w:tc>
        <w:tc>
          <w:tcPr>
            <w:tcW w:w="627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5C3D9751"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Nel pubblicare le informazioni sulle politiche di compensazione e sull</w:t>
            </w:r>
            <w:r w:rsidR="00096137">
              <w:rPr>
                <w:rFonts w:ascii="Times New Roman" w:hAnsi="Times New Roman"/>
                <w:sz w:val="24"/>
              </w:rPr>
              <w:t>'</w:t>
            </w:r>
            <w:r>
              <w:rPr>
                <w:rFonts w:ascii="Times New Roman" w:hAnsi="Times New Roman"/>
                <w:sz w:val="24"/>
              </w:rPr>
              <w:t>uso della stessa conformemente all</w:t>
            </w:r>
            <w:r w:rsidR="00096137">
              <w:rPr>
                <w:rFonts w:ascii="Times New Roman" w:hAnsi="Times New Roman"/>
                <w:sz w:val="24"/>
              </w:rPr>
              <w:t>'</w:t>
            </w:r>
            <w:r>
              <w:rPr>
                <w:rFonts w:ascii="Times New Roman" w:hAnsi="Times New Roman"/>
                <w:sz w:val="24"/>
              </w:rPr>
              <w:t>articolo </w:t>
            </w:r>
            <w:r w:rsidRPr="00096137">
              <w:rPr>
                <w:rFonts w:ascii="Times New Roman" w:hAnsi="Times New Roman"/>
                <w:sz w:val="24"/>
              </w:rPr>
              <w:t>453</w:t>
            </w:r>
            <w:r>
              <w:rPr>
                <w:rFonts w:ascii="Times New Roman" w:hAnsi="Times New Roman"/>
                <w:sz w:val="24"/>
              </w:rPr>
              <w:t>, lettera a), del CRR, gli enti forniscono una descrizione chiara delle politiche e dei processi di CRM riguardanti la compensazione in bilancio e fuori bilancio e gli accordi quadro di compensazione. Indicano inoltre entro quale misura sono stati utilizzati le compensazioni in bilancio e fuori bilancio e gli accordi quadro di compensazione e la loro importanza rispetto alla gestione del rischio di credito. In particolare, gli enti possono fornire dettagli circa le tecniche in uso nonché le posizioni coperte da accordi di compensazione in bilancio e gli strumenti finanziari inclusi negli accordi quadro di compensazione. Essi possono inoltre descrivere le condizioni necessarie per assicurare l</w:t>
            </w:r>
            <w:r w:rsidR="00096137">
              <w:rPr>
                <w:rFonts w:ascii="Times New Roman" w:hAnsi="Times New Roman"/>
                <w:sz w:val="24"/>
              </w:rPr>
              <w:t>'</w:t>
            </w:r>
            <w:r>
              <w:rPr>
                <w:rFonts w:ascii="Times New Roman" w:hAnsi="Times New Roman"/>
                <w:sz w:val="24"/>
              </w:rPr>
              <w:t>efficacia di queste tecniche e i controlli in essere nei confronti del rischio giuridico.</w:t>
            </w:r>
          </w:p>
        </w:tc>
      </w:tr>
      <w:tr w:rsidR="001A67EA" w:rsidRPr="007F4CC8" w14:paraId="088E4178" w14:textId="77777777" w:rsidTr="00DB7565">
        <w:trPr>
          <w:trHeight w:val="841"/>
        </w:trPr>
        <w:tc>
          <w:tcPr>
            <w:tcW w:w="1408"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1392"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Pr>
                <w:rFonts w:ascii="Times New Roman" w:hAnsi="Times New Roman"/>
                <w:sz w:val="24"/>
              </w:rPr>
              <w:t>Articolo </w:t>
            </w:r>
            <w:r w:rsidRPr="00096137">
              <w:rPr>
                <w:rFonts w:ascii="Times New Roman" w:hAnsi="Times New Roman"/>
                <w:sz w:val="24"/>
              </w:rPr>
              <w:t>453</w:t>
            </w:r>
            <w:r>
              <w:rPr>
                <w:rFonts w:ascii="Times New Roman" w:hAnsi="Times New Roman"/>
                <w:sz w:val="24"/>
              </w:rPr>
              <w:t>, lettera b)</w:t>
            </w:r>
          </w:p>
          <w:p w14:paraId="4BA9C895"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CRR</w:t>
            </w:r>
          </w:p>
        </w:tc>
        <w:tc>
          <w:tcPr>
            <w:tcW w:w="6272" w:type="dxa"/>
          </w:tcPr>
          <w:p w14:paraId="4B80DFA2" w14:textId="3A28276D"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Nell</w:t>
            </w:r>
            <w:r w:rsidR="00096137">
              <w:rPr>
                <w:rFonts w:ascii="Times New Roman" w:hAnsi="Times New Roman"/>
                <w:sz w:val="24"/>
              </w:rPr>
              <w:t>'</w:t>
            </w:r>
            <w:r>
              <w:rPr>
                <w:rFonts w:ascii="Times New Roman" w:hAnsi="Times New Roman"/>
                <w:sz w:val="24"/>
              </w:rPr>
              <w:t>ambito dell</w:t>
            </w:r>
            <w:r w:rsidR="00096137">
              <w:rPr>
                <w:rFonts w:ascii="Times New Roman" w:hAnsi="Times New Roman"/>
                <w:sz w:val="24"/>
              </w:rPr>
              <w:t>'</w:t>
            </w:r>
            <w:r>
              <w:rPr>
                <w:rFonts w:ascii="Times New Roman" w:hAnsi="Times New Roman"/>
                <w:sz w:val="24"/>
              </w:rPr>
              <w:t>informativa sulle caratteristiche fondamentali delle politiche e dei processi in materia di valutazione e gestione delle garanzie reali ammissibili, conformemente all</w:t>
            </w:r>
            <w:r w:rsidR="00096137">
              <w:rPr>
                <w:rFonts w:ascii="Times New Roman" w:hAnsi="Times New Roman"/>
                <w:sz w:val="24"/>
              </w:rPr>
              <w:t>'</w:t>
            </w:r>
            <w:r>
              <w:rPr>
                <w:rFonts w:ascii="Times New Roman" w:hAnsi="Times New Roman"/>
                <w:sz w:val="24"/>
              </w:rPr>
              <w:t>articolo </w:t>
            </w:r>
            <w:r w:rsidRPr="00096137">
              <w:rPr>
                <w:rFonts w:ascii="Times New Roman" w:hAnsi="Times New Roman"/>
                <w:sz w:val="24"/>
              </w:rPr>
              <w:t>453</w:t>
            </w:r>
            <w:r>
              <w:rPr>
                <w:rFonts w:ascii="Times New Roman" w:hAnsi="Times New Roman"/>
                <w:sz w:val="24"/>
              </w:rPr>
              <w:t>, lettera b), del CRR, gli enti indicano:</w:t>
            </w:r>
          </w:p>
          <w:p w14:paraId="2A102C16"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la base per la valutazione delle garanzie costituite, compresa la valutazione della certezza giuridica delle tecniche di CRM;</w:t>
            </w:r>
          </w:p>
          <w:p w14:paraId="4978007D"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il tipo di valutazione (valore di mercato, valore del credito ipotecario, altri tipi di valori);</w:t>
            </w:r>
          </w:p>
          <w:p w14:paraId="1BB7939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i limiti entro i quali il valore calcolato della garanzia reale è ridotto da un coefficiente di scarto;</w:t>
            </w:r>
          </w:p>
          <w:p w14:paraId="6CA64CC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la procedura, la frequenza e i metodi in essere per sorvegliare il valore della garanzia ipotecaria e delle altre garanzie reali su beni materiali.</w:t>
            </w:r>
          </w:p>
          <w:p w14:paraId="42DBE288" w14:textId="349EF034"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Gli enti possono inoltre indicare se è previsto un sistema di limiti dell</w:t>
            </w:r>
            <w:r w:rsidR="00096137">
              <w:rPr>
                <w:rFonts w:ascii="Times New Roman" w:hAnsi="Times New Roman"/>
                <w:sz w:val="24"/>
              </w:rPr>
              <w:t>'</w:t>
            </w:r>
            <w:r>
              <w:rPr>
                <w:rFonts w:ascii="Times New Roman" w:hAnsi="Times New Roman"/>
                <w:sz w:val="24"/>
              </w:rPr>
              <w:t>esposizione creditizia e l</w:t>
            </w:r>
            <w:r w:rsidR="00096137">
              <w:rPr>
                <w:rFonts w:ascii="Times New Roman" w:hAnsi="Times New Roman"/>
                <w:sz w:val="24"/>
              </w:rPr>
              <w:t>'</w:t>
            </w:r>
            <w:r>
              <w:rPr>
                <w:rFonts w:ascii="Times New Roman" w:hAnsi="Times New Roman"/>
                <w:sz w:val="24"/>
              </w:rPr>
              <w:t>impatto delle garanzie reali accettate sulla quantificazione di tali limiti.</w:t>
            </w:r>
          </w:p>
        </w:tc>
      </w:tr>
      <w:tr w:rsidR="001A67EA" w:rsidRPr="007F4CC8" w:rsidDel="00915DC9" w14:paraId="3A5626B8" w14:textId="77777777" w:rsidTr="00DB7565">
        <w:trPr>
          <w:trHeight w:val="973"/>
        </w:trPr>
        <w:tc>
          <w:tcPr>
            <w:tcW w:w="1408"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c)</w:t>
            </w:r>
          </w:p>
        </w:tc>
        <w:tc>
          <w:tcPr>
            <w:tcW w:w="1392" w:type="dxa"/>
          </w:tcPr>
          <w:p w14:paraId="3EE8CB3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Articolo </w:t>
            </w:r>
            <w:r w:rsidRPr="00096137">
              <w:rPr>
                <w:rFonts w:ascii="Times New Roman" w:hAnsi="Times New Roman"/>
                <w:sz w:val="24"/>
              </w:rPr>
              <w:t>453</w:t>
            </w:r>
            <w:r>
              <w:rPr>
                <w:rFonts w:ascii="Times New Roman" w:hAnsi="Times New Roman"/>
                <w:sz w:val="24"/>
              </w:rPr>
              <w:t>, lettera c), del CRR</w:t>
            </w:r>
          </w:p>
        </w:tc>
        <w:tc>
          <w:tcPr>
            <w:tcW w:w="6272" w:type="dxa"/>
          </w:tcPr>
          <w:p w14:paraId="03C8684E" w14:textId="3A6DD66F" w:rsidR="001A67EA" w:rsidRPr="007F4CC8" w:rsidDel="00915DC9" w:rsidRDefault="001A67EA" w:rsidP="004F3087">
            <w:pPr>
              <w:spacing w:after="120"/>
              <w:jc w:val="both"/>
              <w:rPr>
                <w:rFonts w:ascii="Times New Roman" w:hAnsi="Times New Roman" w:cs="Times New Roman"/>
                <w:sz w:val="24"/>
              </w:rPr>
            </w:pPr>
            <w:r>
              <w:rPr>
                <w:rFonts w:ascii="Times New Roman" w:hAnsi="Times New Roman"/>
                <w:sz w:val="24"/>
              </w:rPr>
              <w:t>Nel descrivere le garanzie reali accettate in conformità dell</w:t>
            </w:r>
            <w:r w:rsidR="00096137">
              <w:rPr>
                <w:rFonts w:ascii="Times New Roman" w:hAnsi="Times New Roman"/>
                <w:sz w:val="24"/>
              </w:rPr>
              <w:t>'</w:t>
            </w:r>
            <w:r>
              <w:rPr>
                <w:rFonts w:ascii="Times New Roman" w:hAnsi="Times New Roman"/>
                <w:sz w:val="24"/>
              </w:rPr>
              <w:t>articolo </w:t>
            </w:r>
            <w:r w:rsidRPr="00096137">
              <w:rPr>
                <w:rFonts w:ascii="Times New Roman" w:hAnsi="Times New Roman"/>
                <w:sz w:val="24"/>
              </w:rPr>
              <w:t>453</w:t>
            </w:r>
            <w:r>
              <w:rPr>
                <w:rFonts w:ascii="Times New Roman" w:hAnsi="Times New Roman"/>
                <w:sz w:val="24"/>
              </w:rPr>
              <w:t>, lettera c), del CRR, gli enti forniscono una descrizione dettagliata dei principali tipi di garanzie reali accettate per attenuare il rischio di credito, per tipo di esposizione.</w:t>
            </w:r>
          </w:p>
        </w:tc>
      </w:tr>
      <w:tr w:rsidR="001A67EA" w:rsidRPr="007F4CC8" w14:paraId="0B958E6C" w14:textId="77777777" w:rsidTr="00DB7565">
        <w:trPr>
          <w:trHeight w:val="1265"/>
        </w:trPr>
        <w:tc>
          <w:tcPr>
            <w:tcW w:w="1408"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1392" w:type="dxa"/>
          </w:tcPr>
          <w:p w14:paraId="3751629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Articolo </w:t>
            </w:r>
            <w:r w:rsidRPr="00096137">
              <w:rPr>
                <w:rFonts w:ascii="Times New Roman" w:hAnsi="Times New Roman"/>
                <w:sz w:val="24"/>
              </w:rPr>
              <w:t>453</w:t>
            </w:r>
            <w:r>
              <w:rPr>
                <w:rFonts w:ascii="Times New Roman" w:hAnsi="Times New Roman"/>
                <w:sz w:val="24"/>
              </w:rPr>
              <w:t>, lettera d), del CRR</w:t>
            </w:r>
          </w:p>
        </w:tc>
        <w:tc>
          <w:tcPr>
            <w:tcW w:w="6272" w:type="dxa"/>
          </w:tcPr>
          <w:p w14:paraId="484148E0" w14:textId="74A6035C"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La descrizione delle principali tipologie di garanti e di controparti in operazioni su derivati su crediti e il loro merito di credito, da indicare ai sensi dell</w:t>
            </w:r>
            <w:r w:rsidR="00096137">
              <w:rPr>
                <w:rFonts w:ascii="Times New Roman" w:hAnsi="Times New Roman"/>
                <w:sz w:val="24"/>
              </w:rPr>
              <w:t>'</w:t>
            </w:r>
            <w:r>
              <w:rPr>
                <w:rFonts w:ascii="Times New Roman" w:hAnsi="Times New Roman"/>
                <w:sz w:val="24"/>
              </w:rPr>
              <w:t>articolo </w:t>
            </w:r>
            <w:r w:rsidRPr="00096137">
              <w:rPr>
                <w:rFonts w:ascii="Times New Roman" w:hAnsi="Times New Roman"/>
                <w:sz w:val="24"/>
              </w:rPr>
              <w:t>453</w:t>
            </w:r>
            <w:r>
              <w:rPr>
                <w:rFonts w:ascii="Times New Roman" w:hAnsi="Times New Roman"/>
                <w:sz w:val="24"/>
              </w:rPr>
              <w:t xml:space="preserve">, lettera d), del CRR, copre i derivati su crediti utilizzati per ridurre i requisiti patrimoniali, esclusi quelli utilizzati nel quadro di strutture di cartolarizzazione sintetica. Gli enti possono anche includere la descrizione dei metodi utilizzati per rilevare gli effetti delle garanzie o dei derivati su crediti forniti dalle principali tipologie di garanti e controparti. </w:t>
            </w:r>
          </w:p>
        </w:tc>
      </w:tr>
      <w:tr w:rsidR="001A67EA" w:rsidRPr="007F4CC8" w14:paraId="45D6C7FC" w14:textId="77777777" w:rsidTr="00DB7565">
        <w:trPr>
          <w:trHeight w:val="1405"/>
        </w:trPr>
        <w:tc>
          <w:tcPr>
            <w:tcW w:w="1408"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1392" w:type="dxa"/>
          </w:tcPr>
          <w:p w14:paraId="3363450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Articolo </w:t>
            </w:r>
            <w:r w:rsidRPr="00096137">
              <w:rPr>
                <w:rFonts w:ascii="Times New Roman" w:hAnsi="Times New Roman"/>
                <w:sz w:val="24"/>
              </w:rPr>
              <w:t>453</w:t>
            </w:r>
            <w:r>
              <w:rPr>
                <w:rFonts w:ascii="Times New Roman" w:hAnsi="Times New Roman"/>
                <w:sz w:val="24"/>
              </w:rPr>
              <w:t>, lettera e), del CRR</w:t>
            </w:r>
          </w:p>
        </w:tc>
        <w:tc>
          <w:tcPr>
            <w:tcW w:w="6272" w:type="dxa"/>
          </w:tcPr>
          <w:p w14:paraId="025D06B4" w14:textId="595F2676"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Nel pubblicare le informazioni sulle concentrazioni del rischio di mercato o di credito nell</w:t>
            </w:r>
            <w:r w:rsidR="00096137">
              <w:rPr>
                <w:rFonts w:ascii="Times New Roman" w:hAnsi="Times New Roman"/>
                <w:sz w:val="24"/>
              </w:rPr>
              <w:t>'</w:t>
            </w:r>
            <w:r>
              <w:rPr>
                <w:rFonts w:ascii="Times New Roman" w:hAnsi="Times New Roman"/>
                <w:sz w:val="24"/>
              </w:rPr>
              <w:t>ambito della tecnica di CRM adottata ai sensi dell</w:t>
            </w:r>
            <w:r w:rsidR="00096137">
              <w:rPr>
                <w:rFonts w:ascii="Times New Roman" w:hAnsi="Times New Roman"/>
                <w:sz w:val="24"/>
              </w:rPr>
              <w:t>'</w:t>
            </w:r>
            <w:r>
              <w:rPr>
                <w:rFonts w:ascii="Times New Roman" w:hAnsi="Times New Roman"/>
                <w:sz w:val="24"/>
              </w:rPr>
              <w:t>articolo </w:t>
            </w:r>
            <w:r w:rsidRPr="00096137">
              <w:rPr>
                <w:rFonts w:ascii="Times New Roman" w:hAnsi="Times New Roman"/>
                <w:sz w:val="24"/>
              </w:rPr>
              <w:t>453</w:t>
            </w:r>
            <w:r>
              <w:rPr>
                <w:rFonts w:ascii="Times New Roman" w:hAnsi="Times New Roman"/>
                <w:sz w:val="24"/>
              </w:rPr>
              <w:t>, lettera e), del CRR, gli enti forniscono un</w:t>
            </w:r>
            <w:r w:rsidR="00096137">
              <w:rPr>
                <w:rFonts w:ascii="Times New Roman" w:hAnsi="Times New Roman"/>
                <w:sz w:val="24"/>
              </w:rPr>
              <w:t>'</w:t>
            </w:r>
            <w:r>
              <w:rPr>
                <w:rFonts w:ascii="Times New Roman" w:hAnsi="Times New Roman"/>
                <w:sz w:val="24"/>
              </w:rPr>
              <w:t>analisi di eventuali concentrazioni derivanti dalle misure di CRM che possano ostacolare l</w:t>
            </w:r>
            <w:r w:rsidR="00096137">
              <w:rPr>
                <w:rFonts w:ascii="Times New Roman" w:hAnsi="Times New Roman"/>
                <w:sz w:val="24"/>
              </w:rPr>
              <w:t>'</w:t>
            </w:r>
            <w:r>
              <w:rPr>
                <w:rFonts w:ascii="Times New Roman" w:hAnsi="Times New Roman"/>
                <w:sz w:val="24"/>
              </w:rPr>
              <w:t>efficacia degli strumenti di CRM. Nell</w:t>
            </w:r>
            <w:r w:rsidR="00096137">
              <w:rPr>
                <w:rFonts w:ascii="Times New Roman" w:hAnsi="Times New Roman"/>
                <w:sz w:val="24"/>
              </w:rPr>
              <w:t>'</w:t>
            </w:r>
            <w:r>
              <w:rPr>
                <w:rFonts w:ascii="Times New Roman" w:hAnsi="Times New Roman"/>
                <w:sz w:val="24"/>
              </w:rPr>
              <w:t>ambito di tali informazioni le concentrazioni possono essere ripartite per tipologia di strumento utilizzato come garanzia reale, soggetto (concentrazione per tipologia di garante e fornitori di protezione con i derivati su crediti), settore, area geografica, valuta, rating o altri fattori che possono influire sul valore della protezione e quindi ridurre tale protezione.</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364F41BF" w:rsidR="001A67EA" w:rsidRPr="007F4CC8" w:rsidRDefault="001A67EA" w:rsidP="001A67EA">
      <w:pPr>
        <w:spacing w:after="120"/>
        <w:rPr>
          <w:rFonts w:ascii="Times New Roman" w:hAnsi="Times New Roman" w:cs="Times New Roman"/>
          <w:b/>
          <w:sz w:val="24"/>
        </w:rPr>
      </w:pPr>
      <w:r>
        <w:rPr>
          <w:rFonts w:ascii="Times New Roman" w:hAnsi="Times New Roman"/>
          <w:b/>
          <w:sz w:val="24"/>
        </w:rPr>
        <w:t>Modello EU CR</w:t>
      </w:r>
      <w:r w:rsidRPr="00096137">
        <w:rPr>
          <w:rFonts w:ascii="Times New Roman" w:hAnsi="Times New Roman"/>
          <w:b/>
          <w:sz w:val="24"/>
        </w:rPr>
        <w:t>3</w:t>
      </w:r>
      <w:r>
        <w:rPr>
          <w:rFonts w:ascii="Times New Roman" w:hAnsi="Times New Roman"/>
          <w:b/>
          <w:sz w:val="24"/>
        </w:rPr>
        <w:t xml:space="preserve"> – Tecniche di CRM - Quadro d</w:t>
      </w:r>
      <w:r w:rsidR="00096137">
        <w:rPr>
          <w:rFonts w:ascii="Times New Roman" w:hAnsi="Times New Roman"/>
          <w:b/>
          <w:sz w:val="24"/>
        </w:rPr>
        <w:t>'</w:t>
      </w:r>
      <w:r>
        <w:rPr>
          <w:rFonts w:ascii="Times New Roman" w:hAnsi="Times New Roman"/>
          <w:b/>
          <w:sz w:val="24"/>
        </w:rPr>
        <w:t>insieme: informativa sull</w:t>
      </w:r>
      <w:r w:rsidR="00096137">
        <w:rPr>
          <w:rFonts w:ascii="Times New Roman" w:hAnsi="Times New Roman"/>
          <w:b/>
          <w:sz w:val="24"/>
        </w:rPr>
        <w:t>'</w:t>
      </w:r>
      <w:r>
        <w:rPr>
          <w:rFonts w:ascii="Times New Roman" w:hAnsi="Times New Roman"/>
          <w:b/>
          <w:sz w:val="24"/>
        </w:rPr>
        <w:t>uso di tecniche di attenuazione del rischio di credito - Formato fisso</w:t>
      </w:r>
    </w:p>
    <w:p w14:paraId="1FAA7723" w14:textId="1BB5DBA6"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w:t>
      </w:r>
      <w:r w:rsidR="00096137">
        <w:rPr>
          <w:rFonts w:ascii="Times New Roman" w:hAnsi="Times New Roman"/>
          <w:sz w:val="24"/>
        </w:rPr>
        <w:t>'</w:t>
      </w:r>
      <w:r>
        <w:rPr>
          <w:rFonts w:ascii="Times New Roman" w:hAnsi="Times New Roman"/>
          <w:sz w:val="24"/>
        </w:rPr>
        <w:t>ente pubblica le informazioni di cui all</w:t>
      </w:r>
      <w:r w:rsidR="00096137">
        <w:rPr>
          <w:rFonts w:ascii="Times New Roman" w:hAnsi="Times New Roman"/>
          <w:sz w:val="24"/>
        </w:rPr>
        <w:t>'</w:t>
      </w:r>
      <w:r>
        <w:rPr>
          <w:rFonts w:ascii="Times New Roman" w:hAnsi="Times New Roman"/>
          <w:sz w:val="24"/>
        </w:rPr>
        <w:t xml:space="preserve">articolo </w:t>
      </w:r>
      <w:r w:rsidRPr="00096137">
        <w:rPr>
          <w:rFonts w:ascii="Times New Roman" w:hAnsi="Times New Roman"/>
          <w:sz w:val="24"/>
        </w:rPr>
        <w:t>453</w:t>
      </w:r>
      <w:r>
        <w:rPr>
          <w:rFonts w:ascii="Times New Roman" w:hAnsi="Times New Roman"/>
          <w:sz w:val="24"/>
        </w:rPr>
        <w:t>, lettera f), del CRR seguendo le istruzioni fornite di seguito nel presente allegato per compilare il modello EU CR</w:t>
      </w:r>
      <w:r w:rsidRPr="00096137">
        <w:rPr>
          <w:rFonts w:ascii="Times New Roman" w:hAnsi="Times New Roman"/>
          <w:sz w:val="24"/>
        </w:rPr>
        <w:t>3</w:t>
      </w:r>
      <w:r>
        <w:rPr>
          <w:rFonts w:ascii="Times New Roman" w:hAnsi="Times New Roman"/>
          <w:sz w:val="24"/>
        </w:rPr>
        <w:t xml:space="preserve"> di cui all</w:t>
      </w:r>
      <w:r w:rsidR="00096137">
        <w:rPr>
          <w:rFonts w:ascii="Times New Roman" w:hAnsi="Times New Roman"/>
          <w:sz w:val="24"/>
        </w:rPr>
        <w:t>'</w:t>
      </w:r>
      <w:r>
        <w:rPr>
          <w:rFonts w:ascii="Times New Roman" w:hAnsi="Times New Roman"/>
          <w:sz w:val="24"/>
        </w:rPr>
        <w:t>allegato XVII del presente regolamento di esecuzione.</w:t>
      </w:r>
    </w:p>
    <w:p w14:paraId="69A94B62" w14:textId="75CD5C4F"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Questo modello riguarda tutte le tecniche di CRM riconosciute a norma della disciplina contabile applicabile, indipendentemente dal fatto che tali tecniche siano riconosciute a norma del CRR, compresi, ma non solo, tutti i tipi di garanzie reali, garanzie finanziarie e derivati su crediti utilizzati per tutte le esposizioni garantite, a prescindere dal fatto che per il calcolo dell</w:t>
      </w:r>
      <w:r w:rsidR="00096137">
        <w:rPr>
          <w:rFonts w:ascii="Times New Roman" w:hAnsi="Times New Roman"/>
          <w:sz w:val="24"/>
        </w:rPr>
        <w:t>'</w:t>
      </w:r>
      <w:r>
        <w:rPr>
          <w:rFonts w:ascii="Times New Roman" w:hAnsi="Times New Roman"/>
          <w:sz w:val="24"/>
        </w:rPr>
        <w:t>importo delle esposizioni ponderato per il rischio (RWEA) sia utilizzato il metodo standardizzato o il metodo IRB. Gli enti integrano il modello con un commento per spiegare eventuali variazioni significative nel corso del periodo di informativa e le principali determinanti di tali variazioni.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DB7565">
            <w:pPr>
              <w:keepNext/>
              <w:keepLines/>
              <w:autoSpaceDE w:val="0"/>
              <w:autoSpaceDN w:val="0"/>
              <w:adjustRightInd w:val="0"/>
              <w:spacing w:after="120"/>
              <w:rPr>
                <w:rFonts w:ascii="Times New Roman" w:hAnsi="Times New Roman" w:cs="Times New Roman"/>
                <w:b/>
                <w:sz w:val="24"/>
              </w:rPr>
            </w:pPr>
            <w:r w:rsidRPr="00DB7565">
              <w:rPr>
                <w:rFonts w:ascii="Times New Roman Bold" w:hAnsi="Times New Roman Bold"/>
                <w:b/>
                <w:spacing w:val="-4"/>
                <w:sz w:val="24"/>
              </w:rPr>
              <w:t>Riferimento</w:t>
            </w:r>
            <w:r>
              <w:rPr>
                <w:rFonts w:ascii="Times New Roman" w:hAnsi="Times New Roman"/>
                <w:b/>
                <w:sz w:val="24"/>
              </w:rPr>
              <w:t xml:space="preserve"> della colonna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DB7565">
            <w:pPr>
              <w:keepNext/>
              <w:keepLines/>
              <w:spacing w:after="120"/>
              <w:rPr>
                <w:rFonts w:ascii="Times New Roman" w:hAnsi="Times New Roman" w:cs="Times New Roman"/>
                <w:b/>
                <w:sz w:val="24"/>
              </w:rPr>
            </w:pPr>
            <w:r>
              <w:rPr>
                <w:rFonts w:ascii="Times New Roman" w:hAnsi="Times New Roman"/>
                <w:b/>
                <w:sz w:val="24"/>
              </w:rPr>
              <w:t>Riferimenti giuridici e istruzioni</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DB7565">
            <w:pPr>
              <w:keepNext/>
              <w:keepLines/>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DB7565">
            <w:pPr>
              <w:keepNext/>
              <w:keepLines/>
              <w:spacing w:after="120"/>
              <w:rPr>
                <w:rFonts w:ascii="Times New Roman" w:hAnsi="Times New Roman" w:cs="Times New Roman"/>
                <w:b/>
                <w:sz w:val="24"/>
              </w:rPr>
            </w:pPr>
            <w:r>
              <w:rPr>
                <w:rFonts w:ascii="Times New Roman" w:hAnsi="Times New Roman"/>
                <w:b/>
                <w:sz w:val="24"/>
              </w:rPr>
              <w:t>Spiegazione</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Valore contabile non garantito: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valore contabile delle esposizioni (al netto di accantonamenti per svalutazioni/riduzioni di valore) che non beneficiano di alcuna tecnica di CRM, indipendentemente dal fatto che tale tecnica sia riconosciuta o meno a norma del CRR. </w:t>
            </w:r>
          </w:p>
          <w:p w14:paraId="2E635E37" w14:textId="5E45962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 particolare esso si riferisce alle esposizioni per le quali non sono state costituite garanzie reali né sono state ricevute garanzie finanziarie. Non è inclusa la parte non garantita di un</w:t>
            </w:r>
            <w:r w:rsidR="00096137">
              <w:rPr>
                <w:rFonts w:ascii="Times New Roman" w:hAnsi="Times New Roman"/>
                <w:sz w:val="24"/>
              </w:rPr>
              <w:t>'</w:t>
            </w:r>
            <w:r>
              <w:rPr>
                <w:rFonts w:ascii="Times New Roman" w:hAnsi="Times New Roman"/>
                <w:sz w:val="24"/>
              </w:rPr>
              <w:t>esposizione parzialmente garantita.</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Valore contabile garantito: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valore contabile delle esposizioni associate ad almeno una tecnica di CRM (garanzie reali, garanzie finanziarie, derivati su crediti).</w:t>
            </w:r>
          </w:p>
          <w:p w14:paraId="05789AFF" w14:textId="259655F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Nel caso in cui il valore delle garanzie reali, delle garanzie finanziarie e dei derivati su crediti a garanzia di un</w:t>
            </w:r>
            <w:r w:rsidR="00096137">
              <w:rPr>
                <w:rFonts w:ascii="Times New Roman" w:hAnsi="Times New Roman"/>
                <w:sz w:val="24"/>
              </w:rPr>
              <w:t>'</w:t>
            </w:r>
            <w:r>
              <w:rPr>
                <w:rFonts w:ascii="Times New Roman" w:hAnsi="Times New Roman"/>
                <w:sz w:val="24"/>
              </w:rPr>
              <w:t>esposizione superi il valore contabile di tale esposizione, sono inclusi solo i valori fino al valore contabile di tale esposizione. Nel caso in cui il valore contabile di un</w:t>
            </w:r>
            <w:r w:rsidR="00096137">
              <w:rPr>
                <w:rFonts w:ascii="Times New Roman" w:hAnsi="Times New Roman"/>
                <w:sz w:val="24"/>
              </w:rPr>
              <w:t>'</w:t>
            </w:r>
            <w:r>
              <w:rPr>
                <w:rFonts w:ascii="Times New Roman" w:hAnsi="Times New Roman"/>
                <w:sz w:val="24"/>
              </w:rPr>
              <w:t>esposizione superi il valore delle garanzie reali, delle garanzie finanziarie e dei derivati su crediti a garanzia di tale esposizione, è incluso l</w:t>
            </w:r>
            <w:r w:rsidR="00096137">
              <w:rPr>
                <w:rFonts w:ascii="Times New Roman" w:hAnsi="Times New Roman"/>
                <w:sz w:val="24"/>
              </w:rPr>
              <w:t>'</w:t>
            </w:r>
            <w:r>
              <w:rPr>
                <w:rFonts w:ascii="Times New Roman" w:hAnsi="Times New Roman"/>
                <w:sz w:val="24"/>
              </w:rPr>
              <w:t>intero valore contabile di tale esposizione.</w:t>
            </w:r>
          </w:p>
          <w:p w14:paraId="7EDEE0AE" w14:textId="348A479B"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Ai fini delle seguenti colonne c, d ed e, l</w:t>
            </w:r>
            <w:r w:rsidR="00096137">
              <w:rPr>
                <w:rFonts w:ascii="Times New Roman" w:hAnsi="Times New Roman"/>
                <w:sz w:val="24"/>
              </w:rPr>
              <w:t>'</w:t>
            </w:r>
            <w:r>
              <w:rPr>
                <w:rFonts w:ascii="Times New Roman" w:hAnsi="Times New Roman"/>
                <w:sz w:val="24"/>
              </w:rPr>
              <w:t>assegnazione del valore contabile delle esposizioni plurigarantite alle varie tecniche di CRM avviene per ordine di priorità, partendo dalla tecnica di CRM che si prevede venga richiamata per prima in caso di perdita ed entro i limiti del valore contabile delle esposizioni garantite. Le parti dell</w:t>
            </w:r>
            <w:r w:rsidR="00096137">
              <w:rPr>
                <w:rFonts w:ascii="Times New Roman" w:hAnsi="Times New Roman"/>
                <w:sz w:val="24"/>
              </w:rPr>
              <w:t>'</w:t>
            </w:r>
            <w:r>
              <w:rPr>
                <w:rFonts w:ascii="Times New Roman" w:hAnsi="Times New Roman"/>
                <w:sz w:val="24"/>
              </w:rPr>
              <w:t xml:space="preserve">esposizione sono incluse in una sola delle colonne c, d o e di questo modello.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Di cui garantito da garanzie reali: </w:t>
            </w:r>
          </w:p>
          <w:p w14:paraId="2B8F68C6" w14:textId="6EA839FB"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si tratta di un sottoinsieme della colonna b di questo modello e rappresenta il valore contabile delle esposizioni (al netto di accantonamenti per svalutazioni/riduzioni di valore) o di parti di esposizioni garantite da garanzie reali. Nel caso in cui un</w:t>
            </w:r>
            <w:r w:rsidR="00096137">
              <w:rPr>
                <w:rFonts w:ascii="Times New Roman" w:hAnsi="Times New Roman"/>
                <w:sz w:val="24"/>
              </w:rPr>
              <w:t>'</w:t>
            </w:r>
            <w:r>
              <w:rPr>
                <w:rFonts w:ascii="Times New Roman" w:hAnsi="Times New Roman"/>
                <w:sz w:val="24"/>
              </w:rPr>
              <w:t>esposizione sia garantita da garanzie reali e altre tecniche di CRM che si prevede siano richiamate prima in caso di mancato pagamento, il valore contabile dell</w:t>
            </w:r>
            <w:r w:rsidR="00096137">
              <w:rPr>
                <w:rFonts w:ascii="Times New Roman" w:hAnsi="Times New Roman"/>
                <w:sz w:val="24"/>
              </w:rPr>
              <w:t>'</w:t>
            </w:r>
            <w:r>
              <w:rPr>
                <w:rFonts w:ascii="Times New Roman" w:hAnsi="Times New Roman"/>
                <w:sz w:val="24"/>
              </w:rPr>
              <w:t>esposizione garantita da garanzie reali è la quota restante dell</w:t>
            </w:r>
            <w:r w:rsidR="00096137">
              <w:rPr>
                <w:rFonts w:ascii="Times New Roman" w:hAnsi="Times New Roman"/>
                <w:sz w:val="24"/>
              </w:rPr>
              <w:t>'</w:t>
            </w:r>
            <w:r>
              <w:rPr>
                <w:rFonts w:ascii="Times New Roman" w:hAnsi="Times New Roman"/>
                <w:sz w:val="24"/>
              </w:rPr>
              <w:t>esposizione dopo aver considerato le quote dell</w:t>
            </w:r>
            <w:r w:rsidR="00096137">
              <w:rPr>
                <w:rFonts w:ascii="Times New Roman" w:hAnsi="Times New Roman"/>
                <w:sz w:val="24"/>
              </w:rPr>
              <w:t>'</w:t>
            </w:r>
            <w:r>
              <w:rPr>
                <w:rFonts w:ascii="Times New Roman" w:hAnsi="Times New Roman"/>
                <w:sz w:val="24"/>
              </w:rPr>
              <w:t>esposizione già garantite da altre tecniche di attenuazione, fino al valore contabile di quell</w:t>
            </w:r>
            <w:r w:rsidR="00096137">
              <w:rPr>
                <w:rFonts w:ascii="Times New Roman" w:hAnsi="Times New Roman"/>
                <w:sz w:val="24"/>
              </w:rPr>
              <w:t>'</w:t>
            </w:r>
            <w:r>
              <w:rPr>
                <w:rFonts w:ascii="Times New Roman" w:hAnsi="Times New Roman"/>
                <w:sz w:val="24"/>
              </w:rPr>
              <w:t>esposizione.</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Di cui garantito da garanzie finanziarie: </w:t>
            </w:r>
          </w:p>
          <w:p w14:paraId="17847CC4" w14:textId="61308809"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si tratta di un sottoinsieme della colonna b di questo modello e rappresenta il valore contabile delle esposizioni (al netto di accantonamenti per svalutazioni/riduzioni di valore) o di parti di esposizioni garantite da garanzie personali. Nel caso in cui un</w:t>
            </w:r>
            <w:r w:rsidR="00096137">
              <w:rPr>
                <w:rFonts w:ascii="Times New Roman" w:hAnsi="Times New Roman"/>
                <w:sz w:val="24"/>
              </w:rPr>
              <w:t>'</w:t>
            </w:r>
            <w:r>
              <w:rPr>
                <w:rFonts w:ascii="Times New Roman" w:hAnsi="Times New Roman"/>
                <w:sz w:val="24"/>
              </w:rPr>
              <w:t>esposizione sia garantita da garanzie personali e altre tecniche di CRM che si prevede siano richiamate prima in caso di mancato pagamento, il valore contabile dell</w:t>
            </w:r>
            <w:r w:rsidR="00096137">
              <w:rPr>
                <w:rFonts w:ascii="Times New Roman" w:hAnsi="Times New Roman"/>
                <w:sz w:val="24"/>
              </w:rPr>
              <w:t>'</w:t>
            </w:r>
            <w:r>
              <w:rPr>
                <w:rFonts w:ascii="Times New Roman" w:hAnsi="Times New Roman"/>
                <w:sz w:val="24"/>
              </w:rPr>
              <w:t>esposizione garantita da garanzie personali è la quota restante dell</w:t>
            </w:r>
            <w:r w:rsidR="00096137">
              <w:rPr>
                <w:rFonts w:ascii="Times New Roman" w:hAnsi="Times New Roman"/>
                <w:sz w:val="24"/>
              </w:rPr>
              <w:t>'</w:t>
            </w:r>
            <w:r>
              <w:rPr>
                <w:rFonts w:ascii="Times New Roman" w:hAnsi="Times New Roman"/>
                <w:sz w:val="24"/>
              </w:rPr>
              <w:t xml:space="preserve">esposizione dopo aver considerato le quote </w:t>
            </w:r>
            <w:r>
              <w:rPr>
                <w:rFonts w:ascii="Times New Roman" w:hAnsi="Times New Roman"/>
                <w:sz w:val="24"/>
              </w:rPr>
              <w:lastRenderedPageBreak/>
              <w:t>dell</w:t>
            </w:r>
            <w:r w:rsidR="00096137">
              <w:rPr>
                <w:rFonts w:ascii="Times New Roman" w:hAnsi="Times New Roman"/>
                <w:sz w:val="24"/>
              </w:rPr>
              <w:t>'</w:t>
            </w:r>
            <w:r>
              <w:rPr>
                <w:rFonts w:ascii="Times New Roman" w:hAnsi="Times New Roman"/>
                <w:sz w:val="24"/>
              </w:rPr>
              <w:t>esposizione già garantite da altre tecniche di attenuazione, fino al valore contabile di quell</w:t>
            </w:r>
            <w:r w:rsidR="00096137">
              <w:rPr>
                <w:rFonts w:ascii="Times New Roman" w:hAnsi="Times New Roman"/>
                <w:sz w:val="24"/>
              </w:rPr>
              <w:t>'</w:t>
            </w:r>
            <w:r>
              <w:rPr>
                <w:rFonts w:ascii="Times New Roman" w:hAnsi="Times New Roman"/>
                <w:sz w:val="24"/>
              </w:rPr>
              <w:t>esposizione.</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Di cui garantito da derivati su crediti: </w:t>
            </w:r>
          </w:p>
          <w:p w14:paraId="35390365" w14:textId="793421DC"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si tratta di un sottoinsieme della colonna d (garanzie finanziarie) di questo modello e rappresenta il valore contabile delle esposizioni (al netto di accantonamenti per svalutazioni/riduzioni di valore) o di parti di esposizioni garantite da derivati su crediti. Nel caso in cui un</w:t>
            </w:r>
            <w:r w:rsidR="00096137">
              <w:rPr>
                <w:rFonts w:ascii="Times New Roman" w:hAnsi="Times New Roman"/>
                <w:sz w:val="24"/>
              </w:rPr>
              <w:t>'</w:t>
            </w:r>
            <w:r>
              <w:rPr>
                <w:rFonts w:ascii="Times New Roman" w:hAnsi="Times New Roman"/>
                <w:sz w:val="24"/>
              </w:rPr>
              <w:t>esposizione sia garantita da derivati su crediti e altre tecniche di CRM che si prevede siano richiamati prima in caso di mancato pagamento, il valore contabile dell</w:t>
            </w:r>
            <w:r w:rsidR="00096137">
              <w:rPr>
                <w:rFonts w:ascii="Times New Roman" w:hAnsi="Times New Roman"/>
                <w:sz w:val="24"/>
              </w:rPr>
              <w:t>'</w:t>
            </w:r>
            <w:r>
              <w:rPr>
                <w:rFonts w:ascii="Times New Roman" w:hAnsi="Times New Roman"/>
                <w:sz w:val="24"/>
              </w:rPr>
              <w:t>esposizione garantita da derivati su crediti è la quota restante dell</w:t>
            </w:r>
            <w:r w:rsidR="00096137">
              <w:rPr>
                <w:rFonts w:ascii="Times New Roman" w:hAnsi="Times New Roman"/>
                <w:sz w:val="24"/>
              </w:rPr>
              <w:t>'</w:t>
            </w:r>
            <w:r>
              <w:rPr>
                <w:rFonts w:ascii="Times New Roman" w:hAnsi="Times New Roman"/>
                <w:sz w:val="24"/>
              </w:rPr>
              <w:t>esposizione dopo aver considerato le quote dell</w:t>
            </w:r>
            <w:r w:rsidR="00096137">
              <w:rPr>
                <w:rFonts w:ascii="Times New Roman" w:hAnsi="Times New Roman"/>
                <w:sz w:val="24"/>
              </w:rPr>
              <w:t>'</w:t>
            </w:r>
            <w:r>
              <w:rPr>
                <w:rFonts w:ascii="Times New Roman" w:hAnsi="Times New Roman"/>
                <w:sz w:val="24"/>
              </w:rPr>
              <w:t>esposizione già garantite da altre tecniche di attenuazione, fino al valore contabile di quell</w:t>
            </w:r>
            <w:r w:rsidR="00096137">
              <w:rPr>
                <w:rFonts w:ascii="Times New Roman" w:hAnsi="Times New Roman"/>
                <w:sz w:val="24"/>
              </w:rPr>
              <w:t>'</w:t>
            </w:r>
            <w:r>
              <w:rPr>
                <w:rFonts w:ascii="Times New Roman" w:hAnsi="Times New Roman"/>
                <w:sz w:val="24"/>
              </w:rPr>
              <w:t xml:space="preserve">esposizione. </w:t>
            </w:r>
          </w:p>
        </w:tc>
      </w:tr>
    </w:tbl>
    <w:p w14:paraId="3A57B273"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7686"/>
      </w:tblGrid>
      <w:tr w:rsidR="001A67EA" w:rsidRPr="007F4CC8" w14:paraId="4ED59B80" w14:textId="77777777" w:rsidTr="00DB7565">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DB7565">
              <w:rPr>
                <w:rFonts w:ascii="Times New Roman Bold" w:hAnsi="Times New Roman Bold"/>
                <w:b/>
                <w:spacing w:val="-8"/>
                <w:sz w:val="24"/>
              </w:rPr>
              <w:t>Riferimento</w:t>
            </w:r>
            <w:r>
              <w:rPr>
                <w:rFonts w:ascii="Times New Roman" w:hAnsi="Times New Roman"/>
                <w:b/>
                <w:sz w:val="24"/>
              </w:rPr>
              <w:t xml:space="preserve"> della riga</w:t>
            </w:r>
          </w:p>
        </w:tc>
        <w:tc>
          <w:tcPr>
            <w:tcW w:w="7686"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Riferimenti giuridici e istruzioni</w:t>
            </w:r>
          </w:p>
        </w:tc>
      </w:tr>
      <w:tr w:rsidR="001A67EA" w:rsidRPr="007F4CC8" w14:paraId="2D299A07" w14:textId="77777777" w:rsidTr="00DB7565">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86"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Spiegazione</w:t>
            </w:r>
          </w:p>
        </w:tc>
      </w:tr>
    </w:tbl>
    <w:tbl>
      <w:tblPr>
        <w:tblStyle w:val="TableGrid"/>
        <w:tblW w:w="906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7699"/>
      </w:tblGrid>
      <w:tr w:rsidR="001A67EA" w:rsidRPr="007F4CC8" w14:paraId="67790BED" w14:textId="77777777" w:rsidTr="00DB7565">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sidRPr="00096137">
              <w:rPr>
                <w:rFonts w:ascii="Times New Roman" w:hAnsi="Times New Roman"/>
                <w:sz w:val="24"/>
              </w:rPr>
              <w:t>1</w:t>
            </w:r>
            <w:r>
              <w:rPr>
                <w:rFonts w:ascii="Times New Roman" w:hAnsi="Times New Roman"/>
                <w:sz w:val="24"/>
              </w:rPr>
              <w:t xml:space="preserve"> </w:t>
            </w:r>
          </w:p>
        </w:tc>
        <w:tc>
          <w:tcPr>
            <w:tcW w:w="769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Prestiti e anticipazioni</w:t>
            </w:r>
          </w:p>
          <w:p w14:paraId="1DF552E0" w14:textId="5BF5297C" w:rsidR="001A67EA" w:rsidRPr="007F4CC8" w:rsidRDefault="00096137" w:rsidP="004F3087">
            <w:pPr>
              <w:spacing w:after="120"/>
              <w:jc w:val="both"/>
              <w:rPr>
                <w:rFonts w:ascii="Times New Roman" w:hAnsi="Times New Roman" w:cs="Times New Roman"/>
                <w:sz w:val="24"/>
              </w:rPr>
            </w:pPr>
            <w:r>
              <w:rPr>
                <w:rFonts w:ascii="Times New Roman" w:hAnsi="Times New Roman"/>
                <w:sz w:val="24"/>
              </w:rPr>
              <w:t>"</w:t>
            </w:r>
            <w:r w:rsidR="001A67EA">
              <w:rPr>
                <w:rFonts w:ascii="Times New Roman" w:hAnsi="Times New Roman"/>
                <w:sz w:val="24"/>
              </w:rPr>
              <w:t>Prestiti e anticipazioni</w:t>
            </w:r>
            <w:r>
              <w:rPr>
                <w:rFonts w:ascii="Times New Roman" w:hAnsi="Times New Roman"/>
                <w:sz w:val="24"/>
              </w:rPr>
              <w:t>"</w:t>
            </w:r>
            <w:r w:rsidR="001A67EA">
              <w:rPr>
                <w:rFonts w:ascii="Times New Roman" w:hAnsi="Times New Roman"/>
                <w:sz w:val="24"/>
              </w:rPr>
              <w:t xml:space="preserve"> sono strumenti di debito posseduti dagli enti che non sono titoli; questo elemento comprende i prestiti ai sensi del regolamento (UE) n. </w:t>
            </w:r>
            <w:r w:rsidR="001A67EA" w:rsidRPr="00096137">
              <w:rPr>
                <w:rFonts w:ascii="Times New Roman" w:hAnsi="Times New Roman"/>
                <w:sz w:val="24"/>
              </w:rPr>
              <w:t>1071</w:t>
            </w:r>
            <w:r w:rsidR="001A67EA">
              <w:rPr>
                <w:rFonts w:ascii="Times New Roman" w:hAnsi="Times New Roman"/>
                <w:sz w:val="24"/>
              </w:rPr>
              <w:t>/</w:t>
            </w:r>
            <w:r w:rsidR="001A67EA" w:rsidRPr="00096137">
              <w:rPr>
                <w:rFonts w:ascii="Times New Roman" w:hAnsi="Times New Roman"/>
                <w:sz w:val="24"/>
              </w:rPr>
              <w:t>2013</w:t>
            </w:r>
            <w:r w:rsidR="001A67EA">
              <w:rPr>
                <w:rFonts w:ascii="Times New Roman" w:hAnsi="Times New Roman"/>
                <w:sz w:val="24"/>
              </w:rPr>
              <w:t xml:space="preserve"> della Banca centrale europea (</w:t>
            </w:r>
            <w:r>
              <w:rPr>
                <w:rFonts w:ascii="Times New Roman" w:hAnsi="Times New Roman"/>
                <w:sz w:val="24"/>
              </w:rPr>
              <w:t>"</w:t>
            </w:r>
            <w:r w:rsidR="001A67EA">
              <w:rPr>
                <w:rFonts w:ascii="Times New Roman" w:hAnsi="Times New Roman"/>
                <w:sz w:val="24"/>
              </w:rPr>
              <w:t>regolamento BSI della BCE</w:t>
            </w:r>
            <w:r>
              <w:rPr>
                <w:rFonts w:ascii="Times New Roman" w:hAnsi="Times New Roman"/>
                <w:sz w:val="24"/>
              </w:rPr>
              <w:t>"</w:t>
            </w:r>
            <w:r w:rsidR="001A67EA">
              <w:rPr>
                <w:rFonts w:ascii="Times New Roman" w:hAnsi="Times New Roman"/>
                <w:sz w:val="24"/>
              </w:rPr>
              <w:t>)</w:t>
            </w:r>
            <w:r w:rsidR="001A67EA">
              <w:rPr>
                <w:rStyle w:val="FootnoteReference"/>
                <w:rFonts w:ascii="Times New Roman" w:hAnsi="Times New Roman" w:cs="Times New Roman"/>
                <w:sz w:val="24"/>
              </w:rPr>
              <w:footnoteReference w:id="2"/>
            </w:r>
            <w:r w:rsidR="001A67EA">
              <w:rPr>
                <w:rFonts w:ascii="Times New Roman" w:hAnsi="Times New Roman"/>
                <w:sz w:val="24"/>
              </w:rPr>
              <w:t>, e le anticipazioni che non possono essere classificate come prestiti ai sensi dell</w:t>
            </w:r>
            <w:r>
              <w:rPr>
                <w:rFonts w:ascii="Times New Roman" w:hAnsi="Times New Roman"/>
                <w:sz w:val="24"/>
              </w:rPr>
              <w:t>'</w:t>
            </w:r>
            <w:r w:rsidR="001A67EA">
              <w:rPr>
                <w:rFonts w:ascii="Times New Roman" w:hAnsi="Times New Roman"/>
                <w:sz w:val="24"/>
              </w:rPr>
              <w:t>allegato</w:t>
            </w:r>
            <w:r>
              <w:rPr>
                <w:rFonts w:ascii="Times New Roman" w:hAnsi="Times New Roman"/>
                <w:sz w:val="24"/>
              </w:rPr>
              <w:t> </w:t>
            </w:r>
            <w:r w:rsidR="001A67EA">
              <w:rPr>
                <w:rFonts w:ascii="Times New Roman" w:hAnsi="Times New Roman"/>
                <w:sz w:val="24"/>
              </w:rPr>
              <w:t xml:space="preserve">V, parte </w:t>
            </w:r>
            <w:r w:rsidR="001A67EA" w:rsidRPr="00096137">
              <w:rPr>
                <w:rFonts w:ascii="Times New Roman" w:hAnsi="Times New Roman"/>
                <w:sz w:val="24"/>
              </w:rPr>
              <w:t>1</w:t>
            </w:r>
            <w:r w:rsidR="001A67EA">
              <w:rPr>
                <w:rFonts w:ascii="Times New Roman" w:hAnsi="Times New Roman"/>
                <w:sz w:val="24"/>
              </w:rPr>
              <w:t xml:space="preserve">, punto </w:t>
            </w:r>
            <w:r w:rsidR="001A67EA" w:rsidRPr="00096137">
              <w:rPr>
                <w:rFonts w:ascii="Times New Roman" w:hAnsi="Times New Roman"/>
                <w:sz w:val="24"/>
              </w:rPr>
              <w:t>32</w:t>
            </w:r>
            <w:r w:rsidR="001A67EA">
              <w:rPr>
                <w:rFonts w:ascii="Times New Roman" w:hAnsi="Times New Roman"/>
                <w:sz w:val="24"/>
              </w:rPr>
              <w:t>, del regolamento di esecuzione (UE) n. </w:t>
            </w:r>
            <w:r w:rsidR="001A67EA" w:rsidRPr="00096137">
              <w:rPr>
                <w:rFonts w:ascii="Times New Roman" w:hAnsi="Times New Roman"/>
                <w:sz w:val="24"/>
              </w:rPr>
              <w:t>680</w:t>
            </w:r>
            <w:r w:rsidR="001A67EA">
              <w:rPr>
                <w:rFonts w:ascii="Times New Roman" w:hAnsi="Times New Roman"/>
                <w:sz w:val="24"/>
              </w:rPr>
              <w:t>/</w:t>
            </w:r>
            <w:r w:rsidR="001A67EA" w:rsidRPr="00096137">
              <w:rPr>
                <w:rFonts w:ascii="Times New Roman" w:hAnsi="Times New Roman"/>
                <w:sz w:val="24"/>
              </w:rPr>
              <w:t>2014</w:t>
            </w:r>
            <w:r w:rsidR="001A67EA">
              <w:rPr>
                <w:rFonts w:ascii="Times New Roman" w:hAnsi="Times New Roman"/>
                <w:sz w:val="24"/>
              </w:rPr>
              <w:t xml:space="preserve"> della Commissione</w:t>
            </w:r>
            <w:r w:rsidR="001A67EA">
              <w:rPr>
                <w:rStyle w:val="FootnoteReference"/>
                <w:rFonts w:ascii="Times New Roman" w:hAnsi="Times New Roman" w:cs="Times New Roman"/>
                <w:sz w:val="24"/>
              </w:rPr>
              <w:footnoteReference w:id="3"/>
            </w:r>
            <w:r w:rsidR="001A67EA">
              <w:rPr>
                <w:rFonts w:ascii="Times New Roman" w:hAnsi="Times New Roman"/>
                <w:sz w:val="24"/>
              </w:rPr>
              <w:t>.</w:t>
            </w:r>
          </w:p>
        </w:tc>
      </w:tr>
      <w:tr w:rsidR="001A67EA" w:rsidRPr="007F4CC8" w14:paraId="04E2555D" w14:textId="77777777" w:rsidTr="00DB7565">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sidRPr="00096137">
              <w:rPr>
                <w:rFonts w:ascii="Times New Roman" w:hAnsi="Times New Roman"/>
                <w:sz w:val="24"/>
              </w:rPr>
              <w:t>2</w:t>
            </w:r>
          </w:p>
        </w:tc>
        <w:tc>
          <w:tcPr>
            <w:tcW w:w="7699"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Titoli di debito</w:t>
            </w:r>
          </w:p>
          <w:p w14:paraId="64329DF3" w14:textId="078758A6"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I titoli di debito sono strumenti di debito posseduti dall</w:t>
            </w:r>
            <w:r w:rsidR="00096137">
              <w:rPr>
                <w:rFonts w:ascii="Times New Roman" w:hAnsi="Times New Roman"/>
                <w:sz w:val="24"/>
              </w:rPr>
              <w:t>'</w:t>
            </w:r>
            <w:r>
              <w:rPr>
                <w:rFonts w:ascii="Times New Roman" w:hAnsi="Times New Roman"/>
                <w:sz w:val="24"/>
              </w:rPr>
              <w:t>ente emessi in forma di titoli che non sono prestiti conformemente al regolamento BSI della BCE, come definiti all</w:t>
            </w:r>
            <w:r w:rsidR="00096137">
              <w:rPr>
                <w:rFonts w:ascii="Times New Roman" w:hAnsi="Times New Roman"/>
                <w:sz w:val="24"/>
              </w:rPr>
              <w:t>'</w:t>
            </w:r>
            <w:r>
              <w:rPr>
                <w:rFonts w:ascii="Times New Roman" w:hAnsi="Times New Roman"/>
                <w:sz w:val="24"/>
              </w:rPr>
              <w:t xml:space="preserve">allegato V, parte </w:t>
            </w:r>
            <w:r w:rsidRPr="00096137">
              <w:rPr>
                <w:rFonts w:ascii="Times New Roman" w:hAnsi="Times New Roman"/>
                <w:sz w:val="24"/>
              </w:rPr>
              <w:t>1</w:t>
            </w:r>
            <w:r>
              <w:rPr>
                <w:rFonts w:ascii="Times New Roman" w:hAnsi="Times New Roman"/>
                <w:sz w:val="24"/>
              </w:rPr>
              <w:t xml:space="preserve">, punto </w:t>
            </w:r>
            <w:r w:rsidRPr="00096137">
              <w:rPr>
                <w:rFonts w:ascii="Times New Roman" w:hAnsi="Times New Roman"/>
                <w:sz w:val="24"/>
              </w:rPr>
              <w:t>31</w:t>
            </w:r>
            <w:r>
              <w:rPr>
                <w:rFonts w:ascii="Times New Roman" w:hAnsi="Times New Roman"/>
                <w:sz w:val="24"/>
              </w:rPr>
              <w:t>, del regolamento di esecuzione (UE) n. </w:t>
            </w:r>
            <w:r w:rsidRPr="00096137">
              <w:rPr>
                <w:rFonts w:ascii="Times New Roman" w:hAnsi="Times New Roman"/>
                <w:sz w:val="24"/>
              </w:rPr>
              <w:t>680</w:t>
            </w:r>
            <w:r>
              <w:rPr>
                <w:rFonts w:ascii="Times New Roman" w:hAnsi="Times New Roman"/>
                <w:sz w:val="24"/>
              </w:rPr>
              <w:t>/</w:t>
            </w:r>
            <w:r w:rsidRPr="00096137">
              <w:rPr>
                <w:rFonts w:ascii="Times New Roman" w:hAnsi="Times New Roman"/>
                <w:sz w:val="24"/>
              </w:rPr>
              <w:t>2014</w:t>
            </w:r>
            <w:r>
              <w:rPr>
                <w:rFonts w:ascii="Times New Roman" w:hAnsi="Times New Roman"/>
                <w:sz w:val="24"/>
              </w:rPr>
              <w:t xml:space="preserve"> della Commissione.</w:t>
            </w:r>
          </w:p>
        </w:tc>
      </w:tr>
      <w:tr w:rsidR="001A67EA" w:rsidRPr="007F4CC8" w14:paraId="05FBC0A7" w14:textId="77777777" w:rsidTr="00DB7565">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sidRPr="00096137">
              <w:rPr>
                <w:rFonts w:ascii="Times New Roman" w:hAnsi="Times New Roman"/>
                <w:sz w:val="24"/>
              </w:rPr>
              <w:t>3</w:t>
            </w:r>
          </w:p>
        </w:tc>
        <w:tc>
          <w:tcPr>
            <w:tcW w:w="7699"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Totale</w:t>
            </w:r>
          </w:p>
          <w:p w14:paraId="1D5CA39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Somma degli importi nelle righe </w:t>
            </w:r>
            <w:r w:rsidRPr="00096137">
              <w:rPr>
                <w:rFonts w:ascii="Times New Roman" w:hAnsi="Times New Roman"/>
                <w:sz w:val="24"/>
              </w:rPr>
              <w:t>1</w:t>
            </w:r>
            <w:r>
              <w:rPr>
                <w:rFonts w:ascii="Times New Roman" w:hAnsi="Times New Roman"/>
                <w:sz w:val="24"/>
              </w:rPr>
              <w:t xml:space="preserve"> e </w:t>
            </w:r>
            <w:r w:rsidRPr="00096137">
              <w:rPr>
                <w:rFonts w:ascii="Times New Roman" w:hAnsi="Times New Roman"/>
                <w:sz w:val="24"/>
              </w:rPr>
              <w:t>2</w:t>
            </w:r>
            <w:r>
              <w:rPr>
                <w:rFonts w:ascii="Times New Roman" w:hAnsi="Times New Roman"/>
                <w:sz w:val="24"/>
              </w:rPr>
              <w:t xml:space="preserve"> di questo modello.</w:t>
            </w:r>
          </w:p>
        </w:tc>
      </w:tr>
      <w:tr w:rsidR="001A67EA" w:rsidRPr="007F4CC8" w14:paraId="232D94F6" w14:textId="77777777" w:rsidTr="00DB7565">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sidRPr="00096137">
              <w:rPr>
                <w:rFonts w:ascii="Times New Roman" w:hAnsi="Times New Roman"/>
                <w:sz w:val="24"/>
              </w:rPr>
              <w:t>4</w:t>
            </w:r>
          </w:p>
        </w:tc>
        <w:tc>
          <w:tcPr>
            <w:tcW w:w="7699"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Di cui esposizioni deteriorate</w:t>
            </w:r>
          </w:p>
          <w:p w14:paraId="3AA9E7C7" w14:textId="0B210F56"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Esposizioni deteriorate conformemente all</w:t>
            </w:r>
            <w:r w:rsidR="00096137">
              <w:rPr>
                <w:rFonts w:ascii="Times New Roman" w:hAnsi="Times New Roman"/>
                <w:sz w:val="24"/>
              </w:rPr>
              <w:t>'</w:t>
            </w:r>
            <w:r>
              <w:rPr>
                <w:rFonts w:ascii="Times New Roman" w:hAnsi="Times New Roman"/>
                <w:sz w:val="24"/>
              </w:rPr>
              <w:t xml:space="preserve">articolo </w:t>
            </w:r>
            <w:r w:rsidRPr="00096137">
              <w:rPr>
                <w:rFonts w:ascii="Times New Roman" w:hAnsi="Times New Roman"/>
                <w:sz w:val="24"/>
              </w:rPr>
              <w:t>47</w:t>
            </w:r>
            <w:r>
              <w:rPr>
                <w:rFonts w:ascii="Times New Roman" w:hAnsi="Times New Roman"/>
                <w:sz w:val="24"/>
              </w:rPr>
              <w:t xml:space="preserve"> bis del CRR.</w:t>
            </w:r>
          </w:p>
        </w:tc>
      </w:tr>
      <w:tr w:rsidR="001A67EA" w:rsidRPr="007F4CC8" w14:paraId="1562F9C2" w14:textId="77777777" w:rsidTr="00DB7565">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w:t>
            </w:r>
            <w:r w:rsidRPr="00096137">
              <w:rPr>
                <w:rFonts w:ascii="Times New Roman" w:hAnsi="Times New Roman"/>
                <w:sz w:val="24"/>
              </w:rPr>
              <w:t>5</w:t>
            </w:r>
          </w:p>
        </w:tc>
        <w:tc>
          <w:tcPr>
            <w:tcW w:w="7699"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Di cui in stato di default</w:t>
            </w:r>
          </w:p>
          <w:p w14:paraId="6D84A962" w14:textId="180A0F23"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Esposizioni in stato di default conformemente all</w:t>
            </w:r>
            <w:r w:rsidR="00096137">
              <w:rPr>
                <w:rFonts w:ascii="Times New Roman" w:hAnsi="Times New Roman"/>
                <w:sz w:val="24"/>
              </w:rPr>
              <w:t>'</w:t>
            </w:r>
            <w:r>
              <w:rPr>
                <w:rFonts w:ascii="Times New Roman" w:hAnsi="Times New Roman"/>
                <w:sz w:val="24"/>
              </w:rPr>
              <w:t xml:space="preserve">articolo </w:t>
            </w:r>
            <w:r w:rsidRPr="00096137">
              <w:rPr>
                <w:rFonts w:ascii="Times New Roman" w:hAnsi="Times New Roman"/>
                <w:sz w:val="24"/>
              </w:rPr>
              <w:t>178</w:t>
            </w:r>
            <w:r>
              <w:rPr>
                <w:rFonts w:ascii="Times New Roman" w:hAnsi="Times New Roman"/>
                <w:sz w:val="24"/>
              </w:rPr>
              <w:t xml:space="preserve"> del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Regolamento (UE) n. </w:t>
      </w:r>
      <w:r w:rsidRPr="00096137">
        <w:t>575</w:t>
      </w:r>
      <w:r>
        <w:t>/</w:t>
      </w:r>
      <w:r w:rsidRPr="00096137">
        <w:t>2013</w:t>
      </w:r>
      <w:r>
        <w:t xml:space="preserve">, del Parlamento europeo e del Consiglio, del </w:t>
      </w:r>
      <w:r w:rsidRPr="00096137">
        <w:t>26</w:t>
      </w:r>
      <w:r>
        <w:t xml:space="preserve"> giugno </w:t>
      </w:r>
      <w:r w:rsidRPr="00096137">
        <w:t>2013</w:t>
      </w:r>
      <w:r>
        <w:t>, relativo ai requisiti prudenziali per gli enti creditizi e le imprese di investimento e che modifica il regolamento (UE) n. </w:t>
      </w:r>
      <w:r w:rsidRPr="00096137">
        <w:t>648</w:t>
      </w:r>
      <w:r>
        <w:t>/</w:t>
      </w:r>
      <w:r w:rsidRPr="00096137">
        <w:t>2012</w:t>
      </w:r>
      <w:r>
        <w:t xml:space="preserve">, come modificato dal regolamento (UE) </w:t>
      </w:r>
      <w:r w:rsidRPr="00096137">
        <w:t>2024</w:t>
      </w:r>
      <w:r>
        <w:t>/</w:t>
      </w:r>
      <w:r w:rsidRPr="00096137">
        <w:t>1623</w:t>
      </w:r>
      <w:r>
        <w:t xml:space="preserve"> </w:t>
      </w:r>
      <w:r>
        <w:rPr>
          <w:color w:val="444444"/>
        </w:rPr>
        <w:t>(</w:t>
      </w:r>
      <w:hyperlink r:id="rId1" w:history="1">
        <w:r>
          <w:rPr>
            <w:rStyle w:val="Hyperlink"/>
            <w:color w:val="800080"/>
          </w:rPr>
          <w:t>GU L </w:t>
        </w:r>
        <w:r w:rsidRPr="00096137">
          <w:rPr>
            <w:rStyle w:val="Hyperlink"/>
            <w:color w:val="800080"/>
          </w:rPr>
          <w:t>176</w:t>
        </w:r>
        <w:r>
          <w:rPr>
            <w:rStyle w:val="Hyperlink"/>
            <w:color w:val="800080"/>
          </w:rPr>
          <w:t xml:space="preserve"> del </w:t>
        </w:r>
        <w:r w:rsidRPr="00096137">
          <w:rPr>
            <w:rStyle w:val="Hyperlink"/>
            <w:color w:val="800080"/>
          </w:rPr>
          <w:t>27</w:t>
        </w:r>
        <w:r>
          <w:rPr>
            <w:rStyle w:val="Hyperlink"/>
            <w:color w:val="800080"/>
          </w:rPr>
          <w:t>.</w:t>
        </w:r>
        <w:r w:rsidRPr="00096137">
          <w:rPr>
            <w:rStyle w:val="Hyperlink"/>
            <w:color w:val="800080"/>
          </w:rPr>
          <w:t>6</w:t>
        </w:r>
        <w:r>
          <w:rPr>
            <w:rStyle w:val="Hyperlink"/>
            <w:color w:val="800080"/>
          </w:rPr>
          <w:t>.</w:t>
        </w:r>
        <w:r w:rsidRPr="00096137">
          <w:rPr>
            <w:rStyle w:val="Hyperlink"/>
            <w:color w:val="800080"/>
          </w:rPr>
          <w:t>2013</w:t>
        </w:r>
        <w:r>
          <w:rPr>
            <w:rStyle w:val="Hyperlink"/>
            <w:color w:val="800080"/>
          </w:rPr>
          <w:t>, pag. </w:t>
        </w:r>
        <w:r w:rsidRPr="00096137">
          <w:rPr>
            <w:rStyle w:val="Hyperlink"/>
            <w:color w:val="800080"/>
          </w:rPr>
          <w:t>1</w:t>
        </w:r>
      </w:hyperlink>
      <w:r>
        <w:rPr>
          <w:color w:val="444444"/>
        </w:rPr>
        <w:t>)</w:t>
      </w:r>
      <w:r>
        <w:t>;</w:t>
      </w:r>
      <w:r>
        <w:rPr>
          <w:color w:val="800080"/>
          <w:u w:val="single"/>
        </w:rPr>
        <w:t xml:space="preserve"> </w:t>
      </w:r>
      <w:hyperlink r:id="rId2" w:history="1">
        <w:r>
          <w:rPr>
            <w:rStyle w:val="Hyperlink"/>
          </w:rPr>
          <w:t xml:space="preserve">Regolamento - EU - </w:t>
        </w:r>
        <w:r w:rsidRPr="00096137">
          <w:rPr>
            <w:rStyle w:val="Hyperlink"/>
          </w:rPr>
          <w:t>2024</w:t>
        </w:r>
        <w:r>
          <w:rPr>
            <w:rStyle w:val="Hyperlink"/>
          </w:rPr>
          <w:t>/</w:t>
        </w:r>
        <w:r w:rsidRPr="00096137">
          <w:rPr>
            <w:rStyle w:val="Hyperlink"/>
          </w:rPr>
          <w:t>1623</w:t>
        </w:r>
        <w:r>
          <w:rPr>
            <w:rStyle w:val="Hyperlink"/>
          </w:rPr>
          <w:t xml:space="preserve"> - IT - EUR-Lex (europa.eu)</w:t>
        </w:r>
      </w:hyperlink>
      <w:r>
        <w:rPr>
          <w:color w:val="444444"/>
        </w:rPr>
        <w:t>)</w:t>
      </w:r>
      <w:r>
        <w:t>.</w:t>
      </w:r>
    </w:p>
  </w:footnote>
  <w:footnote w:id="2">
    <w:p w14:paraId="617AD8CF" w14:textId="02750B15" w:rsidR="001A67EA" w:rsidRPr="00222AAB" w:rsidRDefault="001A67EA" w:rsidP="001A67EA">
      <w:pPr>
        <w:pStyle w:val="FootnoteText"/>
        <w:rPr>
          <w:rFonts w:cstheme="minorHAnsi"/>
        </w:rPr>
      </w:pPr>
      <w:r>
        <w:rPr>
          <w:rStyle w:val="FootnoteReference"/>
          <w:rFonts w:cstheme="minorHAnsi"/>
        </w:rPr>
        <w:footnoteRef/>
      </w:r>
      <w:r>
        <w:t xml:space="preserve"> </w:t>
      </w:r>
      <w:r w:rsidR="00096137">
        <w:tab/>
      </w:r>
      <w:r>
        <w:t>Regolamento (UE) n. </w:t>
      </w:r>
      <w:r w:rsidRPr="00096137">
        <w:t>1071</w:t>
      </w:r>
      <w:r>
        <w:t>/</w:t>
      </w:r>
      <w:r w:rsidRPr="00096137">
        <w:t>2013</w:t>
      </w:r>
      <w:r>
        <w:t xml:space="preserve"> della Banca centrale europea, del </w:t>
      </w:r>
      <w:r w:rsidRPr="00096137">
        <w:t>24</w:t>
      </w:r>
      <w:r>
        <w:t xml:space="preserve"> settembre </w:t>
      </w:r>
      <w:r w:rsidRPr="00096137">
        <w:t>2013</w:t>
      </w:r>
      <w:r>
        <w:t>, relativo al bilancio del settore delle istituzioni finanziarie monetarie (BCE/</w:t>
      </w:r>
      <w:r w:rsidRPr="00096137">
        <w:t>2013</w:t>
      </w:r>
      <w:r>
        <w:t>/</w:t>
      </w:r>
      <w:r w:rsidRPr="00096137">
        <w:t>33</w:t>
      </w:r>
      <w:r>
        <w:t xml:space="preserve">) (GU L </w:t>
      </w:r>
      <w:r w:rsidRPr="00096137">
        <w:t>297</w:t>
      </w:r>
      <w:r>
        <w:t xml:space="preserve"> del </w:t>
      </w:r>
      <w:r w:rsidRPr="00096137">
        <w:t>7</w:t>
      </w:r>
      <w:r>
        <w:t>.</w:t>
      </w:r>
      <w:r w:rsidRPr="00096137">
        <w:t>11</w:t>
      </w:r>
      <w:r>
        <w:t>.</w:t>
      </w:r>
      <w:r w:rsidRPr="00096137">
        <w:t>2013</w:t>
      </w:r>
      <w:r>
        <w:t xml:space="preserve">, pag. </w:t>
      </w:r>
      <w:r w:rsidRPr="00096137">
        <w:t>1</w:t>
      </w:r>
      <w:r>
        <w:t>).</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Regolamento di esecuzione (UE) n. </w:t>
      </w:r>
      <w:r w:rsidRPr="00096137">
        <w:t>680</w:t>
      </w:r>
      <w:r>
        <w:t>/</w:t>
      </w:r>
      <w:r w:rsidRPr="00096137">
        <w:t>2014</w:t>
      </w:r>
      <w:r>
        <w:t xml:space="preserve"> della Commissione, del </w:t>
      </w:r>
      <w:r w:rsidRPr="00096137">
        <w:t>16</w:t>
      </w:r>
      <w:r>
        <w:t xml:space="preserve"> aprile </w:t>
      </w:r>
      <w:r w:rsidRPr="00096137">
        <w:t>2014</w:t>
      </w:r>
      <w:r>
        <w:t>, che stabilisce norme tecniche di attuazione per quanto riguarda le segnalazioni degli enti a fini di vigilanza conformemente al regolamento (UE) n. </w:t>
      </w:r>
      <w:r w:rsidRPr="00096137">
        <w:t>575</w:t>
      </w:r>
      <w:r>
        <w:t>/</w:t>
      </w:r>
      <w:r w:rsidRPr="00096137">
        <w:t>2013</w:t>
      </w:r>
      <w:r>
        <w:t xml:space="preserve"> del Parlamento europeo e del Consiglio (GU L </w:t>
      </w:r>
      <w:r w:rsidRPr="00096137">
        <w:t>191</w:t>
      </w:r>
      <w:r>
        <w:t xml:space="preserve"> del </w:t>
      </w:r>
      <w:r w:rsidRPr="00096137">
        <w:t>28</w:t>
      </w:r>
      <w:r>
        <w:t>.</w:t>
      </w:r>
      <w:r w:rsidRPr="00096137">
        <w:t>6</w:t>
      </w:r>
      <w:r>
        <w:t>.</w:t>
      </w:r>
      <w:r w:rsidRPr="00096137">
        <w:t>2014</w:t>
      </w:r>
      <w:r>
        <w:t xml:space="preserve">, pag. </w:t>
      </w:r>
      <w:r w:rsidRPr="00096137">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8E57A27"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A2B5F7B"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096137"/>
    <w:rsid w:val="001A67EA"/>
    <w:rsid w:val="00382C49"/>
    <w:rsid w:val="004E6337"/>
    <w:rsid w:val="00993FC2"/>
    <w:rsid w:val="00CA68B1"/>
    <w:rsid w:val="00D03F87"/>
    <w:rsid w:val="00DB7565"/>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997DED-A486-44EB-A8B9-D108F168F2F7}"/>
</file>

<file path=customXml/itemProps2.xml><?xml version="1.0" encoding="utf-8"?>
<ds:datastoreItem xmlns:ds="http://schemas.openxmlformats.org/officeDocument/2006/customXml" ds:itemID="{B5201189-6892-4492-AE5F-C883B8B4403E}"/>
</file>

<file path=customXml/itemProps3.xml><?xml version="1.0" encoding="utf-8"?>
<ds:datastoreItem xmlns:ds="http://schemas.openxmlformats.org/officeDocument/2006/customXml" ds:itemID="{83D8BC38-5B7C-4412-A3FE-A7A88179477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4</Pages>
  <Words>1478</Words>
  <Characters>8445</Characters>
  <Application>Microsoft Office Word</Application>
  <DocSecurity>0</DocSecurity>
  <Lines>205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BASSETTI Silvia (DGT)</cp:lastModifiedBy>
  <cp:revision>5</cp:revision>
  <dcterms:created xsi:type="dcterms:W3CDTF">2021-03-11T13:17:00Z</dcterms:created>
  <dcterms:modified xsi:type="dcterms:W3CDTF">2024-10-14T13:58:00Z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