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sz w:val="24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SV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BILAGA XLIV</w:t>
      </w:r>
    </w:p>
    <w:p w14:paraId="327777EC" w14:textId="412B4B5A" w:rsidR="002648B0" w:rsidRPr="002A677E" w:rsidRDefault="00D03B1B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Instruktioner för offentliggörande av kryptotillgångsexponeringar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2" w:name="_Toc163551527"/>
      <w:bookmarkEnd w:id="0"/>
      <w:bookmarkEnd w:id="1"/>
      <w:r>
        <w:rPr>
          <w:b/>
          <w:sz w:val="24"/>
          <w:u w:val="none"/>
          <w:rFonts w:ascii="Times New Roman" w:hAnsi="Times New Roman"/>
        </w:rPr>
        <w:t xml:space="preserve">Mall EU CAE1: Mall för kryptotillgångar</w:t>
      </w:r>
      <w:bookmarkEnd w:id="2"/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Fast format.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 xml:space="preserve">Instituten ska följa de instruktioner som anges nedan för att fylla i mall EU CAE1, vilken återfinns i bilaga XLIII till EBA:s it-lösningar, för att offentliggöra den information om riskvägda exponeringsbelopp och kapitalbaskrav för typer av kryptotillgångsexponeringar som avses i artikel 501d.2 i förordning (EU) nr 575/2013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 xml:space="preserve"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 xml:space="preserve">Rättsliga hänvisningar och instruktioner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Kolumn nr</w:t>
            </w:r>
            <w:r>
              <w:t xml:space="preserve">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 xml:space="preserve">Förklaring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 xml:space="preserve"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Exponeringsvärde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Värdet av de kryptotillgångsexponeringar för olika typer av kryptotillgångar som avses i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 510d.2 i förordning (EU) nr 575/2013.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 xml:space="preserve"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Riskvägda exponeringsbelopp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 501d.2</w:t>
            </w:r>
            <w:r>
              <w:t xml:space="preserve"> i förordning (EU) nr 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Riskvägda exponeringsbelopp för de olika typer av kryptotillgångsexponeringar som beräknats i enlighet med artikel 501d.2 f i förordning (EU) nr 575/2013.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 xml:space="preserve"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Kapitalbaskrav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 501d.2 i förordning (EU) nr 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Kapitalbaskrav som motsvarar de riskvägda exponeringsbeloppen för de olika typerna av kryptotillgångar.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 xml:space="preserve">Rättsliga hänvisningar och instruktioner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 xml:space="preserve">Rad nr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 xml:space="preserve">Förklaring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 xml:space="preserve"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rFonts w:ascii="Times New Roman" w:hAnsi="Times New Roman"/>
              </w:rPr>
              <w:t xml:space="preserve">Tokeniserade traditionella tillgångar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 501d.2 a</w:t>
            </w:r>
            <w:r>
              <w:t xml:space="preserve"> i förordning (EU) nr 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 xml:space="preserve"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Tillgångsanknutna token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t xml:space="preserve">Artikel 501d.2 b i förordning (EU) nr 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t xml:space="preserve"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Andra kryptotillgångsexponeringar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 501d.2 c</w:t>
            </w:r>
            <w:r>
              <w:t xml:space="preserve"> i förordning (EU) nr 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Andra kryptotillgångsexponeringar än de som avses i artikel 501d.2 a och b i förordning (EU) nr 575/2013.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 xml:space="preserve"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Totalt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Totalt värde beräknat som summan av raderna 1, 2 och 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Det totala riskvägda exponeringsbeloppet är lika med det belopp som offentliggörs i rad EU 24a kolumn a i mall EU 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De totala kapitalbaskraven är lika med det belopp som offentliggörs i rad EU 24a kolumn c i mall EU 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Memorandumpost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 xml:space="preserve"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Andra kryptotillgångsexponeringar uttryckta som en procentandel av institutets primärkapital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Artikel 501d.3</w:t>
            </w:r>
            <w:r>
              <w:t xml:space="preserve"> i förordning (EU) nr 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 w:rsidRPr="00ED1956">
      <w:rPr>
        <w:sz w:val="20"/>
        <w:rFonts w:ascii="Times New Roman" w:hAnsi="Times New Roman"/>
      </w:rPr>
      <w:fldChar w:fldCharType="begin"/>
    </w:r>
    <w:r w:rsidRPr="00ED1956">
      <w:rPr>
        <w:sz w:val="20"/>
        <w:rFonts w:ascii="Times New Roman" w:hAnsi="Times New Roman"/>
      </w:rPr>
      <w:instrText xml:space="preserve"> PAGE   \* MERGEFORMAT </w:instrText>
    </w:r>
    <w:r w:rsidRPr="00ED1956">
      <w:rPr>
        <w:sz w:val="20"/>
        <w:rFonts w:ascii="Times New Roman" w:hAnsi="Times New Roman"/>
      </w:rPr>
      <w:fldChar w:fldCharType="separate"/>
    </w:r>
    <w:r w:rsidR="008F3052">
      <w:rPr>
        <w:sz w:val="20"/>
        <w:rFonts w:ascii="Times New Roman" w:hAnsi="Times New Roman"/>
      </w:rPr>
      <w:t>42</w:t>
    </w:r>
    <w:r w:rsidRPr="00ED1956"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sz w:val="20"/>
          <w:szCs w:val="20"/>
          <w:rFonts w:ascii="Times New Roman" w:eastAsia="Calibri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sz w:val="20"/>
          <w:rFonts w:ascii="Times New Roman" w:hAnsi="Times New Roman"/>
        </w:rPr>
        <w:t xml:space="preserve"> </w:t>
      </w:r>
      <w:r>
        <w:rPr>
          <w:sz w:val="20"/>
          <w:rFonts w:ascii="Times New Roman" w:hAnsi="Times New Roman"/>
        </w:rPr>
        <w:tab/>
      </w:r>
      <w:r>
        <w:rPr>
          <w:sz w:val="18"/>
        </w:rPr>
        <w:t xml:space="preserve">Europaparlamentets och rådets förordning (EU) nr 575/2013 av den 26 juni 2013 om tillsynskrav för kreditinstitut och om ändring av förordning (EU) nr 648/2012, i dess lydelse enligt förordning (EU) 2024/1623 (</w:t>
      </w:r>
      <w:hyperlink r:id="rId1" w:history="1">
        <w:r>
          <w:rPr>
            <w:rStyle w:val="Hyperlink"/>
            <w:color w:val="800080"/>
          </w:rPr>
          <w:t xml:space="preserve">EUT L 176, 27.6.2013, s. 1</w:t>
        </w:r>
      </w:hyperlink>
      <w:r>
        <w:rPr>
          <w:sz w:val="18"/>
        </w:rPr>
        <w:t xml:space="preserve">),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förordning 2024/1623 – SV – EUR-Lex (europa.eu)</w:t>
        </w:r>
      </w:hyperlink>
      <w:r>
        <w:rPr>
          <w:color w:val="444444"/>
        </w:rPr>
        <w:t xml:space="preserve">[].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sv-SE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sv-SE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sv-S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sv-S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sv-S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sv-S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sv-S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sv-S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sv-SE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sv-SE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sv-SE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sv-S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sv-S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sv-S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sv-S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sv-S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sv-SE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sv-S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sv-SE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sv-S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sv-SE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sv-SE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sv-S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sv-SE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sv-S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sv-S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sv-SE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sv-SE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sv-SE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sv-SE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sv-SE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sv-SE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sv-SE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sv-SE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sv-SE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sv-SE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sv-SE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sv-SE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sv-SE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sv-SE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sv-SE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sv-SE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sv-SE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sv-SE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sv-SE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sv-SE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sv-SE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sv-SE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sv-SE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sv-SE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sv-SE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sv-SE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sv-SE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sv-SE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sv-SE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sv-SE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sv-SE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sv-S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sv-SE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V/TXT/?uri=OJ:L_202401623" TargetMode="External"/><Relationship Id="rId1" Type="http://schemas.openxmlformats.org/officeDocument/2006/relationships/hyperlink" Target="https://eur-lex.europa.eu/legal-content/SV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5FEF13-5A60-428A-894D-27BD8488907E}"/>
</file>

<file path=customXml/itemProps3.xml><?xml version="1.0" encoding="utf-8"?>
<ds:datastoreItem xmlns:ds="http://schemas.openxmlformats.org/officeDocument/2006/customXml" ds:itemID="{CF246418-7ACD-451B-BE8C-E96A1FD79E96}"/>
</file>

<file path=customXml/itemProps4.xml><?xml version="1.0" encoding="utf-8"?>
<ds:datastoreItem xmlns:ds="http://schemas.openxmlformats.org/officeDocument/2006/customXml" ds:itemID="{88A14CC4-3833-42F3-B560-3F261F92CF0E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1727</Characters>
  <Application>Microsoft Office Word</Application>
  <DocSecurity>0</DocSecurity>
  <Lines>61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2024-09-26T14:35:00Z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