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X. MELLÉKLET – Útmutató az anticiklikus tőkepufferekre vonatkozó információk nyilvánosságra hozatalához</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EU CCyB1 tábla – Az anticiklikus tőkepuffer kiszámítása szempontjából releváns hitelkockázati kitettségek földrajzi eloszlása. </w:t>
      </w:r>
      <w:r>
        <w:rPr>
          <w:rFonts w:ascii="Times New Roman" w:hAnsi="Times New Roman"/>
          <w:sz w:val="24"/>
        </w:rPr>
        <w:t xml:space="preserve">Kötött formátum az oszlopok, rugalmas formátum a sorok esetében.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Az intézmények az EBH IT-megoldásainak IX. mellékletében található EU CCyB1 tábla e mellékletben foglalt útmutató szerinti kitöltésével hozzák nyilvánosságra az 575/2013/EU rendelet</w:t>
      </w:r>
      <w:r>
        <w:rPr>
          <w:rStyle w:val="FootnoteReference"/>
        </w:rPr>
        <w:footnoteReference w:id="1"/>
      </w:r>
      <w:r>
        <w:rPr>
          <w:rFonts w:ascii="Times New Roman" w:hAnsi="Times New Roman"/>
          <w:sz w:val="24"/>
        </w:rPr>
        <w:t xml:space="preserve"> (CRR) 440. cikkének a) pontjában említett információkat.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Az EU CCyB1 tábla alkalmazási köre a 2013/36/EU irányelv</w:t>
      </w:r>
      <w:r>
        <w:rPr>
          <w:rStyle w:val="FootnoteReference"/>
          <w:rFonts w:eastAsia="Times New Roman"/>
        </w:rPr>
        <w:footnoteReference w:id="2"/>
      </w:r>
      <w:r>
        <w:rPr>
          <w:rFonts w:ascii="Times New Roman" w:hAnsi="Times New Roman"/>
          <w:sz w:val="24"/>
        </w:rPr>
        <w:t xml:space="preserve"> (CRD) 140. cikkének (4) bekezdésével összhangban az anticiklikus tőkepuffer kiszámítása szempontjából lényeges hitelkockázati kitettségekre korlátozódik.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Jogszabályi hivatkozások és útmutató</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455D0D" w:rsidRPr="007F4CC8" w14:paraId="6D5018C1" w14:textId="77777777" w:rsidTr="00D819DE">
        <w:trPr>
          <w:trHeight w:val="4381"/>
        </w:trPr>
        <w:tc>
          <w:tcPr>
            <w:tcW w:w="1384" w:type="dxa"/>
          </w:tcPr>
          <w:p w14:paraId="48FA5F7D" w14:textId="33B66942" w:rsidR="00455D0D" w:rsidRPr="007F4CC8" w:rsidRDefault="00455D0D" w:rsidP="00D819DE">
            <w:pPr>
              <w:pStyle w:val="Applicationdirecte"/>
              <w:spacing w:before="120"/>
            </w:pPr>
            <w:r>
              <w:t>010–01X</w:t>
            </w:r>
            <w:r w:rsidR="003C4DB4">
              <w:t>.</w:t>
            </w:r>
          </w:p>
        </w:tc>
        <w:tc>
          <w:tcPr>
            <w:tcW w:w="7655" w:type="dxa"/>
          </w:tcPr>
          <w:p w14:paraId="482E28A9" w14:textId="77777777" w:rsidR="00455D0D" w:rsidRPr="007F4CC8" w:rsidRDefault="00455D0D" w:rsidP="00D819DE">
            <w:pPr>
              <w:pStyle w:val="Applicationdirecte"/>
              <w:spacing w:before="120"/>
              <w:rPr>
                <w:b/>
              </w:rPr>
            </w:pPr>
            <w:r>
              <w:rPr>
                <w:b/>
              </w:rPr>
              <w:t>Országonkénti bontás</w:t>
            </w:r>
          </w:p>
          <w:p w14:paraId="2DDAA49A" w14:textId="77777777" w:rsidR="00455D0D" w:rsidRPr="007F4CC8" w:rsidRDefault="00455D0D" w:rsidP="00D819DE">
            <w:pPr>
              <w:pStyle w:val="Applicationdirecte"/>
              <w:spacing w:before="120"/>
            </w:pPr>
            <w:r>
              <w:t>Azoknak az országoknak a jegyzéke, ahol az intézménynek az intézményspecifikus anticiklikus tőkepuffer kiszámítása szempontjából lényeges hitelkockázati kitettsége van az 1152/2014/EU felhatalmazáson alapuló bizottsági rendeletnek</w:t>
            </w:r>
            <w:r>
              <w:rPr>
                <w:rStyle w:val="FootnoteReference"/>
              </w:rPr>
              <w:footnoteReference w:id="3"/>
            </w:r>
            <w:r>
              <w:t xml:space="preserve"> megfelelően.</w:t>
            </w:r>
          </w:p>
          <w:p w14:paraId="37E96D2E" w14:textId="77777777" w:rsidR="00455D0D" w:rsidRPr="007F4CC8" w:rsidRDefault="00455D0D" w:rsidP="00D819DE">
            <w:pPr>
              <w:pStyle w:val="Fait"/>
              <w:spacing w:after="120"/>
            </w:pPr>
            <w:r>
              <w:t>A sorok száma változhat azon országok számától függően, ahol az intézménynek az anticiklikus tőkepuffer kiszámítása szempontjából lényeges hitelkockázati kitettsége van. Az intézményeknek az egyes országokra vonatkozó sorokat egymás után folyamatosan kell számozniuk, 010-zel kezdődően.</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Az 1152/2014/EU felhatalmazáson alapuló bizottsági rendelettel összhangban, ha egy intézmény kereskedési könyvi kitettségei vagy külföldi hitelkockázati kitettségei az összesített, kockázattal súlyozott kitettségeinek kevesebb mint 2 %-át képviselik, az intézmény dönthet úgy, hogy ezeket a kitettségeket az intézmény helyéhez (azaz az intézmény székhelye szerinti tagállamhoz) rendeli. Ha az intézmény helyéhez rendelt kitettségek más országokból származó kitettségeket is tartalmaznak, akkor ezeket egyértelműen azonosítani kell a nyilvánosságra hozatali tábla lábjegyzetében.</w:t>
            </w:r>
          </w:p>
        </w:tc>
      </w:tr>
      <w:tr w:rsidR="00455D0D" w:rsidRPr="007F4CC8" w14:paraId="2B7D044A" w14:textId="77777777" w:rsidTr="00D819DE">
        <w:trPr>
          <w:trHeight w:val="316"/>
        </w:trPr>
        <w:tc>
          <w:tcPr>
            <w:tcW w:w="1384" w:type="dxa"/>
          </w:tcPr>
          <w:p w14:paraId="34D2A4C4" w14:textId="77F0E390"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r w:rsidR="003C4DB4">
              <w:rPr>
                <w:rFonts w:ascii="Times New Roman" w:hAnsi="Times New Roman"/>
                <w:sz w:val="24"/>
              </w:rPr>
              <w:t>.</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Összesen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Az e tábla „a” – „m” oszlopához kapcsolódó magyarázatban levő leírásnak megfelelő érték.</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Jogszabályi hivatkozások és útmutató</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Magyarázat</w:t>
            </w:r>
          </w:p>
        </w:tc>
      </w:tr>
      <w:tr w:rsidR="00455D0D" w:rsidRPr="007F4CC8" w14:paraId="2CFE33C2" w14:textId="77777777" w:rsidTr="00D819DE">
        <w:trPr>
          <w:trHeight w:val="841"/>
        </w:trPr>
        <w:tc>
          <w:tcPr>
            <w:tcW w:w="1384" w:type="dxa"/>
          </w:tcPr>
          <w:p w14:paraId="09169D26" w14:textId="6F56FC4D" w:rsidR="00455D0D" w:rsidRPr="007F4CC8" w:rsidRDefault="00455D0D" w:rsidP="00D819DE">
            <w:pPr>
              <w:pStyle w:val="Applicationdirecte"/>
              <w:spacing w:before="120"/>
            </w:pPr>
            <w:r>
              <w:t>a</w:t>
            </w:r>
            <w:r w:rsidR="003C4DB4">
              <w:t>.</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Általános hitelkockázati kitettségek kitettségértéke a sztenderd módszer szerint</w:t>
            </w:r>
          </w:p>
          <w:p w14:paraId="217A6855" w14:textId="77777777" w:rsidR="00455D0D" w:rsidRPr="007F4CC8" w:rsidRDefault="00455D0D" w:rsidP="00D819DE">
            <w:pPr>
              <w:pStyle w:val="Fait"/>
              <w:spacing w:after="120"/>
            </w:pPr>
            <w:r>
              <w:t>A CRD 140. cikke (4) bekezdése a) pontjának és a CRR 111. cikkének megfelelően meghatározott lényeges hitelkockázati kitettségek kitettségértéke.</w:t>
            </w:r>
          </w:p>
          <w:p w14:paraId="7001526D" w14:textId="77777777" w:rsidR="00455D0D" w:rsidRPr="007F4CC8" w:rsidRDefault="00455D0D" w:rsidP="00D819DE">
            <w:pPr>
              <w:pStyle w:val="Fait"/>
              <w:spacing w:after="120"/>
            </w:pPr>
            <w:r>
              <w:t>A CRD 140. cikke (4) bekezdése c) pontjának és a CRR 248. cikke a) és c) pontjának megfelelően meghatározott lényeges hitelkockázati kitettségek kitettségértékét nem itt, hanem ennek a táblának az „e” oszlopában kell feltüntetni.</w:t>
            </w:r>
          </w:p>
          <w:p w14:paraId="7DC41FB9" w14:textId="77777777" w:rsidR="00455D0D" w:rsidRPr="007F4CC8" w:rsidRDefault="00455D0D" w:rsidP="00D819DE">
            <w:pPr>
              <w:pStyle w:val="Fait"/>
              <w:spacing w:after="120"/>
            </w:pPr>
            <w:r>
              <w:t xml:space="preserve">A földrajzi bontást az 1152/2014/EU felhatalmazáson alapuló bizottsági rendeletnek megfelelően kell elvégezni. </w:t>
            </w:r>
          </w:p>
          <w:p w14:paraId="6801ED6C" w14:textId="77777777" w:rsidR="00455D0D" w:rsidRPr="007F4CC8" w:rsidRDefault="00455D0D" w:rsidP="00D819DE">
            <w:pPr>
              <w:pStyle w:val="Fait"/>
              <w:spacing w:after="120"/>
            </w:pPr>
            <w:r>
              <w:t>020. sor (Összesen): a lényeges hitelkockázati kitettségek összesített összegét a CRD 140. cikke (4) bekezdése a) pontjának és a CRR 111. cikkének megfelelően kell meghatározni.</w:t>
            </w:r>
          </w:p>
        </w:tc>
      </w:tr>
      <w:tr w:rsidR="00455D0D" w:rsidRPr="007F4CC8" w14:paraId="3E403FD1" w14:textId="77777777" w:rsidTr="00D819DE">
        <w:trPr>
          <w:trHeight w:val="841"/>
        </w:trPr>
        <w:tc>
          <w:tcPr>
            <w:tcW w:w="1384" w:type="dxa"/>
          </w:tcPr>
          <w:p w14:paraId="2F14660E" w14:textId="771A12E0" w:rsidR="00455D0D" w:rsidRPr="007F4CC8" w:rsidRDefault="00455D0D" w:rsidP="00D819DE">
            <w:pPr>
              <w:pStyle w:val="Applicationdirecte"/>
              <w:spacing w:before="120"/>
            </w:pPr>
            <w:r>
              <w:t>b</w:t>
            </w:r>
            <w:r w:rsidR="003C4DB4">
              <w:t>.</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Általános hitelkockázati kitettségek kitettségértéke az IRB-módszer szerint</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CRD 140. cikke (4) bekezdése a) pontjának és a CRR 166., 167. és 168. cikkének megfelelően meghatározott lényeges hitelkockázati kitettségek kitettségértéke.</w:t>
            </w:r>
          </w:p>
          <w:p w14:paraId="4BAA504B" w14:textId="77777777" w:rsidR="00455D0D" w:rsidRPr="007F4CC8" w:rsidRDefault="00455D0D" w:rsidP="00D819DE">
            <w:pPr>
              <w:pStyle w:val="Fait"/>
              <w:spacing w:after="120"/>
            </w:pPr>
            <w:r>
              <w:t>A CRD 140. cikke (4) bekezdése c) pontjának és a CRR 248. cikke a) és c) pontjának megfelelően meghatározott lényeges hitelkockázati kitettségek kitettségértékét nem itt, hanem ennek a táblának az „e” oszlopában kell feltüntetni.</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020. sor (Összesen): a lényeges hitelkockázati kitettségek összesített összegét a CRD 140. cikke (4) bekezdése a) pontjának és a CRR 166., 167. és 168. cikkének megfelelően kell meghatározni.</w:t>
            </w:r>
          </w:p>
        </w:tc>
      </w:tr>
      <w:tr w:rsidR="00455D0D" w:rsidRPr="007F4CC8" w14:paraId="2FD82798" w14:textId="77777777" w:rsidTr="00D819DE">
        <w:trPr>
          <w:trHeight w:val="316"/>
        </w:trPr>
        <w:tc>
          <w:tcPr>
            <w:tcW w:w="1384" w:type="dxa"/>
          </w:tcPr>
          <w:p w14:paraId="41DD12A9" w14:textId="3E5313C9"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r w:rsidR="003C4DB4">
              <w:rPr>
                <w:rFonts w:ascii="Times New Roman" w:hAnsi="Times New Roman"/>
                <w:sz w:val="24"/>
              </w:rPr>
              <w:t>.</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Kereskedési könyvi kitettségek hosszú és rövid pozícióinak összege sztenderd módszer (SA) esetében</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bekezdésének b) pontja szerinti lényeges hitelkockázati kitettségek hosszú és rövid pozícióinak összege a CRR 327. cikkével összhangban meghatározott hosszú és rövid pozíciók összegeként számítva.</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sor (Összesen): a lényeges hitelkockázati kitettségek valamennyi hosszú és rövid pozíciójának összegét a CRD 140. cikke (4) bekezdésének b) pontja </w:t>
            </w:r>
            <w:r>
              <w:rPr>
                <w:rFonts w:ascii="Times New Roman" w:hAnsi="Times New Roman"/>
                <w:sz w:val="24"/>
              </w:rPr>
              <w:lastRenderedPageBreak/>
              <w:t>szerint kell meghatározni, a CRR 327. cikkével összhangban meghatározott hosszú és rövid pozíciók összegeként számítva.</w:t>
            </w:r>
          </w:p>
        </w:tc>
      </w:tr>
      <w:tr w:rsidR="00455D0D" w:rsidRPr="007F4CC8" w14:paraId="6BD777EC" w14:textId="77777777" w:rsidTr="00D819DE">
        <w:trPr>
          <w:trHeight w:val="316"/>
        </w:trPr>
        <w:tc>
          <w:tcPr>
            <w:tcW w:w="1384" w:type="dxa"/>
          </w:tcPr>
          <w:p w14:paraId="1273C16C" w14:textId="142ADBF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r w:rsidR="003C4DB4">
              <w:rPr>
                <w:rFonts w:ascii="Times New Roman" w:hAnsi="Times New Roman"/>
                <w:sz w:val="24"/>
              </w:rPr>
              <w:t>.</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Kereskedési könyvi kitettségek értéke belső modellek esetében</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következők összege:</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a CRD 140. cikke (4) bekezdése b) pontjának és a CRR 104. cikkének megfelelően meghatározott lényeges hitelkockázati kitettségeket jelentő készpénzpozíciók valós értéke;</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olyan származtatott ügyletek névleges értéke, amelyek a CRD 140. cikke (4) bekezdése b) pontjával összhangban meghatározott lényeges hitelkockázati kitettségeket jelentenek.</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kitettségeket jelentő készpénzpozíciók valós értékének összesített összegét a CRD 140. cikke (4) bekezdése b) pontjával és a CRR 104. cikkével összhangban kell meghatározni, a lényeges hitelkockázati kitettséget jelentő összes származtatott ügylet névleges értékének összegét pedig a CRD 140. cikke (4) bekezdésének b) pontjával összhangban kell meghatározni.</w:t>
            </w:r>
          </w:p>
        </w:tc>
      </w:tr>
      <w:tr w:rsidR="00455D0D" w:rsidRPr="007F4CC8" w14:paraId="0B1D7D40" w14:textId="77777777" w:rsidTr="00D819DE">
        <w:trPr>
          <w:trHeight w:val="316"/>
        </w:trPr>
        <w:tc>
          <w:tcPr>
            <w:tcW w:w="1384" w:type="dxa"/>
          </w:tcPr>
          <w:p w14:paraId="44208D79" w14:textId="4B455351"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r w:rsidR="003C4DB4">
              <w:rPr>
                <w:rFonts w:ascii="Times New Roman" w:hAnsi="Times New Roman"/>
                <w:sz w:val="24"/>
              </w:rPr>
              <w:t>.</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Értékpapírosítási kitettségek – Nem kereskedési könyvi kitettségérték</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bekezdése c) pontjának és a CRR 248. cikke a) és c) pontjának megfelelően meghatározott lényeges hitelkockázati kitettségek kitettségértéke.</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 összesített összegét a CRD 140. cikke (4) bekezdése c) pontjának és a CRR 248. cikke a) és c) pontjának megfelelően kell meghatározni.</w:t>
            </w:r>
          </w:p>
        </w:tc>
      </w:tr>
      <w:tr w:rsidR="00455D0D" w:rsidRPr="007F4CC8" w14:paraId="1BCFEC03" w14:textId="77777777" w:rsidTr="00D819DE">
        <w:trPr>
          <w:trHeight w:val="695"/>
        </w:trPr>
        <w:tc>
          <w:tcPr>
            <w:tcW w:w="1384" w:type="dxa"/>
          </w:tcPr>
          <w:p w14:paraId="055AA5DF" w14:textId="3D9A3A4B"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r w:rsidR="003C4DB4">
              <w:rPr>
                <w:rFonts w:ascii="Times New Roman" w:hAnsi="Times New Roman"/>
                <w:sz w:val="24"/>
              </w:rPr>
              <w:t>.</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Teljes kitettségérték</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Az e tábla „a”, „b”, „c”, „d” és „e” oszlopában szereplő értékek összege.</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 összesített összegét a CRD 140. cikke (4) bekezdésének megfelelően kell meghatározni.</w:t>
            </w:r>
          </w:p>
        </w:tc>
      </w:tr>
      <w:tr w:rsidR="00455D0D" w:rsidRPr="007F4CC8" w14:paraId="133835DF" w14:textId="77777777" w:rsidTr="00D819DE">
        <w:trPr>
          <w:trHeight w:val="695"/>
        </w:trPr>
        <w:tc>
          <w:tcPr>
            <w:tcW w:w="1384" w:type="dxa"/>
          </w:tcPr>
          <w:p w14:paraId="129DFE24" w14:textId="60BB305A"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r w:rsidR="003C4DB4">
              <w:rPr>
                <w:rFonts w:ascii="Times New Roman" w:hAnsi="Times New Roman"/>
                <w:sz w:val="24"/>
              </w:rPr>
              <w:t>.</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Szavatolótőke-követelmények – Lényeges hitelkockázati kitettségek – hitelkockázat</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bekezdésének a) pontjával és a CRR harmadik része II. címével összhangban meghatározott, lényeges hitelkockázati kitettségekre vonatkozó szavatolótőke-követelmények a szóban forgó országban, figyelembe véve a kockázati súlyok CRR 458. cikkével összhangban meghatározott országspecifikus kiigazításaihoz kapcsolódó szavatolótőke-követelményeket.</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kitettségekhez kapcsolódó szavatolótőke-követelmények összesített összegét a CRD 140. cikke (4) bekezdése a) pontjának és a CRR harmadik része II. címének megfelelően kell meghatározni.</w:t>
            </w:r>
          </w:p>
        </w:tc>
      </w:tr>
      <w:tr w:rsidR="00455D0D" w:rsidRPr="007F4CC8" w14:paraId="6FF64630" w14:textId="77777777" w:rsidTr="00D819DE">
        <w:trPr>
          <w:trHeight w:val="695"/>
        </w:trPr>
        <w:tc>
          <w:tcPr>
            <w:tcW w:w="1384" w:type="dxa"/>
          </w:tcPr>
          <w:p w14:paraId="6E775ED0" w14:textId="083AD620"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r w:rsidR="003C4DB4">
              <w:rPr>
                <w:rFonts w:ascii="Times New Roman" w:hAnsi="Times New Roman"/>
                <w:sz w:val="24"/>
              </w:rPr>
              <w:t>.</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Szavatolótőke-követelmények – Lényeges hitelkockázati kitettségek – piaci kockázat </w:t>
            </w:r>
          </w:p>
          <w:p w14:paraId="01D71615" w14:textId="77777777" w:rsidR="00455D0D" w:rsidRPr="007F4CC8" w:rsidRDefault="00455D0D" w:rsidP="00D819DE">
            <w:pPr>
              <w:pStyle w:val="Fait"/>
              <w:spacing w:after="120"/>
            </w:pPr>
            <w:r>
              <w:t>Az egyedi kockázat esetében a CRD 140. cikke (4) bekezdésének b) pontjával, és a CRR harmadik része IV. címének 2. fejezetével összhangban, a járulékos nemteljesítési és átminősítési kockázat esetében a CRR harmadik része IV. címének 5. fejezetével összhangban meghatározott, lényeges hitelkockázati kitettségekre vonatkozó szavatolótőke-követelmények a szóban forgó országban.</w:t>
            </w:r>
          </w:p>
          <w:p w14:paraId="3376CF2A" w14:textId="77777777" w:rsidR="00455D0D" w:rsidRPr="007F4CC8" w:rsidRDefault="00455D0D" w:rsidP="00D819DE">
            <w:pPr>
              <w:pStyle w:val="Fait"/>
              <w:spacing w:after="120"/>
            </w:pPr>
            <w:r>
              <w:t>020. sor (Összesen): a lényeges hitelkockázati kitettségekre vonatkozó szavatolótőke-követelmények összesített összegét az egyedi kockázat esetében a CRD 140. cikke (4) bekezdése b) pontjának, és a CRR harmadik része IV. címe 2. fejezetének megfelelően, a járulékos nemteljesítési és átminősítési kockázat esetében pedig a CRR harmadik része IV. címe 5. fejezetének megfelelően kell meghatározni.</w:t>
            </w:r>
          </w:p>
        </w:tc>
      </w:tr>
      <w:tr w:rsidR="00455D0D" w:rsidRPr="007F4CC8" w14:paraId="091E5047" w14:textId="77777777" w:rsidTr="00D819DE">
        <w:trPr>
          <w:trHeight w:val="695"/>
        </w:trPr>
        <w:tc>
          <w:tcPr>
            <w:tcW w:w="1384" w:type="dxa"/>
          </w:tcPr>
          <w:p w14:paraId="55EF9EAA" w14:textId="54352C8A"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r w:rsidR="003C4DB4">
              <w:rPr>
                <w:rFonts w:ascii="Times New Roman" w:hAnsi="Times New Roman"/>
                <w:sz w:val="24"/>
              </w:rPr>
              <w:t>.</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Szavatolótőke-követelmények – Lényeges hitelkockázati kitettségek – nem kereskedési könyvi értékpapírosítási pozíciók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bekezdésének c) pontjával és a CRR harmadik része II. címének 5. fejezetével összhangban meghatározott, lényeges hitelkockázati kitettségekre vonatkozó szavatolótőke-követelmények a szóban forgó országban.</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kitettségekre vonatkozó szavatolótőke-követelmények összesített összegét a CRD 140. cikke (4) bekezdése c) pontjának és a CRR harmadik része II. címe 5. fejezetének megfelelően kell meghatározni.</w:t>
            </w:r>
          </w:p>
        </w:tc>
      </w:tr>
      <w:tr w:rsidR="00455D0D" w:rsidRPr="007F4CC8" w14:paraId="1B31BDF8" w14:textId="77777777" w:rsidTr="00D819DE">
        <w:trPr>
          <w:trHeight w:val="695"/>
        </w:trPr>
        <w:tc>
          <w:tcPr>
            <w:tcW w:w="1384" w:type="dxa"/>
          </w:tcPr>
          <w:p w14:paraId="6AFA58A8" w14:textId="16FA9CB3"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r w:rsidR="003C4DB4">
              <w:rPr>
                <w:rFonts w:ascii="Times New Roman" w:hAnsi="Times New Roman"/>
                <w:sz w:val="24"/>
              </w:rPr>
              <w:t>.</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Szavatolótőke-követelmények – összesen</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Az e tábla „g”, „h” és „i” oszlopában szereplő értékek összege.</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020. sor (Összesen): a lényeges hitelkockázati kitettségekre vonatkozó szavatolótőke-követelmények összesített összegét a CRD 140. cikke (4) bekezdésének megfelelően kell meghatározni.</w:t>
            </w:r>
          </w:p>
        </w:tc>
      </w:tr>
      <w:tr w:rsidR="00455D0D" w:rsidRPr="007F4CC8" w14:paraId="53136553" w14:textId="77777777" w:rsidTr="00D819DE">
        <w:trPr>
          <w:trHeight w:val="695"/>
        </w:trPr>
        <w:tc>
          <w:tcPr>
            <w:tcW w:w="1384" w:type="dxa"/>
          </w:tcPr>
          <w:p w14:paraId="5E519554" w14:textId="275A4E74"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r w:rsidR="003C4DB4">
              <w:rPr>
                <w:rFonts w:ascii="Times New Roman" w:hAnsi="Times New Roman"/>
                <w:sz w:val="24"/>
              </w:rPr>
              <w:t>.</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Kockázattal súlyozott kitettségértékek</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cikkének (4) bekezdésével összhangban meghatározott, lényeges hitelkockázati kitettségekre vonatkozó kockázattal súlyozott kitettségértékek országonkénti bontásban és figyelembe véve a kockázati súlyok CRR 458. cikkével összhangban meghatározott országspecifikus kiigazításait.</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kitettségekre vonatkozó, kockázattal súlyozott kitettségértékek összesített összegét a CRD 140. cikke (4) bekezdésének megfelelően kell meghatározni.</w:t>
            </w:r>
          </w:p>
        </w:tc>
      </w:tr>
      <w:tr w:rsidR="00455D0D" w:rsidRPr="007F4CC8" w14:paraId="69E793ED" w14:textId="77777777" w:rsidTr="00D819DE">
        <w:trPr>
          <w:trHeight w:val="695"/>
        </w:trPr>
        <w:tc>
          <w:tcPr>
            <w:tcW w:w="1384" w:type="dxa"/>
          </w:tcPr>
          <w:p w14:paraId="2A231285" w14:textId="4E80804C"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r w:rsidR="003C4DB4">
              <w:rPr>
                <w:rFonts w:ascii="Times New Roman" w:hAnsi="Times New Roman"/>
                <w:sz w:val="24"/>
              </w:rPr>
              <w:t>.</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Szavatolótőke-követelmények súlyai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egyes országokban az anticiklikus tőkepufferrátára alkalmazott súlyozás, amelynek a kiszámítása a következő: a lényeges hitelkockázati kitettségekhez kapcsolódó szavatolótőke-követelmények összege a szóban forgó országban (e tábla 01X. sora, „j” oszlopa), osztva az anticiklikus tőkepuffer kiszámítása szempontjából lényeges, a CRD 140. cikkének (4) bekezdése szerinti valamennyi hitelkockázati kitettséghez kapcsolódó szavatolótőke-követelmények összegével (e tábla 020. sora, „j” oszlopa).</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Ezt az értéket százalékban kell megadni, két tizedesjegyig.</w:t>
            </w:r>
          </w:p>
        </w:tc>
      </w:tr>
      <w:tr w:rsidR="00455D0D" w:rsidRPr="007F4CC8" w14:paraId="78993D09" w14:textId="77777777" w:rsidTr="00D819DE">
        <w:trPr>
          <w:trHeight w:val="695"/>
        </w:trPr>
        <w:tc>
          <w:tcPr>
            <w:tcW w:w="1384" w:type="dxa"/>
          </w:tcPr>
          <w:p w14:paraId="7422EAC6" w14:textId="32C6BA61"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r w:rsidR="003C4DB4">
              <w:rPr>
                <w:rFonts w:ascii="Times New Roman" w:hAnsi="Times New Roman"/>
                <w:sz w:val="24"/>
              </w:rPr>
              <w:t>.</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Anticiklikustőkepuffer-ráta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szóban forgó országban alkalmazandó és a CRD 136., 137., 138. és 139. cikkének megfelelően megállapított anticiklikustőkepuffer-ráta.</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Ez az oszlop nem tartalmazhat olyan anticiklikustőkepuffer-rátákat, amelyeket megállapítottak, de a nyilvánosságra hozatal tárgyát képező intézményspecifikus anticiklikustőkepuffer-ráta kiszámításának időpontjában még nem alkalmazzák.</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Ezt az értéket százalékban kell megadni, a CRD 136., 137., 138. és 139. cikkében rögzítettnek megfelelő tizedesjegyig.</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EU CCyB2 tábla – Az intézményspecifikus anticiklikus tőkepuffer nagysága</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Az intézmények az e végrehajtási rendelet IX. mellékletében található EU CCyB2 tábla e mellékletben foglalt útmutató szerinti kitöltésével hozzák nyilvánosságra a CRR 440. cikkének b)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Jogszabályi hivatkozások és útmutató</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Magyarázat</w:t>
            </w:r>
          </w:p>
        </w:tc>
      </w:tr>
      <w:tr w:rsidR="00455D0D" w:rsidRPr="007F4CC8" w14:paraId="32D19805" w14:textId="77777777" w:rsidTr="00D819DE">
        <w:trPr>
          <w:trHeight w:val="1055"/>
        </w:trPr>
        <w:tc>
          <w:tcPr>
            <w:tcW w:w="1384" w:type="dxa"/>
          </w:tcPr>
          <w:p w14:paraId="59088176" w14:textId="0CE8DBC1" w:rsidR="00455D0D" w:rsidRPr="007F4CC8" w:rsidRDefault="00455D0D" w:rsidP="00D819DE">
            <w:pPr>
              <w:pStyle w:val="Applicationdirecte"/>
              <w:spacing w:before="120"/>
            </w:pPr>
            <w:r>
              <w:t>1</w:t>
            </w:r>
            <w:r w:rsidR="003C4DB4">
              <w:t>.</w:t>
            </w:r>
          </w:p>
        </w:tc>
        <w:tc>
          <w:tcPr>
            <w:tcW w:w="7655" w:type="dxa"/>
          </w:tcPr>
          <w:p w14:paraId="365B8327" w14:textId="77777777" w:rsidR="00455D0D" w:rsidRPr="007F4CC8" w:rsidRDefault="00455D0D" w:rsidP="00D819DE">
            <w:pPr>
              <w:pStyle w:val="Applicationdirecte"/>
              <w:spacing w:before="120"/>
              <w:rPr>
                <w:b/>
              </w:rPr>
            </w:pPr>
            <w:r>
              <w:rPr>
                <w:b/>
              </w:rPr>
              <w:t>Teljes kockázati kitettségérték</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A CRR 92. cikke (3) bekezdésének megfelelően számított teljes kockázati kitettségérték</w:t>
            </w:r>
          </w:p>
        </w:tc>
      </w:tr>
      <w:tr w:rsidR="00455D0D" w:rsidRPr="007F4CC8" w14:paraId="768C2D66" w14:textId="77777777" w:rsidTr="00D819DE">
        <w:trPr>
          <w:trHeight w:val="316"/>
        </w:trPr>
        <w:tc>
          <w:tcPr>
            <w:tcW w:w="1384" w:type="dxa"/>
          </w:tcPr>
          <w:p w14:paraId="2DC1BFF9" w14:textId="5C433DA6"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r w:rsidR="003C4DB4">
              <w:rPr>
                <w:rFonts w:ascii="Times New Roman" w:hAnsi="Times New Roman"/>
                <w:sz w:val="24"/>
              </w:rPr>
              <w:t>.</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Intézményspecifikus anticiklikustőkepuffer-ráta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CRD 140. cikke (1) bekezdésének megfelelően meghatározott intézményspecifikus anticiklikustőkepuffer-ráta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intézményspecifikus anticiklikustőkepuffer-rátát azon anticiklikustőkepuffer-ráták súlyozott átlagaként kell kiszámítani, amelyek azokban az országokban alkalmazandók, ahol az intézmény lényeges hitelkockázati kitettségei találhatók, és amelyek az EU CCyB1 tábla „m” oszlopának 010.1–010.X. sorában szerepelnek.</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Az anticiklikustőkepuffer-rátára vonatkozóan az egyes országokban alkalmazandó súly a szavatolótőke-követelménynek a teljes szavatolótőke-követelményhez viszonyított aránya, és az EU CCyB1 tábla „l” oszlopában szerepel.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Ezt az értéket százalékban kell megadni, két tizedesjegyig.</w:t>
            </w:r>
          </w:p>
        </w:tc>
      </w:tr>
      <w:tr w:rsidR="00455D0D" w:rsidRPr="007F4CC8" w14:paraId="44E7A9FA" w14:textId="77777777" w:rsidTr="00D819DE">
        <w:trPr>
          <w:trHeight w:val="316"/>
        </w:trPr>
        <w:tc>
          <w:tcPr>
            <w:tcW w:w="1384" w:type="dxa"/>
          </w:tcPr>
          <w:p w14:paraId="7AB6A5B3" w14:textId="1AA0EE89"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r w:rsidR="003C4DB4">
              <w:rPr>
                <w:rFonts w:ascii="Times New Roman" w:hAnsi="Times New Roman"/>
                <w:sz w:val="24"/>
              </w:rPr>
              <w:t>.</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Intézményspecifikus anticiklikus tőkepufferre vonatkozó követelmény</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Az intézményspecifikus anticiklikus tőkepufferre vonatkozó követelmény, amelynek kiszámításához az e tábla 2. sorában megadott intézményspecifikus anticiklikustőkepuffer-rátát kell alkalmazni az e tábla 1. sorában feltüntetett teljes kockázati kitettségértékre.</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Jogszabályi hivatkozások és útmutató</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Magyarázat</w:t>
            </w:r>
          </w:p>
        </w:tc>
      </w:tr>
      <w:tr w:rsidR="00455D0D" w:rsidRPr="007F4CC8" w14:paraId="6D043B5C" w14:textId="77777777" w:rsidTr="00D819DE">
        <w:trPr>
          <w:trHeight w:val="703"/>
        </w:trPr>
        <w:tc>
          <w:tcPr>
            <w:tcW w:w="1384" w:type="dxa"/>
          </w:tcPr>
          <w:p w14:paraId="5A332E76" w14:textId="2AEBC075" w:rsidR="00455D0D" w:rsidRPr="007F4CC8" w:rsidRDefault="00455D0D" w:rsidP="00D819DE">
            <w:pPr>
              <w:pStyle w:val="Applicationdirecte"/>
              <w:spacing w:before="120"/>
            </w:pPr>
            <w:r>
              <w:t>a</w:t>
            </w:r>
            <w:r w:rsidR="003C4DB4">
              <w:t>.</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Az e tábla 1–3. sorához kapcsolódó magyarázatban levő leírásnak megfelelő érték.</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t>Az (EU) 2024/1623 rendelettel módosított 575/2013/EU európai parlamenti és tanácsi rendelet (2013. június 26.) a hitelintézetekre vonatkozó prudenciális követelményekről és a 648/2012/EU rendelet módosításáról (</w:t>
      </w:r>
      <w:hyperlink r:id="rId1" w:history="1">
        <w:r>
          <w:rPr>
            <w:rStyle w:val="Hyperlink"/>
            <w:color w:val="800080"/>
          </w:rPr>
          <w:t>HL L 176., 2013.6.27., 1. o.</w:t>
        </w:r>
      </w:hyperlink>
      <w:r>
        <w:rPr>
          <w:color w:val="800080"/>
          <w:u w:val="single"/>
        </w:rPr>
        <w:t xml:space="preserve">; </w:t>
      </w:r>
      <w:hyperlink r:id="rId2" w:history="1">
        <w:r>
          <w:rPr>
            <w:rStyle w:val="Hyperlink"/>
          </w:rPr>
          <w:t>(EU) 2024/1623 rendelet – HU – EUR-Lex (europa.eu)</w:t>
        </w:r>
      </w:hyperlink>
      <w:r>
        <w:rPr>
          <w:color w:val="444444"/>
        </w:rPr>
        <w:t>)</w:t>
      </w:r>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 xml:space="preserve"> </w:t>
      </w:r>
      <w:r>
        <w:tab/>
        <w:t>Az Európai Parlament és a Tanács 2013/36/EU irányelve (2013. június 26.) a hitelintézetek tevékenységéhez való hozzáférésről és a hitelintézetek prudenciális felügyeletéről, a 2002/87/EK irányelv módosításáról, a 2006/48/EK és a 2006/49/EK irányelv hatályon kívül helyezéséről</w:t>
      </w:r>
      <w:r>
        <w:rPr>
          <w:rFonts w:ascii="Roboto" w:hAnsi="Roboto"/>
          <w:b/>
          <w:color w:val="333333"/>
          <w:sz w:val="21"/>
          <w:shd w:val="clear" w:color="auto" w:fill="FFFFFF"/>
        </w:rPr>
        <w:t xml:space="preserve"> </w:t>
      </w:r>
      <w:r>
        <w:t>(HL L 176., 2013.6.27., 338. o.).</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 xml:space="preserve"> </w:t>
      </w:r>
      <w:r>
        <w:tab/>
        <w:t>A BIZOTTSÁG 1152/2014/EU FELHATALMAZÁSON ALAPULÓ RENDELETE (2014. június 4.) a 2013/36/EU európai parlamenti és tanácsi irányelvnek az intézményspecifikus anticiklikus tőkepufferráta kiszámítása céljából a lényeges hitelkockázati kitettségek földrajzi helyének azonosítására irányuló szabályozástechnikai standardok tekintetében történő kiegészítéséről (HL L 309., 2014.10.30., 5.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Title:  - Description: 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713163" id="_x0000_t202" coordsize="21600,21600" o:spt="202" path="m,l,21600r21600,l21600,xe">
              <v:stroke joinstyle="miter"/>
              <v:path gradientshapeok="t" o:connecttype="rect"/>
            </v:shapetype>
            <v:shape id="Text Box 3" o:spid="_x0000_s1027" type="#_x0000_t202" alt="Title:  - Description: 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D2830DF" w14:textId="79E7B8D2"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Title:  - Description: 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3C4DB4"/>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1E4AE1-4398-4A38-9307-B5507E8D931C}"/>
</file>

<file path=customXml/itemProps2.xml><?xml version="1.0" encoding="utf-8"?>
<ds:datastoreItem xmlns:ds="http://schemas.openxmlformats.org/officeDocument/2006/customXml" ds:itemID="{B847F791-3703-45E1-899A-95FDA0B56695}"/>
</file>

<file path=customXml/itemProps3.xml><?xml version="1.0" encoding="utf-8"?>
<ds:datastoreItem xmlns:ds="http://schemas.openxmlformats.org/officeDocument/2006/customXml" ds:itemID="{547B4A55-59C3-4CF6-BB28-078839CBE1D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6</Pages>
  <Words>1426</Words>
  <Characters>10471</Characters>
  <Application>Microsoft Office Word</Application>
  <DocSecurity>0</DocSecurity>
  <Lines>237</Lines>
  <Paragraphs>115</Paragraphs>
  <ScaleCrop>false</ScaleCrop>
  <Company>European Banking Authority</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LOVASZIK Gabor (DGT)</cp:lastModifiedBy>
  <cp:revision>5</cp:revision>
  <dcterms:created xsi:type="dcterms:W3CDTF">2021-03-11T11:56:00Z</dcterms:created>
  <dcterms:modified xsi:type="dcterms:W3CDTF">2024-10-18T08:40:00Z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