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66831D99" w:rsidR="009E7D0C" w:rsidRDefault="009E7D0C" w:rsidP="00A33695">
      <w:pPr>
        <w:jc w:val="center"/>
        <w:rPr>
          <w:sz w:val="24"/>
          <w:rFonts w:ascii="Times New Roman" w:hAnsi="Times New Roman"/>
        </w:rPr>
      </w:pPr>
      <w:bookmarkStart w:id="0" w:name="_Toc262568021"/>
      <w:bookmarkStart w:id="1" w:name="_Toc295829847"/>
      <w:r>
        <w:rPr>
          <w:sz w:val="24"/>
          <w:rFonts w:ascii="Times New Roman" w:hAnsi="Times New Roman"/>
        </w:rPr>
        <w:t xml:space="preserve">HR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EEA2C00" w:rsidR="008D696E" w:rsidRDefault="008D696E" w:rsidP="00A33695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PRILOG XLIV.</w:t>
      </w:r>
    </w:p>
    <w:p w14:paraId="327777EC" w14:textId="412B4B5A" w:rsidR="002648B0" w:rsidRPr="002A677E" w:rsidRDefault="00D03B1B" w:rsidP="00C87CEE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Upute za objavu o izloženostima prema kriptoimovini</w:t>
      </w:r>
    </w:p>
    <w:p w14:paraId="2C40683C" w14:textId="77777777" w:rsidR="00436204" w:rsidRPr="002A677E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4099A354" w14:textId="5F7E540B" w:rsidR="00464F34" w:rsidRPr="00D03B1B" w:rsidRDefault="00D03B1B" w:rsidP="002F1D8D">
      <w:pPr>
        <w:pStyle w:val="Instructionsberschrift2"/>
        <w:numPr>
          <w:ilvl w:val="0"/>
          <w:numId w:val="0"/>
        </w:numPr>
        <w:rPr>
          <w:sz w:val="24"/>
          <w:rFonts w:ascii="Times New Roman" w:hAnsi="Times New Roman" w:cs="Times New Roman"/>
        </w:rPr>
      </w:pPr>
      <w:bookmarkStart w:id="2" w:name="_Toc163551527"/>
      <w:bookmarkEnd w:id="0"/>
      <w:bookmarkEnd w:id="1"/>
      <w:r>
        <w:rPr>
          <w:b/>
          <w:sz w:val="24"/>
          <w:u w:val="none"/>
          <w:rFonts w:ascii="Times New Roman" w:hAnsi="Times New Roman"/>
        </w:rPr>
        <w:t xml:space="preserve">Obrazac EU CAE 1 – Obrazac za kriptoimovinu</w:t>
      </w:r>
      <w:bookmarkEnd w:id="2"/>
      <w:r>
        <w:rPr>
          <w:sz w:val="24"/>
          <w:u w:val="none"/>
          <w:b/>
          <w:rFonts w:ascii="Times New Roman" w:hAnsi="Times New Roman"/>
        </w:rPr>
        <w:t xml:space="preserve">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Fiksan format.</w:t>
      </w:r>
    </w:p>
    <w:p w14:paraId="041009DD" w14:textId="3EFC441D" w:rsidR="00464F34" w:rsidRPr="0076606B" w:rsidRDefault="00D03B1B" w:rsidP="002F1D8D">
      <w:pPr>
        <w:pStyle w:val="InstructionsText2"/>
        <w:jc w:val="both"/>
      </w:pPr>
      <w:r>
        <w:t xml:space="preserve">Institucije ispunjavaju obrazac EU CAE1 iz Priloga XLIII. IT rješenjima EBA-e radi objave informacija o iznosima izloženosti ponderiranih rizikom i kapitalnim zahtjevima za vrste izloženosti prema kriptoimovini iz članka 501.d stavka 2. Uredbe (EU) br. 575/2013</w:t>
      </w:r>
      <w:r>
        <w:rPr>
          <w:rStyle w:val="FootnoteReference"/>
          <w:rFonts w:ascii="Times New Roman" w:eastAsiaTheme="minorEastAsia" w:hAnsi="Times New Roman"/>
          <w:bCs w:val="0"/>
          <w:color w:val="000000"/>
          <w:sz w:val="24"/>
          <w:szCs w:val="24"/>
          <w:vertAlign w:val="superscript"/>
        </w:rPr>
        <w:footnoteReference w:id="2"/>
      </w:r>
      <w:r>
        <w:t xml:space="preserve"> prateći upute u nastavku.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464F34" w:rsidRPr="002A677E" w14:paraId="05FA098D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76571629" w14:textId="6F36549B" w:rsidR="00464F34" w:rsidRPr="002A677E" w:rsidRDefault="0076606B" w:rsidP="002F1D8D">
            <w:pPr>
              <w:pStyle w:val="InstructionsText"/>
            </w:pPr>
            <w:r>
              <w:t xml:space="preserve">Pravna osnova i upute</w:t>
            </w:r>
          </w:p>
        </w:tc>
      </w:tr>
      <w:tr w:rsidR="0076606B" w:rsidRPr="0076606B" w14:paraId="355F95A3" w14:textId="77777777" w:rsidTr="00D9757A">
        <w:tc>
          <w:tcPr>
            <w:tcW w:w="1555" w:type="dxa"/>
            <w:shd w:val="clear" w:color="auto" w:fill="CCCCCC"/>
          </w:tcPr>
          <w:p w14:paraId="5227B491" w14:textId="73380187" w:rsidR="0076606B" w:rsidRPr="0076606B" w:rsidRDefault="0076606B" w:rsidP="002F1D8D">
            <w:pPr>
              <w:pStyle w:val="InstructionsText"/>
            </w:pPr>
            <w:r>
              <w:t xml:space="preserve">Broj stupca</w:t>
            </w:r>
            <w:r>
              <w:t xml:space="preserve"> </w:t>
            </w:r>
          </w:p>
        </w:tc>
        <w:tc>
          <w:tcPr>
            <w:tcW w:w="8363" w:type="dxa"/>
            <w:shd w:val="clear" w:color="auto" w:fill="CCCCCC"/>
          </w:tcPr>
          <w:p w14:paraId="5846F631" w14:textId="28D78C36" w:rsidR="0076606B" w:rsidRPr="0076606B" w:rsidRDefault="0076606B" w:rsidP="002F1D8D">
            <w:pPr>
              <w:pStyle w:val="InstructionsText"/>
            </w:pPr>
            <w:r>
              <w:t xml:space="preserve">Objašnjenje</w:t>
            </w:r>
          </w:p>
        </w:tc>
      </w:tr>
      <w:tr w:rsidR="002953A0" w:rsidRPr="0076606B" w14:paraId="11675C2A" w14:textId="77777777" w:rsidTr="001A633E">
        <w:tc>
          <w:tcPr>
            <w:tcW w:w="1555" w:type="dxa"/>
          </w:tcPr>
          <w:p w14:paraId="4BE7CB71" w14:textId="77777777" w:rsidR="002953A0" w:rsidRPr="0076606B" w:rsidRDefault="002953A0" w:rsidP="002F1D8D">
            <w:pPr>
              <w:pStyle w:val="InstructionsText"/>
            </w:pPr>
            <w:r>
              <w:t xml:space="preserve">a</w:t>
            </w:r>
          </w:p>
        </w:tc>
        <w:tc>
          <w:tcPr>
            <w:tcW w:w="8363" w:type="dxa"/>
          </w:tcPr>
          <w:p w14:paraId="16748558" w14:textId="2EDF205C" w:rsidR="002953A0" w:rsidRPr="0076606B" w:rsidRDefault="002953A0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Vrijednost izloženosti</w:t>
            </w:r>
          </w:p>
          <w:p w14:paraId="3168829C" w14:textId="3F57F48A" w:rsidR="002953A0" w:rsidRPr="0076606B" w:rsidRDefault="002953A0" w:rsidP="002F1D8D">
            <w:pPr>
              <w:pStyle w:val="InstructionsText"/>
            </w:pPr>
            <w:r>
              <w:t xml:space="preserve">Vrijednost izloženosti prema kriptoimovini za različite vrste kriptoimovine iz 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članka 501.d stavka 2. </w:t>
            </w:r>
            <w:r>
              <w:t xml:space="preserve">Uredbe (EU) br. 575/2013</w:t>
            </w:r>
            <w:r>
              <w:rPr>
                <w:rStyle w:val="InstructionsTabelleberschrift"/>
              </w:rPr>
              <w:t xml:space="preserve">.</w:t>
            </w:r>
          </w:p>
        </w:tc>
      </w:tr>
      <w:tr w:rsidR="00E46AC0" w:rsidRPr="0076606B" w14:paraId="25D246EF" w14:textId="77777777" w:rsidTr="00D9757A">
        <w:tc>
          <w:tcPr>
            <w:tcW w:w="1555" w:type="dxa"/>
          </w:tcPr>
          <w:p w14:paraId="15D7F3E0" w14:textId="5E6C5043" w:rsidR="0076606B" w:rsidRPr="0076606B" w:rsidRDefault="002953A0" w:rsidP="002F1D8D">
            <w:pPr>
              <w:pStyle w:val="InstructionsText"/>
            </w:pPr>
            <w:r>
              <w:t xml:space="preserve">b</w:t>
            </w:r>
          </w:p>
        </w:tc>
        <w:tc>
          <w:tcPr>
            <w:tcW w:w="8363" w:type="dxa"/>
          </w:tcPr>
          <w:p w14:paraId="18B3A388" w14:textId="519B3BC9" w:rsidR="00E46AC0" w:rsidRPr="0076606B" w:rsidRDefault="0076606B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Iznosi izloženosti ponderiranih rizikom (RWEA)</w:t>
            </w:r>
          </w:p>
          <w:p w14:paraId="2AB54302" w14:textId="6CD1C0C9" w:rsidR="002953A0" w:rsidRDefault="002953A0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Članak 501.d stavak 2. </w:t>
            </w:r>
            <w:r>
              <w:t xml:space="preserve">Uredbe (EU) br. 575/2013.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2EA1E817" w14:textId="7862AD81" w:rsidR="002953A0" w:rsidRDefault="002953A0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Iznosi izloženosti ponderiranih rizikom za različite vrste kriptoimovine izračunati u skladu s člankom 501.d stavkom 2. </w:t>
            </w:r>
            <w:r>
              <w:t xml:space="preserve">Uredbe (EU) br. 575/2013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.</w:t>
            </w:r>
          </w:p>
          <w:p w14:paraId="019E027E" w14:textId="27A9F1F5" w:rsidR="000811A0" w:rsidRPr="0076606B" w:rsidRDefault="000811A0" w:rsidP="002F1D8D">
            <w:pPr>
              <w:pStyle w:val="InstructionsText"/>
            </w:pPr>
          </w:p>
        </w:tc>
      </w:tr>
      <w:tr w:rsidR="0076606B" w:rsidRPr="0076606B" w14:paraId="31E88113" w14:textId="77777777" w:rsidTr="00D9757A">
        <w:tc>
          <w:tcPr>
            <w:tcW w:w="1555" w:type="dxa"/>
          </w:tcPr>
          <w:p w14:paraId="276588C9" w14:textId="2559B7BA" w:rsidR="0076606B" w:rsidRDefault="002953A0" w:rsidP="002F1D8D">
            <w:pPr>
              <w:pStyle w:val="InstructionsText"/>
            </w:pPr>
            <w:r>
              <w:t xml:space="preserve">c</w:t>
            </w:r>
          </w:p>
        </w:tc>
        <w:tc>
          <w:tcPr>
            <w:tcW w:w="8363" w:type="dxa"/>
          </w:tcPr>
          <w:p w14:paraId="1DB08D4E" w14:textId="77777777" w:rsidR="0076606B" w:rsidRDefault="0076606B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Kapitalni zahtjevi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7787F909" w14:textId="33023A71" w:rsidR="003B6B5F" w:rsidRDefault="003B6B5F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Članak 501.d stavak 2. </w:t>
            </w:r>
            <w:r>
              <w:t xml:space="preserve">Uredbe (EU) br. 575/2013.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7D3D40B6" w14:textId="26A2D5FE" w:rsidR="0076606B" w:rsidRPr="0076606B" w:rsidRDefault="0076606B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Kapitalni zahtjevi koji odgovaraju iznosima izloženosti ponderiranih rizikom za različite vrste kriptoimovina.</w:t>
            </w:r>
          </w:p>
        </w:tc>
      </w:tr>
    </w:tbl>
    <w:p w14:paraId="310FB6E2" w14:textId="77777777" w:rsidR="00464F34" w:rsidRPr="0076606B" w:rsidRDefault="00464F34" w:rsidP="002F1D8D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D9757A" w:rsidRPr="002A677E" w14:paraId="485D8F4A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57E6B293" w14:textId="77777777" w:rsidR="00D9757A" w:rsidRPr="002A677E" w:rsidRDefault="00D9757A" w:rsidP="002F1D8D">
            <w:pPr>
              <w:pStyle w:val="InstructionsText"/>
            </w:pPr>
            <w:r>
              <w:t xml:space="preserve">Pravna osnova i upute</w:t>
            </w:r>
          </w:p>
        </w:tc>
      </w:tr>
      <w:tr w:rsidR="00464F34" w:rsidRPr="0076606B" w14:paraId="511AFFC7" w14:textId="77777777" w:rsidTr="00D9757A">
        <w:tc>
          <w:tcPr>
            <w:tcW w:w="1555" w:type="dxa"/>
            <w:shd w:val="clear" w:color="auto" w:fill="CCCCCC"/>
          </w:tcPr>
          <w:p w14:paraId="42E7C874" w14:textId="4DAD3DCD" w:rsidR="00464F34" w:rsidRPr="0076606B" w:rsidRDefault="007106FB" w:rsidP="002F1D8D">
            <w:pPr>
              <w:pStyle w:val="InstructionsText"/>
            </w:pPr>
            <w:r>
              <w:t xml:space="preserve">Broj retka</w:t>
            </w:r>
          </w:p>
        </w:tc>
        <w:tc>
          <w:tcPr>
            <w:tcW w:w="8363" w:type="dxa"/>
            <w:shd w:val="clear" w:color="auto" w:fill="CCCCCC"/>
          </w:tcPr>
          <w:p w14:paraId="5101E780" w14:textId="6FFAFB3B" w:rsidR="00464F34" w:rsidRPr="0076606B" w:rsidRDefault="0076606B" w:rsidP="002F1D8D">
            <w:pPr>
              <w:pStyle w:val="InstructionsText"/>
            </w:pPr>
            <w:r>
              <w:t xml:space="preserve">Objašnjenje</w:t>
            </w:r>
          </w:p>
        </w:tc>
      </w:tr>
      <w:tr w:rsidR="00464F34" w:rsidRPr="0076606B" w14:paraId="4200F5F5" w14:textId="77777777" w:rsidTr="00D9757A">
        <w:tc>
          <w:tcPr>
            <w:tcW w:w="1555" w:type="dxa"/>
          </w:tcPr>
          <w:p w14:paraId="13D34CD0" w14:textId="17D414E2" w:rsidR="00464F34" w:rsidRPr="0076606B" w:rsidRDefault="0076606B" w:rsidP="002F1D8D">
            <w:pPr>
              <w:pStyle w:val="InstructionsText"/>
            </w:pPr>
            <w:r>
              <w:t xml:space="preserve">1</w:t>
            </w:r>
          </w:p>
        </w:tc>
        <w:tc>
          <w:tcPr>
            <w:tcW w:w="8363" w:type="dxa"/>
          </w:tcPr>
          <w:p w14:paraId="6642D329" w14:textId="77777777" w:rsidR="002F1D8D" w:rsidRDefault="00A15ACF" w:rsidP="002F1D8D">
            <w:pPr>
              <w:pStyle w:val="InstructionsText"/>
              <w:rPr>
                <w:rStyle w:val="cf01"/>
                <w:b/>
                <w:bCs w:val="0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cf01"/>
                <w:b/>
                <w:sz w:val="24"/>
                <w:rFonts w:ascii="Times New Roman" w:hAnsi="Times New Roman"/>
              </w:rPr>
              <w:t xml:space="preserve">Tokenizirana tradicionalna imovina</w:t>
            </w:r>
          </w:p>
          <w:p w14:paraId="2C368109" w14:textId="5EEDDCF7" w:rsidR="000811A0" w:rsidRPr="0076606B" w:rsidRDefault="000C1FFC" w:rsidP="002F1D8D">
            <w:pPr>
              <w:pStyle w:val="InstructionsText"/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Članak 501.d stavak 2. točka (a) </w:t>
            </w:r>
            <w:r>
              <w:t xml:space="preserve">Uredbe (EU) br. 575/2013.</w:t>
            </w:r>
          </w:p>
        </w:tc>
      </w:tr>
      <w:tr w:rsidR="00373762" w:rsidRPr="0076606B" w14:paraId="3CBB5149" w14:textId="77777777" w:rsidTr="00D9757A">
        <w:tc>
          <w:tcPr>
            <w:tcW w:w="1555" w:type="dxa"/>
          </w:tcPr>
          <w:p w14:paraId="6C15DAA6" w14:textId="315E07AC" w:rsidR="00373762" w:rsidRPr="0076606B" w:rsidRDefault="0076606B" w:rsidP="002F1D8D">
            <w:pPr>
              <w:pStyle w:val="InstructionsText"/>
            </w:pPr>
            <w:r>
              <w:t xml:space="preserve">2</w:t>
            </w:r>
          </w:p>
        </w:tc>
        <w:tc>
          <w:tcPr>
            <w:tcW w:w="8363" w:type="dxa"/>
          </w:tcPr>
          <w:p w14:paraId="1BDD91BD" w14:textId="121E64C7" w:rsidR="000C1FFC" w:rsidRPr="0076606B" w:rsidRDefault="00A02EBC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Tokeni vezani uz imovinu</w:t>
            </w:r>
          </w:p>
          <w:p w14:paraId="1D7215CE" w14:textId="2358370C" w:rsidR="000811A0" w:rsidRPr="0076606B" w:rsidRDefault="000811A0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t xml:space="preserve">Članak 501.d stavak 2. točka (b) Uredbe (EU) br. 575/2013.</w:t>
            </w:r>
          </w:p>
        </w:tc>
      </w:tr>
      <w:tr w:rsidR="00373762" w:rsidRPr="0076606B" w14:paraId="5E466513" w14:textId="77777777" w:rsidTr="00D9757A">
        <w:tc>
          <w:tcPr>
            <w:tcW w:w="1555" w:type="dxa"/>
          </w:tcPr>
          <w:p w14:paraId="39E8A0FB" w14:textId="215B912E" w:rsidR="00373762" w:rsidRPr="0076606B" w:rsidRDefault="00D9757A" w:rsidP="002F1D8D">
            <w:pPr>
              <w:pStyle w:val="InstructionsText"/>
            </w:pPr>
            <w:r>
              <w:t xml:space="preserve">3</w:t>
            </w:r>
          </w:p>
        </w:tc>
        <w:tc>
          <w:tcPr>
            <w:tcW w:w="8363" w:type="dxa"/>
          </w:tcPr>
          <w:p w14:paraId="0CD31563" w14:textId="11ABCDFB" w:rsidR="000C1FFC" w:rsidRPr="0076606B" w:rsidRDefault="006C06AC" w:rsidP="002F1D8D">
            <w:pPr>
              <w:pStyle w:val="InstructionsText"/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Izloženosti prema drugoj kriptoimovini</w:t>
            </w:r>
          </w:p>
          <w:p w14:paraId="22594EAC" w14:textId="2A3C1F16" w:rsidR="00373762" w:rsidRPr="0076606B" w:rsidRDefault="000811A0" w:rsidP="002F1D8D">
            <w:pPr>
              <w:pStyle w:val="InstructionsText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Članak 501.d stavak 2. točka (c) </w:t>
            </w:r>
            <w:r>
              <w:t xml:space="preserve">Uredbe (EU) br. 575/2013.</w:t>
            </w:r>
          </w:p>
          <w:p w14:paraId="1BCB3895" w14:textId="0709C3F8" w:rsidR="000811A0" w:rsidRPr="00D9757A" w:rsidRDefault="4EBA09A7" w:rsidP="002F1D8D">
            <w:pPr>
              <w:pStyle w:val="InstructionsText"/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Druge izloženosti prema kriptoimovini koje su različite od članka 501.d stavka 2. točaka (a) i (b) </w:t>
            </w:r>
            <w:r>
              <w:t xml:space="preserve">Uredbe (EU) br. 575/2013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.</w:t>
            </w:r>
          </w:p>
        </w:tc>
      </w:tr>
      <w:tr w:rsidR="00623C6D" w:rsidRPr="0076606B" w14:paraId="10277CD1" w14:textId="77777777" w:rsidTr="00D9757A">
        <w:tc>
          <w:tcPr>
            <w:tcW w:w="1555" w:type="dxa"/>
          </w:tcPr>
          <w:p w14:paraId="33D217D5" w14:textId="13A52B17" w:rsidR="00623C6D" w:rsidRPr="0076606B" w:rsidRDefault="00D9757A" w:rsidP="002F1D8D">
            <w:pPr>
              <w:pStyle w:val="InstructionsText"/>
            </w:pPr>
            <w:r>
              <w:t xml:space="preserve">4</w:t>
            </w:r>
          </w:p>
        </w:tc>
        <w:tc>
          <w:tcPr>
            <w:tcW w:w="8363" w:type="dxa"/>
          </w:tcPr>
          <w:p w14:paraId="5385821A" w14:textId="259A3565" w:rsidR="00623C6D" w:rsidRPr="0076606B" w:rsidRDefault="00931726" w:rsidP="002F1D8D">
            <w:pPr>
              <w:pStyle w:val="InstructionsText"/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Ukupno</w:t>
            </w:r>
          </w:p>
          <w:p w14:paraId="55F5AED4" w14:textId="5039CC11" w:rsidR="003B6B5F" w:rsidRDefault="0088549A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Ukupne vrijednosti izračunate kao zbroj redaka 1, 2, 3.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2CF3B315" w14:textId="6D98023C" w:rsidR="00623C6D" w:rsidRDefault="003B6B5F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Ukupni iznosi izloženosti riziku jednaki su iznosu objavljenom u retku EU24a, stupcu (a) obrasca EU OV1.</w:t>
            </w:r>
          </w:p>
          <w:p w14:paraId="1DE909BE" w14:textId="28825665" w:rsidR="003B6B5F" w:rsidRPr="0076606B" w:rsidRDefault="003B6B5F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Ukupni kapitalni zahtjevi jednaki su iznosu objavljenom u retku EU24a, stupcu (c) obrasca EU OV1.</w:t>
            </w:r>
          </w:p>
        </w:tc>
      </w:tr>
      <w:tr w:rsidR="001F0121" w:rsidRPr="0076606B" w14:paraId="1E203B4D" w14:textId="77777777" w:rsidTr="001F0121">
        <w:tc>
          <w:tcPr>
            <w:tcW w:w="1555" w:type="dxa"/>
            <w:shd w:val="clear" w:color="auto" w:fill="D9D9D9" w:themeFill="background1" w:themeFillShade="D9"/>
          </w:tcPr>
          <w:p w14:paraId="5024020C" w14:textId="77777777" w:rsidR="001F0121" w:rsidRDefault="001F0121" w:rsidP="002F1D8D">
            <w:pPr>
              <w:pStyle w:val="InstructionsText"/>
            </w:pPr>
          </w:p>
        </w:tc>
        <w:tc>
          <w:tcPr>
            <w:tcW w:w="8363" w:type="dxa"/>
            <w:shd w:val="clear" w:color="auto" w:fill="D9D9D9" w:themeFill="background1" w:themeFillShade="D9"/>
          </w:tcPr>
          <w:p w14:paraId="106F6FC9" w14:textId="3BB95B54" w:rsidR="001F0121" w:rsidRPr="001F0121" w:rsidRDefault="001F0121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Bilješka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</w:p>
        </w:tc>
      </w:tr>
      <w:tr w:rsidR="001F0121" w:rsidRPr="0076606B" w14:paraId="50DA30D3" w14:textId="77777777" w:rsidTr="00D9757A">
        <w:tc>
          <w:tcPr>
            <w:tcW w:w="1555" w:type="dxa"/>
          </w:tcPr>
          <w:p w14:paraId="41FBBB67" w14:textId="5DBC581B" w:rsidR="001F0121" w:rsidRDefault="001F0121" w:rsidP="002F1D8D">
            <w:pPr>
              <w:pStyle w:val="InstructionsText"/>
            </w:pPr>
            <w:r>
              <w:t xml:space="preserve">5</w:t>
            </w:r>
          </w:p>
        </w:tc>
        <w:tc>
          <w:tcPr>
            <w:tcW w:w="8363" w:type="dxa"/>
          </w:tcPr>
          <w:p w14:paraId="47F1511E" w14:textId="768E44DB" w:rsidR="00AA385A" w:rsidRDefault="00685F67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Izloženosti prema drugoj kriptoimovini izražene kao postotak osnovnog kapitala institucija</w:t>
            </w:r>
          </w:p>
          <w:p w14:paraId="77AFF5E7" w14:textId="2EE951BB" w:rsidR="001F0121" w:rsidRPr="0076606B" w:rsidRDefault="001F0121" w:rsidP="002F1D8D">
            <w:pPr>
              <w:pStyle w:val="InstructionsText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Članak 501.d stavak 3. </w:t>
            </w:r>
            <w:r>
              <w:t xml:space="preserve">Uredbe (EU) br. 575/2013.</w:t>
            </w:r>
          </w:p>
          <w:p w14:paraId="715123E0" w14:textId="3FEC4A67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</w:p>
        </w:tc>
      </w:tr>
    </w:tbl>
    <w:p w14:paraId="0793ABC6" w14:textId="77777777" w:rsidR="001C7AB7" w:rsidRPr="002A677E" w:rsidRDefault="001C7AB7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1C7AB7" w:rsidRPr="002A677E" w:rsidSect="00570E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 xml:space="preserve"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sz w:val="20"/>
        <w:szCs w:val="20"/>
        <w:rFonts w:ascii="Times New Roman" w:hAnsi="Times New Roman"/>
      </w:rPr>
    </w:pPr>
    <w:r>
      <w:rPr>
        <w:sz w:val="20"/>
        <w:rFonts w:ascii="Times New Roman" w:hAnsi="Times New Roman"/>
      </w:rPr>
      <w:fldChar w:fldCharType="begin"/>
    </w:r>
    <w:r>
      <w:rPr>
        <w:sz w:val="20"/>
        <w:rFonts w:ascii="Times New Roman" w:hAnsi="Times New Roman"/>
      </w:rPr>
      <w:instrText xml:space="preserve"> PAGE   \* MERGEFORMAT </w:instrText>
    </w:r>
    <w:r>
      <w:rPr>
        <w:sz w:val="20"/>
        <w:rFonts w:ascii="Times New Roman" w:hAnsi="Times New Roman"/>
      </w:rPr>
      <w:fldChar w:fldCharType="separate"/>
    </w:r>
    <w:r>
      <w:rPr>
        <w:sz w:val="20"/>
        <w:rFonts w:ascii="Times New Roman" w:hAnsi="Times New Roman"/>
      </w:rPr>
      <w:t xml:space="preserve">42</w:t>
    </w:r>
    <w:r>
      <w:rPr>
        <w:sz w:val="20"/>
        <w:rFonts w:ascii="Times New Roman" w:hAnsi="Times New Roman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  <w:footnote w:id="2">
    <w:p w14:paraId="5704B613" w14:textId="770B6789" w:rsidR="0076606B" w:rsidRPr="00D9757A" w:rsidRDefault="0076606B" w:rsidP="0076606B">
      <w:pPr>
        <w:pStyle w:val="FootnoteText"/>
        <w:rPr>
          <w:sz w:val="20"/>
          <w:szCs w:val="20"/>
          <w:rFonts w:ascii="Times New Roman" w:eastAsia="Calibri" w:hAnsi="Times New Roman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rPr>
          <w:sz w:val="20"/>
          <w:rFonts w:ascii="Times New Roman" w:hAnsi="Times New Roman"/>
        </w:rPr>
        <w:t xml:space="preserve"> </w:t>
      </w:r>
      <w:r>
        <w:tab/>
      </w:r>
      <w:r>
        <w:rPr>
          <w:sz w:val="18"/>
        </w:rPr>
        <w:t xml:space="preserve">Uredba (EU) br. 575/2013 Europskog parlamenta i Vijeća od 26. lipnja 2013. o bonitetnim zahtjevima za kreditne institucije i o izmjeni Uredbe (EU) br. 648/2012, kako je izmijenjena Uredbom (EU) 2024/1623</w:t>
      </w:r>
      <w:r>
        <w:t xml:space="preserve"> </w:t>
      </w:r>
      <w:r>
        <w:rPr>
          <w:color w:val="444444"/>
        </w:rPr>
        <w:t xml:space="preserve">(</w:t>
      </w:r>
      <w:hyperlink r:id="rId1" w:history="1">
        <w:r>
          <w:rPr>
            <w:rStyle w:val="Hyperlink"/>
            <w:color w:val="800080"/>
          </w:rPr>
          <w:t xml:space="preserve">SL L 176, 27.6.2013., str. 1.</w:t>
        </w:r>
      </w:hyperlink>
      <w:r>
        <w:rPr>
          <w:color w:val="800080"/>
          <w:u w:val="single"/>
        </w:rP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Uredba – EU – 2024/1623 – EN – EUR-Lex (europa.eu)</w:t>
        </w:r>
      </w:hyperlink>
      <w:r>
        <w:rPr>
          <w:color w:val="444444"/>
        </w:rPr>
        <w:t xml:space="preserve">)</w:t>
      </w:r>
      <w:r>
        <w:t xml:space="preserve"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360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B67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479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D8D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85F67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0A3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B90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385A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458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03C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0D0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hr-HR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hr-HR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hr-HR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hr-HR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hr-HR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hr-HR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hr-HR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hr-HR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hr-HR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hr-HR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hr-HR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hr-HR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hr-HR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hr-HR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hr-HR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hr-HR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hr-HR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hr-HR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hr-HR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hr-HR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hr-HR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2F1D8D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hr-HR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hr-HR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2F1D8D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hr-HR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hr-HR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hr-HR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hr-HR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hr-HR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hr-HR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hr-HR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hr-HR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hr-HR"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val="hr-HR"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hr-HR"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val="hr-HR"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hr-HR"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val="hr-HR"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val="hr-HR"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val="hr-HR"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hr-HR"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val="hr-HR"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val="hr-HR"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hr-HR"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val="hr-HR"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val="hr-HR"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val="hr-HR"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val="hr-HR"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hr-HR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hr-HR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val="hr-HR"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hr-HR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hr-HR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hr-HR"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hr-HR"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hr-HR"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hr-HR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hr-HR"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hr-HR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hr-HR"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HR/TXT/?uri=OJ:L_202401623" TargetMode="External"/><Relationship Id="rId1" Type="http://schemas.openxmlformats.org/officeDocument/2006/relationships/hyperlink" Target="https://eur-lex.europa.eu/legal-content/EN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82C169-0A00-4EB2-A6F2-59F412BBBCA7}"/>
</file>

<file path=customXml/itemProps3.xml><?xml version="1.0" encoding="utf-8"?>
<ds:datastoreItem xmlns:ds="http://schemas.openxmlformats.org/officeDocument/2006/customXml" ds:itemID="{11E67E01-7F3A-4FA6-8B05-7F4B55DC2ABF}"/>
</file>

<file path=customXml/itemProps4.xml><?xml version="1.0" encoding="utf-8"?>
<ds:datastoreItem xmlns:ds="http://schemas.openxmlformats.org/officeDocument/2006/customXml" ds:itemID="{F9F275BE-E4AF-4CA5-B088-71CA1CEFE82B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1727</Characters>
  <Application>Microsoft Office Word</Application>
  <DocSecurity>0</DocSecurity>
  <Lines>61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2024-06-06T15:40:00Z</dcterms:created>
  <dcterms:modified xsi:type="dcterms:W3CDTF">2024-09-26T14:35:00Z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2024-09-26T14:35:25Z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a7de5dab-f179-4ce4-a821-7fc8370dee9b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