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XXXIV. MELLÉKLET – Útmutató a javadalmazási politikára vonatkozó táblák nyilvánosságra hozatalához</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REMA táblázat – Javadalmazási politika: </w:t>
      </w:r>
      <w:r>
        <w:rPr>
          <w:rFonts w:ascii="Times New Roman" w:hAnsi="Times New Roman"/>
          <w:color w:val="auto"/>
          <w:sz w:val="24"/>
        </w:rPr>
        <w:t>Rugalmas formátum</w:t>
      </w:r>
    </w:p>
    <w:p w14:paraId="6ACFB470" w14:textId="1A85C3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Az intézmények az EBH IT-megoldásainak XXXIII. mellékletében található EU REMA táblázat e mellékletben foglalt útmutató szerinti kitöltésével hozzák nyilvánosságra a CRR</w:t>
      </w:r>
      <w:r w:rsidRPr="007F4CC8">
        <w:rPr>
          <w:rStyle w:val="FootnoteReference"/>
          <w:rFonts w:ascii="Times New Roman" w:eastAsiaTheme="minorEastAsia" w:hAnsi="Times New Roman" w:cs="Times New Roman"/>
          <w:bCs w:val="0"/>
          <w:color w:val="auto"/>
          <w:sz w:val="24"/>
          <w:lang w:val="en-GB"/>
        </w:rPr>
        <w:footnoteReference w:id="1"/>
      </w:r>
      <w:r>
        <w:rPr>
          <w:rFonts w:ascii="Times New Roman" w:hAnsi="Times New Roman"/>
          <w:color w:val="auto"/>
          <w:sz w:val="24"/>
        </w:rPr>
        <w:t xml:space="preserve"> 450. cikke (1) bekezdésének a), b), c), d), e), f), j) és k) pontjában, valamint 450. cikkének (2) bekezdésében említett információkat.</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 táblázat rugalmas formátumú. Ha az intézmények eltérő formátumot alkalmaznak, az ebben a táblázatban előírt információkkal összehasonlítható információkat kell megadniuk, hasonló részletességgel és az összes előírt lényegi információval.</w:t>
      </w:r>
    </w:p>
    <w:p w14:paraId="5ED60910"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E táblázat és az ezen útmutatóban részletezett táblák alkalmazásában a megítélés a változó javadalmazás megadását jelenti egy bizonyos teljesítménymérési időszakra vonatkozóan, függetlenül a megítélt összeg kifizetésének tényleges időpontjától.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Pr>
                <w:rFonts w:ascii="Times New Roman" w:hAnsi="Times New Roman"/>
                <w:b/>
                <w:sz w:val="24"/>
              </w:rPr>
              <w:t>Jogszabályi hivatkozások és útmutató</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31054607" w:rsidR="00965CEB" w:rsidRPr="007F4CC8" w:rsidRDefault="00965CEB" w:rsidP="004F3087">
            <w:pPr>
              <w:pStyle w:val="Applicationdirecte"/>
              <w:spacing w:before="0" w:after="0"/>
              <w:jc w:val="center"/>
            </w:pPr>
            <w:r>
              <w:t>a</w:t>
            </w:r>
            <w:r w:rsidR="00A84946">
              <w:t>.</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javadalmazást felügyelő testületekre vonatkozó információk. A nyilvánosságra hozatalnak tartalmaznia kell a következőket:</w:t>
            </w:r>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a javadalmazási politikát felügyelő fő testület (vezető testület és javadalmazási bizottság, ha létrehozták) neve, összetétele és megbízatása, valamint az e fő testület által az üzleti év során tartott ülések száma;</w:t>
            </w:r>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igénybe vett külső tanácsadók, az őket megbízó testület, a javadalmazási keret érintett területei;</w:t>
            </w:r>
          </w:p>
          <w:p w14:paraId="3CBC394C"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az intézmény javadalmazási politikája hatályának ismertetése (például régiók, üzletágak szerint), beleértve azt is, hogy milyen mértékben alkalmazandó harmadik országokban található leányvállalatokra és fióktelepekre;</w:t>
            </w:r>
          </w:p>
          <w:p w14:paraId="1BEEE20B" w14:textId="77777777" w:rsidR="00965CEB" w:rsidRPr="007F4CC8" w:rsidRDefault="00965CEB" w:rsidP="00965CEB">
            <w:pPr>
              <w:pStyle w:val="ListParagraph"/>
              <w:numPr>
                <w:ilvl w:val="0"/>
                <w:numId w:val="2"/>
              </w:numPr>
              <w:spacing w:before="60" w:after="120"/>
              <w:jc w:val="both"/>
              <w:rPr>
                <w:rFonts w:ascii="Times New Roman" w:hAnsi="Times New Roman"/>
                <w:sz w:val="24"/>
              </w:rPr>
            </w:pPr>
            <w:r>
              <w:rPr>
                <w:rFonts w:ascii="Times New Roman" w:hAnsi="Times New Roman"/>
                <w:sz w:val="24"/>
              </w:rPr>
              <w:t>azon munkavállalók vagy munkavállalói kategóriák ismertetése, akiknek szakmai tevékenysége lényeges hatást gyakorol az intézmény kockázati profiljára (azonosított munkavállalók).</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172A32CD" w:rsidR="00965CEB" w:rsidRPr="007F4CC8" w:rsidRDefault="00965CEB" w:rsidP="004F3087">
            <w:pPr>
              <w:pStyle w:val="Applicationdirecte"/>
              <w:spacing w:before="0" w:after="0"/>
              <w:jc w:val="center"/>
            </w:pPr>
            <w:r>
              <w:t>b</w:t>
            </w:r>
            <w:r w:rsidR="00A84946">
              <w:t>.</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Az azonosított munkavállalókra vonatkozó javadalmazási rendszer kialakítására és szerkezetére vonatkozó információk. A nyilvánosságra hozatalnak tartalmaznia kell a következőket:</w:t>
            </w:r>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a javadalmazási politika legfontosabb jellemzőinek és célkitűzéseinek áttekintése, továbbá információ a javadalmazási politika meghatározásához használt döntéshozatali folyamatról és az érintett érdekelt felek szerepéről (például részvényesi közgyűlés);</w:t>
            </w:r>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lastRenderedPageBreak/>
              <w:t>a teljesítmény méréséhez és az előzetes és utólagos, kockázat szerinti jövedelemkorrekcióhoz használt kritériumokra vonatkozó információk;</w:t>
            </w:r>
          </w:p>
          <w:p w14:paraId="486E0D69"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a vezető testület és – amennyiben létrehozták – a javadalmazási bizottság felülvizsgálta-e az intézmény javadalmazási politikáját az elmúlt év során, és ha igen, a végrehajtott módosítások áttekintése, a módosítások indokai, és a javadalmazásra gyakorolt hatásuk;</w:t>
            </w:r>
          </w:p>
          <w:p w14:paraId="410559C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információ arról, hogy az intézmény hogyan biztosítja, hogy a belsőkontroll-feladatokat ellátó munkavállalók javadalmazása az általuk felügyelt üzleti tevékenységtől függetlenül történjen;</w:t>
            </w:r>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a garantált változó javadalmazás és a végkielégítések megítélése során alkalmazott politikák és kritériumok.</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0FBF2A25" w:rsidR="00965CEB" w:rsidRPr="007F4CC8" w:rsidRDefault="00965CEB" w:rsidP="004F3087">
            <w:pPr>
              <w:pStyle w:val="Applicationdirecte"/>
              <w:spacing w:before="0" w:after="0"/>
              <w:jc w:val="center"/>
            </w:pPr>
            <w:r>
              <w:lastRenderedPageBreak/>
              <w:t>c</w:t>
            </w:r>
            <w:r w:rsidR="00A84946">
              <w:t>.</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Annak ismertetése, hogy a jelenlegi és jövőbeli kockázatokat milyen módon veszik figyelembe a javadalmazási folyamatokban </w:t>
            </w:r>
          </w:p>
          <w:p w14:paraId="5A14C6D4"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nyilvánosságra hozatalnak tartalmaznia kell a fő kockázatok és azok mérésének áttekintését, valamint hogy ezek a mértékek milyen hatással vannak a javadalmazásra.</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ACE0CA9" w:rsidR="00965CEB" w:rsidRPr="007F4CC8" w:rsidRDefault="00965CEB" w:rsidP="004F3087">
            <w:pPr>
              <w:pStyle w:val="Applicationdirecte"/>
              <w:spacing w:before="0" w:after="0"/>
              <w:jc w:val="center"/>
            </w:pPr>
            <w:r>
              <w:t>d</w:t>
            </w:r>
            <w:r w:rsidR="00A84946">
              <w:t>.</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javadalmazás rögzített és változó összetevője közötti, a 2013/36/EU irányelv (CRD)</w:t>
            </w:r>
            <w:r w:rsidRPr="007F4CC8">
              <w:rPr>
                <w:rStyle w:val="FootnoteReference"/>
                <w:rFonts w:ascii="Times New Roman" w:hAnsi="Times New Roman"/>
                <w:sz w:val="24"/>
              </w:rPr>
              <w:footnoteReference w:id="2"/>
            </w:r>
            <w:r>
              <w:rPr>
                <w:rFonts w:ascii="Times New Roman" w:hAnsi="Times New Roman"/>
                <w:sz w:val="24"/>
              </w:rPr>
              <w:t xml:space="preserve"> 94. cikke (1) bekezdése g) pontjának megfelelően meghatározott arányok</w:t>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26FF9297" w:rsidR="00965CEB" w:rsidRPr="007F4CC8" w:rsidRDefault="00965CEB" w:rsidP="004F3087">
            <w:pPr>
              <w:pStyle w:val="Applicationdirecte"/>
              <w:spacing w:before="0" w:after="0"/>
              <w:jc w:val="center"/>
            </w:pPr>
            <w:r>
              <w:t>e</w:t>
            </w:r>
            <w:r w:rsidR="00A84946">
              <w:t>.</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Annak ismertetése, hogy az intézmény milyen módon kívánja összekapcsolni a teljesítménymérési időszak alatti teljesítményt a javadalmazás szintjével</w:t>
            </w:r>
          </w:p>
          <w:p w14:paraId="2C4FFE4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nyilvánosságra hozatalnak tartalmaznia kell a következőket:</w:t>
            </w:r>
          </w:p>
          <w:p w14:paraId="13DAA83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az intézményre, az üzletágakra és az egyénekre vonatkozó fő teljesítménykritériumok és mérőszámok áttekintése.</w:t>
            </w:r>
          </w:p>
          <w:p w14:paraId="4673DEDB"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áttekintés arról, hogy az egyéni változó javadalmazás összegei hogyan függnek össze az intézményi és az egyéni teljesítménnyel.</w:t>
            </w:r>
          </w:p>
          <w:p w14:paraId="66395D1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a megítélt különböző típusú instrumentumok – többek között részvények, azokkal egyenértékű tulajdoni részesedések, opciók és egyéb instrumentumok – közötti egyensúly meghatározásához használt kritériumokra vonatkozó információk.</w:t>
            </w:r>
          </w:p>
          <w:p w14:paraId="41B4F38D" w14:textId="77777777" w:rsidR="00965CEB" w:rsidRPr="007F4CC8" w:rsidRDefault="00965CEB" w:rsidP="00965CEB">
            <w:pPr>
              <w:pStyle w:val="ListParagraph"/>
              <w:numPr>
                <w:ilvl w:val="0"/>
                <w:numId w:val="3"/>
              </w:numPr>
              <w:spacing w:before="60" w:after="120"/>
              <w:jc w:val="both"/>
              <w:rPr>
                <w:rFonts w:ascii="Times New Roman" w:hAnsi="Times New Roman"/>
                <w:sz w:val="24"/>
              </w:rPr>
            </w:pPr>
            <w:r>
              <w:rPr>
                <w:rFonts w:ascii="Times New Roman" w:hAnsi="Times New Roman"/>
                <w:sz w:val="24"/>
              </w:rPr>
              <w:t xml:space="preserve">információ azokról az intézkedésekről, amelyeket az intézmény a változó javadalmazás korrekciója céljából végrehajt abban az esetben, ha gyengék a teljesítmény-mérőszámok, beleértve az intézmény „gyengének” tekintett teljesítmény-mérőszámok meghatározására vonatkozó kritériumait. A CRD 94. cikke (1) bekezdésének n) pontjával összhangban a változó javadalmazás akkor fizethető ki, illetve a munkavállaló akkor jogosult rá, ha ez az intézmény, az üzleti egység és az érintett személy teljesítménye alapján indokolt. Az intézményeknek ki kell fejteniük azokat a </w:t>
            </w:r>
            <w:r>
              <w:rPr>
                <w:rFonts w:ascii="Times New Roman" w:hAnsi="Times New Roman"/>
                <w:sz w:val="24"/>
              </w:rPr>
              <w:lastRenderedPageBreak/>
              <w:t>kritériumokat/küszöbértékeket, amelyek alapján megállapítják, hogy a teljesítmény gyenge, és nem indokolja a változó javadalmazás kifizetését vagy az arra való jogosultságot.</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310FB12" w:rsidR="00965CEB" w:rsidRPr="007F4CC8" w:rsidRDefault="00965CEB" w:rsidP="004F3087">
            <w:pPr>
              <w:pStyle w:val="Applicationdirecte"/>
              <w:spacing w:before="0" w:after="0"/>
              <w:jc w:val="center"/>
            </w:pPr>
            <w:r>
              <w:lastRenderedPageBreak/>
              <w:t>f</w:t>
            </w:r>
            <w:r w:rsidR="00A84946">
              <w:t>.</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Annak ismertetése, hogy az intézmény milyen módon kívánja a javadalmazást a hosszú távú teljesítményhez igazítani.</w:t>
            </w:r>
          </w:p>
          <w:p w14:paraId="6FD7FDE9"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nyilvánosságra hozatalnak tartalmaznia kell a következőket:</w:t>
            </w:r>
          </w:p>
          <w:p w14:paraId="4C34D32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az intézmény halasztott javadalmazásra, az instrumentumokban történő kifizetésre, a visszatartási időszakokra és a változó javadalmazás megszolgálására vonatkozó politikájának áttekintése, beleértve azt is, ha eltér a különböző munkavállalók vagy munkavállalói kategóriák esetében.</w:t>
            </w:r>
          </w:p>
          <w:p w14:paraId="21961ED2"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az intézmény utólagos kiigazításra vonatkozó kritériumai (malus halasztás alatt és visszakövetelés megszolgálás után, ha a nemzeti jog engedélyezi).</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Pr>
                <w:rFonts w:ascii="Times New Roman" w:hAnsi="Times New Roman"/>
                <w:sz w:val="24"/>
              </w:rPr>
              <w:t>adott esetben az azonosított munkavállalók számára előírható részesedési követelmények.</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69ED335A" w:rsidR="00965CEB" w:rsidRPr="007F4CC8" w:rsidRDefault="00965CEB" w:rsidP="004F3087">
            <w:pPr>
              <w:pStyle w:val="Applicationdirecte"/>
              <w:spacing w:before="0" w:after="0"/>
              <w:jc w:val="center"/>
            </w:pPr>
            <w:r>
              <w:t>g</w:t>
            </w:r>
            <w:r w:rsidR="00A84946">
              <w:t>.</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CRR 450. cikke (1) bekezdésének f) pontjában említettek szerint a változó összetevőt is tartalmazó javadalmazás és az esetleges egyéb, nem pénzbeli juttatások fő paraméterei és logikai alapja. A nyilvánosságra hozatalnak tartalmaznia kell a következőket:</w:t>
            </w:r>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Információ a javadalmazás változó összetevőinek meghatározásához használt egyedi kockázati/teljesítménymutatókról, valamint a megítélt különböző típusú instrumentumok – többek között részvények, egyenértékű tulajdoni részesedések, részvényhez kapcsolt eszközök, egyenértékű készpénz-helyettesítő fizetési eszközök, opciók és egyéb instrumentumok – közötti egyensúly meghatározásához használt kritériumokról.</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389BE5EB" w:rsidR="00965CEB" w:rsidRPr="007F4CC8" w:rsidRDefault="00965CEB" w:rsidP="004F3087">
            <w:pPr>
              <w:pStyle w:val="Applicationdirecte"/>
              <w:spacing w:before="0" w:after="0"/>
              <w:jc w:val="center"/>
            </w:pPr>
            <w:r>
              <w:t>h</w:t>
            </w:r>
            <w:r w:rsidR="00A84946">
              <w:t>.</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Ha az érintett tagállam vagy az illetékes hatóság kéri, a vezető testület vagy a felső vezetés minden tagjának teljes javadalmazása, a CRR 450. cikke (1) bekezdésének j) pontjában említettek szerint.</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01E5362D" w:rsidR="00965CEB" w:rsidRPr="007F4CC8" w:rsidRDefault="00965CEB" w:rsidP="004F3087">
            <w:pPr>
              <w:pStyle w:val="Applicationdirecte"/>
              <w:spacing w:before="0" w:after="0"/>
              <w:jc w:val="center"/>
            </w:pPr>
            <w:r>
              <w:t>i</w:t>
            </w:r>
            <w:r w:rsidR="00A84946">
              <w:t>.</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CRR 450. cikke (1) bekezdésének k) pontjában említettek szerint arra vonatkozó információ, hogy az intézmény él-e a CRD 94. cikkének (3) bekezdésében meghatározott eltéréssel.</w:t>
            </w:r>
          </w:p>
          <w:p w14:paraId="43880B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E pont alkalmazásában az ilyen eltéréssel élő intézményeknek fel kell tüntetniük, hogy ez a CRD 94. cikke (3) bekezdésének a) és/vagy b) pontja alapján történik-e. Azt is jelezniük kell, hogy mely javadalmazási követelményre vonatkozóan alkalmazzák az eltérést/eltéréseket (vagyis a CRD 94. cikke (1) bekezdésének l) pontját, és/vagy m) pontját és/vagy o) pontját), meg kell adniuk az eltérésből/eltérésekből részesülő munkavállalók számát és azok teljes javadalmazását, rögzített és változó javadalmazás szerinti bontásban.</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51F4F90D" w:rsidR="00965CEB" w:rsidRPr="007F4CC8" w:rsidRDefault="00965CEB" w:rsidP="004F3087">
            <w:pPr>
              <w:pStyle w:val="Applicationdirecte"/>
              <w:spacing w:before="0" w:after="0"/>
              <w:jc w:val="center"/>
            </w:pPr>
            <w:r>
              <w:t>j</w:t>
            </w:r>
            <w:r w:rsidR="00A84946">
              <w:t>.</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CRR 450. cikkének (2) bekezdésében említettek szerint a nagy méretű intézményeknek nyilvánosságra kell hozniuk a kollektív vezető testületük javadalmazására vonatkozó mennyiségi információkat, megkülönböztetve az ügyvezető és nem ügyvezető tagokat.</w:t>
            </w:r>
          </w:p>
        </w:tc>
      </w:tr>
    </w:tbl>
    <w:p w14:paraId="253E4D29" w14:textId="77777777" w:rsidR="00965CEB" w:rsidRPr="00A84946" w:rsidRDefault="00965CEB" w:rsidP="00965CEB">
      <w:pPr>
        <w:pStyle w:val="Titlelevel2"/>
        <w:spacing w:before="120" w:after="120"/>
        <w:rPr>
          <w:rFonts w:ascii="Times New Roman" w:hAnsi="Times New Roman" w:cs="Times New Roman"/>
          <w:b/>
          <w:color w:val="auto"/>
          <w:sz w:val="24"/>
        </w:rPr>
      </w:pPr>
    </w:p>
    <w:p w14:paraId="6222D5CA" w14:textId="77777777" w:rsidR="00965CEB" w:rsidRPr="00A84946" w:rsidRDefault="00965CEB" w:rsidP="00965CEB">
      <w:pPr>
        <w:pStyle w:val="Titlelevel2"/>
        <w:spacing w:before="120" w:after="120"/>
        <w:rPr>
          <w:rFonts w:ascii="Times New Roman" w:hAnsi="Times New Roman" w:cs="Times New Roman"/>
          <w:b/>
          <w:color w:val="auto"/>
          <w:sz w:val="24"/>
        </w:rPr>
      </w:pPr>
    </w:p>
    <w:p w14:paraId="6D70938D" w14:textId="77777777" w:rsidR="00965CEB" w:rsidRPr="00A84946" w:rsidRDefault="00965CEB" w:rsidP="00965CEB">
      <w:pPr>
        <w:pStyle w:val="Titlelevel2"/>
        <w:spacing w:before="120" w:after="120"/>
        <w:rPr>
          <w:rFonts w:ascii="Times New Roman" w:hAnsi="Times New Roman" w:cs="Times New Roman"/>
          <w:b/>
          <w:color w:val="auto"/>
          <w:sz w:val="24"/>
        </w:rPr>
      </w:pPr>
    </w:p>
    <w:p w14:paraId="12D97B04" w14:textId="77777777" w:rsidR="00965CEB" w:rsidRPr="00A84946" w:rsidRDefault="00965CEB" w:rsidP="00965CEB">
      <w:pPr>
        <w:pStyle w:val="Titlelevel2"/>
        <w:spacing w:before="120" w:after="120"/>
        <w:rPr>
          <w:rFonts w:ascii="Times New Roman" w:hAnsi="Times New Roman" w:cs="Times New Roman"/>
          <w:b/>
          <w:color w:val="auto"/>
          <w:sz w:val="24"/>
        </w:rPr>
      </w:pPr>
    </w:p>
    <w:p w14:paraId="3C51066B"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REM1 tábla – Az üzleti évre vonatkozóan megítélt javadalmazás: </w:t>
      </w:r>
      <w:r>
        <w:rPr>
          <w:rFonts w:ascii="Times New Roman" w:hAnsi="Times New Roman"/>
          <w:color w:val="auto"/>
          <w:sz w:val="24"/>
        </w:rPr>
        <w:t>Kötött formátum</w:t>
      </w:r>
    </w:p>
    <w:p w14:paraId="0B701908"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Az intézmények a CRR 450. cikke (1) bekezdése h) pontjának i–ii. alpontja alkalmazásában az ezen végrehajtási rendelet XXXIII. mellékletében található EU REM1 táblát az e mellékletben foglalt útmutató alapján töltik ki.</w:t>
      </w:r>
    </w:p>
    <w:p w14:paraId="667CF96F" w14:textId="77777777" w:rsidR="00965CEB" w:rsidRPr="00A84946" w:rsidRDefault="00965CEB" w:rsidP="00965CEB">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Pr>
                <w:rFonts w:ascii="Times New Roman" w:hAnsi="Times New Roman"/>
                <w:b/>
                <w:sz w:val="24"/>
              </w:rPr>
              <w:t>Jogszabályi hivatkozások és útmutató</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és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Azonosított munkavállalók száma</w:t>
            </w:r>
          </w:p>
          <w:p w14:paraId="23AE8698"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 CRD 92. cikkével és a CRD 94. cikkének (2) bekezdését (azonosított munkavállalók) végrehajtó, az azonosított munkavállalókról szóló felhatalmazáson alapuló bizottsági rendelettel</w:t>
            </w:r>
            <w:r w:rsidRPr="007F4CC8">
              <w:rPr>
                <w:rStyle w:val="FootnoteReference"/>
                <w:rFonts w:ascii="Times New Roman" w:hAnsi="Times New Roman" w:cs="Times New Roman"/>
                <w:sz w:val="24"/>
              </w:rPr>
              <w:footnoteReference w:id="3"/>
            </w:r>
            <w:r>
              <w:rPr>
                <w:rFonts w:ascii="Times New Roman" w:hAnsi="Times New Roman"/>
                <w:sz w:val="24"/>
              </w:rPr>
              <w:t xml:space="preserve"> összhangban azon munkavállalók száma, akiknek szakmai tevékenységei lényeges hatást gyakorolnak az intézmény kockázati profiljára, és akik az ebben a táblában felsorolt javadalmazási összetevők kedvezményezettjei. A számot a teljes munkaidős egyenérték alkalmazásával kell kiszámítani a vezető testület tagjaitól eltérő azonosított munkavállalók tekintetében, ahol a számokat létszámként kell feltüntetni.</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Teljes rögzített javadalmazás</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Az e tábla 3–7. sorában szereplő értékek összege</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Ebből: készpénzalapú</w:t>
            </w:r>
          </w:p>
          <w:p w14:paraId="1A2351D8"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A készpénzalapú javadalmazás összege a rögzített javadalmazáson belül.</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Ebből: részvények vagy azokkal egyenértékű tulajdoni részesedések</w:t>
            </w:r>
          </w:p>
          <w:p w14:paraId="14E3789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 rögzített javadalmazáson belül a CRD 94. cikke (1) bekezdése l) pontjának i. alpontjában említett részvények vagy – az érintett intézmény jogi formájától függően – azokkal egyenértékű tulajdoni részesedések együttes összege.</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Ebből: részvényhez kapcsolt eszközök vagy azokkal egyenértékű készpénz-helyettesítő fizetési eszközök </w:t>
            </w:r>
          </w:p>
          <w:p w14:paraId="54EF89ED"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A rögzített javadalmazáson belül a CRD 94. cikke (1) bekezdése l) pontjának i. alpontjában említett részvényhez kapcsolt eszközök vagy – az érintett intézmény jogi formájától függően – azokkal egyenértékű készpénz-helyettesítő fizetési eszközök együttes összege.</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Ebből: egyéb eszközök</w:t>
            </w:r>
          </w:p>
          <w:p w14:paraId="06C24EE7"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A rögzített javadalmazáson belül a CRD 94. cikke (1) bekezdése l) pontjának ii. alpontjában említett egyéb eszközök összege.</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Ebből: egyéb formák</w:t>
            </w:r>
          </w:p>
          <w:p w14:paraId="35C192C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Az üzleti évre vonatkozóan megítélt rögzített javadalmazás azon összegei, amelyek nem szerepelnek más sorokban a teljes rögzített javadalmazás cím alatt.</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Ide tartozhatnak a CRD (64) preambulumbekezdésében említett arányos és szokásos nyugdíjjárulékok, vagy juttatások (amennyiben ezek a juttatások nem teljesítményalapúak), vagy a javadalmazás egyéb formái, például a gépjárművekkel kapcsolatos juttatások.</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Teljes változó javadalmazás</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Az e tábla 11., EU-13a., EU-13b., EU-14x. és 15. sorában szereplő értékek összege.</w:t>
            </w:r>
          </w:p>
          <w:p w14:paraId="74BA85C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 javadalmazás minden olyan összetevőjének összege, amely nem az e tábla 2. sorában feltüntetett rögzített javadalmazás, beleértve az adott év során megítélt garantált változó javadalmazást és a végkielégítéseket.</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Ebből: készpénzalapú</w:t>
            </w:r>
          </w:p>
          <w:p w14:paraId="2BEE787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 készpénzalapú javadalmazás összege a változó javadalmazáson belül.</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12., EU-14a., EU-14b., EU-14y. és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Ebből: halasztott</w:t>
            </w:r>
          </w:p>
          <w:p w14:paraId="151C1A05"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 változó javadalmazás összegei a CRD 94. cikkével összhangban meghatározott, különböző típusú halasztott összetevők szerint.</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Ebből: részvények vagy azokkal egyenértékű tulajdoni részesedések</w:t>
            </w:r>
          </w:p>
          <w:p w14:paraId="4498A7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 változó javadalmazáson belül a CRD 94. cikke (1) bekezdése l) pontjának i. alpontjában említett részvények vagy – az érintett intézmény jogi formájától függően – azokkal egyenértékű tulajdoni részesedések együttes összege.</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Ebből: részvényhez kapcsolt eszközök vagy azokkal egyenértékű készpénz-helyettesítő fizetési eszközök </w:t>
            </w:r>
          </w:p>
          <w:p w14:paraId="6FA62A3F"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A változó javadalmazáson belül a CRD 94. cikke (1) bekezdése l) pontjának i. alpontjában említett részvényhez kapcsolt eszközök vagy – az érintett intézmény jogi formájától függően – azokkal egyenértékű készpénz-helyettesítő fizetési eszközök együttes összege.</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Ebből: egyéb eszközök</w:t>
            </w:r>
          </w:p>
          <w:p w14:paraId="4D8E1D04" w14:textId="77777777" w:rsidR="00965CEB" w:rsidRPr="007F4CC8" w:rsidRDefault="00965CEB" w:rsidP="004F3087">
            <w:pPr>
              <w:autoSpaceDE w:val="0"/>
              <w:autoSpaceDN w:val="0"/>
              <w:adjustRightInd w:val="0"/>
              <w:spacing w:after="120"/>
              <w:jc w:val="both"/>
              <w:rPr>
                <w:rFonts w:ascii="Times New Roman" w:hAnsi="Times New Roman"/>
                <w:b/>
                <w:sz w:val="24"/>
              </w:rPr>
            </w:pPr>
            <w:r>
              <w:rPr>
                <w:rFonts w:ascii="Times New Roman" w:hAnsi="Times New Roman"/>
                <w:sz w:val="24"/>
              </w:rPr>
              <w:t>A változó javadalmazáson belül a CRD 94. cikke (1) bekezdése l) pontjának ii. alpontjában említett egyéb eszközök összege.</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Ebből: egyéb formák</w:t>
            </w:r>
          </w:p>
          <w:p w14:paraId="236742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Az üzleti évre vonatkozóan megítélt változó javadalmazás azon összegei, amelyek nem szerepelnek más sorokban a változó javadalmazás cím alatt.</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Teljes javadalmazás</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Az e tábla 2. és 10. sorában szereplő értékek összege</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Magyarázat</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11E16174"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r w:rsidR="00A84946">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Vezető testület, felügyeleti funkció</w:t>
            </w:r>
          </w:p>
          <w:p w14:paraId="5B08524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 vezető testület felügyeleti funkcióban, amely a CRD 3. cikke (1) bekezdésének 8. pontjában meghatározottak szerint a vezető testületnek a vezetői döntéshozatal felügyeletét és monitorozását ellátó szerepe.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Az intézményeknek a létszám alapján kell megadniuk az információt. </w:t>
            </w:r>
          </w:p>
          <w:p w14:paraId="45A26C8B"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CRR 13. cikkével összhangban az EU-szintű anyaintézményeknek összevont helyzetük alapján kell nyilvánosságra hozniuk ezt az információt, az EU-szintű anyaintézmények nagy méretű leányvállalatainak pedig egyedi vagy – amennyiben e rendelet és a CRD szerint alkalmazható – szubkonszolidált alapon kell nyilvánosságra hozniuk ezt az információt. A nyilvánosságra hozatalt teljesítő szervezetnek ebben az oszlopban a vezető testületére vonatkozó információkat kell megadnia. Ha a nyilvánosságra hozatal a CRR 6. és 13. cikke alapján összevont vagy szubkonszolidált szinten történik, a leányvállalatok vezető testületeinek azonosított munkavállalóira vonatkozó információkat az érintett tevékenységi terület alatt kell feltüntetni.</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0E644D4D"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b</w:t>
            </w:r>
            <w:r w:rsidR="00A84946">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Vezető testület, irányító funkció </w:t>
            </w:r>
          </w:p>
          <w:p w14:paraId="286AC6E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vezető testület azon tagjai, akik annak irányítási feladataiért felelősek.</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intézményeknek a létszám alapján kell megadniuk az információt.</w:t>
            </w:r>
          </w:p>
          <w:p w14:paraId="5BD4796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intézményeknek a létszám alapján kell megadniuk az információt. A CRR 13. cikkével összhangban, az EU-szintű anyaintézményeknek összevont helyzetük alapján kell nyilvánosságra hozniuk ezt az információt, az EU-szintű anyaintézmények nagy méretű leányvállalatainak pedig egyedi vagy – amennyiben e rendelet és a CRD szerint alkalmazható – szubkonszolidált alapon kell nyilvánosságra hozniuk ezt az információt.A nyilvánosságra hozatalt teljesítő szervezetnek ebben az oszlopban a vezető testületére vonatkozó információkat kell megadnia. Ha a nyilvánosságra hozatal a CRR 6. és 13. cikke alapján összevont vagy szubkonszolidált szinten történik, a leányvállalatok vezető testületeinek azonosított munkavállalóira vonatkozó információkat az érintett tevékenységi terület alatt kell feltüntetni.</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38F63241"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c</w:t>
            </w:r>
            <w:r w:rsidR="00A84946">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Egyéb felső vezetés</w:t>
            </w:r>
          </w:p>
          <w:p w14:paraId="43B1CA8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CRD 3. cikke (1) bekezdésének 9. pontjában meghatározott felső vezetés.</w:t>
            </w:r>
          </w:p>
          <w:p w14:paraId="16B3B8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intézményeknek azon felső vezetők számát kell feltüntetniük, akik nem szerepelnek a „vezető testület, irányító funkció” és az „egyéb azonosított munkavállaló” tétel alatt. Az intézményeknek a teljes munkaidős egyenérték alapján kell megadniuk az információt.</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57F2B2B1"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d</w:t>
            </w:r>
            <w:r w:rsidR="00A84946">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Egyéb azonosított munkavállalók</w:t>
            </w:r>
          </w:p>
          <w:p w14:paraId="6ECAE4F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 felügyeleti funkciójában vagy irányító funkciójában vett vezető testülettől, valamint a felső vezetéstől eltérő munkavállalók, akiknek szakmai tevékenysége lényeges hatást gyakorol az intézmény kockázati profiljára, a CRD 94. cikkének (2) bekezdését végrehajtó felhatalmazáson alapuló bizottsági rendeletben meghatározott kritériumokkal összhangban, és adott esetben az intézmény saját kritériumai alapján.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intézmények ebben a táblában szerepeltethetik az EU REM5 táblában javasolt tevékenységi területek szerinti bontást. Az intézményeknek a teljes munkaidős egyenérték alapján kell megadniuk az információt.</w:t>
            </w:r>
          </w:p>
        </w:tc>
      </w:tr>
    </w:tbl>
    <w:p w14:paraId="68C370B5" w14:textId="77777777" w:rsidR="00965CEB" w:rsidRPr="00A84946" w:rsidRDefault="00965CEB" w:rsidP="00965CEB">
      <w:pPr>
        <w:pStyle w:val="Titlelevel2"/>
        <w:spacing w:before="120" w:after="120"/>
        <w:rPr>
          <w:rFonts w:ascii="Times New Roman" w:hAnsi="Times New Roman" w:cs="Times New Roman"/>
          <w:color w:val="auto"/>
          <w:sz w:val="24"/>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REM2 tábla – Különleges kifizetések azon munkavállalók számára, akiknek szakmai tevékenysége lényeges hatást gyakorol az intézmény kockázati profiljára (azonosított munkavállalók): </w:t>
      </w:r>
      <w:r>
        <w:rPr>
          <w:rFonts w:ascii="Times New Roman" w:hAnsi="Times New Roman"/>
          <w:color w:val="auto"/>
          <w:sz w:val="24"/>
        </w:rPr>
        <w:t>Kötött formátum</w:t>
      </w:r>
    </w:p>
    <w:p w14:paraId="031B19E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Az intézmények az ezen végrehajtási rendelet XXXIII. mellékletében található EU REM2 tábla e mellékletben foglalt útmutató szerinti kitöltésével hozzák nyilvánosságra a CRR 450. cikke (1) bekezdése h) pontjának v–vii.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Pr>
                <w:rFonts w:ascii="Times New Roman" w:hAnsi="Times New Roman"/>
                <w:b/>
                <w:sz w:val="24"/>
              </w:rPr>
              <w:t>Jogszabályi hivatkozások és útmutató</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1., 4. és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Azonosított munkavállalók száma</w:t>
            </w:r>
          </w:p>
          <w:p w14:paraId="50587A1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CRD 92. cikkével és a CRD 94. cikkének (2) bekezdését végrehajtó, az azonosított munkavállalókról szóló felhatalmazáson alapuló bizottsági rendelettel összhangban azon azonosított munkavállalók száma, akiknek szakmai tevékenységei lényeges hatást gyakorolnak az intézmény kockázati profiljára, az egyes javadalmazási összetevők szerint.</w:t>
            </w:r>
          </w:p>
          <w:p w14:paraId="6D4FEBDD"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Az e tábla „a” és „b” oszlopa (vezető testület) esetében az érték a létszámon alapul. Az e tábla „c” és „d” oszlopa esetében az értéket a teljes munkaidős egyenérték alkalmazásával kell kiszámítani.</w:t>
            </w:r>
          </w:p>
          <w:p w14:paraId="2E1869A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 tábla 4. sora a korábbi időszakokban megítélt és az üzleti év (jelenlegi év) során kifizetett végkielégítésekre vonatkozik, míg a tábla 6. sora az üzleti év (jelenlegi év) során megítélt végkielégítésekre vonatkozik.</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Megítélt garantált változó javadalmazás – Teljes összeg</w:t>
            </w:r>
          </w:p>
          <w:p w14:paraId="6D0F7C1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CRD 94. cikke (1) bekezdésének e) pontjában említett garantált változó javadalmazás összege.</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Ebből az üzleti év során kifizetett megítélt garantált változó javadalmazás, amelyet nem vesznek figyelembe a teljesítményjavadalmazás felső korlátjában</w:t>
            </w:r>
          </w:p>
          <w:p w14:paraId="35D0912A"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CRD 94. cikke (1) bekezdésének e) pontjában említett, az üzleti év (jelenlegi év) során kifizetett megítélt garantált változó javadalmazás összege, amelyet nem vesznek figyelembe a teljesítményjavadalmazás felső korlátjában</w:t>
            </w:r>
          </w:p>
          <w:p w14:paraId="1D5DC4D6"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CRR 450. cikke (1) bekezdésének g) pontjában és h) pontjának v–vi. pontjában említett, nyilvánosságra hozott információk tekintetében az intézményeknek egyértelműen jelezniük kell, hogy a tevékenységi területek szerint bontott javadalmazásra vonatkozó összesített mennyiségi információk tükrözik-e a teljesítményjavadalmazás felső korlátját új belépők és végkielégítések esetében.</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Korábbi időszakokban megítélt, az üzleti év során kifizetett végkielégítések – Teljes összeg</w:t>
            </w:r>
          </w:p>
          <w:p w14:paraId="6BDFFBCB"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CRD 94. cikke (1) bekezdésének h) pontjában említett, a korábbi időszakokban megítélt és az üzleti év (jelenlegi év) során kifizetett végkielégítések összege.</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Az üzleti év során megítélt végkielégítések – Teljes összeg</w:t>
            </w:r>
          </w:p>
          <w:p w14:paraId="370D85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CRD 94. cikke (1) bekezdésének h) pontjában említett, az üzleti év (jelenlegi év) során megítélt végkielégítések összege.</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Az üzleti év során megítélt végkielégítések – Ebből az üzleti év során kifizetett</w:t>
            </w:r>
          </w:p>
          <w:p w14:paraId="75DA4E0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CRD 94. cikke (1) bekezdésének h) pontjában említett, az üzleti év során megítélt és az üzleti év során kifizetett végkielégítések összege.</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Az üzleti év során megítélt végkielégítések – Ebből halasztott</w:t>
            </w:r>
          </w:p>
          <w:p w14:paraId="2B8A3E3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CRD 94. cikke (1) bekezdésének h) pontjában említett, az üzleti év során megítélt, a CRD 94. cikke szerint meghatározott halasztott végkielégítések összegei.</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Ebből az üzleti év során kifizetett végkielégítések, amelyeket nem vesznek figyelembe a teljesítményjavadalmazás felső korlátjában</w:t>
            </w:r>
          </w:p>
          <w:p w14:paraId="3020E32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CRD 94. cikke (1) bekezdésének h) pontjában említett, az üzleti év során kifizetett végkielégítések összegei, amelyeket nem vesznek figyelembe a teljesítményjavadalmazás felső korlátjában</w:t>
            </w:r>
          </w:p>
          <w:p w14:paraId="78B7D63D"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CRR 450. cikke (1) bekezdésének g) pontjában és h) pontjának v–vi. pontjában említett, nyilvánosságra hozott információk tekintetében az intézményeknek egyértelműen jelezniük kell, hogy a tevékenységi területek szerint bontott javadalmazásra vonatkozó összesített mennyiségi információk tükrözik-e a teljesítményjavadalmazás felső korlátját új belépők és végkielégítések esetében.</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Az üzleti év során megítélt végkielégítések – Ebből az egy fő részére megítélt legmagasabb kifizetés</w:t>
            </w:r>
          </w:p>
          <w:p w14:paraId="69C2783A"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CRD 94. cikke (1) bekezdésének h) pontjában említett, az üzleti év során egy fő részére megítélt legmagasabb végkielégítés összege.</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Magyarázat</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14BE0A4B" w:rsidR="00965CEB" w:rsidRPr="007F4CC8" w:rsidRDefault="00965CEB" w:rsidP="004F3087">
            <w:pPr>
              <w:pStyle w:val="Applicationdirecte"/>
              <w:spacing w:before="0" w:after="0"/>
              <w:jc w:val="center"/>
            </w:pPr>
            <w:r>
              <w:t>a</w:t>
            </w:r>
            <w:r w:rsidR="00A84946">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Vezető testület, felügyeleti funkció</w:t>
            </w:r>
          </w:p>
          <w:p w14:paraId="3734590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A vezető testület felügyeleti funkcióban, amely a CRD 3. cikke (1) bekezdésének 8. pontjában meghatározottak szerint a vezető testületnek a vezetői döntéshozatal felügyeletét és monitorozását ellátó szerepe (létszám)</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599D987D" w:rsidR="00965CEB" w:rsidRPr="007F4CC8" w:rsidRDefault="00965CEB" w:rsidP="004F3087">
            <w:pPr>
              <w:pStyle w:val="Applicationdirecte"/>
              <w:spacing w:before="0" w:after="0"/>
              <w:jc w:val="center"/>
            </w:pPr>
            <w:r>
              <w:t>b</w:t>
            </w:r>
            <w:r w:rsidR="00A84946">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Vezető testület, irányító funkció</w:t>
            </w:r>
          </w:p>
          <w:p w14:paraId="1A03D44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A vezető testület azon tagjai, akik annak irányítási feladataiért felelősek (létszám)</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0DEFEAED" w:rsidR="00965CEB" w:rsidRPr="007F4CC8" w:rsidRDefault="00965CEB" w:rsidP="004F3087">
            <w:pPr>
              <w:pStyle w:val="Applicationdirecte"/>
              <w:spacing w:before="0" w:after="0"/>
              <w:jc w:val="center"/>
            </w:pPr>
            <w:r>
              <w:t>c</w:t>
            </w:r>
            <w:r w:rsidR="00A84946">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Egyéb felső vezetés</w:t>
            </w:r>
          </w:p>
          <w:p w14:paraId="1598A2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CRD 3. cikke (1) bekezdésének 9. pontjában meghatározott felső vezetés.</w:t>
            </w:r>
          </w:p>
          <w:p w14:paraId="1B942BBE"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Az intézményeknek azon felső vezetők számát kell feltüntetniük, akik nem szerepelnek a „vezető testület, irányító funkció” és az „egyéb azonosított munkavállaló” tétel alatt (teljes munkaidős egyenérték).</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48142EB5" w:rsidR="00965CEB" w:rsidRPr="007F4CC8" w:rsidRDefault="00965CEB" w:rsidP="004F3087">
            <w:pPr>
              <w:pStyle w:val="Applicationdirecte"/>
              <w:spacing w:before="0" w:after="0"/>
              <w:jc w:val="center"/>
            </w:pPr>
            <w:r>
              <w:t>d</w:t>
            </w:r>
            <w:r w:rsidR="00A84946">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Egyéb azonosított munkavállalók</w:t>
            </w:r>
          </w:p>
          <w:p w14:paraId="01528962"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A felügyeleti funkciójában vagy irányító funkciójában vett vezető testülettől, valamint a felső vezetéstől eltérő munkavállalók, akiknek szakmai tevékenysége lényeges hatást gyakorol az intézmény kockázati profiljára, a CRD 94. cikkének (2) bekezdését végrehajtó felhatalmazáson alapuló bizottsági rendeletben meghatározott kritériumokkal összhangban, és adott esetben az intézmény saját kritériumai alapján.</w:t>
            </w:r>
          </w:p>
          <w:p w14:paraId="566D1319"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Az intézmények ebben a táblában szerepeltethetik az EU REM5 táblában javasolt tevékenységi területek szerinti bontást (teljes munkaidős egyenérték).</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REM3 tábla – Halasztott javadalmazás: </w:t>
      </w:r>
      <w:r>
        <w:rPr>
          <w:rFonts w:ascii="Times New Roman" w:hAnsi="Times New Roman"/>
          <w:color w:val="auto"/>
          <w:sz w:val="24"/>
        </w:rPr>
        <w:t>Kötött formátum</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Az intézmények az ezen végrehajtási rendelet XXXIII. mellékletében található EU REM3 tábla e mellékletben foglalt útmutató szerinti kitöltésével hozzák nyilvánosságra a CRR 450. cikke (1) bekezdése h) pontjának iii–iv.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Pr>
                <w:rFonts w:ascii="Times New Roman" w:hAnsi="Times New Roman"/>
                <w:b/>
                <w:sz w:val="24"/>
              </w:rPr>
              <w:t>Jogszabályi hivatkozások és útmutató</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Vezető testület, felügyeleti funkció</w:t>
            </w:r>
          </w:p>
          <w:p w14:paraId="42F62B7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vezető testület felügyeleti funkcióban, amely a CRD 3. cikke (1) bekezdésének 8. pontjában meghatározottak szerint a vezető testületnek a vezetői döntéshozatal felügyeletét és monitorozását ellátó szerepe.</w:t>
            </w:r>
          </w:p>
          <w:p w14:paraId="78EE110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Az e tábla 2., 3., 4., 5. és 6. sorában szereplő értékek összege</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2., 8., 14. és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Készpénzalapú</w:t>
            </w:r>
          </w:p>
          <w:p w14:paraId="0BC40D8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készpénzalapú javadalmazás összege a változó javadalmazáson belül.</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3., 9., 15. és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Részvények vagy azokkal egyenértékű tulajdoni részesedések </w:t>
            </w:r>
          </w:p>
          <w:p w14:paraId="4B63188A" w14:textId="77777777" w:rsidR="00965CEB" w:rsidRPr="007F4CC8" w:rsidRDefault="00965CEB" w:rsidP="004F3087">
            <w:pPr>
              <w:spacing w:before="60" w:after="120"/>
              <w:jc w:val="both"/>
              <w:rPr>
                <w:rFonts w:ascii="Times New Roman" w:hAnsi="Times New Roman"/>
                <w:b/>
                <w:sz w:val="24"/>
              </w:rPr>
            </w:pPr>
            <w:r>
              <w:rPr>
                <w:rFonts w:ascii="Times New Roman" w:hAnsi="Times New Roman"/>
                <w:sz w:val="24"/>
              </w:rPr>
              <w:t>A változó javadalmazáson belül a CRD 94. cikke (1) bekezdése l) pontjának i. alpontjában említett részvények vagy – az érintett intézmény jogi formájától függően – azokkal egyenértékű tulajdoni részesedések együttes összege.</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4., 10., 16. és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Részvényhez kapcsolt eszközök vagy azokkal egyenértékű készpénz-helyettesítő fizetési eszközök </w:t>
            </w:r>
          </w:p>
          <w:p w14:paraId="362CEB2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A változó javadalmazáson belül a CRD 94. cikke (1) bekezdése l) pontjának i. alpontjában említett részvényhez kapcsolt eszközök vagy – az érintett intézmény jogi formájától függően – azokkal egyenértékű készpénz-helyettesítő fizetési eszközök együttes összege.</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5., 11., 17. és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Egyéb eszközök</w:t>
            </w:r>
          </w:p>
          <w:p w14:paraId="4C0BEEE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változó javadalmazáson belül a CRD 94. cikke (1) bekezdése l) pontjának ii. alpontjában említett egyéb eszközök összege.</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6., 12., 18. és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Egyéb formák</w:t>
            </w:r>
          </w:p>
          <w:p w14:paraId="05DE9AE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 „Készpénzalapú”, a „Részvények vagy – az érintett intézmény jogi formájától függően – azokkal egyenértékű tulajdoni részesedések vagy részvényhez kapcsolt eszközök vagy azokkal egyenértékű készpénz-helyettesítő fizetési eszközök” és az „Egyéb eszközök” sorokban feltüntetettektől eltérő változó javadalmazás összegei</w:t>
            </w:r>
          </w:p>
          <w:p w14:paraId="47E931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Ide tartozhatnak a CRD (64) preambulumbekezdésében említett arányos és szokásos nyugdíjjárulékok, vagy juttatások (amennyiben ezek a juttatások nem teljesítményalapúak), vagy a javadalmazás egyéb formái, például a gépjárművekkel kapcsolatos juttatások.</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Vezető testület, irányító funkció </w:t>
            </w:r>
          </w:p>
          <w:p w14:paraId="7D897A2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 vezető testület tagjai, akik annak irányítási feladataiért felelősek; az e tábla 8., 9., 10., 11. és 12. sorában szereplő értékek összege.</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Egyéb felső vezetés</w:t>
            </w:r>
          </w:p>
          <w:p w14:paraId="015BE95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CRD 3. cikke (1) bekezdésének 9. pontjában meghatározott felső vezetés; az e tábla 14., 15., 16., 17. és 18. sorában szereplő értékek összege.</w:t>
            </w:r>
          </w:p>
          <w:p w14:paraId="3E12A111"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Az intézményeknek azon felső vezetők számát kell feltüntetniük, akik nem szerepelnek a „vezető testület, irányító funkció” és az „egyéb azonosított munkavállaló” tétel alatt.</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Egyéb azonosított munkavállalók</w:t>
            </w:r>
          </w:p>
          <w:p w14:paraId="1561B7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felügyeleti funkciójában vagy irányító funkciójában vett vezető testülettől, valamint a felső vezetéstől eltérő munkavállalók, akiknek szakmai tevékenysége lényeges hatást gyakorol az intézmény kockázati profiljára, a CRD 94. cikkének (2) bekezdését végrehajtó felhatalmazáson alapuló bizottsági rendeletben meghatározott kritériumokkal összhangban, és adott esetben az intézmény saját kritériumai alapján; az e tábla 20., 21., 22., 23. és 24. sorában szereplő értékek összege.</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Teljes összeg</w:t>
            </w:r>
          </w:p>
          <w:p w14:paraId="70B531D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Az e tábla 1., 7., 13. és 19. sorában szereplő értékek összege.</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Magyarázat</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Pr>
                <w:rFonts w:ascii="Times New Roman" w:hAnsi="Times New Roman"/>
                <w:b/>
                <w:sz w:val="24"/>
              </w:rPr>
              <w:t>Korábbi teljesítési időszakokra megítélt halasztott javadalmazás teljes összege</w:t>
            </w:r>
          </w:p>
          <w:p w14:paraId="7D355FC1"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A CRD 94. cikkével összhangban meghatározott halasztott javadalmazás korábbi teljesítési időszakokra megítélt összege (az e tábla „b” és „c” oszlopában szereplő értékek összege)</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008B1830" w:rsidR="00965CEB" w:rsidRPr="007F4CC8" w:rsidRDefault="00965CEB" w:rsidP="004F3087">
            <w:pPr>
              <w:pStyle w:val="Applicationdirecte"/>
              <w:spacing w:before="0" w:after="0"/>
              <w:jc w:val="center"/>
            </w:pPr>
            <w:r>
              <w:t>b</w:t>
            </w:r>
            <w:r w:rsidR="00903D01">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Ebből az adott üzleti évben kifizetendővé váló</w:t>
            </w:r>
          </w:p>
          <w:p w14:paraId="1877D636"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A CRD 94. cikkével összhangban meghatározott, korábbi teljesítési időszakokra megítélt halasztott javadalmazás összege, amely az üzleti év során válik kifizetendővé</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32B8FB9" w:rsidR="00965CEB" w:rsidRPr="007F4CC8" w:rsidRDefault="00965CEB" w:rsidP="004F3087">
            <w:pPr>
              <w:pStyle w:val="Applicationdirecte"/>
              <w:spacing w:before="0" w:after="0"/>
              <w:jc w:val="center"/>
            </w:pPr>
            <w:r>
              <w:t>c</w:t>
            </w:r>
            <w:r w:rsidR="00903D01">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Ebből a következő üzleti években kifizetendővé váló</w:t>
            </w:r>
          </w:p>
          <w:p w14:paraId="41D97AF8"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A CRD 94. cikkével összhangban meghatározott, korábbi teljesítési időszakokra megítélt halasztott javadalmazás összege, amely a következő üzleti évek során válik kifizetendővé</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6935A571" w:rsidR="00965CEB" w:rsidRPr="007F4CC8" w:rsidRDefault="00965CEB" w:rsidP="004F3087">
            <w:pPr>
              <w:pStyle w:val="Applicationdirecte"/>
              <w:spacing w:before="0" w:after="0"/>
              <w:jc w:val="center"/>
            </w:pPr>
            <w:r>
              <w:t>d</w:t>
            </w:r>
            <w:r w:rsidR="00903D01">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Az üzleti év során kifizetendővé váló halasztott javadalmazás teljesítményen alapuló kiigazításának összege az adott üzleti évben</w:t>
            </w:r>
          </w:p>
          <w:p w14:paraId="1571AC97"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A CRD 94. cikkével összhangban meghatározott, az üzleti év során kifizetendővé váló halasztott javadalmazás teljesítményen alapuló kiigazításának összege</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4A18C162" w:rsidR="00965CEB" w:rsidRPr="007F4CC8" w:rsidRDefault="00965CEB" w:rsidP="004F3087">
            <w:pPr>
              <w:pStyle w:val="Applicationdirecte"/>
              <w:spacing w:before="0" w:after="0"/>
              <w:jc w:val="center"/>
            </w:pPr>
            <w:r>
              <w:t>e</w:t>
            </w:r>
            <w:r w:rsidR="00903D01">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A jövőbeli teljesítési évek során kifizetendővé váló halasztott javadalmazás teljesítményen alapuló kiigazításának összege az adott üzleti évben</w:t>
            </w:r>
          </w:p>
          <w:p w14:paraId="2D3814D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A CRD 94. cikkével összhangban meghatározott, a jövőbeli teljesítési évek során kifizetendővé váló halasztott javadalmazás teljesítményen alapuló kiigazításának összege</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32BFA492" w:rsidR="00965CEB" w:rsidRPr="007F4CC8" w:rsidRDefault="00965CEB" w:rsidP="004F3087">
            <w:pPr>
              <w:pStyle w:val="Applicationdirecte"/>
              <w:spacing w:before="0" w:after="0"/>
              <w:jc w:val="center"/>
            </w:pPr>
            <w:r>
              <w:t>f</w:t>
            </w:r>
            <w:r w:rsidR="00903D01">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903D01" w:rsidRDefault="00965CEB" w:rsidP="004F3087">
            <w:pPr>
              <w:spacing w:after="120"/>
              <w:jc w:val="both"/>
              <w:rPr>
                <w:rFonts w:ascii="Times New Roman" w:hAnsi="Times New Roman"/>
                <w:b/>
                <w:sz w:val="24"/>
              </w:rPr>
            </w:pPr>
            <w:r w:rsidRPr="00903D01">
              <w:rPr>
                <w:rFonts w:ascii="Times New Roman" w:hAnsi="Times New Roman"/>
                <w:b/>
                <w:sz w:val="24"/>
              </w:rPr>
              <w:t>Az üzleti év során utólagos implicit kiigazítások miatt végrehajtott kiigazítások teljes összege (azaz a halasztott javadalmazás értékének változása az instrumentumok árának változása miatt)</w:t>
            </w:r>
          </w:p>
          <w:p w14:paraId="6472C5F0"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 xml:space="preserve">Ha releváns, az üzleti év során olyan utólagos implicit kiigazítások miatt bekövetkezett értékváltozás összege, mint például a halasztott javadalmazásnak az instrumentumok árának változása miatt bekövetkezett értékváltozása, a legnagyobb gondosság elve alapján megbecsülve.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Az üzleti év előtt megítélt, az adott üzleti évben ténylegesen kifizetett halasztott javadalmazás teljes összege</w:t>
            </w:r>
          </w:p>
          <w:p w14:paraId="711625D8"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A CRD 94. cikkével összhangban meghatározott, az üzleti évben kifizetett halasztott javadalmazás összege</w:t>
            </w:r>
          </w:p>
          <w:p w14:paraId="79B6CE2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Amint a halasztott javadalmazás kifizetendővé válik, kifizetettnek kell tekinteni.</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Pr>
                <w:rFonts w:ascii="Times New Roman" w:hAnsi="Times New Roman"/>
                <w:b/>
                <w:sz w:val="24"/>
              </w:rPr>
              <w:t>Korábbi teljesítési időszakra megítélt, kifizetendővé vált, de visszatartási időszak hatálya alá tartozó halasztott javadalmazás teljes összege</w:t>
            </w:r>
          </w:p>
          <w:p w14:paraId="64A6D4B4"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A CRD 94. cikkével összhangban meghatározott, korábbi teljesítési időszakokra megítélt halasztott javadalmazás összege, amely megszolgálttá vált, de amelyre visszatartási időszak vonatkozik</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REM4 tábla – Évenként 1 millió EUR összegű vagy annál nagyobb javadalmazás: </w:t>
      </w:r>
      <w:r>
        <w:rPr>
          <w:rFonts w:ascii="Times New Roman" w:hAnsi="Times New Roman"/>
          <w:color w:val="auto"/>
          <w:sz w:val="24"/>
        </w:rPr>
        <w:t>Kötött formátum</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Az intézmények az ezen végrehajtási rendelet XXXIII. mellékletében található EU REM4 tábla e mellékletben foglalt útmutató szerinti kitöltésével hozzák nyilvánosságra a CRR 450. cikke (1) bekezdésének i) pontjában említett információkat.</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Az adatokat a számviteli év végi számadatok felhasználásával, EUR-ban kell benyújtani. Minden összeget teljes összegként, vagyis nem kerekített összegként, euróban kell feltüntetni (például 1 234 567 EUR, és nem 1,2 millió EUR). Ha a javadalmazás nem EUR-ban történik, a Bizottság által az adatszolgáltatási év decemberére vonatkozó pénzügyi programozáshoz és költségvetéshez használt átváltási árfolyam alkalmazásával kell átváltani a nyilvánosságra hozandó konszolidált számadatokat.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Pr>
                <w:rFonts w:ascii="Times New Roman" w:hAnsi="Times New Roman"/>
                <w:b/>
                <w:sz w:val="24"/>
              </w:rPr>
              <w:t>Jogszabályi hivatkozások és útmutató</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1 és 5 millió EUR közötti javadalmazás üzleti évenként, 500 000 EUR-s sávok szerinti bontásban</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5 millió EUR feletti javadalmazás üzleti évenként, 1 millió EUR-s sávok szerinti bontásban</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Magyarázat</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5D8A5BDB"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r w:rsidR="00903D01">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Azonosított munkavállalók száma, akik legalább 1 millió EUR javadalmazásban részesültek üzleti évenként</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Az intézményeknek a létszám alapján kell megadniuk az információt.</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REM5 tábla – Információ azon munkavállalók javadalmazásáról, akiknek szakmai tevékenysége lényeges hatást gyakorol az intézmény kockázati profiljára (azonosított munkavállalók): </w:t>
      </w:r>
      <w:r>
        <w:rPr>
          <w:rFonts w:ascii="Times New Roman" w:hAnsi="Times New Roman"/>
          <w:color w:val="auto"/>
          <w:sz w:val="24"/>
        </w:rPr>
        <w:t>Kötött formátum</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Az intézmények az ezen végrehajtási rendelet XXXIII. mellékletében található EU REM5 tábla e mellékletben foglalt útmutató szerinti kitöltésével hozzák nyilvánosságra a CRR 450. cikke (1) bekezdésének g) pontjában említett információkat.</w:t>
      </w:r>
    </w:p>
    <w:p w14:paraId="42ECBD7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 tevékenységi területek szerinti bontást tartalmazó oszlopok tekintetében minden hitelezést, többek között a nem lakossági hitelezést a lakossági hitelezésnél kell feltüntetni. A befektetési banki tevékenység magában foglalja a vállalati pénzügyeket, a kereskedést és értékesítést. Az említett üzletágakhoz tartozó tevékenységekre vonatkozóan további iránymutatás a CRR 317. cikkében lévő, a működési kockázatra vonatkozó sztenderd módszeren belüli üzletágakat meghatározó táblázatban található.</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Pr>
                <w:rFonts w:ascii="Times New Roman" w:hAnsi="Times New Roman"/>
                <w:b/>
                <w:sz w:val="24"/>
              </w:rPr>
              <w:t>Jogszabályi hivatkozások és útmutató</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Azonosított munkavállalók teljes száma</w:t>
            </w:r>
          </w:p>
          <w:p w14:paraId="2278F4D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Valamely intézmény és leányvállalatai – köztük a CRD hatálya alá nem tartozó leányvállalatok – azon munkavállalói, akiknek szakmai tevékenysége lényeges hatást gyakorol az intézmény kockázati profiljára (azonosított munkavállalók), továbbá vezető testületeik összes tagja</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Az értéket a teljes munkaidős egyenérték alapján kell feltüntetni.</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Ebből: vezető testületi tagok</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A felügyeleti funkcióját, illetve irányítási funkcióját ellátó vezető testület, valamint a teljes vezető testület tagjainak száma</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Ebből: egyéb felső vezetés</w:t>
            </w:r>
          </w:p>
          <w:p w14:paraId="1F28E03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A vezető testület tagjaitól eltérő olyan munkavállók, aki a CRD 3. cikke (1) bekezdésének 9. pontjában meghatározott felső vezetésnek minősülnek.</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1FF2C052"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4</w:t>
            </w:r>
            <w:r w:rsidR="00903D01">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Ebből: egyéb azonosított munkavállalók</w:t>
            </w:r>
          </w:p>
          <w:p w14:paraId="110712E4" w14:textId="77777777"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A vezető testület tagjaitól, valamint a felső vezetéstől eltérő munkavállalók, akiknek szakmai tevékenysége lényeges hatást gyakorol az intézmény kockázati profiljára, a CRD 94. cikkének (2) bekezdését végrehajtó felhatalmazáson alapuló bizottsági rendeletben meghatározott kritériumokkal összhangban, és adott esetben az intézmény saját kritériumai alapján</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Azonosított munkavállalók teljes javadalmazása</w:t>
            </w:r>
          </w:p>
          <w:p w14:paraId="393FC23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 javadalmazás teljes összege az intézmény által vagy nevében közvetlenül a munkavállalók számára a munkavállalók által végzett szakmai teljesítményéért cserébe nyújtott rögzített és változó javadalmazás összes formája, amely kifizetéseket, pénzbeli és nem pénzbeli juttatásokat, a 2011/61/EU irányelv</w:t>
            </w:r>
            <w:r>
              <w:rPr>
                <w:rStyle w:val="FootnoteReference"/>
                <w:rFonts w:cs="Times New Roman"/>
              </w:rPr>
              <w:footnoteReference w:id="4"/>
            </w:r>
            <w:r>
              <w:rPr>
                <w:rFonts w:ascii="Times New Roman" w:hAnsi="Times New Roman"/>
                <w:sz w:val="24"/>
              </w:rPr>
              <w:t xml:space="preserve"> 4. cikke (1) bekezdésének d) pontjában meghatározott nyereségrészesedéseket, valamint az olyan módszerekkel és eszközökkel végrehajtott egyéb kifizetéseket tartalmaznak, amelyek a CRD javadalmazási követelményei kijátszásának minősülnének abban az esetben, ha nem azokat kezelnék javadalmazásként.</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Ebből: változó javadalmazás</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 javadalmazás minden olyan összetevőjének összege, amely nem az e tábla 7. sorában említett rögzített javadalmazás.</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Ebből: rögzített javadalmazás</w:t>
            </w:r>
          </w:p>
          <w:p w14:paraId="6D2B67C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Az intézmények akkor tekintik rögzítettnek a javadalmazást, ha a megítélésére és az összegére vonatkozó feltételek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előre meghatározott kritériumokon alapulnak;</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nem önkényes módon tükrözik a szakmai tapasztalat szintjét, valamint a munkavállalók szolgálati idejét;</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átláthatók az egyes munkavállalók részére megítélt egyéni összegek vonatkozásában;</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állandóak, azaz fenntartják azokat a konkrét feladathoz és szervezeti felelősségi körökhöz rendelt időszak alatt;</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nem visszavonhatók; az állandó összeget csak kollektív bértárgyaláson keresztül, vagy újratárgyalást követően módosítják a bérmegállapításra vonatkozó nemzeti kritériumokkal összhangban;</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az intézmény által nem csökkenthetők, függeszthetők fel vagy szüntethetők meg;</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nem ösztönzik a kockázatvállalást; továbbá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nem függnek a teljesítménytől.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Magyarázat</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42CCE176"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a</w:t>
            </w:r>
            <w:r w:rsidR="00903D01">
              <w:rPr>
                <w:rFonts w:ascii="Times New Roman" w:hAnsi="Times New Roman"/>
                <w:sz w:val="24"/>
              </w:rPr>
              <w:t>.</w:t>
            </w:r>
            <w:r>
              <w:rPr>
                <w:rFonts w:ascii="Times New Roman" w:hAnsi="Times New Roman"/>
                <w:sz w:val="24"/>
              </w:rPr>
              <w:t>, b</w:t>
            </w:r>
            <w:r w:rsidR="00903D01">
              <w:rPr>
                <w:rFonts w:ascii="Times New Roman" w:hAnsi="Times New Roman"/>
                <w:sz w:val="24"/>
              </w:rPr>
              <w:t>.</w:t>
            </w:r>
            <w:r>
              <w:rPr>
                <w:rFonts w:ascii="Times New Roman" w:hAnsi="Times New Roman"/>
                <w:sz w:val="24"/>
              </w:rPr>
              <w:t xml:space="preserve"> és c</w:t>
            </w:r>
            <w:r w:rsidR="00903D01">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Vezető testület</w:t>
            </w:r>
          </w:p>
          <w:p w14:paraId="2D246C9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intézmény vezető testülete, felügyeleti funkció és irányítási funkció szerinti bontásban</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intézményeknek a létszám alapján kell megadniuk az információt.</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48F248B4"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d–h</w:t>
            </w:r>
            <w:r w:rsidR="00903D01">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Tevékenységi területek</w:t>
            </w:r>
          </w:p>
          <w:p w14:paraId="3897E6F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Az intézmény fő tevékenységi területei, úgy mint befektetési banki tevékenység, lakossági banki tevékenység, vagyonkezelés, vállalati funkciók, belsőkontroll-funkciók </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információkat a teljes munkaidős egyenérték alapján kell feltüntetni.</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11DBFD41"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i</w:t>
            </w:r>
            <w:r w:rsidR="00903D01">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Minden egyéb</w:t>
            </w:r>
          </w:p>
          <w:p w14:paraId="73AEF5B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Az előző oszlopokban külön nem szereplő minden egyéb tevékenységi terület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információkat a teljes munkaidős egyenérték alapján kell feltüntetni.</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 xml:space="preserve"> </w:t>
      </w:r>
      <w:r>
        <w:tab/>
        <w:t>Az Európai Parlament és a Tanács 575/2013/EU rendelete (2013. június 26.) a hitelintézetekre vonatkozó prudenciális követelményekről és a 648/2012/EU rendelet módosításáról, valamint az azt módosító (EU) 2024/1623 rendelet (</w:t>
      </w:r>
      <w:hyperlink r:id="rId1" w:history="1">
        <w:r>
          <w:rPr>
            <w:rStyle w:val="Hyperlink"/>
            <w:color w:val="800080"/>
          </w:rPr>
          <w:t>HL L 176., 2013.6.27., 1. o.</w:t>
        </w:r>
      </w:hyperlink>
      <w:r>
        <w:rPr>
          <w:color w:val="800080"/>
          <w:u w:val="single"/>
        </w:rPr>
        <w:t xml:space="preserve">; </w:t>
      </w:r>
      <w:hyperlink r:id="rId2" w:history="1">
        <w:r>
          <w:rPr>
            <w:rStyle w:val="Hyperlink"/>
          </w:rPr>
          <w:t>(EU) 2024/1623 rendelet –HU – EUR-Lex (europa.eu)</w:t>
        </w:r>
      </w:hyperlink>
      <w: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 xml:space="preserve"> </w:t>
      </w:r>
      <w:r>
        <w:tab/>
        <w:t>AZ EURÓPAI PARLAMENT ÉS A TANÁCS 2013/36/EU IRÁNYELVE (2013. június 26.) a hitelintézetek tevékenységéhez való hozzáférésről és a hitelintézetek prudenciális felügyeletéről, a 2002/87/EK irányelv módosításáról, a 2006/48/EK és a 2006/49/EK irányelv hatályon kívül helyezéséről (HL L 176., 2013.6.27., 338. o.).</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 xml:space="preserve"> </w:t>
      </w:r>
      <w:r>
        <w:tab/>
        <w:t>A BIZOTTSÁG 604/2014/EU FELHATALMAZÁSON ALAPULÓ RENDELETE (2014. március 4.) a 2013/36/EU európai parlamenti és tanácsi irányelvnek a szakmai tevékenységükkel valamely intézmény kockázati profiljára jelentős hatást gyakorló munkavállalók kategorizálásának minőségi és megfelelő mennyiségi kritériumaira irányuló szabályozástechnikai standardok tekintetében történő kiegészítéséről (HL L 167., 2014.6.6., 30. o.).</w:t>
      </w:r>
    </w:p>
  </w:footnote>
  <w:footnote w:id="4">
    <w:p w14:paraId="2890C799" w14:textId="77777777" w:rsidR="00965CEB" w:rsidRDefault="00965CEB" w:rsidP="00965CEB">
      <w:pPr>
        <w:pStyle w:val="FootnoteText"/>
      </w:pPr>
      <w:r>
        <w:rPr>
          <w:rStyle w:val="FootnoteReference"/>
        </w:rPr>
        <w:footnoteRef/>
      </w:r>
      <w:r>
        <w:t xml:space="preserve"> Az Európai Parlament és a Tanács 2011/61/EU irányelve (2011. június 8.) az alternatívbefektetésialap-kezelőkről, valamint a 2003/41/EK és a 2009/65/EK irányelv, továbbá az 1060/2009/EK és az 1095/2010/EU rendelet módosításáról (HL L 174., 2011.7.1., 1.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A3600E4" id="_x0000_t202" coordsize="21600,21600" o:spt="202" path="m,l,21600r21600,l21600,xe">
              <v:stroke joinstyle="miter"/>
              <v:path gradientshapeok="t" o:connecttype="rect"/>
            </v:shapetype>
            <v:shape id="Text Box 2" o:spid="_x0000_s1026" type="#_x0000_t202" alt="EBH – szokásos felhasználásr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A9260E" id="_x0000_t202" coordsize="21600,21600" o:spt="202" path="m,l,21600r21600,l21600,xe">
              <v:stroke joinstyle="miter"/>
              <v:path gradientshapeok="t" o:connecttype="rect"/>
            </v:shapetype>
            <v:shape id="Text Box 3" o:spid="_x0000_s1027" type="#_x0000_t202" alt="EBH – szokásos felhasználásr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FC368C" id="_x0000_t202" coordsize="21600,21600" o:spt="202" path="m,l,21600r21600,l21600,xe">
              <v:stroke joinstyle="miter"/>
              <v:path gradientshapeok="t" o:connecttype="rect"/>
            </v:shapetype>
            <v:shape id="Text Box 1" o:spid="_x0000_s1028" type="#_x0000_t202" alt="EBH – szokásos felhasználásr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multilevel"/>
    <w:tmpl w:val="B46E6F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5F1AA5"/>
    <w:rsid w:val="0088399E"/>
    <w:rsid w:val="00903D01"/>
    <w:rsid w:val="00965CEB"/>
    <w:rsid w:val="00993FC2"/>
    <w:rsid w:val="009E1CBE"/>
    <w:rsid w:val="00A84946"/>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3F0380-7301-459C-A551-D0A6D5CD8C7E}"/>
</file>

<file path=customXml/itemProps2.xml><?xml version="1.0" encoding="utf-8"?>
<ds:datastoreItem xmlns:ds="http://schemas.openxmlformats.org/officeDocument/2006/customXml" ds:itemID="{7E3EE0A2-5611-40BC-A60B-FE42508D18CD}"/>
</file>

<file path=customXml/itemProps3.xml><?xml version="1.0" encoding="utf-8"?>
<ds:datastoreItem xmlns:ds="http://schemas.openxmlformats.org/officeDocument/2006/customXml" ds:itemID="{8C2A7D81-6EDF-4931-9373-E9B608BD5D2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27</TotalTime>
  <Pages>14</Pages>
  <Words>3771</Words>
  <Characters>27723</Characters>
  <Application>Microsoft Office Word</Application>
  <DocSecurity>0</DocSecurity>
  <Lines>589</Lines>
  <Paragraphs>218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LOVASZIK Gabor (DGT)</cp:lastModifiedBy>
  <cp:revision>6</cp:revision>
  <dcterms:created xsi:type="dcterms:W3CDTF">2021-03-11T13:58:00Z</dcterms:created>
  <dcterms:modified xsi:type="dcterms:W3CDTF">2024-10-17T12:44:00Z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