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9EF4D" w14:textId="2FB4D780" w:rsidR="00E114F3" w:rsidRPr="008D71E9" w:rsidRDefault="00E114F3" w:rsidP="00370155">
      <w:pPr>
        <w:pStyle w:val="Annexetitre"/>
        <w:spacing w:before="0"/>
        <w:ind w:firstLine="720"/>
        <w:jc w:val="left"/>
      </w:pPr>
      <w:r>
        <w:t xml:space="preserve">XXXII. MELLÉKLET – Útmutató a működési kockázatra vonatkozó nyilvánosságra hozatal céljára szolgáló táblákhoz</w:t>
      </w:r>
    </w:p>
    <w:p w14:paraId="672A6659" w14:textId="77777777" w:rsidR="00E114F3" w:rsidRPr="008D71E9" w:rsidRDefault="00E114F3" w:rsidP="00E114F3">
      <w:pPr>
        <w:spacing w:after="120"/>
        <w:jc w:val="both"/>
        <w:rPr>
          <w:rFonts w:ascii="Times New Roman" w:hAnsi="Times New Roman"/>
          <w:b/>
          <w:bCs/>
          <w:sz w:val="24"/>
        </w:rPr>
      </w:pPr>
    </w:p>
    <w:p w14:paraId="384DD143" w14:textId="77777777" w:rsidR="00E114F3" w:rsidRPr="008D71E9" w:rsidRDefault="00E114F3" w:rsidP="00E114F3">
      <w:pPr>
        <w:spacing w:after="120"/>
        <w:rPr>
          <w:bCs/>
          <w:sz w:val="24"/>
          <w:rFonts w:ascii="Times New Roman" w:hAnsi="Times New Roman"/>
        </w:rPr>
      </w:pPr>
      <w:r>
        <w:rPr>
          <w:sz w:val="24"/>
          <w:b/>
          <w:rFonts w:ascii="Times New Roman" w:hAnsi="Times New Roman"/>
        </w:rPr>
        <w:t xml:space="preserve">EU ORA táblázat – A működési kockázattal kapcsolatos minőségi információk.</w:t>
      </w:r>
      <w:r>
        <w:rPr>
          <w:sz w:val="24"/>
          <w:b/>
          <w:rFonts w:ascii="Times New Roman" w:hAnsi="Times New Roman"/>
        </w:rPr>
        <w:t xml:space="preserve"> </w:t>
      </w:r>
      <w:r>
        <w:rPr>
          <w:sz w:val="24"/>
          <w:rFonts w:ascii="Times New Roman" w:hAnsi="Times New Roman"/>
        </w:rPr>
        <w:t xml:space="preserve">Rugalmasan kitölthető táblázat</w:t>
      </w:r>
    </w:p>
    <w:p w14:paraId="2E1E5572" w14:textId="6D56D6EF" w:rsidR="00E114F3" w:rsidRPr="008D71E9" w:rsidRDefault="2A1FD4BE" w:rsidP="44B77564">
      <w:pPr>
        <w:numPr>
          <w:ilvl w:val="0"/>
          <w:numId w:val="1"/>
        </w:numPr>
        <w:spacing w:after="120"/>
        <w:jc w:val="both"/>
        <w:rPr>
          <w:color w:val="000000"/>
          <w:rFonts w:ascii="Calibri" w:eastAsia="Times New Roman" w:hAnsi="Calibri" w:cs="Times New Roman"/>
        </w:rPr>
      </w:pPr>
      <w:r>
        <w:rPr>
          <w:sz w:val="24"/>
          <w:rFonts w:ascii="Times New Roman" w:hAnsi="Times New Roman"/>
        </w:rPr>
        <w:t xml:space="preserve">Az intézmények az 575/2013/EU rendelet</w:t>
      </w:r>
      <w:r w:rsidR="00E114F3" w:rsidRPr="008D71E9">
        <w:rPr>
          <w:rStyle w:val="FootnoteReference"/>
          <w:rFonts w:ascii="Times New Roman" w:hAnsi="Times New Roman"/>
          <w:sz w:val="24"/>
          <w:szCs w:val="24"/>
        </w:rPr>
        <w:footnoteReference w:id="2"/>
      </w:r>
      <w:r>
        <w:rPr>
          <w:sz w:val="24"/>
          <w:rFonts w:ascii="Times New Roman" w:hAnsi="Times New Roman"/>
        </w:rPr>
        <w:t xml:space="preserve"> 435. cikke (1) bekezdésének, és 446. cikke (1) bekezdése a) pontjának alkalmazásában nyilvánosságra hozzák az e táblázatban foglalt információkat.</w:t>
      </w:r>
    </w:p>
    <w:p w14:paraId="728254AD" w14:textId="52B3E768" w:rsidR="00E114F3" w:rsidRPr="008D71E9" w:rsidRDefault="00E114F3" w:rsidP="00E114F3">
      <w:pPr>
        <w:numPr>
          <w:ilvl w:val="0"/>
          <w:numId w:val="1"/>
        </w:numPr>
        <w:spacing w:after="120"/>
        <w:jc w:val="both"/>
        <w:rPr>
          <w:bCs/>
          <w:sz w:val="24"/>
          <w:rFonts w:ascii="Times New Roman" w:hAnsi="Times New Roman"/>
        </w:rPr>
      </w:pPr>
      <w:r>
        <w:rPr>
          <w:sz w:val="24"/>
          <w:rFonts w:ascii="Times New Roman" w:hAnsi="Times New Roman"/>
        </w:rPr>
        <w:t xml:space="preserve">Az intézmények az EBH IT-megoldásainak XXXI. mellékletében található, a működési kockázat nyilvánosságra hozatalára vonatkozó EU ORA táblázatot az e melléklet szerinti alábbi útmutatót alkalmazva töltik ki.</w:t>
      </w:r>
    </w:p>
    <w:tbl>
      <w:tblPr>
        <w:tblW w:w="8926" w:type="dxa"/>
        <w:tblLook w:val="04A0" w:firstRow="1" w:lastRow="0" w:firstColumn="1" w:lastColumn="0" w:noHBand="0" w:noVBand="1"/>
      </w:tblPr>
      <w:tblGrid>
        <w:gridCol w:w="1555"/>
        <w:gridCol w:w="7371"/>
      </w:tblGrid>
      <w:tr w:rsidR="00E114F3" w:rsidRPr="008D71E9" w14:paraId="4FA5DD43" w14:textId="77777777" w:rsidTr="44B7756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879875" w14:textId="77777777" w:rsidR="00E114F3" w:rsidRPr="008D71E9" w:rsidRDefault="00E114F3">
            <w:pPr>
              <w:spacing w:after="120"/>
              <w:rPr>
                <w:b/>
                <w:bCs/>
                <w:color w:val="000000"/>
                <w:sz w:val="24"/>
                <w:rFonts w:ascii="Times New Roman" w:eastAsia="Times New Roman" w:hAnsi="Times New Roman" w:cs="Times New Roman"/>
              </w:rPr>
            </w:pPr>
            <w:r>
              <w:rPr>
                <w:b/>
                <w:color w:val="000000"/>
                <w:sz w:val="24"/>
                <w:rFonts w:ascii="Times New Roman" w:hAnsi="Times New Roman"/>
              </w:rPr>
              <w:t xml:space="preserve">Jogszabályi hivatkozások és útmutató</w:t>
            </w:r>
          </w:p>
        </w:tc>
      </w:tr>
      <w:tr w:rsidR="00E114F3" w:rsidRPr="008D71E9" w14:paraId="0BB6A5B1" w14:textId="77777777" w:rsidTr="44B77564">
        <w:trPr>
          <w:trHeight w:val="315"/>
        </w:trPr>
        <w:tc>
          <w:tcPr>
            <w:tcW w:w="1555"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A522B50" w14:textId="77777777" w:rsidR="00E114F3" w:rsidRPr="008D71E9" w:rsidRDefault="00E114F3">
            <w:pPr>
              <w:spacing w:after="120"/>
              <w:rPr>
                <w:b/>
                <w:bCs/>
                <w:color w:val="000000"/>
                <w:sz w:val="24"/>
                <w:rFonts w:ascii="Times New Roman" w:eastAsia="Times New Roman" w:hAnsi="Times New Roman" w:cs="Times New Roman"/>
              </w:rPr>
            </w:pPr>
            <w:r>
              <w:rPr>
                <w:b/>
                <w:color w:val="000000"/>
                <w:sz w:val="24"/>
                <w:rFonts w:ascii="Times New Roman" w:hAnsi="Times New Roman"/>
              </w:rPr>
              <w:t xml:space="preserve">Sor jelölése</w:t>
            </w:r>
          </w:p>
        </w:tc>
        <w:tc>
          <w:tcPr>
            <w:tcW w:w="737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BF504D8" w14:textId="77777777" w:rsidR="00E114F3" w:rsidRPr="008D71E9" w:rsidRDefault="00E114F3">
            <w:pPr>
              <w:spacing w:after="120"/>
              <w:rPr>
                <w:b/>
                <w:bCs/>
                <w:color w:val="000000"/>
                <w:sz w:val="24"/>
                <w:rFonts w:ascii="Times New Roman" w:eastAsia="Times New Roman" w:hAnsi="Times New Roman" w:cs="Times New Roman"/>
              </w:rPr>
            </w:pPr>
            <w:r>
              <w:rPr>
                <w:b/>
                <w:color w:val="000000"/>
                <w:sz w:val="24"/>
                <w:rFonts w:ascii="Times New Roman" w:hAnsi="Times New Roman"/>
              </w:rPr>
              <w:t xml:space="preserve">Magyarázat</w:t>
            </w:r>
          </w:p>
        </w:tc>
      </w:tr>
      <w:tr w:rsidR="00E114F3" w:rsidRPr="008D71E9" w14:paraId="70735BA0" w14:textId="77777777" w:rsidTr="00A31C3A">
        <w:trPr>
          <w:trHeight w:val="176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25523" w14:textId="77777777" w:rsidR="00E114F3" w:rsidRPr="008D71E9" w:rsidRDefault="00E114F3">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a</w:t>
            </w:r>
            <w:r>
              <w:rPr>
                <w:color w:val="000000"/>
                <w:sz w:val="24"/>
                <w:rFonts w:ascii="Times New Roman" w:hAnsi="Times New Roman"/>
              </w:rPr>
              <w:t xml:space="preserve">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5D80E5B9" w14:textId="77777777" w:rsidR="00E114F3" w:rsidRPr="008D71E9" w:rsidRDefault="00E114F3">
            <w:pPr>
              <w:spacing w:after="120"/>
              <w:jc w:val="both"/>
              <w:rPr>
                <w:b/>
                <w:color w:val="000000"/>
                <w:sz w:val="24"/>
                <w:rFonts w:ascii="Times New Roman" w:eastAsia="Times New Roman" w:hAnsi="Times New Roman" w:cs="Times New Roman"/>
              </w:rPr>
            </w:pPr>
            <w:r>
              <w:rPr>
                <w:b/>
                <w:color w:val="000000"/>
                <w:sz w:val="24"/>
                <w:rFonts w:ascii="Times New Roman" w:hAnsi="Times New Roman"/>
              </w:rPr>
              <w:t xml:space="preserve">A kockázatkezelési célkitűzések és szabályok nyilvánosságra hozatala</w:t>
            </w:r>
          </w:p>
          <w:p w14:paraId="65684A44" w14:textId="7101D8E2" w:rsidR="00E114F3" w:rsidRPr="008D71E9" w:rsidRDefault="2A1FD4BE">
            <w:pPr>
              <w:spacing w:after="120"/>
              <w:rPr>
                <w:color w:val="000000"/>
                <w:sz w:val="24"/>
                <w:rFonts w:ascii="Times New Roman" w:eastAsia="Times New Roman" w:hAnsi="Times New Roman" w:cs="Times New Roman"/>
              </w:rPr>
            </w:pPr>
            <w:r>
              <w:rPr>
                <w:sz w:val="24"/>
                <w:rFonts w:ascii="Times New Roman" w:hAnsi="Times New Roman"/>
              </w:rPr>
              <w:t xml:space="preserve">Az 575/2013/EU rendelet 435. cikke (1) bekezdésének a) pontjával összhangban az intézmények nyilvánosságra hozzák a működési kockázat kezelésére vonatkozó célkitűzéseiket, szabályaikat, kereteiket és iránymutatásaikat, beleértve az említett kockázat kezelésére szolgáló stratégiákat és eljárásokat is.</w:t>
            </w:r>
            <w:r>
              <w:br/>
            </w:r>
          </w:p>
        </w:tc>
      </w:tr>
      <w:tr w:rsidR="00E114F3" w:rsidRPr="008D71E9" w14:paraId="37A6A0B3" w14:textId="77777777" w:rsidTr="00A31C3A">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tcPr>
          <w:p w14:paraId="0EC478CA" w14:textId="2DA3AF49" w:rsidR="00E114F3" w:rsidRPr="008D71E9" w:rsidRDefault="00E114F3">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b</w:t>
            </w:r>
            <w:r>
              <w:rPr>
                <w:color w:val="000000"/>
                <w:sz w:val="24"/>
                <w:rFonts w:ascii="Times New Roman" w:hAnsi="Times New Roman"/>
              </w:rPr>
              <w:t xml:space="preserve"> </w:t>
            </w:r>
          </w:p>
        </w:tc>
        <w:tc>
          <w:tcPr>
            <w:tcW w:w="7371" w:type="dxa"/>
            <w:tcBorders>
              <w:top w:val="single" w:sz="4" w:space="0" w:color="auto"/>
              <w:left w:val="nil"/>
              <w:bottom w:val="single" w:sz="4" w:space="0" w:color="auto"/>
              <w:right w:val="single" w:sz="4" w:space="0" w:color="auto"/>
            </w:tcBorders>
            <w:shd w:val="clear" w:color="auto" w:fill="auto"/>
            <w:vAlign w:val="center"/>
          </w:tcPr>
          <w:p w14:paraId="4EEC32F9" w14:textId="77777777" w:rsidR="00885AC5" w:rsidRPr="008D71E9" w:rsidRDefault="00885AC5" w:rsidP="00885AC5">
            <w:pPr>
              <w:spacing w:before="120" w:after="120"/>
              <w:jc w:val="both"/>
              <w:rPr>
                <w:b/>
                <w:color w:val="000000"/>
                <w:sz w:val="24"/>
                <w:rFonts w:ascii="Times New Roman" w:eastAsia="Times New Roman" w:hAnsi="Times New Roman" w:cs="Times New Roman"/>
              </w:rPr>
            </w:pPr>
            <w:r>
              <w:rPr>
                <w:b/>
                <w:color w:val="000000"/>
                <w:sz w:val="24"/>
                <w:rFonts w:ascii="Times New Roman" w:hAnsi="Times New Roman"/>
              </w:rPr>
              <w:t xml:space="preserve">A működési kockázattal foglalkozó kockázatkezelési részleg struktúrájának és szervezetének nyilvánosságra hozatala</w:t>
            </w:r>
          </w:p>
          <w:p w14:paraId="739779F0" w14:textId="092C61F0" w:rsidR="00E114F3" w:rsidRPr="008D71E9" w:rsidRDefault="00885AC5">
            <w:pPr>
              <w:spacing w:after="120"/>
              <w:jc w:val="both"/>
              <w:rPr>
                <w:color w:val="000000"/>
                <w:sz w:val="24"/>
                <w:rFonts w:ascii="Times New Roman" w:eastAsia="Times New Roman" w:hAnsi="Times New Roman" w:cs="Times New Roman"/>
              </w:rPr>
            </w:pPr>
            <w:r>
              <w:rPr>
                <w:sz w:val="24"/>
                <w:rFonts w:ascii="Times New Roman" w:hAnsi="Times New Roman"/>
              </w:rPr>
              <w:t xml:space="preserve">Az 575/2013/EU rendelet 435. cikke (1) bekezdésének b) pontjával összhangban az intézmények nyilvánosságra hozzák a működési kockázattal foglalkozó kockázatkezelési részleg struktúráját és szervezetét – beleértve az említett részleg felhatalmazásának alapjára, hatásköreire és elszámoltathatóságára vonatkozó információkat az intézmény létesítő és irányítási dokumentumainak megfelelően –, valamint az ellenőrzési részlegét.</w:t>
            </w:r>
          </w:p>
        </w:tc>
      </w:tr>
      <w:tr w:rsidR="00E114F3" w:rsidRPr="008D71E9" w14:paraId="30DA08C8" w14:textId="77777777" w:rsidTr="00A31C3A">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tcPr>
          <w:p w14:paraId="0F95AF50" w14:textId="6B123167" w:rsidR="00E114F3" w:rsidRPr="008D71E9" w:rsidRDefault="00E114F3">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c</w:t>
            </w:r>
          </w:p>
        </w:tc>
        <w:tc>
          <w:tcPr>
            <w:tcW w:w="7371" w:type="dxa"/>
            <w:tcBorders>
              <w:top w:val="single" w:sz="4" w:space="0" w:color="auto"/>
              <w:left w:val="nil"/>
              <w:bottom w:val="single" w:sz="4" w:space="0" w:color="auto"/>
              <w:right w:val="single" w:sz="4" w:space="0" w:color="auto"/>
            </w:tcBorders>
            <w:shd w:val="clear" w:color="auto" w:fill="auto"/>
            <w:vAlign w:val="center"/>
          </w:tcPr>
          <w:p w14:paraId="1146D347" w14:textId="77777777" w:rsidR="005129A3" w:rsidRPr="008D71E9" w:rsidRDefault="005129A3" w:rsidP="005129A3">
            <w:pPr>
              <w:spacing w:before="120" w:after="120"/>
              <w:jc w:val="both"/>
              <w:rPr>
                <w:b/>
                <w:color w:val="000000"/>
                <w:sz w:val="24"/>
                <w:rFonts w:ascii="Times New Roman" w:eastAsia="Times New Roman" w:hAnsi="Times New Roman" w:cs="Times New Roman"/>
              </w:rPr>
            </w:pPr>
            <w:r>
              <w:rPr>
                <w:b/>
                <w:color w:val="000000"/>
                <w:sz w:val="24"/>
                <w:rFonts w:ascii="Times New Roman" w:hAnsi="Times New Roman"/>
              </w:rPr>
              <w:t xml:space="preserve">A mérési rendszer hatókörének és jellegének leírása</w:t>
            </w:r>
          </w:p>
          <w:p w14:paraId="2426746E" w14:textId="37F86BBD" w:rsidR="00E114F3" w:rsidRPr="008D71E9" w:rsidRDefault="005129A3">
            <w:pPr>
              <w:spacing w:after="120"/>
              <w:jc w:val="both"/>
              <w:rPr>
                <w:color w:val="000000"/>
                <w:sz w:val="24"/>
                <w:rFonts w:ascii="Times New Roman" w:eastAsia="Times New Roman" w:hAnsi="Times New Roman" w:cs="Times New Roman"/>
              </w:rPr>
            </w:pPr>
            <w:r>
              <w:rPr>
                <w:sz w:val="24"/>
                <w:rFonts w:ascii="Times New Roman" w:hAnsi="Times New Roman"/>
              </w:rPr>
              <w:t xml:space="preserve">Az 575/2013/EU rendelet 435. cikke (1) bekezdésének c) pontjával összhangban az intézmények nyilvánosságra hozzák a működési kockázat mérésére szolgáló rendszer hatókörét és jellegét (vagyis a működési kockázatra vonatkozó tőkekövetelmény becslésekor a működési kockázat mérésére használt rendszereket és adatokat).</w:t>
            </w:r>
          </w:p>
        </w:tc>
      </w:tr>
      <w:tr w:rsidR="00E114F3" w:rsidRPr="008D71E9" w14:paraId="530FAA18"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6543C3DB" w14:textId="0C63D270" w:rsidR="00E114F3" w:rsidRPr="008D71E9" w:rsidRDefault="00E114F3">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d</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52CC0D" w14:textId="77777777" w:rsidR="005D02AE" w:rsidRPr="008D71E9" w:rsidRDefault="005D02AE" w:rsidP="005D02AE">
            <w:pPr>
              <w:spacing w:before="120" w:after="120"/>
              <w:jc w:val="both"/>
              <w:rPr>
                <w:b/>
                <w:color w:val="000000"/>
                <w:sz w:val="24"/>
                <w:rFonts w:ascii="Times New Roman" w:eastAsia="Times New Roman" w:hAnsi="Times New Roman" w:cs="Times New Roman"/>
              </w:rPr>
            </w:pPr>
            <w:r>
              <w:rPr>
                <w:b/>
                <w:color w:val="000000" w:themeColor="text1"/>
                <w:sz w:val="24"/>
                <w:rFonts w:ascii="Times New Roman" w:hAnsi="Times New Roman"/>
              </w:rPr>
              <w:t xml:space="preserve">A működési kockázatra vonatkozó adatszolgáltatás hatókörének és jellegének leírása</w:t>
            </w:r>
          </w:p>
          <w:p w14:paraId="1EE9A69D" w14:textId="3E92FDF7" w:rsidR="00E114F3" w:rsidRPr="008D71E9" w:rsidRDefault="005D02AE">
            <w:pPr>
              <w:spacing w:after="120"/>
              <w:jc w:val="both"/>
              <w:rPr>
                <w:color w:val="000000"/>
                <w:sz w:val="24"/>
                <w:rFonts w:ascii="Times New Roman" w:eastAsia="Times New Roman" w:hAnsi="Times New Roman" w:cs="Times New Roman"/>
              </w:rPr>
            </w:pPr>
            <w:r>
              <w:rPr>
                <w:sz w:val="24"/>
                <w:rFonts w:ascii="Times New Roman" w:hAnsi="Times New Roman"/>
              </w:rPr>
              <w:t xml:space="preserve">Az 575/2013/EU rendelet 435. cikke (1) bekezdésének c) pontjával összhangban az intézmények nyilvánosságra hozzák a működési kockázat ügyvezető testület és igazgatótanács felé való jelentésére szolgáló rendszer hatókörét és jellegét.</w:t>
            </w:r>
          </w:p>
        </w:tc>
      </w:tr>
      <w:tr w:rsidR="00E5460F" w:rsidRPr="008D71E9" w14:paraId="1120D006"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EC199FF" w14:textId="263ED99A" w:rsidR="00E5460F" w:rsidRPr="008D71E9" w:rsidRDefault="00E5460F">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F249C5" w14:textId="77777777" w:rsidR="00E25C0C" w:rsidRPr="008D71E9" w:rsidRDefault="00E25C0C" w:rsidP="00E25C0C">
            <w:pPr>
              <w:spacing w:before="120" w:after="120"/>
              <w:jc w:val="both"/>
              <w:rPr>
                <w:color w:val="000000"/>
                <w:sz w:val="24"/>
                <w:rFonts w:ascii="Times New Roman" w:eastAsia="Times New Roman" w:hAnsi="Times New Roman" w:cs="Times New Roman"/>
              </w:rPr>
            </w:pPr>
            <w:r>
              <w:rPr>
                <w:b/>
                <w:color w:val="000000" w:themeColor="text1"/>
                <w:sz w:val="24"/>
                <w:rFonts w:ascii="Times New Roman" w:hAnsi="Times New Roman"/>
              </w:rPr>
              <w:t xml:space="preserve">A kockázatcsökkentésre és a kockázatfedezetre vonatkozó szabályok és stratégiák ismertetése</w:t>
            </w:r>
          </w:p>
          <w:p w14:paraId="443DC7A5" w14:textId="704D717D" w:rsidR="00E5460F" w:rsidRPr="008D71E9" w:rsidDel="009A4E43" w:rsidRDefault="00E25C0C" w:rsidP="00E25C0C">
            <w:pPr>
              <w:spacing w:after="120"/>
              <w:jc w:val="both"/>
              <w:rPr>
                <w:b/>
                <w:color w:val="000000"/>
                <w:sz w:val="24"/>
                <w:rFonts w:ascii="Times New Roman" w:eastAsia="Times New Roman" w:hAnsi="Times New Roman" w:cs="Times New Roman"/>
              </w:rPr>
            </w:pPr>
            <w:r>
              <w:t xml:space="preserve"> </w:t>
            </w:r>
            <w:r>
              <w:rPr>
                <w:sz w:val="24"/>
                <w:rFonts w:ascii="Times New Roman" w:hAnsi="Times New Roman"/>
              </w:rPr>
              <w:t xml:space="preserve">Az 575/2013/EU rendelet 435. cikke (1) bekezdésének d) pontjával összhangban az intézmények nyilvánosságra hozzák a működési kockázat kezelése során alkalmazott kockázatcsökkentési és kockázatfedezeti politikáikat és stratégiáikat, akkor is, ha a működési kockázat csökkentése politika útján valósul meg (ez esetben nyilvánosságra hozzák a kockázati kultúrára, a kockázatvállalási hajlandóságra és a kiszervezésre vonatkozó szabályzatokat), és akkor is, ha a magas kockázatú üzletágak elidegenítésével vagy kontrollok létrehozásával.</w:t>
            </w:r>
            <w:r>
              <w:rPr>
                <w:sz w:val="24"/>
                <w:color w:val="000000" w:themeColor="text1"/>
                <w:rFonts w:ascii="Times New Roman" w:hAnsi="Times New Roman"/>
              </w:rPr>
              <w:t xml:space="preserve"> </w:t>
            </w:r>
            <w:r>
              <w:rPr>
                <w:sz w:val="24"/>
                <w:color w:val="000000" w:themeColor="text1"/>
                <w:rFonts w:ascii="Times New Roman" w:hAnsi="Times New Roman"/>
              </w:rPr>
              <w:t xml:space="preserve">Az intézmények nyilvánosságra hozzák azokat a fennmaradó kitettségeket is, amelyeknek a kockázatát ők maguk viselik, vagy adott esetben más módokon – többek között biztosítás révén – átruháznak.</w:t>
            </w:r>
          </w:p>
        </w:tc>
      </w:tr>
    </w:tbl>
    <w:p w14:paraId="0A37501D" w14:textId="77777777" w:rsidR="00E114F3" w:rsidRPr="008D71E9" w:rsidRDefault="00E114F3" w:rsidP="00E114F3">
      <w:pPr>
        <w:spacing w:after="120"/>
        <w:jc w:val="both"/>
        <w:rPr>
          <w:rFonts w:ascii="Times New Roman" w:hAnsi="Times New Roman" w:cs="Times New Roman"/>
          <w:b/>
          <w:bCs/>
          <w:sz w:val="24"/>
        </w:rPr>
      </w:pPr>
    </w:p>
    <w:p w14:paraId="73228265" w14:textId="2825D40F" w:rsidR="00E114F3" w:rsidRPr="008D71E9" w:rsidRDefault="00E114F3" w:rsidP="00E114F3">
      <w:pPr>
        <w:spacing w:after="120"/>
        <w:jc w:val="both"/>
        <w:rPr>
          <w:bCs/>
          <w:sz w:val="24"/>
          <w:rFonts w:ascii="Times New Roman" w:hAnsi="Times New Roman" w:cs="Times New Roman"/>
        </w:rPr>
      </w:pPr>
      <w:r>
        <w:rPr>
          <w:sz w:val="24"/>
          <w:b/>
          <w:rFonts w:ascii="Times New Roman" w:hAnsi="Times New Roman"/>
        </w:rPr>
        <w:t xml:space="preserve">EU OR1 tábla – Működési kockázati veszteségek.</w:t>
      </w:r>
      <w:r>
        <w:rPr>
          <w:sz w:val="24"/>
          <w:b/>
          <w:rFonts w:ascii="Times New Roman" w:hAnsi="Times New Roman"/>
        </w:rPr>
        <w:t xml:space="preserve"> </w:t>
      </w:r>
      <w:r>
        <w:rPr>
          <w:sz w:val="24"/>
          <w:rFonts w:ascii="Times New Roman" w:hAnsi="Times New Roman"/>
        </w:rPr>
        <w:t xml:space="preserve">Kötött formátumú tábla.</w:t>
      </w:r>
    </w:p>
    <w:p w14:paraId="70B287DB" w14:textId="2D9C856F"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Az intézmények az 575/2013/EU rendelet 446. cikke (2) bekezdése a) és b) pontjának alkalmazásában nyilvánosságra hozzák az EU OR1 táblában foglalt információkat.</w:t>
      </w:r>
      <w:r>
        <w:rPr>
          <w:sz w:val="24"/>
          <w:rFonts w:ascii="Times New Roman" w:hAnsi="Times New Roman"/>
        </w:rPr>
        <w:t xml:space="preserve"> </w:t>
      </w:r>
      <w:r>
        <w:rPr>
          <w:sz w:val="24"/>
          <w:rFonts w:ascii="Times New Roman" w:hAnsi="Times New Roman"/>
        </w:rPr>
        <w:t xml:space="preserve">Ez a tábla az elmúlt 10 évben felmerült éves működési kockázati veszteségekről ad információt a felmerült veszteségek számviteli időpontja alapján.</w:t>
      </w:r>
      <w:r>
        <w:rPr>
          <w:sz w:val="24"/>
          <w:rFonts w:ascii="Times New Roman" w:hAnsi="Times New Roman"/>
        </w:rPr>
        <w:t xml:space="preserve"> </w:t>
      </w:r>
      <w:r>
        <w:rPr>
          <w:sz w:val="24"/>
          <w:rFonts w:ascii="Times New Roman" w:hAnsi="Times New Roman"/>
        </w:rPr>
        <w:t xml:space="preserve">Ezeket az éves működési kockázati veszteségeket az 575/2013/EU rendelet 316. cikkének (1) bekezdésével összhangban kell kiszámítani, az 575/2013/EU rendelet 317. cikkének (2) bekezdésével összhangban közéjük értve a konszolidáció körébe tartozó összes szervezettől származó összes veszteséget, beleértve az egyesített vagy felvásárolt üzletágakból származó veszteségeket is (az 575/2013/EU rendelet 321. cikkének (1) bekezdése szerint).</w:t>
      </w:r>
      <w:r>
        <w:rPr>
          <w:sz w:val="24"/>
          <w:rFonts w:ascii="Times New Roman" w:hAnsi="Times New Roman"/>
        </w:rPr>
        <w:t xml:space="preserve"> </w:t>
      </w:r>
      <w:r>
        <w:rPr>
          <w:sz w:val="24"/>
          <w:rFonts w:ascii="Times New Roman" w:hAnsi="Times New Roman"/>
        </w:rPr>
        <w:t xml:space="preserve">Ezt az információt – amennyiben rendelkezésre áll – a legnagyobb gondosság elve alapján kell megadni, amíg az 575/2013/EU rendelet 316. cikkének (3) bekezdése, 317. cikkének (9) bekezdése, 320. cikkének (3) bekezdése és 321. cikkének (2) bekezdése alkalmazandó.</w:t>
      </w:r>
      <w:r>
        <w:rPr>
          <w:sz w:val="24"/>
          <w:rFonts w:ascii="Times New Roman" w:hAnsi="Times New Roman"/>
        </w:rPr>
        <w:t xml:space="preserve"> </w:t>
      </w:r>
    </w:p>
    <w:p w14:paraId="0C12CA7B" w14:textId="77777777" w:rsidR="00D740B8" w:rsidRPr="008D71E9" w:rsidRDefault="00D740B8" w:rsidP="00D740B8">
      <w:pPr>
        <w:ind w:left="360"/>
        <w:jc w:val="both"/>
        <w:rPr>
          <w:rFonts w:ascii="Times New Roman" w:hAnsi="Times New Roman" w:cs="Times New Roman"/>
          <w:bCs/>
          <w:sz w:val="24"/>
        </w:rPr>
      </w:pPr>
    </w:p>
    <w:p w14:paraId="47EE9624" w14:textId="6B6996E8" w:rsidR="00D740B8" w:rsidRPr="008D71E9" w:rsidRDefault="00D740B8" w:rsidP="00D740B8">
      <w:pPr>
        <w:numPr>
          <w:ilvl w:val="0"/>
          <w:numId w:val="1"/>
        </w:numPr>
        <w:jc w:val="both"/>
        <w:rPr>
          <w:sz w:val="24"/>
          <w:rFonts w:ascii="Times New Roman" w:hAnsi="Times New Roman" w:cs="Times New Roman"/>
        </w:rPr>
      </w:pPr>
      <w:r>
        <w:rPr>
          <w:sz w:val="24"/>
          <w:rFonts w:ascii="Times New Roman" w:hAnsi="Times New Roman"/>
        </w:rPr>
        <w:t xml:space="preserve">Az intézmények az elmúlt 10 év mindegyike tekintetében nyilvánosságra hozzák a működési kockázati veszteségek és a kizárt működési kockázati veszteségek számát, a működési kockázati veszteségeknek a megtérült összegek levonása utáni teljes összegét, valamint a működési kockázati veszteségeknek a megtérült összegek és a kizárt veszteségek levonása utáni teljes összegét.</w:t>
      </w:r>
      <w:r>
        <w:rPr>
          <w:sz w:val="24"/>
          <w:rFonts w:ascii="Times New Roman" w:hAnsi="Times New Roman"/>
        </w:rPr>
        <w:t xml:space="preserve"> </w:t>
      </w:r>
      <w:r>
        <w:rPr>
          <w:sz w:val="24"/>
          <w:rFonts w:ascii="Times New Roman" w:hAnsi="Times New Roman"/>
        </w:rPr>
        <w:t xml:space="preserve">A működési kockázati veszteségek teljes éves összege az adott pénzügyi évre vonatkozó azon nettó veszteségeknek az 575/2013/EU rendelet 318. cikkének (1) bekezdésével összhangban kiszámított összesített összege, amelyek elérik vagy meghaladják az említett rendelet 319. cikkének (1), illetve (2) bekezdésében meghatározott veszteségadat-küszöbértékeket (20 000 EUR, illetve 100 000 EUR).</w:t>
      </w:r>
      <w:r>
        <w:rPr>
          <w:sz w:val="24"/>
          <w:rFonts w:ascii="Times New Roman" w:hAnsi="Times New Roman"/>
        </w:rPr>
        <w:t xml:space="preserve"> </w:t>
      </w:r>
      <w:r>
        <w:rPr>
          <w:sz w:val="24"/>
          <w:rFonts w:ascii="Times New Roman" w:hAnsi="Times New Roman"/>
        </w:rPr>
        <w:t xml:space="preserve">Ezzel összefüggésben annak megállapításához, hogy a nyilvánosságra hozatali küszöbértéket túllépték-e vagy sem, az elmúlt 10 év tekintetében összevontan kell figyelembe venni azon veszteségeket, amelyeket közös működési kockázati esemény vagy több, azonos működési kockázati eseményhez („alapesemény”) kapcsolódó esemény okozott, és amelyeket különböző számviteli években jelenítettek meg.</w:t>
      </w:r>
      <w:r>
        <w:rPr>
          <w:sz w:val="24"/>
          <w:rFonts w:ascii="Times New Roman" w:hAnsi="Times New Roman"/>
        </w:rPr>
        <w:t xml:space="preserve"> </w:t>
      </w:r>
      <w:r>
        <w:rPr>
          <w:sz w:val="24"/>
          <w:rFonts w:ascii="Times New Roman" w:hAnsi="Times New Roman"/>
        </w:rPr>
        <w:t xml:space="preserve">A veszteségeket és a kiigazításokat az 575/2013/EU rendelet 317. cikke (3) bekezdésének c) pontjában és 318. cikkében foglalt rendelkezéseknek megfelelően kell nyilvánosságra hozni.</w:t>
      </w:r>
      <w:r>
        <w:rPr>
          <w:sz w:val="24"/>
          <w:rFonts w:ascii="Times New Roman" w:hAnsi="Times New Roman"/>
        </w:rPr>
        <w:t xml:space="preserve"> </w:t>
      </w:r>
      <w:r>
        <w:rPr>
          <w:sz w:val="24"/>
          <w:rFonts w:ascii="Times New Roman" w:hAnsi="Times New Roman"/>
        </w:rPr>
        <w:t xml:space="preserve">Ezeket az összegeket abban az évben kell nyilvánosságra hozni, amelyben azokat a pénzügyi kimutatásokban rögzítették.</w:t>
      </w:r>
    </w:p>
    <w:p w14:paraId="2702CB88" w14:textId="77777777" w:rsidR="00D740B8" w:rsidRPr="008D71E9" w:rsidRDefault="00D740B8" w:rsidP="00D740B8">
      <w:pPr>
        <w:pStyle w:val="ListParagraph"/>
        <w:rPr>
          <w:rFonts w:ascii="Times New Roman" w:hAnsi="Times New Roman"/>
          <w:bCs/>
          <w:sz w:val="24"/>
        </w:rPr>
      </w:pPr>
    </w:p>
    <w:p w14:paraId="3146DBD3" w14:textId="6BB979B1"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 </w:t>
      </w:r>
      <w:r>
        <w:rPr>
          <w:sz w:val="24"/>
          <w:rFonts w:ascii="Times New Roman" w:hAnsi="Times New Roman"/>
        </w:rPr>
        <w:t xml:space="preserve">A kísérő szöveges magyarázatban az intézmények összesítve nyilvánosságra hozzák azon rendkívüli működési kockázati események indokolását, amelyeket az 575/2013/EU rendelet 446. cikke (2) bekezdésének b) pontjával összhangban kizártak az éves működési kockázati veszteségek számításából.</w:t>
      </w:r>
      <w:r>
        <w:rPr>
          <w:sz w:val="24"/>
          <w:rFonts w:ascii="Times New Roman" w:hAnsi="Times New Roman"/>
        </w:rPr>
        <w:t xml:space="preserve"> </w:t>
      </w:r>
    </w:p>
    <w:p w14:paraId="066C0912" w14:textId="77777777" w:rsidR="00D740B8" w:rsidRPr="008D71E9" w:rsidRDefault="00D740B8" w:rsidP="00D740B8">
      <w:pPr>
        <w:pStyle w:val="ListParagraph"/>
        <w:rPr>
          <w:rFonts w:ascii="Times New Roman" w:hAnsi="Times New Roman"/>
          <w:bCs/>
          <w:sz w:val="24"/>
        </w:rPr>
      </w:pPr>
    </w:p>
    <w:p w14:paraId="79A49BBA" w14:textId="5D2F1C9E"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 </w:t>
      </w:r>
      <w:r>
        <w:rPr>
          <w:sz w:val="24"/>
          <w:rFonts w:ascii="Times New Roman" w:hAnsi="Times New Roman"/>
        </w:rPr>
        <w:t xml:space="preserve">Az intézmények összesített módon nyilvánosságra hoznak továbbá minden olyan lényeges információt, amely segítheti a felhasználókat az intézmény múltbeli veszteségeinek, megtérüléseinek és jogszabály által előírt tartalékainak megértésében, a bizalmas és védett információk kivételével.</w:t>
      </w:r>
    </w:p>
    <w:p w14:paraId="3AF72482" w14:textId="77777777" w:rsidR="00D740B8" w:rsidRPr="008D71E9" w:rsidRDefault="00D740B8" w:rsidP="00D740B8">
      <w:pPr>
        <w:pStyle w:val="ListParagraph"/>
        <w:rPr>
          <w:rFonts w:ascii="Times New Roman" w:hAnsi="Times New Roman"/>
          <w:bCs/>
          <w:sz w:val="24"/>
        </w:rPr>
      </w:pPr>
    </w:p>
    <w:p w14:paraId="36406578" w14:textId="77777777" w:rsidR="00D740B8" w:rsidRPr="008D71E9" w:rsidRDefault="00D740B8" w:rsidP="00D740B8">
      <w:pPr>
        <w:pStyle w:val="ListParagraph"/>
        <w:rPr>
          <w:rFonts w:ascii="Times New Roman" w:hAnsi="Times New Roman"/>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7745"/>
      </w:tblGrid>
      <w:tr w:rsidR="00D740B8" w:rsidRPr="008D71E9" w14:paraId="7E388732" w14:textId="77777777">
        <w:tc>
          <w:tcPr>
            <w:tcW w:w="1271" w:type="dxa"/>
            <w:shd w:val="clear" w:color="auto" w:fill="BFBFBF" w:themeFill="background1" w:themeFillShade="BF"/>
          </w:tcPr>
          <w:p w14:paraId="5F81890E" w14:textId="77777777" w:rsidR="00D740B8" w:rsidRPr="008D71E9" w:rsidRDefault="00D740B8">
            <w:pPr>
              <w:autoSpaceDE w:val="0"/>
              <w:autoSpaceDN w:val="0"/>
              <w:adjustRightInd w:val="0"/>
              <w:rPr>
                <w:bCs/>
                <w:sz w:val="24"/>
                <w:rFonts w:ascii="Times New Roman" w:hAnsi="Times New Roman"/>
              </w:rPr>
            </w:pPr>
            <w:r>
              <w:rPr>
                <w:b/>
                <w:sz w:val="24"/>
                <w:rFonts w:ascii="Times New Roman" w:hAnsi="Times New Roman"/>
              </w:rPr>
              <w:t xml:space="preserve">Oszlop</w:t>
            </w:r>
          </w:p>
        </w:tc>
        <w:tc>
          <w:tcPr>
            <w:tcW w:w="7745" w:type="dxa"/>
            <w:shd w:val="clear" w:color="auto" w:fill="BFBFBF" w:themeFill="background1" w:themeFillShade="BF"/>
          </w:tcPr>
          <w:p w14:paraId="0773BD79"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Jogszabályi hivatkozások és útmutató</w:t>
            </w:r>
          </w:p>
        </w:tc>
      </w:tr>
      <w:tr w:rsidR="00D740B8" w:rsidRPr="008D71E9" w14:paraId="4A7B0862" w14:textId="77777777">
        <w:tc>
          <w:tcPr>
            <w:tcW w:w="1271" w:type="dxa"/>
          </w:tcPr>
          <w:p w14:paraId="59A78ADD" w14:textId="77777777" w:rsidR="00D740B8" w:rsidRPr="008D71E9" w:rsidRDefault="00D740B8">
            <w:pPr>
              <w:autoSpaceDE w:val="0"/>
              <w:autoSpaceDN w:val="0"/>
              <w:adjustRightInd w:val="0"/>
              <w:jc w:val="center"/>
              <w:rPr>
                <w:bCs/>
                <w:sz w:val="24"/>
                <w:rFonts w:ascii="Times New Roman" w:hAnsi="Times New Roman"/>
              </w:rPr>
            </w:pPr>
            <w:r>
              <w:rPr>
                <w:sz w:val="24"/>
                <w:rFonts w:ascii="Times New Roman" w:hAnsi="Times New Roman"/>
              </w:rPr>
              <w:t xml:space="preserve">a–j</w:t>
            </w:r>
          </w:p>
        </w:tc>
        <w:tc>
          <w:tcPr>
            <w:tcW w:w="7745" w:type="dxa"/>
          </w:tcPr>
          <w:p w14:paraId="0B872A50" w14:textId="77777777" w:rsidR="00D740B8" w:rsidRPr="002755E0" w:rsidRDefault="00D740B8">
            <w:pPr>
              <w:spacing w:before="120" w:after="120"/>
              <w:jc w:val="both"/>
              <w:rPr>
                <w:sz w:val="24"/>
                <w:rFonts w:ascii="Times New Roman" w:eastAsia="Times New Roman" w:hAnsi="Times New Roman" w:cs="Times New Roman"/>
              </w:rPr>
            </w:pPr>
            <w:r>
              <w:rPr>
                <w:b/>
                <w:sz w:val="24"/>
                <w:rFonts w:ascii="Times New Roman" w:hAnsi="Times New Roman"/>
              </w:rPr>
              <w:t xml:space="preserve">Év (T, T-1, T-2, T-3, T-4, T-5, T-6, T-7, T-8, T-9)</w:t>
            </w:r>
          </w:p>
          <w:p w14:paraId="5B6EF35C" w14:textId="3033D1CC" w:rsidR="00D740B8" w:rsidRPr="008D71E9" w:rsidRDefault="00D740B8">
            <w:pPr>
              <w:spacing w:before="120" w:after="120"/>
              <w:rPr>
                <w:sz w:val="24"/>
                <w:rFonts w:ascii="Times New Roman" w:hAnsi="Times New Roman"/>
              </w:rPr>
            </w:pPr>
            <w:r>
              <w:rPr>
                <w:sz w:val="24"/>
                <w:rFonts w:ascii="Times New Roman" w:hAnsi="Times New Roman"/>
              </w:rPr>
              <w:t xml:space="preserve">A megfelelő sorban feltüntetett érték, az utolsó 10 pénzügyi év tekintetében.</w:t>
            </w:r>
            <w:r>
              <w:rPr>
                <w:sz w:val="24"/>
                <w:rFonts w:ascii="Times New Roman" w:hAnsi="Times New Roman"/>
              </w:rPr>
              <w:t xml:space="preserve"> </w:t>
            </w:r>
          </w:p>
        </w:tc>
      </w:tr>
      <w:tr w:rsidR="00D740B8" w:rsidRPr="008D71E9" w14:paraId="7D63969A" w14:textId="77777777">
        <w:tc>
          <w:tcPr>
            <w:tcW w:w="1271" w:type="dxa"/>
          </w:tcPr>
          <w:p w14:paraId="6CFD6A05" w14:textId="77777777" w:rsidR="00D740B8" w:rsidRPr="008D71E9" w:rsidRDefault="00D740B8">
            <w:pPr>
              <w:autoSpaceDE w:val="0"/>
              <w:autoSpaceDN w:val="0"/>
              <w:adjustRightInd w:val="0"/>
              <w:jc w:val="center"/>
              <w:rPr>
                <w:bCs/>
                <w:sz w:val="24"/>
                <w:rFonts w:ascii="Times New Roman" w:hAnsi="Times New Roman"/>
              </w:rPr>
            </w:pPr>
            <w:r>
              <w:rPr>
                <w:sz w:val="24"/>
                <w:rFonts w:ascii="Times New Roman" w:hAnsi="Times New Roman"/>
              </w:rPr>
              <w:t xml:space="preserve">k</w:t>
            </w:r>
          </w:p>
        </w:tc>
        <w:tc>
          <w:tcPr>
            <w:tcW w:w="7745" w:type="dxa"/>
          </w:tcPr>
          <w:p w14:paraId="50D93A86"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10 éves átlag</w:t>
            </w:r>
          </w:p>
          <w:p w14:paraId="38A7187F" w14:textId="0CB464F2" w:rsidR="00D740B8" w:rsidRPr="008D71E9" w:rsidRDefault="00D740B8">
            <w:pPr>
              <w:spacing w:before="120" w:after="120"/>
              <w:rPr>
                <w:bCs/>
                <w:sz w:val="24"/>
                <w:rFonts w:ascii="Times New Roman" w:hAnsi="Times New Roman"/>
              </w:rPr>
            </w:pPr>
            <w:r>
              <w:rPr>
                <w:sz w:val="24"/>
                <w:rFonts w:ascii="Times New Roman" w:hAnsi="Times New Roman"/>
              </w:rPr>
              <w:t xml:space="preserve">A megfelelő sorban feltüntetett értékek átlaga az utolsó 10 év tekintetében.</w:t>
            </w:r>
          </w:p>
        </w:tc>
      </w:tr>
    </w:tbl>
    <w:p w14:paraId="7095834F" w14:textId="77777777" w:rsidR="00D740B8" w:rsidRPr="008D71E9" w:rsidRDefault="00D740B8" w:rsidP="00D740B8">
      <w:pPr>
        <w:pStyle w:val="ListParagraph"/>
        <w:rPr>
          <w:rFonts w:ascii="Times New Roman" w:hAnsi="Times New Roman"/>
          <w:bCs/>
          <w:sz w:val="24"/>
        </w:rPr>
      </w:pPr>
    </w:p>
    <w:p w14:paraId="32DB6729" w14:textId="77777777" w:rsidR="00D740B8" w:rsidRPr="008D71E9" w:rsidRDefault="00D740B8" w:rsidP="00D740B8">
      <w:pPr>
        <w:pStyle w:val="ListParagraph"/>
        <w:rPr>
          <w:rFonts w:ascii="Times New Roman" w:hAnsi="Times New Roman"/>
          <w:bCs/>
          <w:sz w:val="24"/>
        </w:rPr>
      </w:pPr>
    </w:p>
    <w:p w14:paraId="2611544E" w14:textId="77777777" w:rsidR="00D740B8" w:rsidRPr="008D71E9" w:rsidRDefault="00D740B8" w:rsidP="00D740B8">
      <w:pPr>
        <w:pStyle w:val="ListParagraph"/>
        <w:rPr>
          <w:rFonts w:ascii="Times New Roman" w:hAnsi="Times New Roman"/>
          <w:bCs/>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75D1924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DC07F6" w14:textId="77777777" w:rsidR="00D740B8" w:rsidRPr="008D71E9" w:rsidRDefault="00D740B8">
            <w:pPr>
              <w:autoSpaceDE w:val="0"/>
              <w:autoSpaceDN w:val="0"/>
              <w:adjustRightInd w:val="0"/>
              <w:rPr>
                <w:b/>
                <w:sz w:val="24"/>
                <w:rFonts w:ascii="Times New Roman" w:hAnsi="Times New Roman" w:cs="Times New Roman"/>
              </w:rPr>
            </w:pPr>
            <w:r>
              <w:rPr>
                <w:b/>
                <w:sz w:val="24"/>
                <w:rFonts w:ascii="Times New Roman" w:hAnsi="Times New Roman"/>
              </w:rPr>
              <w:t xml:space="preserve">Sor</w:t>
            </w:r>
            <w:r>
              <w:rPr>
                <w:b/>
                <w:sz w:val="24"/>
                <w:rFonts w:ascii="Times New Roman" w:hAnsi="Times New Roman"/>
              </w:rPr>
              <w:t xml:space="preserve">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2A10C0" w14:textId="77777777" w:rsidR="00D740B8" w:rsidRPr="008D71E9" w:rsidRDefault="00D740B8">
            <w:pPr>
              <w:rPr>
                <w:b/>
                <w:sz w:val="24"/>
                <w:rFonts w:ascii="Times New Roman" w:hAnsi="Times New Roman" w:cs="Times New Roman"/>
              </w:rPr>
            </w:pPr>
            <w:r>
              <w:rPr>
                <w:b/>
                <w:sz w:val="24"/>
                <w:rFonts w:ascii="Times New Roman" w:hAnsi="Times New Roman"/>
              </w:rPr>
              <w:t xml:space="preserve">Jogszabályi hivatkozások és útmutató</w:t>
            </w:r>
          </w:p>
        </w:tc>
      </w:tr>
      <w:tr w:rsidR="00D740B8" w:rsidRPr="008D71E9" w14:paraId="5B97976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3E5C0BB"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01F810E" w14:textId="221857B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A működési kockázati veszteségek teljes összege a megtérült összegek levonása után (kizárt veszteségek nélkül)</w:t>
            </w:r>
          </w:p>
          <w:p w14:paraId="73A6B59F" w14:textId="42A729DD" w:rsidR="00D740B8" w:rsidRPr="008D71E9" w:rsidRDefault="00D740B8">
            <w:pPr>
              <w:spacing w:before="120" w:after="120"/>
              <w:jc w:val="both"/>
              <w:rPr>
                <w:sz w:val="24"/>
                <w:rFonts w:ascii="Times New Roman" w:eastAsia="Times New Roman" w:hAnsi="Times New Roman" w:cs="Times New Roman"/>
              </w:rPr>
            </w:pPr>
            <w:r>
              <w:rPr>
                <w:sz w:val="24"/>
                <w:rFonts w:ascii="Times New Roman" w:hAnsi="Times New Roman"/>
              </w:rPr>
              <w:t xml:space="preserve">Az 575/2013/EU rendelet 446. cikke (2) bekezdésének a) pontja és 316. cikkének (1) bekezdése.</w:t>
            </w:r>
          </w:p>
          <w:p w14:paraId="5D929629" w14:textId="149BDB35" w:rsidR="00D740B8" w:rsidRPr="008D71E9" w:rsidRDefault="002B0785">
            <w:pPr>
              <w:spacing w:before="120" w:after="120"/>
              <w:jc w:val="both"/>
              <w:rPr>
                <w:b/>
                <w:sz w:val="24"/>
                <w:rFonts w:ascii="Times New Roman" w:eastAsia="Times New Roman" w:hAnsi="Times New Roman" w:cs="Times New Roman"/>
              </w:rPr>
            </w:pPr>
            <w:r>
              <w:rPr>
                <w:sz w:val="24"/>
                <w:rFonts w:ascii="Times New Roman" w:hAnsi="Times New Roman"/>
              </w:rPr>
              <w:t xml:space="preserve">E sor a 20 000 EUR-s küszöbértéket meghaladó veszteségeseményekből eredő teljes veszteségértéket tartalmazza a megtérült összegek levonása után, az utolsó 10 beszámolási időszak mindegyike tekintetében, beleértve az egyesülésekből és felvásárlásokból származó veszteségeket.</w:t>
            </w:r>
            <w:r>
              <w:rPr>
                <w:sz w:val="24"/>
                <w:rFonts w:ascii="Times New Roman" w:hAnsi="Times New Roman"/>
              </w:rPr>
              <w:t xml:space="preserve"> </w:t>
            </w:r>
            <w:r>
              <w:rPr>
                <w:sz w:val="24"/>
                <w:rFonts w:ascii="Times New Roman" w:hAnsi="Times New Roman"/>
              </w:rPr>
              <w:t xml:space="preserve">Annak megállapításához, hogy a nyilvánosságra hozatali küszöbértéket túllépték-e vagy sem, az elmúlt 10 év tekintetében összevontan kell figyelembe venni azon veszteségeket, amelyeket közös működési kockázati esemény vagy több, azonos működési kockázati eseményhez kapcsolódó esemény okozott, és amelyeket különböző számviteli években jelenítettek meg.</w:t>
            </w:r>
            <w:r>
              <w:rPr>
                <w:sz w:val="24"/>
                <w:rFonts w:ascii="Times New Roman" w:hAnsi="Times New Roman"/>
              </w:rPr>
              <w:t xml:space="preserve"> </w:t>
            </w:r>
            <w:r>
              <w:rPr>
                <w:sz w:val="24"/>
                <w:rFonts w:ascii="Times New Roman" w:hAnsi="Times New Roman"/>
              </w:rPr>
              <w:t xml:space="preserve">Az ezen sorban szereplő tétel kiszámításakor azonban továbbra is figyelembe kell venni az év azon rendkívüli működési kockázati eseményeit, amelyek már nem relevánsak az intézmény kockázati profilja szempontjából, és amelyek tekintetében az intézmény az 575/2013/EU rendelet 320. cikkének (1) bekezdésével összhangban engedélyt kapott az illetékes hatóságtól arra, hogy kizárja azokat éves működési kockázati veszteségeiből.</w:t>
            </w:r>
          </w:p>
        </w:tc>
      </w:tr>
      <w:tr w:rsidR="00D740B8" w:rsidRPr="008D71E9" w14:paraId="1A3189B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985BED"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0B8990"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A működési kockázati veszteségek teljes száma</w:t>
            </w:r>
          </w:p>
          <w:p w14:paraId="2EA91375" w14:textId="28AF0058" w:rsidR="00D740B8" w:rsidRPr="008D71E9" w:rsidRDefault="00D740B8">
            <w:pPr>
              <w:spacing w:before="120" w:after="120"/>
              <w:jc w:val="both"/>
              <w:rPr>
                <w:sz w:val="24"/>
                <w:rFonts w:ascii="Times New Roman" w:eastAsia="Times New Roman" w:hAnsi="Times New Roman" w:cs="Times New Roman"/>
              </w:rPr>
            </w:pPr>
            <w:r>
              <w:rPr>
                <w:sz w:val="24"/>
                <w:rFonts w:ascii="Times New Roman" w:hAnsi="Times New Roman"/>
              </w:rPr>
              <w:t xml:space="preserve">Az 575/2013/EU rendelet 446. cikke (2) bekezdésének a) pontja és 316. cikkének (1) bekezdése.</w:t>
            </w:r>
          </w:p>
          <w:p w14:paraId="275C478C" w14:textId="69738AFF" w:rsidR="00D740B8" w:rsidRPr="008D71E9" w:rsidRDefault="00471410">
            <w:pPr>
              <w:spacing w:before="120" w:after="120"/>
              <w:rPr>
                <w:sz w:val="24"/>
                <w:rFonts w:ascii="Times New Roman" w:eastAsia="Times New Roman" w:hAnsi="Times New Roman" w:cs="Times New Roman"/>
              </w:rPr>
            </w:pPr>
            <w:r>
              <w:rPr>
                <w:sz w:val="24"/>
                <w:rFonts w:ascii="Times New Roman" w:hAnsi="Times New Roman"/>
              </w:rPr>
              <w:t xml:space="preserve">A 20 000 EUR-s veszteségesemény-küszöbértéket meghaladó működési kockázati veszteségek teljes száma.</w:t>
            </w:r>
          </w:p>
        </w:tc>
      </w:tr>
      <w:tr w:rsidR="00D740B8" w:rsidRPr="008D71E9" w14:paraId="30368E0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97E2D97"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8A7E573"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A kizárt működési kockázati veszteségek teljes összege</w:t>
            </w:r>
          </w:p>
          <w:p w14:paraId="5C1A66AF" w14:textId="5CAD041D" w:rsidR="00D740B8" w:rsidRPr="008D71E9" w:rsidRDefault="00D740B8">
            <w:pPr>
              <w:spacing w:before="120" w:after="120"/>
              <w:rPr>
                <w:sz w:val="24"/>
                <w:rFonts w:ascii="Times New Roman" w:eastAsia="Times New Roman" w:hAnsi="Times New Roman" w:cs="Times New Roman"/>
              </w:rPr>
            </w:pPr>
            <w:r>
              <w:rPr>
                <w:sz w:val="24"/>
                <w:rFonts w:ascii="Times New Roman" w:hAnsi="Times New Roman"/>
              </w:rPr>
              <w:t xml:space="preserve">Az 575/2013/EU rendelet 446. cikke (2) bekezdésének b) pontja és 320. cikkének (1) bekezdése.</w:t>
            </w:r>
          </w:p>
          <w:p w14:paraId="7BE235CA" w14:textId="7483A5B2" w:rsidR="00D740B8" w:rsidRPr="008D71E9" w:rsidRDefault="002B0785">
            <w:pPr>
              <w:spacing w:before="120" w:after="120"/>
              <w:rPr>
                <w:sz w:val="24"/>
                <w:rFonts w:ascii="Times New Roman" w:eastAsia="Times New Roman" w:hAnsi="Times New Roman" w:cs="Times New Roman"/>
              </w:rPr>
            </w:pPr>
            <w:r>
              <w:rPr>
                <w:sz w:val="24"/>
                <w:rFonts w:ascii="Times New Roman" w:hAnsi="Times New Roman"/>
              </w:rPr>
              <w:t xml:space="preserve">Az 575/2013/EU rendelet 320. cikkének (1) bekezdésével összhangban kizárt, a 20 000 EUR-s küszöbértéket meghaladó veszteségértékek teljes nettó összege az utolsó 10 beszámolási időszak mindegyike tekintetében.</w:t>
            </w:r>
          </w:p>
        </w:tc>
      </w:tr>
      <w:tr w:rsidR="00D740B8" w:rsidRPr="008D71E9" w14:paraId="2771244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F28D8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F2BA990" w14:textId="77777777" w:rsidR="00D740B8" w:rsidRPr="008D71E9" w:rsidRDefault="00D740B8">
            <w:pPr>
              <w:spacing w:before="12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A kizárt működési kockázati események teljes száma</w:t>
            </w:r>
          </w:p>
          <w:p w14:paraId="7914E462" w14:textId="7978A3B5" w:rsidR="00D740B8" w:rsidRPr="008D71E9" w:rsidRDefault="00D740B8">
            <w:pPr>
              <w:spacing w:before="120" w:after="120"/>
              <w:rPr>
                <w:sz w:val="24"/>
                <w:rFonts w:ascii="Times New Roman" w:eastAsia="Times New Roman" w:hAnsi="Times New Roman" w:cs="Times New Roman"/>
              </w:rPr>
            </w:pPr>
            <w:r>
              <w:rPr>
                <w:sz w:val="24"/>
                <w:rFonts w:ascii="Times New Roman" w:hAnsi="Times New Roman"/>
              </w:rPr>
              <w:t xml:space="preserve">Az 575/2013/EU rendelet 446. cikke (2) bekezdésének b) pontja és 320. cikkének (1) bekezdése.</w:t>
            </w:r>
          </w:p>
          <w:p w14:paraId="318A732C" w14:textId="242D554F" w:rsidR="00D740B8" w:rsidRPr="008D71E9" w:rsidRDefault="009D4A12">
            <w:pPr>
              <w:spacing w:before="120" w:after="120"/>
              <w:jc w:val="both"/>
              <w:rPr>
                <w:sz w:val="24"/>
                <w:rFonts w:ascii="Times New Roman" w:eastAsia="Times New Roman" w:hAnsi="Times New Roman" w:cs="Times New Roman"/>
              </w:rPr>
            </w:pPr>
            <w:r>
              <w:rPr>
                <w:sz w:val="24"/>
                <w:rFonts w:ascii="Times New Roman" w:hAnsi="Times New Roman"/>
              </w:rPr>
              <w:t xml:space="preserve">Az 575/2013/EU rendelet 320. cikkének (1) bekezdésével összhangban kizárt, a 20 000 EUR-s küszöbértéket meghaladó rendkívüli működési kockázati események teljes száma az utolsó 10 beszámolási időszak mindegyike tekintetében.</w:t>
            </w:r>
            <w:r>
              <w:rPr>
                <w:sz w:val="24"/>
                <w:rFonts w:ascii="Times New Roman" w:hAnsi="Times New Roman"/>
              </w:rPr>
              <w:t xml:space="preserve"> </w:t>
            </w:r>
          </w:p>
        </w:tc>
      </w:tr>
      <w:tr w:rsidR="00D740B8" w:rsidRPr="008D71E9" w14:paraId="155A14DC"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A8A2BC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BD9B80" w14:textId="218BBE7C" w:rsidR="00D740B8" w:rsidRPr="008D71E9" w:rsidRDefault="00D740B8">
            <w:pPr>
              <w:spacing w:before="12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A működési kockázati veszteségek teljes összege a megtérült összegek és a kizárt veszteségek levonása után</w:t>
            </w:r>
          </w:p>
          <w:p w14:paraId="4203582A" w14:textId="6CAD1497" w:rsidR="00D740B8" w:rsidRPr="008D71E9" w:rsidRDefault="002B0785">
            <w:pPr>
              <w:spacing w:before="120" w:after="120"/>
              <w:jc w:val="both"/>
              <w:rPr>
                <w:sz w:val="24"/>
                <w:rFonts w:ascii="Times New Roman" w:eastAsia="Times New Roman" w:hAnsi="Times New Roman" w:cs="Times New Roman"/>
              </w:rPr>
            </w:pPr>
            <w:r>
              <w:rPr>
                <w:sz w:val="24"/>
                <w:rFonts w:ascii="Times New Roman" w:hAnsi="Times New Roman"/>
              </w:rPr>
              <w:t xml:space="preserve">A működési kockázati veszteségek teljes összege, csökkentve az 1. sorban feltüntetett megtérült összegekkel és a 3. sorban feltüntetett kizárt veszteségekkel.</w:t>
            </w:r>
          </w:p>
        </w:tc>
      </w:tr>
      <w:tr w:rsidR="00D740B8" w:rsidRPr="008D71E9" w14:paraId="533A412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BDEE7FB"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765A87" w14:textId="409B91B6"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A működési kockázati veszteségek teljes összege a megtérült összegek levonása után (kizárt veszteségek nélkül)</w:t>
            </w:r>
          </w:p>
          <w:p w14:paraId="647BDEC8" w14:textId="66617A83" w:rsidR="00D740B8" w:rsidRPr="008D71E9" w:rsidRDefault="00D740B8">
            <w:pPr>
              <w:spacing w:before="120" w:after="120"/>
              <w:jc w:val="both"/>
              <w:rPr>
                <w:sz w:val="24"/>
                <w:rFonts w:ascii="Times New Roman" w:eastAsia="Times New Roman" w:hAnsi="Times New Roman" w:cs="Times New Roman"/>
              </w:rPr>
            </w:pPr>
            <w:r>
              <w:rPr>
                <w:sz w:val="24"/>
                <w:rFonts w:ascii="Times New Roman" w:hAnsi="Times New Roman"/>
              </w:rPr>
              <w:t xml:space="preserve">Az 575/2013/EU rendelet 446. cikke (2) bekezdésének a) pontja és 316. cikkének (1) bekezdése.</w:t>
            </w:r>
          </w:p>
          <w:p w14:paraId="7F1E94AA" w14:textId="28CE55AE" w:rsidR="00D740B8" w:rsidRPr="008D71E9" w:rsidRDefault="003D54AC">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A 100 000 EUR-s küszöbértéket meghaladó veszteségeseményekből eredő teljes veszteségérték a megtérült összegek levonása után, az utolsó 10 beszámolási időszak mindegyike tekintetében, beleértve az egyesülésekből és felvásárlásokból származó veszteségeket.</w:t>
            </w:r>
            <w:r>
              <w:rPr>
                <w:sz w:val="24"/>
                <w:rFonts w:ascii="Times New Roman" w:hAnsi="Times New Roman"/>
              </w:rPr>
              <w:t xml:space="preserve"> </w:t>
            </w:r>
            <w:r>
              <w:rPr>
                <w:sz w:val="24"/>
                <w:rFonts w:ascii="Times New Roman" w:hAnsi="Times New Roman"/>
              </w:rPr>
              <w:t xml:space="preserve">Annak megállapításához, hogy a nyilvánosságra hozatali küszöbértéket túllépték-e vagy sem, az elmúlt 10 év tekintetében összevontan kell figyelembe venni azon veszteségeket, amelyeket közös működési kockázati esemény vagy több, azonos működési kockázati eseményhez kapcsolódó esemény okozott, és amelyeket különböző számviteli években jelenítettek meg.</w:t>
            </w:r>
            <w:r>
              <w:rPr>
                <w:sz w:val="24"/>
                <w:rFonts w:ascii="Times New Roman" w:hAnsi="Times New Roman"/>
              </w:rPr>
              <w:t xml:space="preserve"> </w:t>
            </w:r>
            <w:r>
              <w:rPr>
                <w:sz w:val="24"/>
                <w:rFonts w:ascii="Times New Roman" w:hAnsi="Times New Roman"/>
              </w:rPr>
              <w:t xml:space="preserve">Az ezen sorban szereplő tétel kiszámításakor azonban továbbra is figyelembe kell venni az év azon rendkívüli működési kockázati eseményeit, amelyek már nem relevánsak az intézmény kockázati profilja szempontjából, és amelyek tekintetében az intézmény az 575/2013/EU rendelet 320. cikkének (1) bekezdésével összhangban engedélyt kapott az illetékes hatóságtól arra, hogy kizárja azokat éves működési kockázati veszteségeiből.</w:t>
            </w:r>
            <w:r>
              <w:rPr>
                <w:sz w:val="24"/>
                <w:rFonts w:ascii="Times New Roman" w:hAnsi="Times New Roman"/>
              </w:rPr>
              <w:t xml:space="preserve">   </w:t>
            </w:r>
          </w:p>
        </w:tc>
      </w:tr>
      <w:tr w:rsidR="00D740B8" w:rsidRPr="008D71E9" w14:paraId="55F7B96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CE372A0"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7</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CB15A10"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A működési kockázati veszteségek teljes száma</w:t>
            </w:r>
          </w:p>
          <w:p w14:paraId="7AD8EE0D" w14:textId="092E19E2" w:rsidR="00D740B8" w:rsidRPr="008D71E9" w:rsidRDefault="00D740B8">
            <w:pPr>
              <w:spacing w:before="120" w:after="120"/>
              <w:jc w:val="both"/>
              <w:rPr>
                <w:sz w:val="24"/>
                <w:rFonts w:ascii="Times New Roman" w:eastAsia="Times New Roman" w:hAnsi="Times New Roman" w:cs="Times New Roman"/>
              </w:rPr>
            </w:pPr>
            <w:r>
              <w:rPr>
                <w:sz w:val="24"/>
                <w:rFonts w:ascii="Times New Roman" w:hAnsi="Times New Roman"/>
              </w:rPr>
              <w:t xml:space="preserve">Az 575/2013/EU rendelet 446. cikke (2) bekezdésének a) pontja és 316. cikkének (1) bekezdése.</w:t>
            </w:r>
          </w:p>
          <w:p w14:paraId="6F316B8B" w14:textId="6ABB567B" w:rsidR="00D740B8" w:rsidRPr="008D71E9" w:rsidRDefault="00471410">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A 100 000 EUR-s veszteségesemény-küszöbértéket meghaladó működési kockázati veszteségek teljes száma.</w:t>
            </w:r>
          </w:p>
        </w:tc>
      </w:tr>
      <w:tr w:rsidR="00D740B8" w:rsidRPr="008D71E9" w14:paraId="774B79F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9021F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8</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3731AFB"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A kizárt működési kockázati veszteségek teljes összege</w:t>
            </w:r>
          </w:p>
          <w:p w14:paraId="71DECF65" w14:textId="48A395A5" w:rsidR="00D740B8" w:rsidRPr="008D71E9" w:rsidRDefault="00D740B8">
            <w:pPr>
              <w:spacing w:before="120" w:after="120"/>
              <w:rPr>
                <w:sz w:val="24"/>
                <w:rFonts w:ascii="Times New Roman" w:eastAsia="Times New Roman" w:hAnsi="Times New Roman" w:cs="Times New Roman"/>
              </w:rPr>
            </w:pPr>
            <w:r>
              <w:rPr>
                <w:sz w:val="24"/>
                <w:rFonts w:ascii="Times New Roman" w:hAnsi="Times New Roman"/>
              </w:rPr>
              <w:t xml:space="preserve">Az 575/2013/EU rendelet 446. cikke (2) bekezdésének b) pontja és 320. cikkének (1) bekezdése.</w:t>
            </w:r>
          </w:p>
          <w:p w14:paraId="0BC74916" w14:textId="396B699A" w:rsidR="00D740B8" w:rsidRPr="008D71E9" w:rsidRDefault="003D54AC">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Az 575/2013/EU rendelet 320. cikkének (1) bekezdésével összhangban kizárt, a 100 000 EUR-s küszöbértéket meghaladó veszteségértékek teljes nettó összege az utolsó 10 beszámolási időszak mindegyike tekintetében.</w:t>
            </w:r>
          </w:p>
        </w:tc>
      </w:tr>
      <w:tr w:rsidR="00D740B8" w:rsidRPr="008D71E9" w14:paraId="33C9C19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5935360"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9</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F23E8D" w14:textId="77777777" w:rsidR="00D740B8" w:rsidRPr="008D71E9" w:rsidRDefault="00D740B8">
            <w:pPr>
              <w:spacing w:before="12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A kizárt működési kockázati események teljes száma</w:t>
            </w:r>
          </w:p>
          <w:p w14:paraId="2B56754D" w14:textId="46B0AAAA" w:rsidR="00D740B8" w:rsidRPr="008D71E9" w:rsidRDefault="00D740B8">
            <w:pPr>
              <w:spacing w:before="120" w:after="120"/>
              <w:rPr>
                <w:sz w:val="24"/>
                <w:rFonts w:ascii="Times New Roman" w:eastAsia="Times New Roman" w:hAnsi="Times New Roman" w:cs="Times New Roman"/>
              </w:rPr>
            </w:pPr>
            <w:r>
              <w:rPr>
                <w:sz w:val="24"/>
                <w:rFonts w:ascii="Times New Roman" w:hAnsi="Times New Roman"/>
              </w:rPr>
              <w:t xml:space="preserve">Az 575/2013/EU rendelet 446. cikke (2) bekezdésének b) pontja és 320. cikkének (1) bekezdése.</w:t>
            </w:r>
          </w:p>
          <w:p w14:paraId="2EDEC8CA" w14:textId="02901FCB" w:rsidR="00D740B8" w:rsidRPr="008D71E9" w:rsidRDefault="00471410">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Az 575/2013/EU rendelet 320. cikkének (1) bekezdésével összhangban kizárt, a 100 000 EUR-s küszöbértéket meghaladó rendkívüli működési kockázati események teljes száma az utolsó 10 beszámolási időszak mindegyike tekintetében.</w:t>
            </w:r>
          </w:p>
        </w:tc>
      </w:tr>
      <w:tr w:rsidR="00D740B8" w:rsidRPr="008D71E9" w14:paraId="01B8CA90"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151114"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10</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93D07D3" w14:textId="0C81ABEB" w:rsidR="00D740B8" w:rsidRPr="008D71E9" w:rsidRDefault="00D740B8">
            <w:pPr>
              <w:spacing w:before="12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A működési kockázati veszteségek teljes összege a megtérült összegek és a kizárt veszteségek levonása után</w:t>
            </w:r>
          </w:p>
          <w:p w14:paraId="65622881" w14:textId="32C07686" w:rsidR="00D740B8" w:rsidRPr="008D71E9" w:rsidRDefault="006943D3">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E sor a működési kockázati veszteségek teljes összegét tartalmazza, csökkentve a 6. sorban feltüntetett megtérült összegekkel és a 8. sorban feltüntetett kizárt veszteségekkel.</w:t>
            </w:r>
          </w:p>
        </w:tc>
      </w:tr>
      <w:tr w:rsidR="00D740B8" w:rsidRPr="008D71E9" w14:paraId="1DE089DB"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FA6CB"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11</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813C" w14:textId="77777777" w:rsidR="00D740B8" w:rsidRPr="008D71E9" w:rsidRDefault="00D740B8">
            <w:pPr>
              <w:autoSpaceDE w:val="0"/>
              <w:autoSpaceDN w:val="0"/>
              <w:adjustRightInd w:val="0"/>
              <w:spacing w:before="120" w:after="120"/>
              <w:rPr>
                <w:rStyle w:val="InstructionsTabelleberschrift"/>
                <w:bCs w:val="0"/>
                <w:sz w:val="24"/>
                <w:rFonts w:ascii="Times New Roman" w:eastAsia="Times New Roman" w:hAnsi="Times New Roman"/>
              </w:rPr>
            </w:pPr>
            <w:r>
              <w:rPr>
                <w:sz w:val="24"/>
                <w:rFonts w:ascii="Times New Roman" w:hAnsi="Times New Roman"/>
              </w:rPr>
              <w:t xml:space="preserve">Nem alkalmazandó.</w:t>
            </w:r>
          </w:p>
        </w:tc>
      </w:tr>
      <w:tr w:rsidR="00D740B8" w:rsidRPr="008D71E9" w14:paraId="23D23702"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154CBB"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D8849" w14:textId="77777777" w:rsidR="00D740B8" w:rsidRPr="008D71E9" w:rsidRDefault="00D740B8">
            <w:pPr>
              <w:spacing w:before="12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Nem alkalmazandó.</w:t>
            </w:r>
          </w:p>
        </w:tc>
      </w:tr>
      <w:tr w:rsidR="00D740B8" w:rsidRPr="008D71E9" w14:paraId="5EEF83F8"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94FD1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13</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DA855" w14:textId="77777777" w:rsidR="00D740B8" w:rsidRPr="008D71E9" w:rsidRDefault="00D740B8">
            <w:pPr>
              <w:spacing w:before="12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Nem alkalmazandó.</w:t>
            </w:r>
          </w:p>
        </w:tc>
      </w:tr>
    </w:tbl>
    <w:p w14:paraId="25A698B0" w14:textId="77777777" w:rsidR="00D740B8" w:rsidRPr="008D71E9" w:rsidRDefault="00D740B8" w:rsidP="00D740B8">
      <w:pPr>
        <w:pStyle w:val="InstructionsText2"/>
        <w:numPr>
          <w:ilvl w:val="0"/>
          <w:numId w:val="0"/>
        </w:numPr>
        <w:ind w:left="360"/>
        <w:rPr>
          <w:lang w:val="en-US"/>
        </w:rPr>
      </w:pPr>
    </w:p>
    <w:p w14:paraId="033C5861" w14:textId="77777777" w:rsidR="00D740B8" w:rsidRPr="008D71E9" w:rsidRDefault="00D740B8" w:rsidP="00D740B8">
      <w:pPr>
        <w:jc w:val="both"/>
        <w:rPr>
          <w:bCs/>
          <w:sz w:val="24"/>
          <w:rFonts w:ascii="Times New Roman" w:hAnsi="Times New Roman" w:cs="Times New Roman"/>
        </w:rPr>
      </w:pPr>
      <w:r>
        <w:rPr>
          <w:sz w:val="24"/>
          <w:b/>
          <w:rFonts w:ascii="Times New Roman" w:hAnsi="Times New Roman"/>
        </w:rPr>
        <w:t xml:space="preserve">EU OR2 tábla – Üzleti mutató (BI), komponensek és alkomponensek.</w:t>
      </w:r>
      <w:r>
        <w:rPr>
          <w:sz w:val="24"/>
          <w:b/>
          <w:rFonts w:ascii="Times New Roman" w:hAnsi="Times New Roman"/>
        </w:rPr>
        <w:t xml:space="preserve"> </w:t>
      </w:r>
      <w:r>
        <w:rPr>
          <w:sz w:val="24"/>
          <w:rFonts w:ascii="Times New Roman" w:hAnsi="Times New Roman"/>
        </w:rPr>
        <w:t xml:space="preserve">Kötött formátumú tábla.</w:t>
      </w:r>
    </w:p>
    <w:p w14:paraId="3D173CCF" w14:textId="77777777" w:rsidR="00D740B8" w:rsidRPr="008D71E9" w:rsidRDefault="00D740B8" w:rsidP="00D740B8">
      <w:pPr>
        <w:ind w:left="360"/>
        <w:jc w:val="both"/>
        <w:rPr>
          <w:rFonts w:ascii="Times New Roman" w:hAnsi="Times New Roman" w:cs="Times New Roman"/>
          <w:bCs/>
          <w:sz w:val="24"/>
        </w:rPr>
      </w:pPr>
    </w:p>
    <w:p w14:paraId="3F849430" w14:textId="6876B822"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Az intézmények az 575/2013/EU rendelet 446. cikke (1) bekezdése c) és d) pontjának alkalmazásában nyilvánosságra hozzák az EU OR2 táblában foglalt információkat.</w:t>
      </w:r>
      <w:r>
        <w:rPr>
          <w:sz w:val="24"/>
          <w:rFonts w:ascii="Times New Roman" w:hAnsi="Times New Roman"/>
        </w:rPr>
        <w:t xml:space="preserve"> </w:t>
      </w:r>
      <w:r>
        <w:rPr>
          <w:sz w:val="24"/>
          <w:rFonts w:ascii="Times New Roman" w:hAnsi="Times New Roman"/>
        </w:rPr>
        <w:t xml:space="preserve">Ez a tábla az üzletimutató-komponensnek (BIC) az 575/2013/EU rendelet 313. cikke szerinti kiszámításáról, valamint az üzleti mutatónak (BI), a komponenseknek és az alkomponenseknek az 575/2013/EU rendelet 314. cikke szerinti kiszámításáról ad információkat.</w:t>
      </w:r>
      <w:r>
        <w:rPr>
          <w:sz w:val="24"/>
          <w:rFonts w:ascii="Times New Roman" w:hAnsi="Times New Roman"/>
        </w:rPr>
        <w:t xml:space="preserve"> </w:t>
      </w:r>
      <w:r>
        <w:rPr>
          <w:sz w:val="24"/>
          <w:rFonts w:ascii="Times New Roman" w:hAnsi="Times New Roman"/>
        </w:rPr>
        <w:t xml:space="preserve">Emellett ez a tábla információkat ad az elidegenített szervezetek vagy tevékenységek kapcsán a 315. cikk (2) bekezdésével összhangban kizárt üzletimutató-tételek összegéről is.</w:t>
      </w:r>
      <w:r>
        <w:rPr>
          <w:sz w:val="24"/>
          <w:rFonts w:ascii="Times New Roman" w:hAnsi="Times New Roman"/>
        </w:rPr>
        <w:t xml:space="preserve">  </w:t>
      </w:r>
    </w:p>
    <w:p w14:paraId="5C35CEC0" w14:textId="77777777" w:rsidR="00D740B8" w:rsidRPr="008D71E9" w:rsidRDefault="00D740B8" w:rsidP="00D740B8">
      <w:pPr>
        <w:ind w:left="360"/>
        <w:jc w:val="both"/>
        <w:rPr>
          <w:rFonts w:ascii="Times New Roman" w:hAnsi="Times New Roman" w:cs="Times New Roman"/>
          <w:bCs/>
          <w:sz w:val="24"/>
        </w:rPr>
      </w:pPr>
    </w:p>
    <w:p w14:paraId="1749895F" w14:textId="07869965"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Az intézmények az utolsó három pénzügyi év tekintetében nyilvánosságra hozzák a BI azon alkomponenseinek kiszámításához szükséges releváns tételek összegét, amelyek szükségesek a működési kockázathoz kapcsolódó szavatolótőke-követelmények kiszámításához.</w:t>
      </w:r>
    </w:p>
    <w:p w14:paraId="7B27D162" w14:textId="77777777" w:rsidR="00D740B8" w:rsidRPr="008D71E9" w:rsidRDefault="00D740B8" w:rsidP="00D740B8">
      <w:pPr>
        <w:pStyle w:val="ListParagraph"/>
        <w:rPr>
          <w:rFonts w:ascii="Times New Roman" w:hAnsi="Times New Roman"/>
          <w:bCs/>
          <w:sz w:val="24"/>
        </w:rPr>
      </w:pPr>
    </w:p>
    <w:p w14:paraId="41988E91" w14:textId="2D82E22B"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Az 575/2013/EU rendelet 314. cikkének (8) bekezdésével összhangban, amennyiben nem állnak rendelkezésre múltbeli adatok, az intézmények előretekintő üzleti becsléseket adnak meg.</w:t>
      </w:r>
      <w:r>
        <w:rPr>
          <w:sz w:val="24"/>
          <w:rFonts w:ascii="Times New Roman" w:hAnsi="Times New Roman"/>
        </w:rPr>
        <w:t xml:space="preserve"> </w:t>
      </w:r>
    </w:p>
    <w:p w14:paraId="14A23528" w14:textId="485ED75C" w:rsidR="00D740B8" w:rsidRPr="008D71E9" w:rsidRDefault="00D740B8" w:rsidP="00D740B8">
      <w:pPr>
        <w:pStyle w:val="numberedparagraph"/>
        <w:numPr>
          <w:ilvl w:val="0"/>
          <w:numId w:val="1"/>
        </w:numPr>
        <w:rPr>
          <w:sz w:val="24"/>
          <w:rFonts w:ascii="Times New Roman" w:hAnsi="Times New Roman" w:cs="Times New Roman"/>
        </w:rPr>
      </w:pPr>
      <w:r>
        <w:rPr>
          <w:sz w:val="24"/>
          <w:rFonts w:ascii="Times New Roman" w:hAnsi="Times New Roman"/>
        </w:rPr>
        <w:t xml:space="preserve">Ha az intézmények a BI komponenseinek részét képező tételekről 3 évnél rövidebb idő tekintetében rendelkeznek múltbeli adatokkal, a rendelkezésre álló adatokat prioritás szerint hozzárendelik a tábla megfelelő oszlopaihoz.</w:t>
      </w:r>
      <w:r>
        <w:rPr>
          <w:sz w:val="24"/>
          <w:rFonts w:ascii="Times New Roman" w:hAnsi="Times New Roman"/>
        </w:rPr>
        <w:t xml:space="preserve"> </w:t>
      </w:r>
      <w:r>
        <w:rPr>
          <w:sz w:val="24"/>
          <w:rFonts w:ascii="Times New Roman" w:hAnsi="Times New Roman"/>
        </w:rPr>
        <w:t xml:space="preserve">Ha az intézmények a BI komponenseiről csak egy év tekintetében rendelkeznek múltbeli adatokkal, ezeket az adatokat a legutóbbi év (pl. az „utolsó év”) oszlopában tüntetik fel.</w:t>
      </w:r>
      <w:r>
        <w:rPr>
          <w:sz w:val="24"/>
          <w:rFonts w:ascii="Times New Roman" w:hAnsi="Times New Roman"/>
        </w:rPr>
        <w:t xml:space="preserve"> </w:t>
      </w:r>
      <w:r>
        <w:rPr>
          <w:sz w:val="24"/>
          <w:rFonts w:ascii="Times New Roman" w:hAnsi="Times New Roman"/>
        </w:rPr>
        <w:t xml:space="preserve">Ha észszerűnek tűnik, az előretekintő becsléseket mindaddig szerepeltetni kell a –1., illetve a –2. évben, amíg ezek az adatok nem állnak rendelkezésre.</w:t>
      </w:r>
    </w:p>
    <w:p w14:paraId="2DDE0943" w14:textId="7978B770" w:rsidR="00D740B8" w:rsidRPr="008D71E9" w:rsidRDefault="00D740B8" w:rsidP="00D740B8">
      <w:pPr>
        <w:pStyle w:val="numberedparagraph"/>
        <w:numPr>
          <w:ilvl w:val="0"/>
          <w:numId w:val="1"/>
        </w:numPr>
        <w:rPr>
          <w:sz w:val="24"/>
          <w:rFonts w:ascii="Times New Roman" w:hAnsi="Times New Roman" w:cs="Times New Roman"/>
        </w:rPr>
      </w:pPr>
      <w:r>
        <w:rPr>
          <w:sz w:val="24"/>
          <w:rFonts w:ascii="Times New Roman" w:hAnsi="Times New Roman"/>
        </w:rPr>
        <w:t xml:space="preserve">Az intézmények a kamat-, lízing- és osztalékkomponens (ILDC) részét képező altételekben nem veszik figyelembe az azon konkrét leányvállalat intézményekhez kapcsolódó számadatokat, amelyek vonatkozásában az ILDC-t az 575/2013/EU rendelet 314. cikkének (3) bekezdésével összhangban külön kell kiszámítani.</w:t>
      </w:r>
      <w:r>
        <w:rPr>
          <w:sz w:val="24"/>
          <w:rFonts w:ascii="Times New Roman" w:hAnsi="Times New Roman"/>
        </w:rPr>
        <w:t xml:space="preserve"> </w:t>
      </w:r>
    </w:p>
    <w:p w14:paraId="3512454B" w14:textId="27224DC8" w:rsidR="00841A0D"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Az intézmények a kamat-, lízing- és osztalékkomponens (ILDC) részét képező altételekben nem veszik figyelembe a lakossági banki és/vagy kereskedelmi banki üzletágukból származó számadatokat, ha engedélyt kaptak az 575/2013/EU rendelet 314. cikke (4) bekezdésének alkalmazására.</w:t>
      </w:r>
    </w:p>
    <w:p w14:paraId="22AE3E22" w14:textId="77777777" w:rsidR="00841A0D" w:rsidRPr="008D71E9" w:rsidRDefault="00841A0D" w:rsidP="00841A0D">
      <w:pPr>
        <w:ind w:left="360"/>
        <w:jc w:val="both"/>
        <w:rPr>
          <w:rFonts w:ascii="Times New Roman" w:hAnsi="Times New Roman" w:cs="Times New Roman"/>
          <w:bCs/>
          <w:sz w:val="24"/>
        </w:rPr>
      </w:pPr>
    </w:p>
    <w:p w14:paraId="3A161EFD" w14:textId="51A72F8E" w:rsidR="00D740B8" w:rsidRPr="008D71E9" w:rsidRDefault="003826D3" w:rsidP="00D740B8">
      <w:pPr>
        <w:numPr>
          <w:ilvl w:val="0"/>
          <w:numId w:val="1"/>
        </w:numPr>
        <w:jc w:val="both"/>
        <w:rPr>
          <w:bCs/>
          <w:sz w:val="24"/>
          <w:rFonts w:ascii="Times New Roman" w:hAnsi="Times New Roman" w:cs="Times New Roman"/>
        </w:rPr>
      </w:pPr>
      <w:r>
        <w:rPr>
          <w:sz w:val="24"/>
          <w:rFonts w:ascii="Times New Roman" w:hAnsi="Times New Roman"/>
        </w:rPr>
        <w:t xml:space="preserve">Mindazonáltal az intézményeknek az 1. sorban a teljes ILDC-összeget kell megadniuk, amely az 575/2013/EU rendelet 314. cikkének (3) bekezdésével összhangban kiszámított összegeket is tartalmazza.</w:t>
      </w:r>
      <w:r>
        <w:rPr>
          <w:sz w:val="24"/>
          <w:rFonts w:ascii="Times New Roman" w:hAnsi="Times New Roman"/>
        </w:rPr>
        <w:t xml:space="preserve"> </w:t>
      </w:r>
      <w:r>
        <w:rPr>
          <w:sz w:val="24"/>
          <w:rFonts w:ascii="Times New Roman" w:hAnsi="Times New Roman"/>
        </w:rPr>
        <w:t xml:space="preserve">Az ILDC-nek a 314. cikk (3) bekezdésében kizárt szervezetek nélküli összege az EU 1 sorban szerepel.</w:t>
      </w:r>
      <w:r>
        <w:rPr>
          <w:sz w:val="24"/>
          <w:rFonts w:ascii="Times New Roman" w:hAnsi="Times New Roman"/>
        </w:rPr>
        <w:t xml:space="preserve"> </w:t>
      </w:r>
    </w:p>
    <w:p w14:paraId="7DAFACF8" w14:textId="77777777" w:rsidR="00D740B8" w:rsidRPr="008D71E9" w:rsidRDefault="00D740B8" w:rsidP="00D740B8">
      <w:pPr>
        <w:ind w:left="360"/>
        <w:jc w:val="both"/>
        <w:rPr>
          <w:rFonts w:ascii="Times New Roman" w:hAnsi="Times New Roman" w:cs="Times New Roman"/>
          <w:bCs/>
          <w:sz w:val="24"/>
        </w:rPr>
      </w:pPr>
    </w:p>
    <w:p w14:paraId="578B96DC" w14:textId="15D840A4"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Az 575/2013/EU rendelet 446. cikkének (1) bekezdésével összhangban az intézmények a kísérő szöveges magyarázatban nyilvánosságra hozzák az üzleti mutatóból való minden egyes kizárás indokolását, kivéve a lakossági és a kereskedelmi üzletág 314. cikk (4) bekezdése szerinti kizárásának esetében.</w:t>
      </w:r>
      <w:r>
        <w:rPr>
          <w:sz w:val="24"/>
          <w:rFonts w:ascii="Times New Roman" w:hAnsi="Times New Roman"/>
        </w:rPr>
        <w:t xml:space="preserve"> </w:t>
      </w:r>
    </w:p>
    <w:p w14:paraId="22C673C4" w14:textId="77777777" w:rsidR="00393FEF" w:rsidRPr="008D71E9" w:rsidRDefault="00393FEF" w:rsidP="00532CFA">
      <w:pPr>
        <w:pStyle w:val="ListParagraph"/>
        <w:rPr>
          <w:rFonts w:ascii="Times New Roman" w:hAnsi="Times New Roman"/>
          <w:bCs/>
          <w:sz w:val="24"/>
        </w:rPr>
      </w:pPr>
    </w:p>
    <w:p w14:paraId="7DD11602" w14:textId="59AE982B" w:rsidR="00393FEF" w:rsidRPr="008D71E9" w:rsidRDefault="006020C0" w:rsidP="00D740B8">
      <w:pPr>
        <w:numPr>
          <w:ilvl w:val="0"/>
          <w:numId w:val="1"/>
        </w:numPr>
        <w:jc w:val="both"/>
        <w:rPr>
          <w:bCs/>
          <w:sz w:val="24"/>
          <w:rFonts w:ascii="Times New Roman" w:hAnsi="Times New Roman" w:cs="Times New Roman"/>
        </w:rPr>
      </w:pPr>
      <w:r>
        <w:rPr>
          <w:sz w:val="24"/>
          <w:rFonts w:ascii="Times New Roman" w:hAnsi="Times New Roman"/>
        </w:rPr>
        <w:t xml:space="preserve">Az útmutató az (EU) 2021/451 végrehajtási rendelet (FINREP) V. mellékletében szereplő adatszolgáltatási követelményekre való hivatkozásokkal figyelembe veszi, hogy a működési kockázatra vonatkozó nyilvánosságra hozatali követelmények és az intézmény pénzügyi kimutatásai között szoros kapcsolat áll fenn.</w:t>
      </w:r>
    </w:p>
    <w:p w14:paraId="21275E00" w14:textId="77777777" w:rsidR="00D740B8" w:rsidRPr="008D71E9" w:rsidRDefault="00D740B8" w:rsidP="00D740B8">
      <w:pPr>
        <w:pStyle w:val="ListParagraph"/>
        <w:rPr>
          <w:rFonts w:ascii="Times New Roman" w:hAnsi="Times New Roman"/>
          <w:bCs/>
          <w:sz w:val="24"/>
        </w:rPr>
      </w:pP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D740B8" w:rsidRPr="008D71E9" w14:paraId="069EA903" w14:textId="77777777">
        <w:trPr>
          <w:trHeight w:val="300"/>
        </w:trPr>
        <w:tc>
          <w:tcPr>
            <w:tcW w:w="1260" w:type="dxa"/>
            <w:shd w:val="clear" w:color="auto" w:fill="BFBFBF" w:themeFill="background1" w:themeFillShade="BF"/>
          </w:tcPr>
          <w:p w14:paraId="7E4DE4F0" w14:textId="77777777" w:rsidR="00D740B8" w:rsidRPr="008D71E9" w:rsidRDefault="00D740B8">
            <w:pPr>
              <w:autoSpaceDE w:val="0"/>
              <w:autoSpaceDN w:val="0"/>
              <w:adjustRightInd w:val="0"/>
              <w:rPr>
                <w:b/>
                <w:sz w:val="24"/>
                <w:rFonts w:ascii="Times New Roman" w:hAnsi="Times New Roman" w:cs="Times New Roman"/>
              </w:rPr>
            </w:pPr>
            <w:r>
              <w:rPr>
                <w:b/>
                <w:sz w:val="24"/>
                <w:rFonts w:ascii="Times New Roman" w:hAnsi="Times New Roman"/>
              </w:rPr>
              <w:t xml:space="preserve">Oszlop</w:t>
            </w:r>
          </w:p>
        </w:tc>
        <w:tc>
          <w:tcPr>
            <w:tcW w:w="7756" w:type="dxa"/>
            <w:shd w:val="clear" w:color="auto" w:fill="BFBFBF" w:themeFill="background1" w:themeFillShade="BF"/>
          </w:tcPr>
          <w:p w14:paraId="0D54BB35" w14:textId="77777777" w:rsidR="00D740B8" w:rsidRPr="008D71E9" w:rsidDel="00B46ADB" w:rsidRDefault="00D740B8">
            <w:pPr>
              <w:autoSpaceDE w:val="0"/>
              <w:autoSpaceDN w:val="0"/>
              <w:adjustRightInd w:val="0"/>
              <w:rPr>
                <w:bCs/>
              </w:rPr>
            </w:pPr>
            <w:r>
              <w:rPr>
                <w:b/>
                <w:sz w:val="24"/>
                <w:rFonts w:ascii="Times New Roman" w:hAnsi="Times New Roman"/>
              </w:rPr>
              <w:t xml:space="preserve">Jogszabályi hivatkozások és útmutató</w:t>
            </w:r>
          </w:p>
        </w:tc>
      </w:tr>
      <w:tr w:rsidR="00D740B8" w:rsidRPr="008D71E9" w14:paraId="7AE7216D" w14:textId="77777777">
        <w:trPr>
          <w:trHeight w:val="300"/>
        </w:trPr>
        <w:tc>
          <w:tcPr>
            <w:tcW w:w="1260" w:type="dxa"/>
          </w:tcPr>
          <w:p w14:paraId="0FC699E1" w14:textId="0D76C831" w:rsidR="00D740B8" w:rsidRPr="008D71E9" w:rsidRDefault="00D740B8" w:rsidP="00165BEF">
            <w:pPr>
              <w:autoSpaceDE w:val="0"/>
              <w:autoSpaceDN w:val="0"/>
              <w:adjustRightInd w:val="0"/>
              <w:jc w:val="center"/>
              <w:rPr>
                <w:bCs/>
                <w:sz w:val="24"/>
                <w:rFonts w:ascii="Times New Roman" w:hAnsi="Times New Roman"/>
              </w:rPr>
            </w:pPr>
            <w:r>
              <w:rPr>
                <w:sz w:val="24"/>
                <w:rFonts w:ascii="Times New Roman" w:hAnsi="Times New Roman"/>
              </w:rPr>
              <w:t xml:space="preserve">a, b, c</w:t>
            </w:r>
          </w:p>
        </w:tc>
        <w:tc>
          <w:tcPr>
            <w:tcW w:w="7756" w:type="dxa"/>
          </w:tcPr>
          <w:p w14:paraId="510A12A5" w14:textId="77777777" w:rsidR="00D740B8" w:rsidRPr="008D71E9" w:rsidRDefault="00D740B8">
            <w:pPr>
              <w:autoSpaceDE w:val="0"/>
              <w:autoSpaceDN w:val="0"/>
              <w:adjustRightInd w:val="0"/>
              <w:rPr>
                <w:rStyle w:val="InstructionsTabelleberschrift"/>
                <w:sz w:val="24"/>
                <w:u w:val="none"/>
                <w:rFonts w:ascii="Times New Roman" w:hAnsi="Times New Roman"/>
              </w:rPr>
            </w:pPr>
            <w:r>
              <w:rPr>
                <w:rStyle w:val="InstructionsTabelleberschrift"/>
                <w:sz w:val="24"/>
                <w:u w:val="none"/>
                <w:rFonts w:ascii="Times New Roman" w:hAnsi="Times New Roman"/>
              </w:rPr>
              <w:t xml:space="preserve">Érték</w:t>
            </w:r>
            <w:r>
              <w:rPr>
                <w:rStyle w:val="InstructionsTabelleberschrift"/>
                <w:sz w:val="24"/>
                <w:u w:val="none"/>
                <w:rFonts w:ascii="Times New Roman" w:hAnsi="Times New Roman"/>
              </w:rPr>
              <w:t xml:space="preserve"> </w:t>
            </w:r>
          </w:p>
          <w:p w14:paraId="0A7A2FD7" w14:textId="77777777" w:rsidR="00D740B8" w:rsidRPr="008D71E9" w:rsidRDefault="00D740B8">
            <w:pPr>
              <w:rPr>
                <w:rFonts w:ascii="Times New Roman" w:hAnsi="Times New Roman"/>
                <w:sz w:val="24"/>
                <w:lang w:eastAsia="de-DE"/>
              </w:rPr>
            </w:pPr>
          </w:p>
          <w:p w14:paraId="0C8A142A" w14:textId="4CAB13C5" w:rsidR="00D740B8" w:rsidRPr="008D71E9" w:rsidRDefault="00D740B8">
            <w:pPr>
              <w:autoSpaceDE w:val="0"/>
              <w:autoSpaceDN w:val="0"/>
              <w:adjustRightInd w:val="0"/>
              <w:rPr>
                <w:bCs/>
                <w:sz w:val="24"/>
                <w:rFonts w:ascii="Times New Roman" w:hAnsi="Times New Roman" w:cs="Times New Roman"/>
              </w:rPr>
            </w:pPr>
            <w:r>
              <w:rPr>
                <w:sz w:val="24"/>
                <w:rFonts w:ascii="Times New Roman" w:hAnsi="Times New Roman"/>
              </w:rPr>
              <w:t xml:space="preserve">Az 575/2013/EU rendelet 446. cikke (1) bekezdésének d) pontja és 314. cikkének (1) bekezdése.</w:t>
            </w:r>
          </w:p>
          <w:p w14:paraId="7883915F" w14:textId="77777777" w:rsidR="00D740B8" w:rsidRPr="008D71E9" w:rsidRDefault="00D740B8">
            <w:pPr>
              <w:autoSpaceDE w:val="0"/>
              <w:autoSpaceDN w:val="0"/>
              <w:adjustRightInd w:val="0"/>
              <w:rPr>
                <w:rFonts w:ascii="Times New Roman" w:hAnsi="Times New Roman"/>
                <w:bCs/>
                <w:sz w:val="24"/>
                <w:lang w:eastAsia="nl-BE"/>
              </w:rPr>
            </w:pPr>
          </w:p>
          <w:p w14:paraId="558CD9DA" w14:textId="53976B55" w:rsidR="00EA10B1" w:rsidRPr="008D71E9" w:rsidRDefault="002F3CFA">
            <w:pPr>
              <w:pStyle w:val="paragraph"/>
              <w:spacing w:before="0" w:beforeAutospacing="0" w:after="0" w:afterAutospacing="0"/>
              <w:textAlignment w:val="baseline"/>
            </w:pPr>
            <w:r>
              <w:t xml:space="preserve">A BI és komponensei (ILDC, szolgáltatási komponens (SC) és pénzügyi komponens (FC)) számításának részét képező tételek értéke az utolsó három pénzügyi év mindegyike tekintetében, az alkalmazandó számviteli standardokkal összhangban.</w:t>
            </w:r>
            <w:r>
              <w:t xml:space="preserve"> </w:t>
            </w:r>
          </w:p>
          <w:p w14:paraId="3414DDFE" w14:textId="77777777" w:rsidR="007B3E62" w:rsidRPr="008D71E9" w:rsidRDefault="007B3E62">
            <w:pPr>
              <w:pStyle w:val="paragraph"/>
              <w:spacing w:before="0" w:beforeAutospacing="0" w:after="0" w:afterAutospacing="0"/>
              <w:textAlignment w:val="baseline"/>
              <w:rPr>
                <w:lang w:eastAsia="de-DE"/>
              </w:rPr>
            </w:pPr>
          </w:p>
          <w:p w14:paraId="374E1BCA" w14:textId="3DACCC5D" w:rsidR="007B3E62" w:rsidRPr="008D71E9" w:rsidRDefault="00B76B25">
            <w:pPr>
              <w:pStyle w:val="paragraph"/>
              <w:spacing w:before="0" w:beforeAutospacing="0" w:after="0" w:afterAutospacing="0"/>
              <w:textAlignment w:val="baseline"/>
            </w:pPr>
            <w:r>
              <w:t xml:space="preserve">Az egyesülések/felvásárlások és elidegenített tevékenységek miatti kiigazítások alkalmazása után kapott összegeket kell megadni.</w:t>
            </w:r>
            <w:r>
              <w:t xml:space="preserve"> </w:t>
            </w:r>
          </w:p>
          <w:p w14:paraId="00BACA37" w14:textId="77777777" w:rsidR="00EA10B1" w:rsidRPr="008D71E9" w:rsidRDefault="00EA10B1">
            <w:pPr>
              <w:pStyle w:val="paragraph"/>
              <w:spacing w:before="0" w:beforeAutospacing="0" w:after="0" w:afterAutospacing="0"/>
              <w:textAlignment w:val="baseline"/>
              <w:rPr>
                <w:lang w:eastAsia="de-DE"/>
              </w:rPr>
            </w:pPr>
          </w:p>
          <w:p w14:paraId="21635601" w14:textId="10729BA3" w:rsidR="00D740B8" w:rsidRPr="008D71E9" w:rsidRDefault="00D740B8" w:rsidP="000F6C61">
            <w:pPr>
              <w:pStyle w:val="paragraph"/>
              <w:spacing w:before="0" w:beforeAutospacing="0" w:after="0" w:afterAutospacing="0"/>
              <w:textAlignment w:val="baseline"/>
            </w:pPr>
            <w:r>
              <w:t xml:space="preserve">Az FC esetében az 575/2013/EU rendelet 314. cikkének (6) bekezdésével összhangban az utolsó három pénzügyi év mindegyike tekintetében nyilvánosságra hozandó értékek a kereskedési könyvi és banki könyvi tételek azonosítására szolgáló számviteli határ vagy prudenciális határ (PBA) alkalmazásával meghatározott számviteli értékeket tükrözik.</w:t>
            </w:r>
          </w:p>
        </w:tc>
      </w:tr>
      <w:tr w:rsidR="00D740B8" w:rsidRPr="008D71E9" w14:paraId="3103AD05" w14:textId="77777777">
        <w:trPr>
          <w:trHeight w:val="300"/>
        </w:trPr>
        <w:tc>
          <w:tcPr>
            <w:tcW w:w="1260" w:type="dxa"/>
          </w:tcPr>
          <w:p w14:paraId="0FFA543A" w14:textId="77777777" w:rsidR="00D740B8" w:rsidRPr="008D71E9" w:rsidRDefault="00D740B8" w:rsidP="00165BEF">
            <w:pPr>
              <w:autoSpaceDE w:val="0"/>
              <w:autoSpaceDN w:val="0"/>
              <w:adjustRightInd w:val="0"/>
              <w:jc w:val="center"/>
              <w:rPr>
                <w:bCs/>
                <w:sz w:val="24"/>
                <w:rFonts w:ascii="Times New Roman" w:hAnsi="Times New Roman"/>
              </w:rPr>
            </w:pPr>
            <w:r>
              <w:rPr>
                <w:sz w:val="24"/>
                <w:rFonts w:ascii="Times New Roman" w:hAnsi="Times New Roman"/>
              </w:rPr>
              <w:t xml:space="preserve">d</w:t>
            </w:r>
          </w:p>
        </w:tc>
        <w:tc>
          <w:tcPr>
            <w:tcW w:w="7756" w:type="dxa"/>
          </w:tcPr>
          <w:p w14:paraId="117DF1D7" w14:textId="77777777" w:rsidR="00D740B8" w:rsidRPr="008D71E9" w:rsidRDefault="00D740B8">
            <w:pPr>
              <w:autoSpaceDE w:val="0"/>
              <w:autoSpaceDN w:val="0"/>
              <w:adjustRightInd w:val="0"/>
              <w:rPr>
                <w:rStyle w:val="InstructionsTabelleberschrift"/>
                <w:sz w:val="24"/>
                <w:u w:val="none"/>
                <w:rFonts w:ascii="Times New Roman" w:hAnsi="Times New Roman"/>
              </w:rPr>
            </w:pPr>
            <w:r>
              <w:rPr>
                <w:rStyle w:val="InstructionsTabelleberschrift"/>
                <w:sz w:val="24"/>
                <w:u w:val="none"/>
                <w:rFonts w:ascii="Times New Roman" w:hAnsi="Times New Roman"/>
              </w:rPr>
              <w:t xml:space="preserve">Átlagértékek</w:t>
            </w:r>
          </w:p>
          <w:p w14:paraId="27B3847F" w14:textId="77777777" w:rsidR="00D740B8" w:rsidRPr="008D71E9" w:rsidRDefault="00D740B8">
            <w:pPr>
              <w:autoSpaceDE w:val="0"/>
              <w:autoSpaceDN w:val="0"/>
              <w:adjustRightInd w:val="0"/>
              <w:rPr>
                <w:rFonts w:ascii="Times New Roman" w:hAnsi="Times New Roman"/>
                <w:sz w:val="24"/>
                <w:lang w:eastAsia="de-DE"/>
              </w:rPr>
            </w:pPr>
          </w:p>
          <w:p w14:paraId="2CEEC93D" w14:textId="277817D6" w:rsidR="00D740B8" w:rsidRPr="008D71E9" w:rsidRDefault="00D740B8">
            <w:pPr>
              <w:autoSpaceDE w:val="0"/>
              <w:autoSpaceDN w:val="0"/>
              <w:adjustRightInd w:val="0"/>
              <w:rPr>
                <w:bCs/>
                <w:sz w:val="24"/>
                <w:rFonts w:ascii="Times New Roman" w:hAnsi="Times New Roman" w:cs="Times New Roman"/>
              </w:rPr>
            </w:pPr>
            <w:r>
              <w:rPr>
                <w:sz w:val="24"/>
                <w:rFonts w:ascii="Times New Roman" w:hAnsi="Times New Roman"/>
              </w:rPr>
              <w:t xml:space="preserve">Az 575/2013/EU rendelet 314. cikkének (2), (5) és (6) bekezdése.</w:t>
            </w:r>
          </w:p>
          <w:p w14:paraId="5FAAFF7A" w14:textId="77777777" w:rsidR="00D740B8" w:rsidRPr="008D71E9" w:rsidRDefault="00D740B8">
            <w:pPr>
              <w:autoSpaceDE w:val="0"/>
              <w:autoSpaceDN w:val="0"/>
              <w:adjustRightInd w:val="0"/>
              <w:rPr>
                <w:rStyle w:val="InstructionsTabelleberschrift"/>
                <w:rFonts w:ascii="Times New Roman" w:hAnsi="Times New Roman"/>
                <w:sz w:val="24"/>
              </w:rPr>
            </w:pPr>
          </w:p>
          <w:p w14:paraId="3E17CEC0" w14:textId="0641F513" w:rsidR="00D740B8" w:rsidRPr="008D71E9" w:rsidRDefault="00D740B8">
            <w:pPr>
              <w:pStyle w:val="paragraph"/>
              <w:spacing w:before="0" w:beforeAutospacing="0" w:after="0" w:afterAutospacing="0"/>
              <w:textAlignment w:val="baseline"/>
              <w:rPr>
                <w:rStyle w:val="normaltextrun"/>
              </w:rPr>
            </w:pPr>
            <w:r>
              <w:rPr>
                <w:rStyle w:val="normaltextrun"/>
              </w:rPr>
              <w:t xml:space="preserve">Az ILDC, az SC és az FC komponens számított értékei, valamint kapcsolódó alkomponenseiknek az elmúlt három pénzügyi év tekintetében a T. évre vonatkoztatott átlagértéke.</w:t>
            </w:r>
            <w:r>
              <w:rPr>
                <w:rStyle w:val="normaltextrun"/>
              </w:rPr>
              <w:t xml:space="preserve"> </w:t>
            </w:r>
          </w:p>
          <w:p w14:paraId="32637704" w14:textId="35682543" w:rsidR="00D740B8" w:rsidRPr="008D71E9" w:rsidRDefault="00D740B8">
            <w:pPr>
              <w:pStyle w:val="paragraph"/>
              <w:spacing w:before="0" w:beforeAutospacing="0" w:after="0" w:afterAutospacing="0"/>
              <w:textAlignment w:val="baseline"/>
              <w:rPr>
                <w:rStyle w:val="normaltextrun"/>
              </w:rPr>
            </w:pPr>
          </w:p>
          <w:p w14:paraId="6C270BFC" w14:textId="453723AA" w:rsidR="00D740B8" w:rsidRPr="008D71E9" w:rsidRDefault="00D740B8" w:rsidP="008006BD">
            <w:pPr>
              <w:pStyle w:val="paragraph"/>
              <w:spacing w:before="0" w:beforeAutospacing="0" w:after="0" w:afterAutospacing="0"/>
              <w:textAlignment w:val="baseline"/>
              <w:rPr>
                <w:rStyle w:val="InstructionsTabelleberschrift"/>
                <w:sz w:val="24"/>
                <w:rFonts w:ascii="Times New Roman" w:hAnsi="Times New Roman"/>
              </w:rPr>
            </w:pPr>
            <w:r>
              <w:rPr>
                <w:rStyle w:val="normaltextrun"/>
              </w:rPr>
              <w:t xml:space="preserve">Az átlag kiszámítása az elmúlt három év mindegyikére vonatkozó számviteli értékek figyelembevételével történik.</w:t>
            </w:r>
            <w:r>
              <w:rPr>
                <w:rStyle w:val="normaltextrun"/>
              </w:rPr>
              <w:t xml:space="preserve"> </w:t>
            </w:r>
          </w:p>
        </w:tc>
      </w:tr>
    </w:tbl>
    <w:p w14:paraId="75117700" w14:textId="77777777" w:rsidR="00D740B8" w:rsidRPr="008D71E9" w:rsidRDefault="00D740B8" w:rsidP="00D740B8">
      <w:pPr>
        <w:pStyle w:val="numberedparagraph"/>
        <w:numPr>
          <w:ilvl w:val="0"/>
          <w:numId w:val="0"/>
        </w:numPr>
        <w:ind w:left="284" w:hanging="284"/>
        <w:rPr>
          <w:rStyle w:val="InstructionsTabelleberschrif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0D9E4A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0F2134" w14:textId="77777777" w:rsidR="00D740B8" w:rsidRPr="008D71E9" w:rsidRDefault="00D740B8">
            <w:pPr>
              <w:autoSpaceDE w:val="0"/>
              <w:autoSpaceDN w:val="0"/>
              <w:adjustRightInd w:val="0"/>
              <w:rPr>
                <w:b/>
                <w:sz w:val="24"/>
                <w:rFonts w:ascii="Times New Roman" w:hAnsi="Times New Roman" w:cs="Times New Roman"/>
              </w:rPr>
            </w:pPr>
            <w:r>
              <w:rPr>
                <w:b/>
                <w:sz w:val="24"/>
                <w:rFonts w:ascii="Times New Roman" w:hAnsi="Times New Roman"/>
              </w:rPr>
              <w:t xml:space="preserve">Sor</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99870" w14:textId="77777777" w:rsidR="00D740B8" w:rsidRPr="008D71E9" w:rsidRDefault="00D740B8">
            <w:pPr>
              <w:rPr>
                <w:b/>
                <w:sz w:val="24"/>
                <w:rFonts w:ascii="Times New Roman" w:hAnsi="Times New Roman" w:cs="Times New Roman"/>
              </w:rPr>
            </w:pPr>
            <w:r>
              <w:rPr>
                <w:b/>
                <w:sz w:val="24"/>
                <w:rFonts w:ascii="Times New Roman" w:hAnsi="Times New Roman"/>
              </w:rPr>
              <w:t xml:space="preserve">Jogszabályi hivatkozások és útmutató</w:t>
            </w:r>
          </w:p>
        </w:tc>
      </w:tr>
      <w:tr w:rsidR="00D740B8" w:rsidRPr="008D71E9" w14:paraId="1AE63B2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254D68"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C1762DB"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Kamat-, lízing- és osztalékkomponens (ILDC)</w:t>
            </w:r>
            <w:r>
              <w:rPr>
                <w:b/>
                <w:sz w:val="24"/>
                <w:rFonts w:ascii="Times New Roman" w:hAnsi="Times New Roman"/>
              </w:rPr>
              <w:t xml:space="preserve"> </w:t>
            </w:r>
          </w:p>
          <w:p w14:paraId="78381763" w14:textId="2625CE0B" w:rsidR="00D740B8" w:rsidRPr="008D71E9" w:rsidRDefault="00D740B8">
            <w:pPr>
              <w:spacing w:before="60" w:after="120"/>
              <w:jc w:val="both"/>
              <w:rPr>
                <w:b/>
                <w:sz w:val="24"/>
                <w:rFonts w:ascii="Times New Roman" w:eastAsia="Times New Roman" w:hAnsi="Times New Roman" w:cs="Times New Roman"/>
              </w:rPr>
            </w:pPr>
            <w:r>
              <w:rPr>
                <w:sz w:val="24"/>
                <w:rFonts w:ascii="Times New Roman" w:hAnsi="Times New Roman"/>
              </w:rPr>
              <w:t xml:space="preserve">A kamat-, lízing- és osztalékkomponenst (ILDC) az 575/2013/EU rendelet 314. cikkének (2) bekezdésével összhangban kell kiszámítani, adott esetben az 575/2013/EU rendelet 314. cikkének (3) bekezdése szerint kiszámított összegekkel együtt.</w:t>
            </w:r>
            <w:r>
              <w:rPr>
                <w:sz w:val="24"/>
                <w:rFonts w:ascii="Times New Roman" w:hAnsi="Times New Roman"/>
              </w:rPr>
              <w:t xml:space="preserve"> </w:t>
            </w:r>
            <w:r>
              <w:rPr>
                <w:sz w:val="24"/>
                <w:rFonts w:ascii="Times New Roman" w:hAnsi="Times New Roman"/>
              </w:rPr>
              <w:t xml:space="preserve">Ha az intézmény az 575/2013/EU rendelet 314. cikkének (4) bekezdésében említett eltérés hatálya alá tartozik, akkor nem veszi figyelembe a lakossági banki és a kereskedelmi banki üzletág számadatait.</w:t>
            </w:r>
          </w:p>
        </w:tc>
      </w:tr>
      <w:tr w:rsidR="00456F97" w:rsidRPr="008D71E9" w14:paraId="2142E78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650228B" w14:textId="2F42AD3B" w:rsidR="00456F97" w:rsidRPr="008D71E9" w:rsidRDefault="00E03FA1">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AED9357" w14:textId="2BE8631A" w:rsidR="00456F97" w:rsidRPr="008D71E9" w:rsidRDefault="00E2624F">
            <w:pPr>
              <w:spacing w:before="60" w:after="120"/>
              <w:jc w:val="both"/>
              <w:rPr>
                <w:b/>
                <w:sz w:val="24"/>
                <w:rFonts w:ascii="Times New Roman" w:eastAsia="Times New Roman" w:hAnsi="Times New Roman" w:cs="Times New Roman"/>
              </w:rPr>
            </w:pPr>
            <w:r>
              <w:rPr>
                <w:b/>
                <w:sz w:val="24"/>
                <w:rFonts w:ascii="Times New Roman" w:hAnsi="Times New Roman"/>
              </w:rPr>
              <w:t xml:space="preserve">Az egyes intézményhez/konszolidált csoporthoz kapcsolódó kamat-, lízing- és osztalékkomponens (a 314. cikk (3) bekezdésében figyelembe vett szervezetek kivételével)</w:t>
            </w:r>
          </w:p>
          <w:p w14:paraId="3B4A0231" w14:textId="6A33703B" w:rsidR="00E2624F" w:rsidRPr="008D71E9" w:rsidRDefault="00E2624F" w:rsidP="00413B96">
            <w:pPr>
              <w:rPr>
                <w:color w:val="000000" w:themeColor="text1"/>
                <w:sz w:val="24"/>
                <w:rFonts w:ascii="Times New Roman" w:hAnsi="Times New Roman"/>
              </w:rPr>
            </w:pPr>
            <w:r>
              <w:rPr>
                <w:sz w:val="24"/>
                <w:rFonts w:ascii="Times New Roman" w:hAnsi="Times New Roman"/>
              </w:rPr>
              <w:t xml:space="preserve">Az 575/2013/EU rendelet 314. cikkének (2) bekezdésével összhangban kiszámított kamat-, lízing- és osztalékkomponens (ILDC), az 575/2013/EU rendelet 314. cikkének (3) bekezdése szerinti eltérés alkalmazása esetén az ILDC számításának részét képező érintett számadatok nélkül.</w:t>
            </w:r>
          </w:p>
        </w:tc>
      </w:tr>
      <w:tr w:rsidR="00D740B8" w:rsidRPr="008D71E9" w14:paraId="687AA3E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D775F19"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787EA18"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Kamat- és lízingbevétel</w:t>
            </w:r>
          </w:p>
          <w:p w14:paraId="742C7468" w14:textId="52553B06" w:rsidR="00D740B8" w:rsidRPr="008D71E9" w:rsidRDefault="00D740B8">
            <w:pPr>
              <w:rPr>
                <w:sz w:val="24"/>
                <w:rFonts w:ascii="Times New Roman" w:eastAsia="Times New Roman" w:hAnsi="Times New Roman" w:cs="Times New Roman"/>
              </w:rPr>
            </w:pPr>
            <w:r>
              <w:rPr>
                <w:sz w:val="24"/>
                <w:rFonts w:ascii="Times New Roman" w:hAnsi="Times New Roman"/>
              </w:rPr>
              <w:t xml:space="preserve">Az összes pénzügyi eszközből származó kamatbevételnek, a lízingeszközökből származó egyéb jövedelemnek és a lízingeszközökből származó nyereségnek az összege az (EU) 2021/451 végrehajtási rendelet V. mellékletével összhangban, adott esetben az 575/2013/EU rendelet 314. cikkének (3) bekezdése szerint kiszámított összegekkel együtt.</w:t>
            </w:r>
            <w:r>
              <w:rPr>
                <w:sz w:val="24"/>
                <w:rFonts w:ascii="Times New Roman" w:hAnsi="Times New Roman"/>
              </w:rPr>
              <w:t xml:space="preserve">  </w:t>
            </w:r>
          </w:p>
        </w:tc>
      </w:tr>
      <w:tr w:rsidR="00D740B8" w:rsidRPr="008D71E9" w14:paraId="07825B9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3EDD05F"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55F99FE"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Kamat- és lízingráfordítás</w:t>
            </w:r>
          </w:p>
          <w:p w14:paraId="0FA351B6" w14:textId="0A358A40" w:rsidR="00D740B8" w:rsidRPr="008D71E9" w:rsidRDefault="00D740B8">
            <w:pPr>
              <w:rPr>
                <w:sz w:val="24"/>
                <w:rFonts w:ascii="Times New Roman" w:eastAsia="Times New Roman" w:hAnsi="Times New Roman" w:cs="Times New Roman"/>
              </w:rPr>
            </w:pPr>
            <w:r>
              <w:rPr>
                <w:sz w:val="24"/>
                <w:rFonts w:ascii="Times New Roman" w:hAnsi="Times New Roman"/>
              </w:rPr>
              <w:t xml:space="preserve">Az összes pénzügyi kötelezettséggel kapcsolatos kamatráfordításnak, a lízingeszközökkel kapcsolatos egyéb ráfordításoknak, és a lízingeszközökkel kapcsolatos veszteségeknek, értékcsökkenésnek értékvesztésnek az összege az (EU) 2021/451 bizottsági végrehajtási rendelet V. mellékletében említettek szerint, adott esetben az 575/2013/EU rendelet 314. cikkének (3) bekezdése szerint kiszámított összegekkel együtt.</w:t>
            </w:r>
            <w:r>
              <w:rPr>
                <w:sz w:val="24"/>
                <w:rFonts w:ascii="Times New Roman" w:hAnsi="Times New Roman"/>
              </w:rPr>
              <w:t xml:space="preserve">  </w:t>
            </w:r>
          </w:p>
        </w:tc>
      </w:tr>
      <w:tr w:rsidR="00D740B8" w:rsidRPr="008D71E9" w14:paraId="49B58D8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0019E7"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1EE844B" w14:textId="4DD74F59" w:rsidR="00D740B8" w:rsidRPr="008D71E9" w:rsidRDefault="00B76736">
            <w:pPr>
              <w:spacing w:before="60" w:after="120"/>
              <w:jc w:val="both"/>
              <w:rPr>
                <w:rStyle w:val="InstructionsTabelleberschrift"/>
                <w:sz w:val="24"/>
                <w:u w:val="none"/>
                <w:rFonts w:ascii="Times New Roman" w:eastAsia="Times New Roman" w:hAnsi="Times New Roman"/>
              </w:rPr>
            </w:pPr>
            <w:r>
              <w:rPr>
                <w:rStyle w:val="InstructionsTabelleberschrift"/>
                <w:sz w:val="24"/>
                <w:u w:val="none"/>
                <w:rFonts w:ascii="Times New Roman" w:hAnsi="Times New Roman"/>
              </w:rPr>
              <w:t xml:space="preserve">Eszközök összesen/eszközkomponens</w:t>
            </w:r>
            <w:r>
              <w:rPr>
                <w:rStyle w:val="InstructionsTabelleberschrift"/>
                <w:sz w:val="24"/>
                <w:u w:val="none"/>
                <w:rFonts w:ascii="Times New Roman" w:hAnsi="Times New Roman"/>
              </w:rPr>
              <w:t xml:space="preserve"> </w:t>
            </w:r>
          </w:p>
          <w:p w14:paraId="15501679" w14:textId="5BCDFDC6" w:rsidR="00D740B8" w:rsidRPr="008D71E9" w:rsidRDefault="00B76736">
            <w:pPr>
              <w:spacing w:before="60" w:after="120"/>
              <w:jc w:val="both"/>
              <w:rPr>
                <w:sz w:val="24"/>
                <w:rFonts w:ascii="Times New Roman" w:eastAsia="Times New Roman" w:hAnsi="Times New Roman" w:cs="Times New Roman"/>
              </w:rPr>
            </w:pPr>
            <w:r>
              <w:rPr>
                <w:sz w:val="24"/>
                <w:rFonts w:ascii="Times New Roman" w:hAnsi="Times New Roman"/>
              </w:rPr>
              <w:t xml:space="preserve">A „d” oszlopban az 575/2013/EU rendelet 314. cikke (2) bekezdésének megfelelően kiszámított eszközkomponens szerepel.</w:t>
            </w:r>
            <w:r>
              <w:rPr>
                <w:sz w:val="24"/>
                <w:rFonts w:ascii="Times New Roman" w:hAnsi="Times New Roman"/>
              </w:rPr>
              <w:t xml:space="preserve"> </w:t>
            </w:r>
          </w:p>
          <w:p w14:paraId="65FF56C9" w14:textId="3B0DD3E9" w:rsidR="004E3E86" w:rsidRPr="008D71E9" w:rsidRDefault="003E3201" w:rsidP="00373F9D">
            <w:pPr>
              <w:rPr>
                <w:sz w:val="24"/>
                <w:rFonts w:ascii="Times New Roman" w:hAnsi="Times New Roman"/>
              </w:rPr>
            </w:pPr>
            <w:r>
              <w:rPr>
                <w:sz w:val="24"/>
                <w:rFonts w:ascii="Times New Roman" w:hAnsi="Times New Roman"/>
              </w:rPr>
              <w:t xml:space="preserve">A többi oszlopban az „eszközök összesen” a központi bankokkal szembeni számlakövetelések és egyéb látra szóló betétek, hitelviszonyt megtestesítő értékpapírok, hitelek és előlegek bruttó könyv szerinti értékének, valamint a származtatott ügyletek (kereskedési célú ügyletek és gazdasági fedezeti ügyletek és fedezeti elszámolások) és a lízing tárgyát képező eszközök (tárgyi és immateriális eszközök) könyv szerinti értékének az összegével egyenlő.</w:t>
            </w:r>
            <w:r>
              <w:rPr>
                <w:sz w:val="24"/>
                <w:rFonts w:ascii="Times New Roman" w:hAnsi="Times New Roman"/>
              </w:rPr>
              <w:t xml:space="preserve"> </w:t>
            </w:r>
            <w:r>
              <w:rPr>
                <w:sz w:val="24"/>
                <w:rFonts w:ascii="Times New Roman" w:hAnsi="Times New Roman"/>
              </w:rPr>
              <w:t xml:space="preserve">Az (EU) 2021/451 bizottsági végrehajtási rendelet V. mellékletében említett tételek, adott esetben az 575/2013/EU rendelet 314. cikkének (3) bekezdése szerint kiszámított összegekkel együtt.</w:t>
            </w:r>
            <w:r>
              <w:rPr>
                <w:sz w:val="24"/>
                <w:rFonts w:ascii="Times New Roman" w:hAnsi="Times New Roman"/>
              </w:rPr>
              <w:t xml:space="preserve">   </w:t>
            </w:r>
          </w:p>
          <w:p w14:paraId="2655EEC4" w14:textId="6116BB66" w:rsidR="00BC1F18" w:rsidRPr="008D71E9" w:rsidRDefault="00BC1F18" w:rsidP="00BC1F18">
            <w:pPr>
              <w:rPr>
                <w:rFonts w:ascii="Times New Roman" w:hAnsi="Times New Roman"/>
                <w:sz w:val="24"/>
              </w:rPr>
            </w:pPr>
          </w:p>
        </w:tc>
      </w:tr>
      <w:tr w:rsidR="00D740B8" w:rsidRPr="008D71E9" w14:paraId="431D95B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504247A"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F83663" w14:textId="03959A67" w:rsidR="00D740B8" w:rsidRPr="008D71E9" w:rsidRDefault="00B76736">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Osztalékbevétel/osztalékkomponens</w:t>
            </w:r>
          </w:p>
          <w:p w14:paraId="1A066B7B" w14:textId="7F67417D" w:rsidR="00D740B8" w:rsidRPr="008D71E9" w:rsidRDefault="00B76736" w:rsidP="004E3E86">
            <w:pPr>
              <w:spacing w:before="60" w:after="120"/>
              <w:jc w:val="both"/>
              <w:rPr>
                <w:sz w:val="24"/>
                <w:rFonts w:ascii="Times New Roman" w:eastAsia="Times New Roman" w:hAnsi="Times New Roman" w:cs="Times New Roman"/>
              </w:rPr>
            </w:pPr>
            <w:r>
              <w:rPr>
                <w:sz w:val="24"/>
                <w:rFonts w:ascii="Times New Roman" w:hAnsi="Times New Roman"/>
              </w:rPr>
              <w:t xml:space="preserve">A „d” oszlopban az 575/2013/EU rendelet 314. cikke (2) bekezdésének megfelelően kiszámított osztalékkomponens szerepel.</w:t>
            </w:r>
            <w:r>
              <w:rPr>
                <w:sz w:val="24"/>
                <w:rFonts w:ascii="Times New Roman" w:hAnsi="Times New Roman"/>
              </w:rPr>
              <w:t xml:space="preserve"> </w:t>
            </w:r>
          </w:p>
          <w:p w14:paraId="3F4B342E" w14:textId="6E4867AC" w:rsidR="004E3E86" w:rsidRPr="008D71E9" w:rsidRDefault="004E3E86" w:rsidP="004E3E86">
            <w:pPr>
              <w:rPr>
                <w:sz w:val="24"/>
                <w:rFonts w:ascii="Times New Roman" w:hAnsi="Times New Roman"/>
              </w:rPr>
            </w:pPr>
            <w:r>
              <w:rPr>
                <w:sz w:val="24"/>
                <w:rFonts w:ascii="Times New Roman" w:hAnsi="Times New Roman"/>
              </w:rPr>
              <w:t xml:space="preserve">Az intézmények az (EU) 2021/451 bizottsági végrehajtási rendelet V. melléklete szerinti osztalékbevételt adják meg, adott esetben az 575/2013/EU rendelet 314. cikkének (3) bekezdése szerint kiszámított összegekkel együtt.</w:t>
            </w:r>
            <w:r>
              <w:rPr>
                <w:sz w:val="24"/>
                <w:rFonts w:ascii="Times New Roman" w:hAnsi="Times New Roman"/>
              </w:rPr>
              <w:t xml:space="preserve">  </w:t>
            </w:r>
          </w:p>
        </w:tc>
      </w:tr>
      <w:tr w:rsidR="003826D3" w:rsidRPr="008D71E9" w14:paraId="3A9CE2B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064302"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8458B47" w14:textId="77777777" w:rsidR="003826D3" w:rsidRPr="008D71E9" w:rsidRDefault="003826D3" w:rsidP="003826D3">
            <w:pPr>
              <w:spacing w:before="60" w:after="120"/>
              <w:jc w:val="both"/>
              <w:rPr>
                <w:b/>
                <w:sz w:val="24"/>
                <w:rFonts w:ascii="Times New Roman" w:eastAsia="Times New Roman" w:hAnsi="Times New Roman" w:cs="Times New Roman"/>
              </w:rPr>
            </w:pPr>
            <w:r>
              <w:rPr>
                <w:b/>
                <w:sz w:val="24"/>
                <w:rFonts w:ascii="Times New Roman" w:hAnsi="Times New Roman"/>
              </w:rPr>
              <w:t xml:space="preserve">Szolgáltatási komponens (SC)</w:t>
            </w:r>
            <w:r>
              <w:rPr>
                <w:b/>
                <w:sz w:val="24"/>
                <w:rFonts w:ascii="Times New Roman" w:hAnsi="Times New Roman"/>
              </w:rPr>
              <w:t xml:space="preserve"> </w:t>
            </w:r>
          </w:p>
          <w:p w14:paraId="2EFCFDAF" w14:textId="1BEFB0FF" w:rsidR="003826D3" w:rsidRPr="008D71E9" w:rsidRDefault="005E7C4C" w:rsidP="003826D3">
            <w:pPr>
              <w:spacing w:before="60" w:after="120"/>
              <w:jc w:val="both"/>
              <w:rPr>
                <w:rStyle w:val="InstructionsTabelleberschrift"/>
                <w:bCs w:val="0"/>
                <w:sz w:val="24"/>
                <w:rFonts w:ascii="Times New Roman" w:eastAsia="Times New Roman" w:hAnsi="Times New Roman"/>
              </w:rPr>
            </w:pPr>
            <w:r>
              <w:rPr>
                <w:sz w:val="24"/>
                <w:rFonts w:ascii="Times New Roman" w:hAnsi="Times New Roman"/>
              </w:rPr>
              <w:t xml:space="preserve">A szolgáltatási komponenst (SC) az 575/2013/EU rendelet 314. cikkének (5) bekezdése alapján kell kiszámítani.</w:t>
            </w:r>
            <w:r>
              <w:rPr>
                <w:sz w:val="24"/>
                <w:rFonts w:ascii="Times New Roman" w:hAnsi="Times New Roman"/>
              </w:rPr>
              <w:t xml:space="preserve"> </w:t>
            </w:r>
            <w:r>
              <w:rPr>
                <w:sz w:val="24"/>
                <w:rFonts w:ascii="Times New Roman" w:hAnsi="Times New Roman"/>
              </w:rPr>
              <w:t xml:space="preserve">Ha az intézmény az 575/2013/EU rendelet 314. cikkének (4) bekezdésében említett eltérés hatálya alá tartozik, akkor nem veszi figyelembe a lakossági banki és a kereskedelmi banki üzletág számadatait.</w:t>
            </w:r>
            <w:r>
              <w:rPr>
                <w:sz w:val="24"/>
                <w:rFonts w:ascii="Times New Roman" w:hAnsi="Times New Roman"/>
              </w:rPr>
              <w:t xml:space="preserve"> </w:t>
            </w:r>
          </w:p>
        </w:tc>
      </w:tr>
      <w:tr w:rsidR="003826D3" w:rsidRPr="008D71E9" w14:paraId="74CC77A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B24C8A"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62F1D9A" w14:textId="77777777" w:rsidR="003826D3" w:rsidRPr="008D71E9" w:rsidRDefault="003826D3" w:rsidP="003826D3">
            <w:pPr>
              <w:spacing w:before="60" w:after="120"/>
              <w:jc w:val="both"/>
              <w:rPr>
                <w:b/>
                <w:sz w:val="24"/>
                <w:rFonts w:ascii="Times New Roman" w:eastAsia="Times New Roman" w:hAnsi="Times New Roman" w:cs="Times New Roman"/>
              </w:rPr>
            </w:pPr>
            <w:r>
              <w:rPr>
                <w:b/>
                <w:sz w:val="24"/>
                <w:rFonts w:ascii="Times New Roman" w:hAnsi="Times New Roman"/>
              </w:rPr>
              <w:t xml:space="preserve">Díj- és jutalékbevétel</w:t>
            </w:r>
          </w:p>
          <w:p w14:paraId="388F841F" w14:textId="399AB0C3" w:rsidR="003826D3" w:rsidRPr="008D71E9" w:rsidRDefault="009816D6" w:rsidP="003826D3">
            <w:pPr>
              <w:spacing w:before="60" w:after="120"/>
              <w:jc w:val="both"/>
              <w:rPr>
                <w:rStyle w:val="InstructionsTabelleberschrift"/>
                <w:sz w:val="24"/>
                <w:rFonts w:ascii="Times New Roman" w:eastAsia="Times New Roman" w:hAnsi="Times New Roman"/>
              </w:rPr>
            </w:pPr>
            <w:r>
              <w:rPr>
                <w:sz w:val="24"/>
                <w:rFonts w:ascii="Times New Roman" w:hAnsi="Times New Roman"/>
              </w:rPr>
              <w:t xml:space="preserve">Az (EU) 2021/451 bizottsági végrehajtási rendelet V. mellékletében említett és az 575/2013/EU rendelet 314. cikkének (5) bekezdésével összhangban kiszámított díj- és jutalékbevételek.</w:t>
            </w:r>
          </w:p>
        </w:tc>
      </w:tr>
      <w:tr w:rsidR="003826D3" w:rsidRPr="008D71E9" w14:paraId="2067785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317D63A"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48259B2" w14:textId="77777777" w:rsidR="003826D3" w:rsidRPr="008D71E9" w:rsidRDefault="003826D3" w:rsidP="003826D3">
            <w:pPr>
              <w:spacing w:before="60" w:after="120"/>
              <w:jc w:val="both"/>
              <w:rPr>
                <w:b/>
                <w:sz w:val="24"/>
                <w:rFonts w:ascii="Times New Roman" w:eastAsia="Times New Roman" w:hAnsi="Times New Roman" w:cs="Times New Roman"/>
              </w:rPr>
            </w:pPr>
            <w:r>
              <w:rPr>
                <w:b/>
                <w:sz w:val="24"/>
                <w:rFonts w:ascii="Times New Roman" w:hAnsi="Times New Roman"/>
              </w:rPr>
              <w:t xml:space="preserve">Díj- és jutalékráfordítás</w:t>
            </w:r>
          </w:p>
          <w:p w14:paraId="37B7C759" w14:textId="77939277" w:rsidR="003826D3" w:rsidRPr="008D71E9" w:rsidRDefault="009816D6" w:rsidP="003826D3">
            <w:pPr>
              <w:spacing w:before="60" w:after="120"/>
              <w:jc w:val="both"/>
              <w:rPr>
                <w:rStyle w:val="InstructionsTabelleberschrift"/>
                <w:bCs w:val="0"/>
                <w:sz w:val="24"/>
                <w:rFonts w:ascii="Times New Roman" w:eastAsia="Times New Roman" w:hAnsi="Times New Roman"/>
              </w:rPr>
            </w:pPr>
            <w:r>
              <w:rPr>
                <w:sz w:val="24"/>
                <w:rFonts w:ascii="Times New Roman" w:hAnsi="Times New Roman"/>
              </w:rPr>
              <w:t xml:space="preserve">Az (EU) 2021/451 bizottsági végrehajtási rendelet V. mellékletében említett és az 575/2013/EU rendelet 314. cikkének (5) bekezdésével összhangban kiszámított díj- és jutalékráfordítások.</w:t>
            </w:r>
          </w:p>
        </w:tc>
      </w:tr>
      <w:tr w:rsidR="003826D3" w:rsidRPr="008D71E9" w14:paraId="56FE999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C7FDD92"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0640694" w14:textId="77777777" w:rsidR="003826D3" w:rsidRPr="008D71E9" w:rsidRDefault="003826D3" w:rsidP="003826D3">
            <w:pPr>
              <w:spacing w:before="60" w:after="120"/>
              <w:jc w:val="both"/>
              <w:rPr>
                <w:rStyle w:val="InstructionsTabelleberschrift"/>
                <w:sz w:val="24"/>
                <w:u w:val="none"/>
                <w:rFonts w:ascii="Times New Roman" w:eastAsia="Times New Roman" w:hAnsi="Times New Roman"/>
              </w:rPr>
            </w:pPr>
            <w:r>
              <w:rPr>
                <w:rStyle w:val="InstructionsTabelleberschrift"/>
                <w:sz w:val="24"/>
                <w:u w:val="none"/>
                <w:rFonts w:ascii="Times New Roman" w:hAnsi="Times New Roman"/>
              </w:rPr>
              <w:t xml:space="preserve">Egyéb működési bevétel</w:t>
            </w:r>
          </w:p>
          <w:p w14:paraId="035A399D" w14:textId="748A9DAE" w:rsidR="00671F1C" w:rsidRPr="008D71E9" w:rsidRDefault="009816D6" w:rsidP="003826D3">
            <w:pPr>
              <w:spacing w:before="60" w:after="120"/>
              <w:jc w:val="both"/>
              <w:rPr>
                <w:sz w:val="24"/>
                <w:rFonts w:ascii="Times New Roman" w:eastAsia="Times New Roman" w:hAnsi="Times New Roman" w:cs="Times New Roman"/>
              </w:rPr>
            </w:pPr>
            <w:r>
              <w:rPr>
                <w:sz w:val="24"/>
                <w:rFonts w:ascii="Times New Roman" w:hAnsi="Times New Roman"/>
              </w:rPr>
              <w:t xml:space="preserve">Az egyéb működési bevételek, köztük:</w:t>
            </w:r>
            <w:r>
              <w:rPr>
                <w:sz w:val="24"/>
                <w:rFonts w:ascii="Times New Roman" w:hAnsi="Times New Roman"/>
              </w:rPr>
              <w:t xml:space="preserve"> </w:t>
            </w:r>
            <w:r>
              <w:rPr>
                <w:sz w:val="24"/>
                <w:rFonts w:ascii="Times New Roman" w:hAnsi="Times New Roman"/>
              </w:rPr>
              <w:t xml:space="preserve">a megszűnt tevékenységeknek nem minősülő, értékesítésre tartottá minősített befektetett eszközökből és elidegenítési csoportokból származó nyereség (veszteség esetén az értéket nullának kell tekinteni), valamint az egyéb működési bevételek az (EU) 2021/451 bizottsági végrehajtási rendelet V. mellékletében említettek szerint, kivéve az operatív lízingekből származó bevételt és az (EU) 2021/451 rendelet 314. cikkének (7) bekezdése szerint meghatározott tételeket.</w:t>
            </w:r>
            <w:r>
              <w:rPr>
                <w:sz w:val="24"/>
                <w:rFonts w:ascii="Times New Roman" w:hAnsi="Times New Roman"/>
              </w:rPr>
              <w:t xml:space="preserve"> </w:t>
            </w:r>
          </w:p>
          <w:p w14:paraId="685D1BC1" w14:textId="3C43FE42" w:rsidR="003826D3" w:rsidRPr="008D71E9" w:rsidRDefault="00DE3384" w:rsidP="003826D3">
            <w:pPr>
              <w:spacing w:before="60" w:after="120"/>
              <w:jc w:val="both"/>
              <w:rPr>
                <w:rStyle w:val="InstructionsTabelleberschrift"/>
                <w:b w:val="0"/>
                <w:bCs w:val="0"/>
                <w:sz w:val="24"/>
                <w:u w:val="none"/>
                <w:rFonts w:ascii="Times New Roman" w:eastAsia="Times New Roman" w:hAnsi="Times New Roman"/>
              </w:rPr>
            </w:pPr>
            <w:r>
              <w:rPr>
                <w:sz w:val="24"/>
                <w:rFonts w:ascii="Times New Roman" w:hAnsi="Times New Roman"/>
              </w:rPr>
              <w:t xml:space="preserve">E sor összegét (SC) az 575/2013/EU rendelet 314. cikkének (5) bekezdése alapján kell kiszámítani.</w:t>
            </w:r>
          </w:p>
        </w:tc>
      </w:tr>
      <w:tr w:rsidR="003826D3" w:rsidRPr="008D71E9" w14:paraId="278E4D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0575E4C"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2C949AD" w14:textId="77777777" w:rsidR="003826D3" w:rsidRPr="008D71E9" w:rsidRDefault="003826D3" w:rsidP="003826D3">
            <w:pPr>
              <w:spacing w:before="60" w:after="120"/>
              <w:jc w:val="both"/>
              <w:rPr>
                <w:rStyle w:val="InstructionsTabelleberschrift"/>
                <w:sz w:val="24"/>
                <w:u w:val="none"/>
                <w:rFonts w:ascii="Times New Roman" w:eastAsia="Times New Roman" w:hAnsi="Times New Roman"/>
              </w:rPr>
            </w:pPr>
            <w:r>
              <w:rPr>
                <w:rStyle w:val="InstructionsTabelleberschrift"/>
                <w:sz w:val="24"/>
                <w:u w:val="none"/>
                <w:rFonts w:ascii="Times New Roman" w:hAnsi="Times New Roman"/>
              </w:rPr>
              <w:t xml:space="preserve">Egyéb működési kiadás</w:t>
            </w:r>
          </w:p>
          <w:p w14:paraId="4E633503" w14:textId="666616FA" w:rsidR="00543CE4" w:rsidRPr="008D71E9" w:rsidRDefault="009816D6" w:rsidP="003826D3">
            <w:pPr>
              <w:spacing w:before="60" w:after="120"/>
              <w:jc w:val="both"/>
              <w:rPr>
                <w:sz w:val="24"/>
                <w:rFonts w:ascii="Times New Roman" w:eastAsia="Times New Roman" w:hAnsi="Times New Roman" w:cs="Times New Roman"/>
              </w:rPr>
            </w:pPr>
            <w:r>
              <w:rPr>
                <w:sz w:val="24"/>
                <w:rFonts w:ascii="Times New Roman" w:hAnsi="Times New Roman"/>
              </w:rPr>
              <w:t xml:space="preserve">Az egyéb működési ráfordítások, köztük:</w:t>
            </w:r>
            <w:r>
              <w:rPr>
                <w:sz w:val="24"/>
                <w:rFonts w:ascii="Times New Roman" w:hAnsi="Times New Roman"/>
              </w:rPr>
              <w:t xml:space="preserve">  </w:t>
            </w:r>
            <w:r>
              <w:rPr>
                <w:sz w:val="24"/>
                <w:rFonts w:ascii="Times New Roman" w:hAnsi="Times New Roman"/>
              </w:rPr>
              <w:t xml:space="preserve">a megszűnt tevékenységeknek nem minősülő, értékesítésre tartottá minősített befektetett eszközökből és elidegenítési csoportokból származó veszteség (nyereség esetén az értéket nullának kell tekinteni); a működési kockázati eseményekkel és egyéb működési költségekkel kapcsolatos összes veszteség, ráfordítás, céltartalék és egyéb pénzügyi hatás, valamint az egyéb működési ráfordítások az (EU) 2021/451 bizottsági végrehajtási rendelet V. mellékletében említettek szerint, kivéve az e tábla más részeiben már nyilvánosságra hozott tételeket, különösen az operatív lízingekkel kapcsolatos ráfordításokat és az 575/2013/EU rendelet 314. cikkének (7) bekezdésében meghatározott tételeket.</w:t>
            </w:r>
            <w:r>
              <w:rPr>
                <w:sz w:val="24"/>
                <w:rFonts w:ascii="Times New Roman" w:hAnsi="Times New Roman"/>
              </w:rPr>
              <w:t xml:space="preserve"> </w:t>
            </w:r>
          </w:p>
          <w:p w14:paraId="6F1C30F0" w14:textId="6B1C9DD9" w:rsidR="003826D3" w:rsidRPr="008D71E9" w:rsidRDefault="00DE3384" w:rsidP="003826D3">
            <w:pPr>
              <w:spacing w:before="60" w:after="120"/>
              <w:jc w:val="both"/>
              <w:rPr>
                <w:rStyle w:val="InstructionsTabelleberschrift"/>
                <w:sz w:val="24"/>
                <w:rFonts w:ascii="Times New Roman" w:eastAsia="Times New Roman" w:hAnsi="Times New Roman"/>
              </w:rPr>
            </w:pPr>
            <w:r>
              <w:rPr>
                <w:sz w:val="24"/>
                <w:rFonts w:ascii="Times New Roman" w:hAnsi="Times New Roman"/>
              </w:rPr>
              <w:t xml:space="preserve">E sor összegét (SC) az 575/2013/EU rendelet 314. cikkének (5) bekezdése alapján kell kiszámítani.</w:t>
            </w:r>
          </w:p>
        </w:tc>
      </w:tr>
      <w:tr w:rsidR="003826D3" w:rsidRPr="008D71E9" w14:paraId="7FA7A9F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4E87AB3"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5B7EDDC"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Pénzügyi komponens (FC)</w:t>
            </w:r>
          </w:p>
          <w:p w14:paraId="1C2CD9AE" w14:textId="16B8F7FC" w:rsidR="003826D3" w:rsidRPr="008D71E9" w:rsidRDefault="00DE3384" w:rsidP="003826D3">
            <w:pPr>
              <w:spacing w:before="60" w:after="120"/>
              <w:jc w:val="both"/>
              <w:rPr>
                <w:rStyle w:val="InstructionsTabelleberschrift"/>
                <w:b w:val="0"/>
                <w:bCs w:val="0"/>
                <w:sz w:val="24"/>
                <w:u w:val="none"/>
                <w:rFonts w:ascii="Times New Roman" w:eastAsia="Times New Roman" w:hAnsi="Times New Roman"/>
              </w:rPr>
            </w:pPr>
            <w:r>
              <w:rPr>
                <w:sz w:val="24"/>
                <w:rStyle w:val="InstructionsTabelleberschrift"/>
                <w:b w:val="0"/>
                <w:u w:val="none"/>
                <w:rFonts w:ascii="Times New Roman" w:hAnsi="Times New Roman"/>
              </w:rPr>
              <w:t xml:space="preserve">A pénzügyi komponenst (FC) az 575/2013/EU rendelet 314. cikkének (6) bekezdése alapján kell kiszámítani.</w:t>
            </w:r>
            <w:r>
              <w:rPr>
                <w:sz w:val="24"/>
                <w:rStyle w:val="InstructionsTabelleberschrift"/>
                <w:b w:val="0"/>
                <w:u w:val="none"/>
                <w:rFonts w:ascii="Times New Roman" w:hAnsi="Times New Roman"/>
              </w:rPr>
              <w:t xml:space="preserve"> </w:t>
            </w:r>
            <w:r>
              <w:rPr>
                <w:sz w:val="24"/>
                <w:rFonts w:ascii="Times New Roman" w:hAnsi="Times New Roman"/>
              </w:rPr>
              <w:t xml:space="preserve">Ha az intézmény az 575/2013/EU rendelet 314. cikkének (4) bekezdésében említett eltérés hatálya alá tartozik, akkor nem veszi figyelembe a lakossági banki és a kereskedelmi banki üzletág számadatait.</w:t>
            </w:r>
          </w:p>
        </w:tc>
      </w:tr>
      <w:tr w:rsidR="003826D3" w:rsidRPr="008D71E9" w14:paraId="2B14924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3187E8"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37BB41" w14:textId="6F0E6551"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A kereskedési könyvre (TB) alkalmazandó nettó nyereség vagy veszteség</w:t>
            </w:r>
          </w:p>
          <w:p w14:paraId="4E177CA3" w14:textId="3117C8C9"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Az (EU) 2021/451 bizottsági végrehajtási rendelet IV. mellékletének F 02.00 „Eredménykimutatás” táblájában szereplő tételek alapján kiszámított, a kereskedési könyvre alkalmazandó nettó nyereség vagy veszteség.</w:t>
            </w:r>
          </w:p>
          <w:p w14:paraId="761552C0" w14:textId="787E8881" w:rsidR="001E5563" w:rsidRPr="008D71E9" w:rsidRDefault="001E5563" w:rsidP="00C65626">
            <w:pPr>
              <w:pStyle w:val="paragraph"/>
              <w:textAlignment w:val="baseline"/>
              <w:rPr>
                <w:rStyle w:val="InstructionsTabelleberschrift"/>
                <w:rFonts w:ascii="Segoe UI" w:hAnsi="Segoe UI" w:cs="Segoe UI"/>
              </w:rPr>
            </w:pPr>
            <w:r>
              <w:t xml:space="preserve">Az 575/2013/EU rendelet 314. cikkének (6) bekezdésével összhangban az utolsó három pénzügyi év mindegyike tekintetében nyilvánosságra hozandó értékek a kereskedési könyvi és banki könyvi tételek azonosítására szolgáló számviteli határ vagy prudenciális határ (PBA) alkalmazásával meghatározott számviteli értékeket tükrözik.</w:t>
            </w:r>
            <w:r>
              <w:rPr>
                <w:rStyle w:val="normaltextrun"/>
              </w:rPr>
              <w:t xml:space="preserve"> </w:t>
            </w:r>
            <w:r>
              <w:t xml:space="preserve"> </w:t>
            </w:r>
          </w:p>
        </w:tc>
      </w:tr>
      <w:tr w:rsidR="003826D3" w:rsidRPr="008D71E9" w14:paraId="769832B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F3C7174"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CD949CD" w14:textId="505506A8"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A nem kereskedési könyvre (BB) alkalmazandó nettó nyereség vagy veszteség</w:t>
            </w:r>
          </w:p>
          <w:p w14:paraId="16F13570" w14:textId="2B0892A5"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Az (EU) 2021/451 bizottsági végrehajtási rendelet IV. mellékletének F 02.00 „Eredménykimutatás” táblájában szereplő tételek alapján kiszámított, a banki könyvre alkalmazandó nettó nyereség vagy veszteség.</w:t>
            </w:r>
          </w:p>
          <w:p w14:paraId="3E9BB5BF" w14:textId="02EE9697" w:rsidR="003826D3" w:rsidRPr="008D71E9" w:rsidRDefault="001E5563" w:rsidP="003826D3">
            <w:pPr>
              <w:pStyle w:val="paragraph"/>
              <w:textAlignment w:val="baseline"/>
              <w:rPr>
                <w:rStyle w:val="InstructionsTabelleberschrift"/>
                <w:rFonts w:ascii="Segoe UI" w:hAnsi="Segoe UI" w:cs="Segoe UI"/>
              </w:rPr>
            </w:pPr>
            <w:r>
              <w:t xml:space="preserve">Az 575/2013/EU rendelet 314. cikkének (6) bekezdésével összhangban az utolsó három pénzügyi év mindegyike tekintetében nyilvánosságra hozandó értékek a kereskedési könyvi és banki könyvi tételek azonosítására szolgáló számviteli határ vagy prudenciális határ (PBA) alkalmazásával meghatározott számviteli értékeket tükrözik.</w:t>
            </w:r>
          </w:p>
        </w:tc>
      </w:tr>
      <w:tr w:rsidR="003826D3" w:rsidRPr="008D71E9" w14:paraId="4C01E0E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7DF21AD"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EU 3c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61BB97F" w14:textId="198C3BBA" w:rsidR="003826D3" w:rsidRPr="008D71E9" w:rsidRDefault="008C3E6A"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A TB/BB határ meghatározásához alkalmazott megközelítés (PBA vagy számviteli megközelítés)</w:t>
            </w:r>
          </w:p>
          <w:p w14:paraId="00A81A34" w14:textId="0A7D6D1A"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Az FC meghatározásához a nyilvánosságra hozatali vonatkozási időpontban alkalmazott megközelítés:</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számviteli vagy prudenciális besorolás (PBA).</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A megközelítést következetesen kell alkalmazni az utolsó három pénzügyi év tekintetében nyilvánosságra hozott összegek esetében.</w:t>
            </w:r>
          </w:p>
        </w:tc>
      </w:tr>
      <w:tr w:rsidR="003826D3" w:rsidRPr="008D71E9" w14:paraId="130758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F1EF276"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4882AA"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Üzleti mutató (BI)</w:t>
            </w:r>
          </w:p>
          <w:p w14:paraId="35C99FE1" w14:textId="0AFECB29"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sz w:val="24"/>
                <w:rFonts w:ascii="Times New Roman" w:hAnsi="Times New Roman"/>
              </w:rPr>
              <w:t xml:space="preserve">Az 575/2013/EU rendelet 314. cikkének (1) bekezdése szerint számított BI, amely az ILDC, az SC és az FC komponens összege.</w:t>
            </w:r>
          </w:p>
        </w:tc>
      </w:tr>
      <w:tr w:rsidR="003826D3" w:rsidRPr="008D71E9" w14:paraId="45662CD2"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E29C54"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F93F910" w14:textId="77777777" w:rsidR="003826D3" w:rsidRPr="008D71E9" w:rsidRDefault="003826D3" w:rsidP="003826D3">
            <w:pPr>
              <w:spacing w:before="60" w:after="120"/>
              <w:jc w:val="both"/>
              <w:rPr>
                <w:rStyle w:val="InstructionsTabelleberschrift"/>
                <w:sz w:val="24"/>
                <w:u w:val="none"/>
                <w:rFonts w:ascii="Times New Roman" w:eastAsia="Times New Roman" w:hAnsi="Times New Roman"/>
              </w:rPr>
            </w:pPr>
            <w:r>
              <w:rPr>
                <w:rStyle w:val="InstructionsTabelleberschrift"/>
                <w:sz w:val="24"/>
                <w:u w:val="none"/>
                <w:rFonts w:ascii="Times New Roman" w:hAnsi="Times New Roman"/>
              </w:rPr>
              <w:t xml:space="preserve">Üzletimutató-komponens (BIC)</w:t>
            </w:r>
          </w:p>
          <w:p w14:paraId="4AC6BDA5" w14:textId="5507A684"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sz w:val="24"/>
                <w:rFonts w:ascii="Times New Roman" w:hAnsi="Times New Roman"/>
              </w:rPr>
              <w:t xml:space="preserve">Az 575/2013/EU rendelet 313. cikkével összhangban számított BIC.</w:t>
            </w:r>
            <w:r>
              <w:rPr>
                <w:sz w:val="24"/>
                <w:rFonts w:ascii="Times New Roman" w:hAnsi="Times New Roman"/>
              </w:rPr>
              <w:t xml:space="preserve"> </w:t>
            </w:r>
          </w:p>
        </w:tc>
      </w:tr>
      <w:tr w:rsidR="003826D3" w:rsidRPr="008D71E9" w14:paraId="246D346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D251DF"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6a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E9BD331"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Az üzleti mutató a kizárt leválasztott tevékenységek figyelembevételével</w:t>
            </w:r>
          </w:p>
          <w:p w14:paraId="4B01F051" w14:textId="6AEF7EE6"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sz w:val="24"/>
                <w:rFonts w:ascii="Times New Roman" w:hAnsi="Times New Roman"/>
              </w:rPr>
              <w:t xml:space="preserve">A BI összege az 575/2013/EU rendelet 315. cikkének (2) bekezdésével összhangban kiszámított kizárt elidegenített tevékenységekkel együtt.</w:t>
            </w:r>
            <w:r>
              <w:rPr>
                <w:sz w:val="24"/>
                <w:rStyle w:val="InstructionsTabelleberschrift"/>
                <w:b w:val="0"/>
                <w:u w:val="none"/>
                <w:rFonts w:ascii="Times New Roman" w:hAnsi="Times New Roman"/>
              </w:rPr>
              <w:t xml:space="preserve"> </w:t>
            </w:r>
          </w:p>
        </w:tc>
      </w:tr>
      <w:tr w:rsidR="003826D3" w:rsidRPr="008D71E9" w14:paraId="6ADC8B4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7F6F18"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6b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FD596E1"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Az üzleti mutató csökkenése a kizárt leválasztott tevékenységek miatt</w:t>
            </w:r>
          </w:p>
          <w:p w14:paraId="100A0132" w14:textId="636B5EF6"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Az elidegenített tevékenységekkel együtt számított BI (6a. sor) és a teljes BI (4. sor) különbsége.</w:t>
            </w:r>
            <w:r>
              <w:rPr>
                <w:rStyle w:val="InstructionsTabelleberschrift"/>
                <w:b w:val="0"/>
                <w:sz w:val="24"/>
                <w:u w:val="none"/>
                <w:rFonts w:ascii="Times New Roman" w:hAnsi="Times New Roman"/>
              </w:rPr>
              <w:t xml:space="preserve"> </w:t>
            </w:r>
          </w:p>
        </w:tc>
      </w:tr>
      <w:tr w:rsidR="003826D3" w:rsidRPr="008D71E9" w14:paraId="66494CD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9D7A112"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EU 6c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04B02A2"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A fúziók/felvásárlások hatása az üzleti mutatóra</w:t>
            </w:r>
          </w:p>
          <w:p w14:paraId="68B0EB8C" w14:textId="39D74825"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A BI azon komponenseinek megfelelő, az 575/2013/EU rendelet 315. cikkének (1) bekezdésében említettek szerint kiszámított összeg, amelyek egyesített vagy felvásárolt szervezetekből vagy tevékenységekből származnak.</w:t>
            </w:r>
          </w:p>
        </w:tc>
      </w:tr>
    </w:tbl>
    <w:p w14:paraId="2517003F" w14:textId="77777777" w:rsidR="00D740B8" w:rsidRPr="008D71E9" w:rsidRDefault="00D740B8" w:rsidP="00D740B8">
      <w:pPr>
        <w:pStyle w:val="numberedparagraph"/>
        <w:numPr>
          <w:ilvl w:val="0"/>
          <w:numId w:val="0"/>
        </w:numPr>
        <w:ind w:left="284" w:hanging="284"/>
        <w:rPr>
          <w:rFonts w:ascii="Times New Roman" w:eastAsia="Arial" w:hAnsi="Times New Roman" w:cs="Times New Roman"/>
          <w:sz w:val="24"/>
        </w:rPr>
      </w:pPr>
    </w:p>
    <w:p w14:paraId="7E7146AD" w14:textId="1649FBD5" w:rsidR="00D740B8" w:rsidRPr="008D71E9" w:rsidRDefault="00D740B8" w:rsidP="00D740B8">
      <w:pPr>
        <w:jc w:val="both"/>
        <w:rPr>
          <w:bCs/>
          <w:sz w:val="24"/>
          <w:rFonts w:ascii="Times New Roman" w:hAnsi="Times New Roman" w:cs="Times New Roman"/>
        </w:rPr>
      </w:pPr>
      <w:r>
        <w:rPr>
          <w:sz w:val="24"/>
          <w:b/>
          <w:rFonts w:ascii="Times New Roman" w:hAnsi="Times New Roman"/>
        </w:rPr>
        <w:t xml:space="preserve">EU OR3 tábla – A működési kockázathoz kapcsolódó szavatolótőke-követelmények és kockázati kitettségértékek</w:t>
      </w:r>
      <w:r>
        <w:rPr>
          <w:sz w:val="24"/>
          <w:b/>
          <w:rFonts w:ascii="Times New Roman" w:hAnsi="Times New Roman"/>
        </w:rPr>
        <w:t xml:space="preserve"> </w:t>
      </w:r>
      <w:r>
        <w:rPr>
          <w:sz w:val="24"/>
          <w:rFonts w:ascii="Times New Roman" w:hAnsi="Times New Roman"/>
        </w:rPr>
        <w:t xml:space="preserve">Kötött formátumú tábla.</w:t>
      </w:r>
    </w:p>
    <w:p w14:paraId="5AB15A39" w14:textId="77777777" w:rsidR="00D740B8" w:rsidRPr="008D71E9" w:rsidRDefault="00D740B8" w:rsidP="00D740B8">
      <w:pPr>
        <w:ind w:left="360"/>
        <w:jc w:val="both"/>
        <w:rPr>
          <w:rFonts w:ascii="Times New Roman" w:hAnsi="Times New Roman" w:cs="Times New Roman"/>
          <w:bCs/>
          <w:sz w:val="24"/>
        </w:rPr>
      </w:pPr>
    </w:p>
    <w:p w14:paraId="60DF34D1" w14:textId="5D91AE75" w:rsidR="00D740B8" w:rsidRPr="008D71E9" w:rsidRDefault="00D740B8" w:rsidP="00D740B8">
      <w:pPr>
        <w:numPr>
          <w:ilvl w:val="0"/>
          <w:numId w:val="1"/>
        </w:numPr>
        <w:jc w:val="both"/>
        <w:rPr>
          <w:sz w:val="24"/>
          <w:rFonts w:ascii="Times New Roman" w:hAnsi="Times New Roman" w:cs="Times New Roman"/>
        </w:rPr>
      </w:pPr>
      <w:r>
        <w:rPr>
          <w:sz w:val="24"/>
          <w:rFonts w:ascii="Times New Roman" w:hAnsi="Times New Roman"/>
        </w:rPr>
        <w:t xml:space="preserve">Az intézmények az 575/2013/EU rendelet 446. cikke (1) bekezdése b) pontjának alkalmazásában nyilvánosságra hozzák az EU OR3 táblában foglalt információkat.</w:t>
      </w:r>
      <w:r>
        <w:rPr>
          <w:sz w:val="24"/>
          <w:rFonts w:ascii="Times New Roman" w:hAnsi="Times New Roman"/>
        </w:rPr>
        <w:t xml:space="preserve"> </w:t>
      </w:r>
      <w:r>
        <w:rPr>
          <w:sz w:val="24"/>
          <w:rFonts w:ascii="Times New Roman" w:hAnsi="Times New Roman"/>
        </w:rPr>
        <w:t xml:space="preserve">Ez a tábla a működési kockázathoz kapcsolódó szavatolótőke-követelményeknek az 575/2013/EU rendelet 312–315. cikke szerinti kiszámításáról nyújt információkat.</w:t>
      </w:r>
      <w:r>
        <w:rPr>
          <w:sz w:val="24"/>
          <w:rFonts w:ascii="Times New Roman" w:hAnsi="Times New Roman"/>
        </w:rPr>
        <w:t xml:space="preserve"> </w:t>
      </w:r>
    </w:p>
    <w:p w14:paraId="6DFA1648" w14:textId="77777777" w:rsidR="00D740B8" w:rsidRPr="008D71E9" w:rsidRDefault="00D740B8" w:rsidP="00D740B8">
      <w:pPr>
        <w:ind w:left="360"/>
        <w:jc w:val="both"/>
        <w:rPr>
          <w:rFonts w:ascii="Times New Roman" w:hAnsi="Times New Roman" w:cs="Times New Roman"/>
          <w:bCs/>
          <w:sz w:val="24"/>
        </w:rPr>
      </w:pPr>
    </w:p>
    <w:p w14:paraId="2E35B8A0" w14:textId="77777777" w:rsidR="00D740B8" w:rsidRPr="008D71E9" w:rsidRDefault="00D740B8" w:rsidP="00D740B8">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F42A4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F89E53" w14:textId="77777777" w:rsidR="00D740B8" w:rsidRPr="008D71E9" w:rsidRDefault="00D740B8">
            <w:pPr>
              <w:autoSpaceDE w:val="0"/>
              <w:autoSpaceDN w:val="0"/>
              <w:adjustRightInd w:val="0"/>
              <w:rPr>
                <w:b/>
                <w:sz w:val="24"/>
                <w:rFonts w:ascii="Times New Roman" w:hAnsi="Times New Roman" w:cs="Times New Roman"/>
              </w:rPr>
            </w:pPr>
            <w:r>
              <w:rPr>
                <w:b/>
                <w:sz w:val="24"/>
                <w:rFonts w:ascii="Times New Roman" w:hAnsi="Times New Roman"/>
              </w:rPr>
              <w:t xml:space="preserve">Sor</w:t>
            </w:r>
            <w:r>
              <w:rPr>
                <w:b/>
                <w:sz w:val="24"/>
                <w:rFonts w:ascii="Times New Roman" w:hAnsi="Times New Roman"/>
              </w:rPr>
              <w:t xml:space="preserve">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ECBF1" w14:textId="77777777" w:rsidR="00D740B8" w:rsidRPr="008D71E9" w:rsidRDefault="00D740B8">
            <w:pPr>
              <w:rPr>
                <w:b/>
                <w:sz w:val="24"/>
                <w:rFonts w:ascii="Times New Roman" w:hAnsi="Times New Roman" w:cs="Times New Roman"/>
              </w:rPr>
            </w:pPr>
            <w:r>
              <w:rPr>
                <w:b/>
                <w:sz w:val="24"/>
                <w:rFonts w:ascii="Times New Roman" w:hAnsi="Times New Roman"/>
              </w:rPr>
              <w:t xml:space="preserve">Magyarázat</w:t>
            </w:r>
          </w:p>
        </w:tc>
      </w:tr>
      <w:tr w:rsidR="00D740B8" w:rsidRPr="008D71E9" w14:paraId="6BF3BB0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AB58A85"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18FF758"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Üzletimutató-komponens (BIC)</w:t>
            </w:r>
          </w:p>
          <w:p w14:paraId="1B10BB72" w14:textId="77777777" w:rsidR="00D740B8" w:rsidRPr="008D71E9" w:rsidRDefault="00D740B8">
            <w:pPr>
              <w:spacing w:before="60" w:after="120"/>
              <w:jc w:val="both"/>
              <w:rPr>
                <w:sz w:val="24"/>
                <w:rFonts w:ascii="Times New Roman" w:eastAsia="Times New Roman" w:hAnsi="Times New Roman" w:cs="Times New Roman"/>
              </w:rPr>
            </w:pPr>
            <w:r>
              <w:rPr>
                <w:sz w:val="24"/>
                <w:rFonts w:ascii="Times New Roman" w:hAnsi="Times New Roman"/>
              </w:rPr>
              <w:t xml:space="preserve">E sor az üzletimutató-komponenst tartalmazza, amelyet az 575/2013/EU rendelet 313. cikkével összhangban kell kiszámítani.</w:t>
            </w:r>
          </w:p>
        </w:tc>
      </w:tr>
      <w:tr w:rsidR="00CA794A" w:rsidRPr="008D71E9" w14:paraId="2713AC1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A606E2" w14:textId="48C6967A" w:rsidR="00CA794A" w:rsidRPr="008D71E9" w:rsidRDefault="004A58B5">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B97C95" w14:textId="1613DFBF" w:rsidR="00CA794A" w:rsidRPr="008D71E9" w:rsidRDefault="004A58B5">
            <w:pPr>
              <w:spacing w:before="60" w:after="120"/>
              <w:jc w:val="both"/>
              <w:rPr>
                <w:b/>
                <w:sz w:val="24"/>
                <w:rFonts w:ascii="Times New Roman" w:eastAsia="Times New Roman" w:hAnsi="Times New Roman" w:cs="Times New Roman"/>
              </w:rPr>
            </w:pPr>
            <w:r>
              <w:rPr>
                <w:b/>
                <w:sz w:val="24"/>
                <w:rFonts w:ascii="Times New Roman" w:hAnsi="Times New Roman"/>
              </w:rPr>
              <w:t xml:space="preserve">Alternatív sztenderd módszer (ASA) szerinti szavatolótőke-követelmények a 314. cikk (4) bekezdése szerint</w:t>
            </w:r>
          </w:p>
          <w:p w14:paraId="7762DF0B" w14:textId="6E2ACCB9" w:rsidR="004A58B5" w:rsidRPr="008D71E9" w:rsidRDefault="005B4907">
            <w:pPr>
              <w:spacing w:before="60" w:after="120"/>
              <w:jc w:val="both"/>
              <w:rPr>
                <w:b/>
                <w:sz w:val="24"/>
                <w:rFonts w:ascii="Times New Roman" w:eastAsia="Times New Roman" w:hAnsi="Times New Roman" w:cs="Times New Roman"/>
              </w:rPr>
            </w:pPr>
            <w:r>
              <w:rPr>
                <w:sz w:val="24"/>
                <w:rFonts w:ascii="Times New Roman" w:hAnsi="Times New Roman"/>
              </w:rPr>
              <w:t xml:space="preserve">Ez a sor adott esetben a 314. cikk (4) bekezdésének hatálya alá tartozó üzletágakra vonatkozó szavatolótőke-követelményeket tartalmazza 2027. december 31-ig vagy – ha arra e határidőnél előbb kerül sor – addig, amíg az összevont felügyeletet ellátó hatóság meg nem adja a 314. cikk (3) bekezdése szerinti engedélyt.</w:t>
            </w:r>
          </w:p>
        </w:tc>
      </w:tr>
      <w:tr w:rsidR="00D740B8" w:rsidRPr="008D71E9" w14:paraId="362D8FB9"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B321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0B1B93" w14:textId="4FC21868" w:rsidR="00D740B8" w:rsidRPr="00A90BF1" w:rsidRDefault="001918A2">
            <w:pPr>
              <w:spacing w:before="60" w:after="120"/>
              <w:jc w:val="both"/>
              <w:rPr>
                <w:sz w:val="24"/>
                <w:rFonts w:ascii="Times New Roman" w:eastAsia="Times New Roman" w:hAnsi="Times New Roman" w:cs="Times New Roman"/>
              </w:rPr>
            </w:pPr>
            <w:r>
              <w:rPr>
                <w:sz w:val="24"/>
                <w:rFonts w:ascii="Times New Roman" w:hAnsi="Times New Roman"/>
              </w:rPr>
              <w:t xml:space="preserve">Nem alkalmazandó.</w:t>
            </w:r>
            <w:r>
              <w:rPr>
                <w:sz w:val="24"/>
                <w:rFonts w:ascii="Times New Roman" w:hAnsi="Times New Roman"/>
              </w:rPr>
              <w:t xml:space="preserve">  </w:t>
            </w:r>
          </w:p>
        </w:tc>
      </w:tr>
      <w:tr w:rsidR="00D740B8" w:rsidRPr="008D71E9" w14:paraId="779D05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EF845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BB42F01" w14:textId="77777777" w:rsidR="00D740B8" w:rsidRPr="008D71E9" w:rsidRDefault="00D740B8">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A működési kockázathoz kapcsolódó minimális szavatolótőke-követelmények (OROF)</w:t>
            </w:r>
          </w:p>
          <w:p w14:paraId="2A7C24D0" w14:textId="54D9C5FF" w:rsidR="00D740B8" w:rsidRPr="008D71E9" w:rsidRDefault="00977842">
            <w:pPr>
              <w:spacing w:before="60" w:after="120"/>
              <w:jc w:val="both"/>
              <w:rPr>
                <w:sz w:val="24"/>
                <w:rFonts w:ascii="Times New Roman" w:eastAsia="Times New Roman" w:hAnsi="Times New Roman" w:cs="Times New Roman"/>
              </w:rPr>
            </w:pPr>
            <w:r>
              <w:rPr>
                <w:sz w:val="24"/>
                <w:rFonts w:ascii="Times New Roman" w:hAnsi="Times New Roman"/>
              </w:rPr>
              <w:t xml:space="preserve">A szavatolótőke-követelményeket az 575/2013/EU rendelet 312. cikke alapján kell kiszámítani.</w:t>
            </w:r>
            <w:r>
              <w:rPr>
                <w:sz w:val="24"/>
                <w:rFonts w:ascii="Times New Roman" w:hAnsi="Times New Roman"/>
              </w:rPr>
              <w:t xml:space="preserve"> </w:t>
            </w:r>
            <w:r>
              <w:rPr>
                <w:sz w:val="24"/>
                <w:rFonts w:ascii="Times New Roman" w:hAnsi="Times New Roman"/>
              </w:rPr>
              <w:t xml:space="preserve">E sorban azokat a működési kockázathoz kapcsolódó szavatolótőke-követelményeket kell feltüntetni, amelyek megegyeznek a BIC és adott esetben a 314. cikk (4) bekezdésének hatálya alá tartozó üzletágakra vonatkozó szavatolótőke-követelmények összegével.</w:t>
            </w:r>
            <w:r>
              <w:rPr>
                <w:sz w:val="24"/>
                <w:rFonts w:ascii="Times New Roman" w:hAnsi="Times New Roman"/>
              </w:rPr>
              <w:t xml:space="preserve"> </w:t>
            </w:r>
          </w:p>
        </w:tc>
      </w:tr>
      <w:tr w:rsidR="00D740B8" w:rsidRPr="00CF1BAE" w14:paraId="078B572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DDC3902"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483DB44" w14:textId="00766941" w:rsidR="00D740B8" w:rsidRPr="008D71E9" w:rsidRDefault="00D740B8">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Működési kockázati kitettségértékek (REA)</w:t>
            </w:r>
          </w:p>
          <w:p w14:paraId="317F9BDE" w14:textId="77777777" w:rsidR="00D740B8" w:rsidRPr="00CF1BAE" w:rsidRDefault="00D740B8">
            <w:pPr>
              <w:spacing w:before="60" w:after="120"/>
              <w:jc w:val="both"/>
              <w:rPr>
                <w:sz w:val="24"/>
                <w:rFonts w:ascii="Times New Roman" w:eastAsia="Times New Roman" w:hAnsi="Times New Roman" w:cs="Times New Roman"/>
              </w:rPr>
            </w:pPr>
            <w:r>
              <w:rPr>
                <w:sz w:val="24"/>
                <w:rFonts w:ascii="Times New Roman" w:hAnsi="Times New Roman"/>
              </w:rPr>
              <w:t xml:space="preserve">Az 575/2013/EU rendelet 92. cikke (3) bekezdésének e) pontja és 92. cikkének (4) bekezdése alapján ebben a sorban az 1. sorban szereplő szavatolótőke-követelmények 12,5-szeresét kell feltüntetni.</w:t>
            </w:r>
            <w:r>
              <w:rPr>
                <w:sz w:val="24"/>
                <w:rFonts w:ascii="Times New Roman" w:hAnsi="Times New Roman"/>
              </w:rPr>
              <w:t xml:space="preserve"> </w:t>
            </w:r>
          </w:p>
        </w:tc>
      </w:tr>
    </w:tbl>
    <w:p w14:paraId="079B8CA0" w14:textId="77777777" w:rsidR="00D740B8" w:rsidRPr="00CF1BAE" w:rsidRDefault="00D740B8" w:rsidP="00D740B8">
      <w:pPr>
        <w:rPr>
          <w:rFonts w:ascii="Times New Roman" w:hAnsi="Times New Roman" w:cs="Times New Roman"/>
          <w:sz w:val="24"/>
        </w:rPr>
      </w:pPr>
    </w:p>
    <w:p w14:paraId="41C8F396" w14:textId="77777777" w:rsidR="002C1404" w:rsidRDefault="002C1404"/>
    <w:sectPr w:rsidR="002C1404">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5C32A" w14:textId="77777777" w:rsidR="00356B96" w:rsidRDefault="00356B96" w:rsidP="00E114F3">
      <w:r>
        <w:separator/>
      </w:r>
    </w:p>
  </w:endnote>
  <w:endnote w:type="continuationSeparator" w:id="0">
    <w:p w14:paraId="52BFC17B" w14:textId="77777777" w:rsidR="00356B96" w:rsidRDefault="00356B96" w:rsidP="00E114F3">
      <w:r>
        <w:continuationSeparator/>
      </w:r>
    </w:p>
  </w:endnote>
  <w:endnote w:type="continuationNotice" w:id="1">
    <w:p w14:paraId="2613B681" w14:textId="77777777" w:rsidR="00356B96" w:rsidRDefault="00356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6783897"/>
      <w:docPartObj>
        <w:docPartGallery w:val="Page Numbers (Bottom of Page)"/>
        <w:docPartUnique/>
      </w:docPartObj>
    </w:sdtPr>
    <w:sdtEndPr>
      <w:rPr>
        <w:noProof/>
      </w:rPr>
    </w:sdtEndPr>
    <w:sdtContent>
      <w:p w14:paraId="3D3D22A9" w14:textId="77777777" w:rsidR="00E114F3" w:rsidRDefault="00E114F3">
        <w:pPr>
          <w:pStyle w:val="Footer"/>
          <w:jc w:val="right"/>
        </w:pPr>
        <w:r>
          <w:fldChar w:fldCharType="begin"/>
        </w:r>
        <w:r>
          <w:instrText xml:space="preserve"> PAGE   \* MERGEFORMAT </w:instrText>
        </w:r>
        <w:r>
          <w:fldChar w:fldCharType="separate"/>
        </w:r>
        <w:r w:rsidR="00370155">
          <w:t>1</w:t>
        </w:r>
        <w:r>
          <w:fldChar w:fldCharType="end"/>
        </w:r>
      </w:p>
    </w:sdtContent>
  </w:sdt>
  <w:p w14:paraId="049F31CB" w14:textId="77777777" w:rsidR="00E114F3" w:rsidRDefault="00E114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5BAC8" w14:textId="77777777" w:rsidR="00356B96" w:rsidRDefault="00356B96" w:rsidP="00E114F3">
      <w:r>
        <w:separator/>
      </w:r>
    </w:p>
  </w:footnote>
  <w:footnote w:type="continuationSeparator" w:id="0">
    <w:p w14:paraId="3CF2CA43" w14:textId="77777777" w:rsidR="00356B96" w:rsidRDefault="00356B96" w:rsidP="00E114F3">
      <w:r>
        <w:continuationSeparator/>
      </w:r>
    </w:p>
  </w:footnote>
  <w:footnote w:type="continuationNotice" w:id="1">
    <w:p w14:paraId="25D17D79" w14:textId="77777777" w:rsidR="00356B96" w:rsidRDefault="00356B96"/>
  </w:footnote>
  <w:footnote w:id="2">
    <w:p w14:paraId="3798489D" w14:textId="4B9D2ACC" w:rsidR="00E114F3" w:rsidRPr="008D71E9" w:rsidRDefault="00E114F3" w:rsidP="003D3122">
      <w:pPr>
        <w:pStyle w:val="FootnoteText"/>
      </w:pPr>
      <w:r>
        <w:rPr>
          <w:rStyle w:val="FootnoteReference"/>
          <w:rFonts w:cstheme="minorHAnsi"/>
        </w:rPr>
        <w:footnoteRef/>
      </w:r>
      <w:r>
        <w:tab/>
      </w:r>
      <w:r>
        <w:t xml:space="preserve">Az (EU) 2024/1623 rendelettel módosított 575/2013/EU európai parlamenti és tanácsi rendelet (2013. június 26.) a hitelintézetekre vonatkozó prudenciális követelményekről és a 648/2012/EU rendelet módosításáról (</w:t>
      </w:r>
      <w:hyperlink r:id="rId1" w:history="1">
        <w:r>
          <w:rPr>
            <w:rStyle w:val="Hyperlink"/>
            <w:color w:val="800080"/>
          </w:rPr>
          <w:t xml:space="preserve">HL L 176., 2013.6.27., 1. o.</w:t>
        </w:r>
      </w:hyperlink>
      <w:r>
        <w:rPr>
          <w:color w:val="800080"/>
          <w:u w:val="single"/>
        </w:rPr>
        <w:t xml:space="preserve">;</w:t>
      </w:r>
      <w:r>
        <w:rPr>
          <w:color w:val="800080"/>
          <w:u w:val="single"/>
        </w:rPr>
        <w:t xml:space="preserve"> </w:t>
      </w:r>
      <w:hyperlink r:id="rId2" w:history="1">
        <w:r>
          <w:rPr>
            <w:rStyle w:val="Hyperlink"/>
          </w:rPr>
          <w:t xml:space="preserve">(EU) 2024/1623 rendelet – HU – EUR-Lex (europa.eu)</w:t>
        </w:r>
      </w:hyperlink>
      <w:r>
        <w:rPr>
          <w:color w:val="444444"/>
        </w:rPr>
        <w:t xml:space="preserve">)</w:t>
      </w:r>
      <w:r>
        <w:t xml:space="preserve">.</w:t>
      </w:r>
    </w:p>
    <w:p w14:paraId="45FB0818" w14:textId="77777777" w:rsidR="00E114F3" w:rsidRPr="008D71E9" w:rsidRDefault="00E114F3" w:rsidP="003D312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940D" w14:textId="1615A102" w:rsidR="00E114F3" w:rsidRDefault="00864ECA">
    <w:pPr>
      <w:pStyle w:val="Header"/>
    </w:pPr>
    <w:r>
      <mc:AlternateContent>
        <mc:Choice Requires="wps">
          <w:drawing>
            <wp:anchor distT="0" distB="0" distL="0" distR="0" simplePos="0" relativeHeight="251658241" behindDoc="0" locked="0" layoutInCell="1" allowOverlap="1" wp14:anchorId="56CE9015" wp14:editId="3A1C7323">
              <wp:simplePos x="635" y="635"/>
              <wp:positionH relativeFrom="page">
                <wp:align>left</wp:align>
              </wp:positionH>
              <wp:positionV relativeFrom="page">
                <wp:align>top</wp:align>
              </wp:positionV>
              <wp:extent cx="443865" cy="443865"/>
              <wp:effectExtent l="0" t="0" r="3175" b="9525"/>
              <wp:wrapNone/>
              <wp:docPr id="5" name="Text Box 5"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807B26" w14:textId="3B0140B7"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6CE9015" id="_x0000_t202" coordsize="21600,21600" o:spt="202" path="m,l,21600r21600,l21600,xe">
              <v:stroke joinstyle="miter"/>
              <v:path gradientshapeok="t" o:connecttype="rect"/>
            </v:shapetype>
            <v:shape id="Text Box 5" o:spid="_x0000_s1026" type="#_x0000_t202" alt="Title:  - Description: EBH – szokásos felhasználásra"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B807B26" w14:textId="3B0140B7"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D3EC" w14:textId="1028A940" w:rsidR="00E114F3" w:rsidRDefault="00864ECA">
    <w:pPr>
      <w:pStyle w:val="Header"/>
    </w:pPr>
    <w:r>
      <mc:AlternateContent>
        <mc:Choice Requires="wps">
          <w:drawing>
            <wp:anchor distT="0" distB="0" distL="0" distR="0" simplePos="0" relativeHeight="251658242" behindDoc="0" locked="0" layoutInCell="1" allowOverlap="1" wp14:anchorId="02F1B75F" wp14:editId="3120E37C">
              <wp:simplePos x="635" y="635"/>
              <wp:positionH relativeFrom="page">
                <wp:align>left</wp:align>
              </wp:positionH>
              <wp:positionV relativeFrom="page">
                <wp:align>top</wp:align>
              </wp:positionV>
              <wp:extent cx="443865" cy="443865"/>
              <wp:effectExtent l="0" t="0" r="3175" b="9525"/>
              <wp:wrapNone/>
              <wp:docPr id="6" name="Text Box 6"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2808C3" w14:textId="14E505EC"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2F1B75F" id="_x0000_t202" coordsize="21600,21600" o:spt="202" path="m,l,21600r21600,l21600,xe">
              <v:stroke joinstyle="miter"/>
              <v:path gradientshapeok="t" o:connecttype="rect"/>
            </v:shapetype>
            <v:shape id="Text Box 6" o:spid="_x0000_s1027" type="#_x0000_t202" alt="Title:  - Description: EBH – szokásos felhasználásra"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22808C3" w14:textId="14E505EC"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D5A5" w14:textId="505DD969" w:rsidR="00E114F3" w:rsidRDefault="00864ECA">
    <w:pPr>
      <w:pStyle w:val="Header"/>
    </w:pPr>
    <w:r>
      <mc:AlternateContent>
        <mc:Choice Requires="wps">
          <w:drawing>
            <wp:anchor distT="0" distB="0" distL="0" distR="0" simplePos="0" relativeHeight="251658240" behindDoc="0" locked="0" layoutInCell="1" allowOverlap="1" wp14:anchorId="3B6A7D7E" wp14:editId="55F0D693">
              <wp:simplePos x="635" y="635"/>
              <wp:positionH relativeFrom="page">
                <wp:align>left</wp:align>
              </wp:positionH>
              <wp:positionV relativeFrom="page">
                <wp:align>top</wp:align>
              </wp:positionV>
              <wp:extent cx="443865" cy="443865"/>
              <wp:effectExtent l="0" t="0" r="3175" b="9525"/>
              <wp:wrapNone/>
              <wp:docPr id="4" name="Text Box 4"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52C3BA" w14:textId="4F2B949B"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B6A7D7E" id="_x0000_t202" coordsize="21600,21600" o:spt="202" path="m,l,21600r21600,l21600,xe">
              <v:stroke joinstyle="miter"/>
              <v:path gradientshapeok="t" o:connecttype="rect"/>
            </v:shapetype>
            <v:shape id="Text Box 4" o:spid="_x0000_s1028" type="#_x0000_t202" alt="Title:  - Description: EBH – szokásos felhasználásra"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3152C3BA" w14:textId="4F2B949B"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50227369"/>
    <w:multiLevelType w:val="hybridMultilevel"/>
    <w:tmpl w:val="D17E5BA0"/>
    <w:lvl w:ilvl="0" w:tplc="FFFFFFFF">
      <w:start w:val="1"/>
      <w:numFmt w:val="decimal"/>
      <w:pStyle w:val="numberedparagraph"/>
      <w:lvlText w:val="%1."/>
      <w:lvlJc w:val="left"/>
      <w:pPr>
        <w:tabs>
          <w:tab w:val="num" w:pos="284"/>
        </w:tabs>
        <w:ind w:left="284" w:hanging="284"/>
      </w:pPr>
    </w:lvl>
    <w:lvl w:ilvl="1" w:tplc="FFFFFFFF">
      <w:start w:val="1"/>
      <w:numFmt w:val="bullet"/>
      <w:lvlText w:val=""/>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1479303020">
    <w:abstractNumId w:val="7"/>
  </w:num>
  <w:num w:numId="2" w16cid:durableId="1266694335">
    <w:abstractNumId w:val="5"/>
  </w:num>
  <w:num w:numId="3" w16cid:durableId="1815637054">
    <w:abstractNumId w:val="0"/>
  </w:num>
  <w:num w:numId="4" w16cid:durableId="956064537">
    <w:abstractNumId w:val="2"/>
  </w:num>
  <w:num w:numId="5" w16cid:durableId="37778419">
    <w:abstractNumId w:val="3"/>
  </w:num>
  <w:num w:numId="6" w16cid:durableId="803155118">
    <w:abstractNumId w:val="1"/>
  </w:num>
  <w:num w:numId="7" w16cid:durableId="1073312597">
    <w:abstractNumId w:val="6"/>
  </w:num>
  <w:num w:numId="8" w16cid:durableId="8969356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D049F"/>
    <w:rsid w:val="00011939"/>
    <w:rsid w:val="00012A75"/>
    <w:rsid w:val="0001405C"/>
    <w:rsid w:val="0001650F"/>
    <w:rsid w:val="00024346"/>
    <w:rsid w:val="00025F22"/>
    <w:rsid w:val="000272B2"/>
    <w:rsid w:val="00030D74"/>
    <w:rsid w:val="0004584F"/>
    <w:rsid w:val="00045858"/>
    <w:rsid w:val="00046439"/>
    <w:rsid w:val="000465B3"/>
    <w:rsid w:val="000576E8"/>
    <w:rsid w:val="0006502A"/>
    <w:rsid w:val="000664FC"/>
    <w:rsid w:val="000665BE"/>
    <w:rsid w:val="00066F9F"/>
    <w:rsid w:val="0006789F"/>
    <w:rsid w:val="00073105"/>
    <w:rsid w:val="000746E8"/>
    <w:rsid w:val="00074F00"/>
    <w:rsid w:val="00075D8B"/>
    <w:rsid w:val="00076263"/>
    <w:rsid w:val="00087F79"/>
    <w:rsid w:val="00090561"/>
    <w:rsid w:val="00095D07"/>
    <w:rsid w:val="00096102"/>
    <w:rsid w:val="000A0D62"/>
    <w:rsid w:val="000A12B5"/>
    <w:rsid w:val="000B16B1"/>
    <w:rsid w:val="000B2704"/>
    <w:rsid w:val="000B2D8F"/>
    <w:rsid w:val="000C1526"/>
    <w:rsid w:val="000C3EAE"/>
    <w:rsid w:val="000C4618"/>
    <w:rsid w:val="000C77E0"/>
    <w:rsid w:val="000D0723"/>
    <w:rsid w:val="000D0DBB"/>
    <w:rsid w:val="000D3111"/>
    <w:rsid w:val="000D4A72"/>
    <w:rsid w:val="000D6DA0"/>
    <w:rsid w:val="000E3AB0"/>
    <w:rsid w:val="000E696C"/>
    <w:rsid w:val="000F08DF"/>
    <w:rsid w:val="000F1044"/>
    <w:rsid w:val="000F2921"/>
    <w:rsid w:val="000F375E"/>
    <w:rsid w:val="000F5C83"/>
    <w:rsid w:val="000F5FED"/>
    <w:rsid w:val="000F6C61"/>
    <w:rsid w:val="00103ABA"/>
    <w:rsid w:val="00105E35"/>
    <w:rsid w:val="0011472E"/>
    <w:rsid w:val="001220D8"/>
    <w:rsid w:val="00127955"/>
    <w:rsid w:val="00131C22"/>
    <w:rsid w:val="00134D05"/>
    <w:rsid w:val="00135C50"/>
    <w:rsid w:val="00136AE4"/>
    <w:rsid w:val="00141217"/>
    <w:rsid w:val="001420EB"/>
    <w:rsid w:val="00142276"/>
    <w:rsid w:val="00142D89"/>
    <w:rsid w:val="001449CE"/>
    <w:rsid w:val="001452C3"/>
    <w:rsid w:val="0015285C"/>
    <w:rsid w:val="00161A8E"/>
    <w:rsid w:val="00162183"/>
    <w:rsid w:val="00165BEF"/>
    <w:rsid w:val="001756BE"/>
    <w:rsid w:val="0017572D"/>
    <w:rsid w:val="00177229"/>
    <w:rsid w:val="001830A3"/>
    <w:rsid w:val="001871DA"/>
    <w:rsid w:val="001918A2"/>
    <w:rsid w:val="00196907"/>
    <w:rsid w:val="001A2C2E"/>
    <w:rsid w:val="001B03D9"/>
    <w:rsid w:val="001B0A1D"/>
    <w:rsid w:val="001B2292"/>
    <w:rsid w:val="001B291D"/>
    <w:rsid w:val="001B3BC1"/>
    <w:rsid w:val="001B500A"/>
    <w:rsid w:val="001B58F8"/>
    <w:rsid w:val="001B6C85"/>
    <w:rsid w:val="001C2B75"/>
    <w:rsid w:val="001C4677"/>
    <w:rsid w:val="001C6CDD"/>
    <w:rsid w:val="001D080D"/>
    <w:rsid w:val="001D11E0"/>
    <w:rsid w:val="001D782E"/>
    <w:rsid w:val="001E1503"/>
    <w:rsid w:val="001E5563"/>
    <w:rsid w:val="001F1176"/>
    <w:rsid w:val="001F7ED3"/>
    <w:rsid w:val="00201011"/>
    <w:rsid w:val="002026B4"/>
    <w:rsid w:val="002026D9"/>
    <w:rsid w:val="002054FC"/>
    <w:rsid w:val="002075AA"/>
    <w:rsid w:val="00211970"/>
    <w:rsid w:val="00216C79"/>
    <w:rsid w:val="002208D1"/>
    <w:rsid w:val="00223530"/>
    <w:rsid w:val="00226DD0"/>
    <w:rsid w:val="00230607"/>
    <w:rsid w:val="00230F64"/>
    <w:rsid w:val="002322F4"/>
    <w:rsid w:val="002354DB"/>
    <w:rsid w:val="00236174"/>
    <w:rsid w:val="0024083E"/>
    <w:rsid w:val="00241FEC"/>
    <w:rsid w:val="00242E08"/>
    <w:rsid w:val="002455B5"/>
    <w:rsid w:val="002457F5"/>
    <w:rsid w:val="00250A53"/>
    <w:rsid w:val="00253C3A"/>
    <w:rsid w:val="00253CF4"/>
    <w:rsid w:val="002558AA"/>
    <w:rsid w:val="00257387"/>
    <w:rsid w:val="0026154A"/>
    <w:rsid w:val="00267B03"/>
    <w:rsid w:val="00270E06"/>
    <w:rsid w:val="00272014"/>
    <w:rsid w:val="0027387E"/>
    <w:rsid w:val="00273B65"/>
    <w:rsid w:val="002755E0"/>
    <w:rsid w:val="00275651"/>
    <w:rsid w:val="00277197"/>
    <w:rsid w:val="002774FB"/>
    <w:rsid w:val="00277E2E"/>
    <w:rsid w:val="002854BD"/>
    <w:rsid w:val="0028730E"/>
    <w:rsid w:val="00287A78"/>
    <w:rsid w:val="002912CA"/>
    <w:rsid w:val="002919DB"/>
    <w:rsid w:val="002A02D1"/>
    <w:rsid w:val="002A213A"/>
    <w:rsid w:val="002A2633"/>
    <w:rsid w:val="002A4A49"/>
    <w:rsid w:val="002A55B5"/>
    <w:rsid w:val="002A7A1C"/>
    <w:rsid w:val="002B0785"/>
    <w:rsid w:val="002B20D8"/>
    <w:rsid w:val="002B2993"/>
    <w:rsid w:val="002B2F6C"/>
    <w:rsid w:val="002B708C"/>
    <w:rsid w:val="002B7BCC"/>
    <w:rsid w:val="002C1404"/>
    <w:rsid w:val="002D0EA4"/>
    <w:rsid w:val="002D5C08"/>
    <w:rsid w:val="002E1556"/>
    <w:rsid w:val="002E28B0"/>
    <w:rsid w:val="002F3CFA"/>
    <w:rsid w:val="002F733A"/>
    <w:rsid w:val="00306E05"/>
    <w:rsid w:val="003134EA"/>
    <w:rsid w:val="00313B19"/>
    <w:rsid w:val="00313BE5"/>
    <w:rsid w:val="003140BC"/>
    <w:rsid w:val="00322C5B"/>
    <w:rsid w:val="0032312B"/>
    <w:rsid w:val="0032508D"/>
    <w:rsid w:val="00325595"/>
    <w:rsid w:val="003260B9"/>
    <w:rsid w:val="00331494"/>
    <w:rsid w:val="00332B2B"/>
    <w:rsid w:val="00340DA2"/>
    <w:rsid w:val="00340F5A"/>
    <w:rsid w:val="0034291F"/>
    <w:rsid w:val="0034713B"/>
    <w:rsid w:val="00350F3E"/>
    <w:rsid w:val="00352E37"/>
    <w:rsid w:val="00352E7B"/>
    <w:rsid w:val="00353854"/>
    <w:rsid w:val="00356B96"/>
    <w:rsid w:val="00356C56"/>
    <w:rsid w:val="0036264E"/>
    <w:rsid w:val="00366387"/>
    <w:rsid w:val="00370155"/>
    <w:rsid w:val="00371504"/>
    <w:rsid w:val="00373F9D"/>
    <w:rsid w:val="0037691C"/>
    <w:rsid w:val="003826D3"/>
    <w:rsid w:val="003858A3"/>
    <w:rsid w:val="00390609"/>
    <w:rsid w:val="003930C3"/>
    <w:rsid w:val="00393427"/>
    <w:rsid w:val="00393FEF"/>
    <w:rsid w:val="00394AE0"/>
    <w:rsid w:val="003A11C2"/>
    <w:rsid w:val="003A134B"/>
    <w:rsid w:val="003A1367"/>
    <w:rsid w:val="003A3338"/>
    <w:rsid w:val="003A752D"/>
    <w:rsid w:val="003B0795"/>
    <w:rsid w:val="003B12FB"/>
    <w:rsid w:val="003B40C6"/>
    <w:rsid w:val="003C0178"/>
    <w:rsid w:val="003C7646"/>
    <w:rsid w:val="003D3122"/>
    <w:rsid w:val="003D36FD"/>
    <w:rsid w:val="003D49FC"/>
    <w:rsid w:val="003D54AC"/>
    <w:rsid w:val="003D5875"/>
    <w:rsid w:val="003E1A11"/>
    <w:rsid w:val="003E207A"/>
    <w:rsid w:val="003E3201"/>
    <w:rsid w:val="003E7CB0"/>
    <w:rsid w:val="003F52CD"/>
    <w:rsid w:val="003F5CE4"/>
    <w:rsid w:val="00403F5F"/>
    <w:rsid w:val="00404BBB"/>
    <w:rsid w:val="00405D1E"/>
    <w:rsid w:val="0041073A"/>
    <w:rsid w:val="004129ED"/>
    <w:rsid w:val="00413B96"/>
    <w:rsid w:val="0042443A"/>
    <w:rsid w:val="00425384"/>
    <w:rsid w:val="00430F3A"/>
    <w:rsid w:val="00443CBC"/>
    <w:rsid w:val="00445677"/>
    <w:rsid w:val="004509B7"/>
    <w:rsid w:val="004544AD"/>
    <w:rsid w:val="00456F97"/>
    <w:rsid w:val="00457089"/>
    <w:rsid w:val="00460310"/>
    <w:rsid w:val="004618A3"/>
    <w:rsid w:val="0046389C"/>
    <w:rsid w:val="00471410"/>
    <w:rsid w:val="004714CE"/>
    <w:rsid w:val="004744D1"/>
    <w:rsid w:val="004849ED"/>
    <w:rsid w:val="00486925"/>
    <w:rsid w:val="00487314"/>
    <w:rsid w:val="0049000A"/>
    <w:rsid w:val="00492339"/>
    <w:rsid w:val="00496389"/>
    <w:rsid w:val="00496A9E"/>
    <w:rsid w:val="004A0952"/>
    <w:rsid w:val="004A18F4"/>
    <w:rsid w:val="004A4A2C"/>
    <w:rsid w:val="004A58B5"/>
    <w:rsid w:val="004A62B8"/>
    <w:rsid w:val="004A7915"/>
    <w:rsid w:val="004B0B6E"/>
    <w:rsid w:val="004B0FCE"/>
    <w:rsid w:val="004B1D55"/>
    <w:rsid w:val="004B6D23"/>
    <w:rsid w:val="004C06C0"/>
    <w:rsid w:val="004C08C6"/>
    <w:rsid w:val="004C2C33"/>
    <w:rsid w:val="004C3206"/>
    <w:rsid w:val="004D442B"/>
    <w:rsid w:val="004D7AAC"/>
    <w:rsid w:val="004E0A33"/>
    <w:rsid w:val="004E2BF2"/>
    <w:rsid w:val="004E3E86"/>
    <w:rsid w:val="004E41F1"/>
    <w:rsid w:val="004E5F6E"/>
    <w:rsid w:val="004E67D0"/>
    <w:rsid w:val="004E7E6A"/>
    <w:rsid w:val="004F22BD"/>
    <w:rsid w:val="004F6309"/>
    <w:rsid w:val="004F7296"/>
    <w:rsid w:val="00501D3A"/>
    <w:rsid w:val="00502CBE"/>
    <w:rsid w:val="005129A3"/>
    <w:rsid w:val="00513E9E"/>
    <w:rsid w:val="005201AB"/>
    <w:rsid w:val="00520A67"/>
    <w:rsid w:val="00521787"/>
    <w:rsid w:val="005227BF"/>
    <w:rsid w:val="005244B2"/>
    <w:rsid w:val="00525D0C"/>
    <w:rsid w:val="00531A16"/>
    <w:rsid w:val="0053230B"/>
    <w:rsid w:val="005323E0"/>
    <w:rsid w:val="00532CFA"/>
    <w:rsid w:val="00533587"/>
    <w:rsid w:val="005346B6"/>
    <w:rsid w:val="00542C4F"/>
    <w:rsid w:val="00543CE4"/>
    <w:rsid w:val="00545C2E"/>
    <w:rsid w:val="005511B4"/>
    <w:rsid w:val="00552616"/>
    <w:rsid w:val="00555026"/>
    <w:rsid w:val="00557E87"/>
    <w:rsid w:val="005644FD"/>
    <w:rsid w:val="00573755"/>
    <w:rsid w:val="0058077D"/>
    <w:rsid w:val="00581EE7"/>
    <w:rsid w:val="00585FE7"/>
    <w:rsid w:val="00594DEA"/>
    <w:rsid w:val="00597741"/>
    <w:rsid w:val="005A0E65"/>
    <w:rsid w:val="005A1D73"/>
    <w:rsid w:val="005A28B3"/>
    <w:rsid w:val="005A56B5"/>
    <w:rsid w:val="005A6F28"/>
    <w:rsid w:val="005B1A6A"/>
    <w:rsid w:val="005B2681"/>
    <w:rsid w:val="005B35FE"/>
    <w:rsid w:val="005B36AF"/>
    <w:rsid w:val="005B4907"/>
    <w:rsid w:val="005B5827"/>
    <w:rsid w:val="005B6691"/>
    <w:rsid w:val="005B76B3"/>
    <w:rsid w:val="005C0169"/>
    <w:rsid w:val="005C361B"/>
    <w:rsid w:val="005C4785"/>
    <w:rsid w:val="005C5685"/>
    <w:rsid w:val="005C7DD8"/>
    <w:rsid w:val="005D02AE"/>
    <w:rsid w:val="005D3B7F"/>
    <w:rsid w:val="005D484F"/>
    <w:rsid w:val="005D78BA"/>
    <w:rsid w:val="005E0DB5"/>
    <w:rsid w:val="005E1172"/>
    <w:rsid w:val="005E426C"/>
    <w:rsid w:val="005E5C07"/>
    <w:rsid w:val="005E651B"/>
    <w:rsid w:val="005E6595"/>
    <w:rsid w:val="005E7C4C"/>
    <w:rsid w:val="005F2270"/>
    <w:rsid w:val="006010B7"/>
    <w:rsid w:val="006020C0"/>
    <w:rsid w:val="00605946"/>
    <w:rsid w:val="00611A03"/>
    <w:rsid w:val="00615045"/>
    <w:rsid w:val="006175E8"/>
    <w:rsid w:val="00617849"/>
    <w:rsid w:val="00620C52"/>
    <w:rsid w:val="006276CF"/>
    <w:rsid w:val="00631769"/>
    <w:rsid w:val="00632F0C"/>
    <w:rsid w:val="00634105"/>
    <w:rsid w:val="006423F0"/>
    <w:rsid w:val="006467E0"/>
    <w:rsid w:val="006515E3"/>
    <w:rsid w:val="00651CFD"/>
    <w:rsid w:val="00654641"/>
    <w:rsid w:val="00663EA2"/>
    <w:rsid w:val="00665EDF"/>
    <w:rsid w:val="00666BFE"/>
    <w:rsid w:val="006671B4"/>
    <w:rsid w:val="00670D9B"/>
    <w:rsid w:val="006710C9"/>
    <w:rsid w:val="00671F1C"/>
    <w:rsid w:val="00672648"/>
    <w:rsid w:val="00672FCF"/>
    <w:rsid w:val="006734FF"/>
    <w:rsid w:val="0067596F"/>
    <w:rsid w:val="00675FB5"/>
    <w:rsid w:val="006825A4"/>
    <w:rsid w:val="006832AC"/>
    <w:rsid w:val="0068676B"/>
    <w:rsid w:val="006943D3"/>
    <w:rsid w:val="006956F2"/>
    <w:rsid w:val="00695DBE"/>
    <w:rsid w:val="006A3134"/>
    <w:rsid w:val="006A3C03"/>
    <w:rsid w:val="006A6B36"/>
    <w:rsid w:val="006B1B9D"/>
    <w:rsid w:val="006B7E63"/>
    <w:rsid w:val="006C306E"/>
    <w:rsid w:val="006C331E"/>
    <w:rsid w:val="006C62E5"/>
    <w:rsid w:val="006D3272"/>
    <w:rsid w:val="006D3A51"/>
    <w:rsid w:val="006D58A9"/>
    <w:rsid w:val="006D76F7"/>
    <w:rsid w:val="006E0F5F"/>
    <w:rsid w:val="006E1A81"/>
    <w:rsid w:val="006E2DDE"/>
    <w:rsid w:val="006E3051"/>
    <w:rsid w:val="006F4C95"/>
    <w:rsid w:val="006F5677"/>
    <w:rsid w:val="00701AB8"/>
    <w:rsid w:val="0070389C"/>
    <w:rsid w:val="00705C67"/>
    <w:rsid w:val="007146FC"/>
    <w:rsid w:val="0071476F"/>
    <w:rsid w:val="00716B43"/>
    <w:rsid w:val="007212B1"/>
    <w:rsid w:val="00721E9C"/>
    <w:rsid w:val="007227C1"/>
    <w:rsid w:val="00725562"/>
    <w:rsid w:val="00727D92"/>
    <w:rsid w:val="0073744A"/>
    <w:rsid w:val="00742D4E"/>
    <w:rsid w:val="00752BA7"/>
    <w:rsid w:val="00753C8F"/>
    <w:rsid w:val="007561ED"/>
    <w:rsid w:val="00756B6D"/>
    <w:rsid w:val="007572BA"/>
    <w:rsid w:val="00757EE7"/>
    <w:rsid w:val="00760B2D"/>
    <w:rsid w:val="00761A99"/>
    <w:rsid w:val="00764F56"/>
    <w:rsid w:val="00765CB0"/>
    <w:rsid w:val="00775BD9"/>
    <w:rsid w:val="00780966"/>
    <w:rsid w:val="00787341"/>
    <w:rsid w:val="007912F6"/>
    <w:rsid w:val="00793C82"/>
    <w:rsid w:val="0079404E"/>
    <w:rsid w:val="00794EEA"/>
    <w:rsid w:val="00795D11"/>
    <w:rsid w:val="007A244C"/>
    <w:rsid w:val="007A7D9C"/>
    <w:rsid w:val="007B0E7E"/>
    <w:rsid w:val="007B37CA"/>
    <w:rsid w:val="007B3E62"/>
    <w:rsid w:val="007B4F63"/>
    <w:rsid w:val="007B716B"/>
    <w:rsid w:val="007B759C"/>
    <w:rsid w:val="007C45A4"/>
    <w:rsid w:val="007C4795"/>
    <w:rsid w:val="007C6DDA"/>
    <w:rsid w:val="007D1B69"/>
    <w:rsid w:val="007D47E8"/>
    <w:rsid w:val="007F107B"/>
    <w:rsid w:val="007F3294"/>
    <w:rsid w:val="007F35C2"/>
    <w:rsid w:val="007F5FB7"/>
    <w:rsid w:val="007F79D0"/>
    <w:rsid w:val="008006BD"/>
    <w:rsid w:val="00800DA8"/>
    <w:rsid w:val="00804617"/>
    <w:rsid w:val="0080619E"/>
    <w:rsid w:val="008064B3"/>
    <w:rsid w:val="00806C37"/>
    <w:rsid w:val="00806D63"/>
    <w:rsid w:val="008073CE"/>
    <w:rsid w:val="008126E2"/>
    <w:rsid w:val="00815D64"/>
    <w:rsid w:val="00820A89"/>
    <w:rsid w:val="008224E4"/>
    <w:rsid w:val="00823C1A"/>
    <w:rsid w:val="008340AA"/>
    <w:rsid w:val="008408B7"/>
    <w:rsid w:val="00841A0D"/>
    <w:rsid w:val="008447E9"/>
    <w:rsid w:val="00853F81"/>
    <w:rsid w:val="00856A58"/>
    <w:rsid w:val="00856FD6"/>
    <w:rsid w:val="008606AB"/>
    <w:rsid w:val="00860C4A"/>
    <w:rsid w:val="00864ECA"/>
    <w:rsid w:val="00864F98"/>
    <w:rsid w:val="008703CB"/>
    <w:rsid w:val="00871AC0"/>
    <w:rsid w:val="008726D2"/>
    <w:rsid w:val="00873664"/>
    <w:rsid w:val="00876FEE"/>
    <w:rsid w:val="00877D06"/>
    <w:rsid w:val="00881740"/>
    <w:rsid w:val="00882C01"/>
    <w:rsid w:val="0088515A"/>
    <w:rsid w:val="00885AC5"/>
    <w:rsid w:val="00891AE6"/>
    <w:rsid w:val="00892FC4"/>
    <w:rsid w:val="008A1C9E"/>
    <w:rsid w:val="008A4CE3"/>
    <w:rsid w:val="008A6B9E"/>
    <w:rsid w:val="008A789A"/>
    <w:rsid w:val="008A7B63"/>
    <w:rsid w:val="008B015F"/>
    <w:rsid w:val="008B71AE"/>
    <w:rsid w:val="008C3E6A"/>
    <w:rsid w:val="008C599A"/>
    <w:rsid w:val="008D0DA3"/>
    <w:rsid w:val="008D220D"/>
    <w:rsid w:val="008D6AE8"/>
    <w:rsid w:val="008D71E9"/>
    <w:rsid w:val="008D73D0"/>
    <w:rsid w:val="008E0228"/>
    <w:rsid w:val="008E4C2C"/>
    <w:rsid w:val="008E7892"/>
    <w:rsid w:val="008F6903"/>
    <w:rsid w:val="00902E47"/>
    <w:rsid w:val="009046C7"/>
    <w:rsid w:val="00907148"/>
    <w:rsid w:val="00911DED"/>
    <w:rsid w:val="00912473"/>
    <w:rsid w:val="009126FD"/>
    <w:rsid w:val="00915138"/>
    <w:rsid w:val="00922520"/>
    <w:rsid w:val="0092318D"/>
    <w:rsid w:val="00926593"/>
    <w:rsid w:val="0093286E"/>
    <w:rsid w:val="00933E3B"/>
    <w:rsid w:val="009361B2"/>
    <w:rsid w:val="009365C9"/>
    <w:rsid w:val="0094124B"/>
    <w:rsid w:val="009419C5"/>
    <w:rsid w:val="00954121"/>
    <w:rsid w:val="00954FB2"/>
    <w:rsid w:val="00956CFD"/>
    <w:rsid w:val="009614D5"/>
    <w:rsid w:val="00962EA7"/>
    <w:rsid w:val="00965CF0"/>
    <w:rsid w:val="009757A9"/>
    <w:rsid w:val="0097685A"/>
    <w:rsid w:val="00977842"/>
    <w:rsid w:val="009816D6"/>
    <w:rsid w:val="00982018"/>
    <w:rsid w:val="00983339"/>
    <w:rsid w:val="00984383"/>
    <w:rsid w:val="00984AB4"/>
    <w:rsid w:val="0098747C"/>
    <w:rsid w:val="00993F77"/>
    <w:rsid w:val="0099479E"/>
    <w:rsid w:val="009A1465"/>
    <w:rsid w:val="009A4AFC"/>
    <w:rsid w:val="009A4E43"/>
    <w:rsid w:val="009B143E"/>
    <w:rsid w:val="009B1F6C"/>
    <w:rsid w:val="009B7607"/>
    <w:rsid w:val="009C194B"/>
    <w:rsid w:val="009C1BC1"/>
    <w:rsid w:val="009C7B8C"/>
    <w:rsid w:val="009D1C49"/>
    <w:rsid w:val="009D2AA7"/>
    <w:rsid w:val="009D43F3"/>
    <w:rsid w:val="009D4A12"/>
    <w:rsid w:val="009D56BD"/>
    <w:rsid w:val="009D76DE"/>
    <w:rsid w:val="009E1FA8"/>
    <w:rsid w:val="009E306F"/>
    <w:rsid w:val="009E3E80"/>
    <w:rsid w:val="009E4370"/>
    <w:rsid w:val="009E565F"/>
    <w:rsid w:val="009F39F6"/>
    <w:rsid w:val="009F423C"/>
    <w:rsid w:val="009F7C59"/>
    <w:rsid w:val="00A02195"/>
    <w:rsid w:val="00A0227E"/>
    <w:rsid w:val="00A0556C"/>
    <w:rsid w:val="00A12978"/>
    <w:rsid w:val="00A17193"/>
    <w:rsid w:val="00A174CD"/>
    <w:rsid w:val="00A17EAD"/>
    <w:rsid w:val="00A215ED"/>
    <w:rsid w:val="00A24AB4"/>
    <w:rsid w:val="00A255AF"/>
    <w:rsid w:val="00A26F9F"/>
    <w:rsid w:val="00A31C3A"/>
    <w:rsid w:val="00A32EDF"/>
    <w:rsid w:val="00A3462E"/>
    <w:rsid w:val="00A35BD7"/>
    <w:rsid w:val="00A42FD7"/>
    <w:rsid w:val="00A45948"/>
    <w:rsid w:val="00A4606C"/>
    <w:rsid w:val="00A47B28"/>
    <w:rsid w:val="00A509DA"/>
    <w:rsid w:val="00A536F4"/>
    <w:rsid w:val="00A5559A"/>
    <w:rsid w:val="00A621C9"/>
    <w:rsid w:val="00A622C1"/>
    <w:rsid w:val="00A633F6"/>
    <w:rsid w:val="00A653D8"/>
    <w:rsid w:val="00A71D9B"/>
    <w:rsid w:val="00A71F37"/>
    <w:rsid w:val="00A72505"/>
    <w:rsid w:val="00A755DF"/>
    <w:rsid w:val="00A7672B"/>
    <w:rsid w:val="00A76A8F"/>
    <w:rsid w:val="00A804B8"/>
    <w:rsid w:val="00A80AD8"/>
    <w:rsid w:val="00A82F75"/>
    <w:rsid w:val="00A843E1"/>
    <w:rsid w:val="00A90BF1"/>
    <w:rsid w:val="00A92258"/>
    <w:rsid w:val="00A9249A"/>
    <w:rsid w:val="00A92AB0"/>
    <w:rsid w:val="00A93038"/>
    <w:rsid w:val="00A945D1"/>
    <w:rsid w:val="00A94BCA"/>
    <w:rsid w:val="00A95CB6"/>
    <w:rsid w:val="00AA36DC"/>
    <w:rsid w:val="00AA5B9A"/>
    <w:rsid w:val="00AB1539"/>
    <w:rsid w:val="00AB31A2"/>
    <w:rsid w:val="00AC150B"/>
    <w:rsid w:val="00AD193C"/>
    <w:rsid w:val="00AD3DCE"/>
    <w:rsid w:val="00AD49B8"/>
    <w:rsid w:val="00AE6902"/>
    <w:rsid w:val="00AF03AE"/>
    <w:rsid w:val="00AF467F"/>
    <w:rsid w:val="00B02F7E"/>
    <w:rsid w:val="00B03935"/>
    <w:rsid w:val="00B0524B"/>
    <w:rsid w:val="00B068B0"/>
    <w:rsid w:val="00B103CE"/>
    <w:rsid w:val="00B14961"/>
    <w:rsid w:val="00B16370"/>
    <w:rsid w:val="00B165EB"/>
    <w:rsid w:val="00B2221A"/>
    <w:rsid w:val="00B23CE1"/>
    <w:rsid w:val="00B24621"/>
    <w:rsid w:val="00B31A1C"/>
    <w:rsid w:val="00B33E68"/>
    <w:rsid w:val="00B34102"/>
    <w:rsid w:val="00B43AD7"/>
    <w:rsid w:val="00B512EE"/>
    <w:rsid w:val="00B522B0"/>
    <w:rsid w:val="00B52679"/>
    <w:rsid w:val="00B53886"/>
    <w:rsid w:val="00B55481"/>
    <w:rsid w:val="00B55900"/>
    <w:rsid w:val="00B567BA"/>
    <w:rsid w:val="00B568CE"/>
    <w:rsid w:val="00B61464"/>
    <w:rsid w:val="00B676B3"/>
    <w:rsid w:val="00B706B1"/>
    <w:rsid w:val="00B707B2"/>
    <w:rsid w:val="00B713A8"/>
    <w:rsid w:val="00B71605"/>
    <w:rsid w:val="00B74EFE"/>
    <w:rsid w:val="00B76288"/>
    <w:rsid w:val="00B76736"/>
    <w:rsid w:val="00B769F2"/>
    <w:rsid w:val="00B76B25"/>
    <w:rsid w:val="00B77A65"/>
    <w:rsid w:val="00B77DC7"/>
    <w:rsid w:val="00B805CD"/>
    <w:rsid w:val="00B84747"/>
    <w:rsid w:val="00B85488"/>
    <w:rsid w:val="00B87F06"/>
    <w:rsid w:val="00B94263"/>
    <w:rsid w:val="00B95A0E"/>
    <w:rsid w:val="00B973FA"/>
    <w:rsid w:val="00B97738"/>
    <w:rsid w:val="00BA3968"/>
    <w:rsid w:val="00BA4C67"/>
    <w:rsid w:val="00BA5732"/>
    <w:rsid w:val="00BA59D8"/>
    <w:rsid w:val="00BA6256"/>
    <w:rsid w:val="00BB704D"/>
    <w:rsid w:val="00BC186D"/>
    <w:rsid w:val="00BC1F18"/>
    <w:rsid w:val="00BC2C89"/>
    <w:rsid w:val="00BC3FB7"/>
    <w:rsid w:val="00BD3A95"/>
    <w:rsid w:val="00BD7206"/>
    <w:rsid w:val="00BD7550"/>
    <w:rsid w:val="00BE15A1"/>
    <w:rsid w:val="00BE42E0"/>
    <w:rsid w:val="00BF3C9E"/>
    <w:rsid w:val="00BF4A7F"/>
    <w:rsid w:val="00BF4BAF"/>
    <w:rsid w:val="00BF4E0B"/>
    <w:rsid w:val="00BF51AD"/>
    <w:rsid w:val="00C0682E"/>
    <w:rsid w:val="00C1741B"/>
    <w:rsid w:val="00C21475"/>
    <w:rsid w:val="00C23912"/>
    <w:rsid w:val="00C248D1"/>
    <w:rsid w:val="00C24966"/>
    <w:rsid w:val="00C305C3"/>
    <w:rsid w:val="00C3314A"/>
    <w:rsid w:val="00C3526F"/>
    <w:rsid w:val="00C35993"/>
    <w:rsid w:val="00C36191"/>
    <w:rsid w:val="00C3709E"/>
    <w:rsid w:val="00C40F35"/>
    <w:rsid w:val="00C411C4"/>
    <w:rsid w:val="00C41FA3"/>
    <w:rsid w:val="00C43700"/>
    <w:rsid w:val="00C4421F"/>
    <w:rsid w:val="00C51633"/>
    <w:rsid w:val="00C524CB"/>
    <w:rsid w:val="00C532CF"/>
    <w:rsid w:val="00C53869"/>
    <w:rsid w:val="00C54B92"/>
    <w:rsid w:val="00C568CA"/>
    <w:rsid w:val="00C65626"/>
    <w:rsid w:val="00C700F4"/>
    <w:rsid w:val="00C703A9"/>
    <w:rsid w:val="00C748ED"/>
    <w:rsid w:val="00C764F0"/>
    <w:rsid w:val="00C90166"/>
    <w:rsid w:val="00C90191"/>
    <w:rsid w:val="00C916C9"/>
    <w:rsid w:val="00C928D9"/>
    <w:rsid w:val="00C94470"/>
    <w:rsid w:val="00C969DD"/>
    <w:rsid w:val="00CA074B"/>
    <w:rsid w:val="00CA3BBF"/>
    <w:rsid w:val="00CA794A"/>
    <w:rsid w:val="00CB0899"/>
    <w:rsid w:val="00CB3224"/>
    <w:rsid w:val="00CB3237"/>
    <w:rsid w:val="00CB44DC"/>
    <w:rsid w:val="00CB60D9"/>
    <w:rsid w:val="00CD444E"/>
    <w:rsid w:val="00CD4798"/>
    <w:rsid w:val="00CE002E"/>
    <w:rsid w:val="00CE243D"/>
    <w:rsid w:val="00CE373B"/>
    <w:rsid w:val="00CE4B78"/>
    <w:rsid w:val="00CE5334"/>
    <w:rsid w:val="00CF4B75"/>
    <w:rsid w:val="00CF5BBA"/>
    <w:rsid w:val="00CF6DD4"/>
    <w:rsid w:val="00CF7F64"/>
    <w:rsid w:val="00D00F1D"/>
    <w:rsid w:val="00D02186"/>
    <w:rsid w:val="00D05431"/>
    <w:rsid w:val="00D06E45"/>
    <w:rsid w:val="00D07442"/>
    <w:rsid w:val="00D07858"/>
    <w:rsid w:val="00D159DE"/>
    <w:rsid w:val="00D20F89"/>
    <w:rsid w:val="00D26C81"/>
    <w:rsid w:val="00D34497"/>
    <w:rsid w:val="00D42000"/>
    <w:rsid w:val="00D43444"/>
    <w:rsid w:val="00D449C1"/>
    <w:rsid w:val="00D46663"/>
    <w:rsid w:val="00D46E79"/>
    <w:rsid w:val="00D50422"/>
    <w:rsid w:val="00D508C3"/>
    <w:rsid w:val="00D5746A"/>
    <w:rsid w:val="00D57EAD"/>
    <w:rsid w:val="00D60958"/>
    <w:rsid w:val="00D6205F"/>
    <w:rsid w:val="00D62B9C"/>
    <w:rsid w:val="00D64D68"/>
    <w:rsid w:val="00D656A5"/>
    <w:rsid w:val="00D70DE3"/>
    <w:rsid w:val="00D734E2"/>
    <w:rsid w:val="00D740B8"/>
    <w:rsid w:val="00D75EF0"/>
    <w:rsid w:val="00D76A23"/>
    <w:rsid w:val="00D81FA1"/>
    <w:rsid w:val="00D825DD"/>
    <w:rsid w:val="00D82B99"/>
    <w:rsid w:val="00D85DC0"/>
    <w:rsid w:val="00D873C1"/>
    <w:rsid w:val="00D9508C"/>
    <w:rsid w:val="00DA0E14"/>
    <w:rsid w:val="00DA2994"/>
    <w:rsid w:val="00DA47E2"/>
    <w:rsid w:val="00DB1204"/>
    <w:rsid w:val="00DB2BE1"/>
    <w:rsid w:val="00DB2F85"/>
    <w:rsid w:val="00DB51FA"/>
    <w:rsid w:val="00DB5E7D"/>
    <w:rsid w:val="00DC05DC"/>
    <w:rsid w:val="00DC2A2F"/>
    <w:rsid w:val="00DC4922"/>
    <w:rsid w:val="00DC553D"/>
    <w:rsid w:val="00DC65A9"/>
    <w:rsid w:val="00DD0AAA"/>
    <w:rsid w:val="00DD4484"/>
    <w:rsid w:val="00DD6EDE"/>
    <w:rsid w:val="00DE041D"/>
    <w:rsid w:val="00DE0873"/>
    <w:rsid w:val="00DE306F"/>
    <w:rsid w:val="00DE3384"/>
    <w:rsid w:val="00DE3C24"/>
    <w:rsid w:val="00DE4617"/>
    <w:rsid w:val="00DE46B0"/>
    <w:rsid w:val="00DF2FC9"/>
    <w:rsid w:val="00E03FA1"/>
    <w:rsid w:val="00E114F3"/>
    <w:rsid w:val="00E12E35"/>
    <w:rsid w:val="00E13370"/>
    <w:rsid w:val="00E14EBE"/>
    <w:rsid w:val="00E232A6"/>
    <w:rsid w:val="00E25C0C"/>
    <w:rsid w:val="00E2624F"/>
    <w:rsid w:val="00E33540"/>
    <w:rsid w:val="00E339D0"/>
    <w:rsid w:val="00E34291"/>
    <w:rsid w:val="00E35426"/>
    <w:rsid w:val="00E418BA"/>
    <w:rsid w:val="00E420AD"/>
    <w:rsid w:val="00E44051"/>
    <w:rsid w:val="00E46BA5"/>
    <w:rsid w:val="00E472D4"/>
    <w:rsid w:val="00E47A0A"/>
    <w:rsid w:val="00E5460F"/>
    <w:rsid w:val="00E55040"/>
    <w:rsid w:val="00E72306"/>
    <w:rsid w:val="00E7399B"/>
    <w:rsid w:val="00E739E8"/>
    <w:rsid w:val="00E74500"/>
    <w:rsid w:val="00E810A4"/>
    <w:rsid w:val="00E8156F"/>
    <w:rsid w:val="00E83C2F"/>
    <w:rsid w:val="00E84823"/>
    <w:rsid w:val="00E86D65"/>
    <w:rsid w:val="00E930D2"/>
    <w:rsid w:val="00E93EC2"/>
    <w:rsid w:val="00EA10B1"/>
    <w:rsid w:val="00EA4672"/>
    <w:rsid w:val="00EB181C"/>
    <w:rsid w:val="00EB334E"/>
    <w:rsid w:val="00EB4637"/>
    <w:rsid w:val="00EB5A36"/>
    <w:rsid w:val="00EB5B9E"/>
    <w:rsid w:val="00EC0B2D"/>
    <w:rsid w:val="00EC31D7"/>
    <w:rsid w:val="00EC38AF"/>
    <w:rsid w:val="00EC4ABE"/>
    <w:rsid w:val="00EC5126"/>
    <w:rsid w:val="00EC5CB0"/>
    <w:rsid w:val="00EC6260"/>
    <w:rsid w:val="00ED1CAA"/>
    <w:rsid w:val="00EE0982"/>
    <w:rsid w:val="00EE2C55"/>
    <w:rsid w:val="00EE41EC"/>
    <w:rsid w:val="00EE72D7"/>
    <w:rsid w:val="00EF02B2"/>
    <w:rsid w:val="00EF0863"/>
    <w:rsid w:val="00EF0D3A"/>
    <w:rsid w:val="00EF3514"/>
    <w:rsid w:val="00EF5E19"/>
    <w:rsid w:val="00F0497A"/>
    <w:rsid w:val="00F04F6C"/>
    <w:rsid w:val="00F050C0"/>
    <w:rsid w:val="00F05C8E"/>
    <w:rsid w:val="00F109EB"/>
    <w:rsid w:val="00F12D64"/>
    <w:rsid w:val="00F13925"/>
    <w:rsid w:val="00F15314"/>
    <w:rsid w:val="00F17ACE"/>
    <w:rsid w:val="00F17DB8"/>
    <w:rsid w:val="00F27A79"/>
    <w:rsid w:val="00F32954"/>
    <w:rsid w:val="00F350A5"/>
    <w:rsid w:val="00F360F5"/>
    <w:rsid w:val="00F40946"/>
    <w:rsid w:val="00F41086"/>
    <w:rsid w:val="00F42D1D"/>
    <w:rsid w:val="00F45561"/>
    <w:rsid w:val="00F45FA0"/>
    <w:rsid w:val="00F46777"/>
    <w:rsid w:val="00F471EF"/>
    <w:rsid w:val="00F50AB4"/>
    <w:rsid w:val="00F50C98"/>
    <w:rsid w:val="00F5545D"/>
    <w:rsid w:val="00F60E58"/>
    <w:rsid w:val="00F63909"/>
    <w:rsid w:val="00F6491B"/>
    <w:rsid w:val="00F65F2F"/>
    <w:rsid w:val="00F66BE7"/>
    <w:rsid w:val="00F71C94"/>
    <w:rsid w:val="00F72D18"/>
    <w:rsid w:val="00F733E0"/>
    <w:rsid w:val="00F73806"/>
    <w:rsid w:val="00F73C0B"/>
    <w:rsid w:val="00F75FDA"/>
    <w:rsid w:val="00F77220"/>
    <w:rsid w:val="00F828EB"/>
    <w:rsid w:val="00F83B83"/>
    <w:rsid w:val="00F856E9"/>
    <w:rsid w:val="00F91EBC"/>
    <w:rsid w:val="00F9691B"/>
    <w:rsid w:val="00F96CC1"/>
    <w:rsid w:val="00FA3008"/>
    <w:rsid w:val="00FA5FE3"/>
    <w:rsid w:val="00FA6077"/>
    <w:rsid w:val="00FA77E7"/>
    <w:rsid w:val="00FB2C55"/>
    <w:rsid w:val="00FB3621"/>
    <w:rsid w:val="00FB3A31"/>
    <w:rsid w:val="00FC09A0"/>
    <w:rsid w:val="00FC325D"/>
    <w:rsid w:val="00FC35EA"/>
    <w:rsid w:val="00FC4327"/>
    <w:rsid w:val="00FD049F"/>
    <w:rsid w:val="00FE2ACA"/>
    <w:rsid w:val="00FE2C3C"/>
    <w:rsid w:val="00FE315B"/>
    <w:rsid w:val="00FE7EA3"/>
    <w:rsid w:val="00FF0746"/>
    <w:rsid w:val="00FF2660"/>
    <w:rsid w:val="00FF383E"/>
    <w:rsid w:val="00FF43F5"/>
    <w:rsid w:val="00FF6026"/>
    <w:rsid w:val="040168D1"/>
    <w:rsid w:val="09B4687D"/>
    <w:rsid w:val="0FB33569"/>
    <w:rsid w:val="1099E001"/>
    <w:rsid w:val="11B3E1E0"/>
    <w:rsid w:val="170A9DD2"/>
    <w:rsid w:val="18D05918"/>
    <w:rsid w:val="1905675E"/>
    <w:rsid w:val="190B926E"/>
    <w:rsid w:val="19434C61"/>
    <w:rsid w:val="1958ACBD"/>
    <w:rsid w:val="1B530A6C"/>
    <w:rsid w:val="1FBEEBC9"/>
    <w:rsid w:val="20353CAB"/>
    <w:rsid w:val="225DAA7E"/>
    <w:rsid w:val="23494677"/>
    <w:rsid w:val="250ACB92"/>
    <w:rsid w:val="288727C2"/>
    <w:rsid w:val="288A6108"/>
    <w:rsid w:val="28D78DA6"/>
    <w:rsid w:val="2A1FD4BE"/>
    <w:rsid w:val="2F7BCE35"/>
    <w:rsid w:val="3420AE3F"/>
    <w:rsid w:val="36E7BB56"/>
    <w:rsid w:val="3C0DD26A"/>
    <w:rsid w:val="3F0EE72D"/>
    <w:rsid w:val="4216D795"/>
    <w:rsid w:val="4495982A"/>
    <w:rsid w:val="44B77564"/>
    <w:rsid w:val="45ADF715"/>
    <w:rsid w:val="45C20331"/>
    <w:rsid w:val="4C1BA502"/>
    <w:rsid w:val="4FC59EDC"/>
    <w:rsid w:val="503DE061"/>
    <w:rsid w:val="512B8816"/>
    <w:rsid w:val="527FA7DA"/>
    <w:rsid w:val="528FE949"/>
    <w:rsid w:val="530BB453"/>
    <w:rsid w:val="54A2C95F"/>
    <w:rsid w:val="57106895"/>
    <w:rsid w:val="5937C0E4"/>
    <w:rsid w:val="594088A9"/>
    <w:rsid w:val="5C451C5F"/>
    <w:rsid w:val="5E245202"/>
    <w:rsid w:val="5FA26A9F"/>
    <w:rsid w:val="60BDE520"/>
    <w:rsid w:val="633686B6"/>
    <w:rsid w:val="695413D3"/>
    <w:rsid w:val="712C0A6D"/>
    <w:rsid w:val="71E6E887"/>
    <w:rsid w:val="73C7185F"/>
    <w:rsid w:val="75FC7447"/>
    <w:rsid w:val="770D5D1D"/>
    <w:rsid w:val="7948EFE4"/>
    <w:rsid w:val="795C0AA5"/>
    <w:rsid w:val="7B5AC040"/>
    <w:rsid w:val="7D25ABC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779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4F3"/>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E114F3"/>
    <w:pPr>
      <w:spacing w:before="240" w:after="240" w:line="240" w:lineRule="auto"/>
    </w:pPr>
    <w:rPr>
      <w:rFonts w:asciiTheme="majorHAnsi" w:eastAsiaTheme="majorEastAsia" w:hAnsiTheme="majorHAnsi" w:cstheme="majorBidi"/>
      <w:bCs/>
      <w:color w:val="44546A" w:themeColor="text2"/>
      <w:sz w:val="32"/>
      <w:szCs w:val="24"/>
      <w:lang w:val="hu-HU"/>
    </w:rPr>
  </w:style>
  <w:style w:type="paragraph" w:styleId="FootnoteText">
    <w:name w:val="footnote text"/>
    <w:basedOn w:val="Normal"/>
    <w:link w:val="FootnoteTextChar"/>
    <w:autoRedefine/>
    <w:qFormat/>
    <w:rsid w:val="003D3122"/>
    <w:pPr>
      <w:spacing w:before="80" w:line="200" w:lineRule="exact"/>
      <w:ind w:left="567" w:hanging="567"/>
      <w:jc w:val="both"/>
    </w:pPr>
    <w:rPr>
      <w:sz w:val="18"/>
      <w:szCs w:val="18"/>
      <w:lang w:val="hu-HU"/>
    </w:rPr>
  </w:style>
  <w:style w:type="character" w:customStyle="1" w:styleId="FootnoteTextChar">
    <w:name w:val="Footnote Text Char"/>
    <w:basedOn w:val="DefaultParagraphFont"/>
    <w:link w:val="FootnoteText"/>
    <w:rsid w:val="003D3122"/>
    <w:rPr>
      <w:rFonts w:eastAsiaTheme="minorEastAsia"/>
      <w:sz w:val="18"/>
      <w:szCs w:val="18"/>
      <w:lang w:val="hu-HU"/>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E114F3"/>
    <w:rPr>
      <w:rFonts w:asciiTheme="minorHAnsi" w:hAnsiTheme="minorHAnsi"/>
      <w:sz w:val="22"/>
      <w:szCs w:val="18"/>
      <w:vertAlign w:val="superscript"/>
    </w:rPr>
  </w:style>
  <w:style w:type="character" w:styleId="Hyperlink">
    <w:name w:val="Hyperlink"/>
    <w:basedOn w:val="DefaultParagraphFont"/>
    <w:uiPriority w:val="99"/>
    <w:rsid w:val="00E114F3"/>
    <w:rPr>
      <w:color w:val="0563C1" w:themeColor="hyperlink"/>
      <w:u w:val="single"/>
    </w:rPr>
  </w:style>
  <w:style w:type="paragraph" w:customStyle="1" w:styleId="Annexetitre">
    <w:name w:val="Annexe titre"/>
    <w:basedOn w:val="Normal"/>
    <w:next w:val="Normal"/>
    <w:rsid w:val="00E114F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E114F3"/>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E114F3"/>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E114F3"/>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E114F3"/>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E114F3"/>
    <w:rPr>
      <w:rFonts w:ascii="Arial" w:eastAsia="MS Mincho" w:hAnsi="Arial" w:cs="Times New Roman"/>
      <w:b/>
      <w:noProof/>
      <w:szCs w:val="20"/>
    </w:rPr>
  </w:style>
  <w:style w:type="character" w:customStyle="1" w:styleId="InstructionsTabelleberschrift">
    <w:name w:val="Instructions Tabelle Überschrift"/>
    <w:qFormat/>
    <w:rsid w:val="00E114F3"/>
    <w:rPr>
      <w:rFonts w:ascii="Verdana" w:hAnsi="Verdana" w:cs="Times New Roman"/>
      <w:b/>
      <w:bCs/>
      <w:sz w:val="20"/>
      <w:u w:val="single"/>
    </w:rPr>
  </w:style>
  <w:style w:type="paragraph" w:customStyle="1" w:styleId="InstructionsText2">
    <w:name w:val="Instructions Text 2"/>
    <w:basedOn w:val="Normal"/>
    <w:qFormat/>
    <w:rsid w:val="00E114F3"/>
    <w:pPr>
      <w:numPr>
        <w:numId w:val="2"/>
      </w:numPr>
      <w:spacing w:after="240"/>
      <w:jc w:val="both"/>
    </w:pPr>
    <w:rPr>
      <w:rFonts w:ascii="Times New Roman" w:eastAsia="Times New Roman" w:hAnsi="Times New Roman" w:cs="Times New Roman"/>
      <w:sz w:val="24"/>
      <w:lang w:eastAsia="de-DE"/>
    </w:rPr>
  </w:style>
  <w:style w:type="paragraph" w:styleId="Header">
    <w:name w:val="header"/>
    <w:basedOn w:val="Normal"/>
    <w:link w:val="HeaderChar"/>
    <w:uiPriority w:val="99"/>
    <w:unhideWhenUsed/>
    <w:rsid w:val="00E114F3"/>
    <w:pPr>
      <w:tabs>
        <w:tab w:val="center" w:pos="4513"/>
        <w:tab w:val="right" w:pos="9026"/>
      </w:tabs>
    </w:pPr>
  </w:style>
  <w:style w:type="character" w:customStyle="1" w:styleId="HeaderChar">
    <w:name w:val="Header Char"/>
    <w:basedOn w:val="DefaultParagraphFont"/>
    <w:link w:val="Header"/>
    <w:uiPriority w:val="99"/>
    <w:rsid w:val="00E114F3"/>
    <w:rPr>
      <w:rFonts w:eastAsiaTheme="minorEastAsia"/>
      <w:szCs w:val="24"/>
    </w:rPr>
  </w:style>
  <w:style w:type="paragraph" w:styleId="Footer">
    <w:name w:val="footer"/>
    <w:basedOn w:val="Normal"/>
    <w:link w:val="FooterChar"/>
    <w:uiPriority w:val="99"/>
    <w:unhideWhenUsed/>
    <w:rsid w:val="00E114F3"/>
    <w:pPr>
      <w:tabs>
        <w:tab w:val="center" w:pos="4513"/>
        <w:tab w:val="right" w:pos="9026"/>
      </w:tabs>
    </w:pPr>
  </w:style>
  <w:style w:type="character" w:customStyle="1" w:styleId="FooterChar">
    <w:name w:val="Footer Char"/>
    <w:basedOn w:val="DefaultParagraphFont"/>
    <w:link w:val="Footer"/>
    <w:uiPriority w:val="99"/>
    <w:rsid w:val="00E114F3"/>
    <w:rPr>
      <w:rFonts w:eastAsiaTheme="minorEastAsia"/>
      <w:szCs w:val="24"/>
    </w:rPr>
  </w:style>
  <w:style w:type="paragraph" w:styleId="Revision">
    <w:name w:val="Revision"/>
    <w:hidden/>
    <w:uiPriority w:val="99"/>
    <w:semiHidden/>
    <w:rsid w:val="00241FEC"/>
    <w:pPr>
      <w:spacing w:after="0" w:line="240" w:lineRule="auto"/>
    </w:pPr>
    <w:rPr>
      <w:rFonts w:eastAsiaTheme="minorEastAsia"/>
      <w:szCs w:val="24"/>
    </w:rPr>
  </w:style>
  <w:style w:type="character" w:styleId="CommentReference">
    <w:name w:val="annotation reference"/>
    <w:basedOn w:val="DefaultParagraphFont"/>
    <w:uiPriority w:val="99"/>
    <w:unhideWhenUsed/>
    <w:rsid w:val="00095D07"/>
    <w:rPr>
      <w:sz w:val="16"/>
      <w:szCs w:val="16"/>
    </w:rPr>
  </w:style>
  <w:style w:type="paragraph" w:styleId="CommentText">
    <w:name w:val="annotation text"/>
    <w:basedOn w:val="Normal"/>
    <w:link w:val="CommentTextChar"/>
    <w:uiPriority w:val="99"/>
    <w:unhideWhenUsed/>
    <w:rsid w:val="00095D07"/>
    <w:rPr>
      <w:sz w:val="20"/>
      <w:szCs w:val="20"/>
      <w:lang w:val="hu-HU"/>
    </w:rPr>
  </w:style>
  <w:style w:type="character" w:customStyle="1" w:styleId="CommentTextChar">
    <w:name w:val="Comment Text Char"/>
    <w:basedOn w:val="DefaultParagraphFont"/>
    <w:link w:val="CommentText"/>
    <w:uiPriority w:val="99"/>
    <w:rsid w:val="00095D07"/>
    <w:rPr>
      <w:rFonts w:eastAsiaTheme="minorEastAsia"/>
      <w:sz w:val="20"/>
      <w:szCs w:val="20"/>
      <w:lang w:val="hu-HU"/>
    </w:rPr>
  </w:style>
  <w:style w:type="paragraph" w:customStyle="1" w:styleId="numberedparagraph">
    <w:name w:val="numbered paragraph"/>
    <w:basedOn w:val="Normal"/>
    <w:qFormat/>
    <w:rsid w:val="00095D07"/>
    <w:pPr>
      <w:numPr>
        <w:numId w:val="7"/>
      </w:numPr>
      <w:spacing w:before="240" w:after="120" w:line="276" w:lineRule="auto"/>
      <w:jc w:val="both"/>
    </w:pPr>
    <w:rPr>
      <w:lang w:val="hu-HU"/>
    </w:rPr>
  </w:style>
  <w:style w:type="paragraph" w:customStyle="1" w:styleId="paragraph">
    <w:name w:val="paragraph"/>
    <w:basedOn w:val="Normal"/>
    <w:rsid w:val="00095D07"/>
    <w:pPr>
      <w:spacing w:before="100" w:beforeAutospacing="1" w:after="100" w:afterAutospacing="1"/>
    </w:pPr>
    <w:rPr>
      <w:rFonts w:ascii="Times New Roman" w:eastAsia="Times New Roman" w:hAnsi="Times New Roman" w:cs="Times New Roman"/>
      <w:sz w:val="24"/>
      <w:lang w:eastAsia="en-GB"/>
    </w:rPr>
  </w:style>
  <w:style w:type="character" w:customStyle="1" w:styleId="normaltextrun">
    <w:name w:val="normaltextrun"/>
    <w:basedOn w:val="DefaultParagraphFont"/>
    <w:rsid w:val="00095D07"/>
  </w:style>
  <w:style w:type="character" w:customStyle="1" w:styleId="eop">
    <w:name w:val="eop"/>
    <w:basedOn w:val="DefaultParagraphFont"/>
    <w:rsid w:val="00095D07"/>
  </w:style>
  <w:style w:type="character" w:styleId="Mention">
    <w:name w:val="Mention"/>
    <w:basedOn w:val="DefaultParagraphFont"/>
    <w:uiPriority w:val="99"/>
    <w:unhideWhenUsed/>
    <w:rsid w:val="00095D07"/>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074F00"/>
    <w:rPr>
      <w:b/>
      <w:bCs/>
      <w:lang w:val="hu-HU"/>
    </w:rPr>
  </w:style>
  <w:style w:type="character" w:customStyle="1" w:styleId="CommentSubjectChar">
    <w:name w:val="Comment Subject Char"/>
    <w:basedOn w:val="CommentTextChar"/>
    <w:link w:val="CommentSubject"/>
    <w:uiPriority w:val="99"/>
    <w:semiHidden/>
    <w:rsid w:val="00074F00"/>
    <w:rPr>
      <w:rFonts w:eastAsiaTheme="minorEastAsia"/>
      <w:b/>
      <w:bCs/>
      <w:sz w:val="20"/>
      <w:szCs w:val="20"/>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HU/TXT/?uri=OJ:L_202401623" TargetMode="External"/><Relationship Id="rId1" Type="http://schemas.openxmlformats.org/officeDocument/2006/relationships/hyperlink" Target="https://eur-lex.europa.eu/legal-content/HU/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897FCB-9E4A-4741-9004-D2C005DA7809}">
  <ds:schemaRefs>
    <ds:schemaRef ds:uri="http://schemas.openxmlformats.org/officeDocument/2006/bibliography"/>
  </ds:schemaRefs>
</ds:datastoreItem>
</file>

<file path=customXml/itemProps2.xml><?xml version="1.0" encoding="utf-8"?>
<ds:datastoreItem xmlns:ds="http://schemas.openxmlformats.org/officeDocument/2006/customXml" ds:itemID="{46A231EA-EE43-4692-B35D-95566B5A858E}"/>
</file>

<file path=customXml/itemProps3.xml><?xml version="1.0" encoding="utf-8"?>
<ds:datastoreItem xmlns:ds="http://schemas.openxmlformats.org/officeDocument/2006/customXml" ds:itemID="{F053FAEC-B3A5-4312-9990-C18D6417FD2F}"/>
</file>

<file path=customXml/itemProps4.xml><?xml version="1.0" encoding="utf-8"?>
<ds:datastoreItem xmlns:ds="http://schemas.openxmlformats.org/officeDocument/2006/customXml" ds:itemID="{02B8371E-425C-4347-90FC-2477C10B2436}"/>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3687</Words>
  <Characters>20248</Characters>
  <Application>Microsoft Office Word</Application>
  <DocSecurity>0</DocSecurity>
  <Lines>460</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23712</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2024-01-16T19:59:00Z</dcterms:created>
  <dcterms:modified xsi:type="dcterms:W3CDTF">2024-09-26T14:33:00Z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2024-09-26T14:33:15Z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1b3d45c3-b119-4dc7-a546-67a8ee009990</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