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70ADA6" w14:textId="77777777" w:rsidR="00166FFE" w:rsidRPr="0031221C" w:rsidRDefault="00A1733E" w:rsidP="006A78BA">
      <w:pPr>
        <w:pStyle w:val="Annexetitre"/>
        <w:rPr>
          <w:sz w:val="28"/>
          <w:szCs w:val="28"/>
          <w:u w:val="none"/>
        </w:rPr>
      </w:pPr>
      <w:r>
        <w:rPr>
          <w:sz w:val="28"/>
          <w:u w:val="none"/>
        </w:rPr>
        <w:t xml:space="preserve">ANEXO II</w:t>
      </w:r>
    </w:p>
    <w:p w14:paraId="3EED48F6" w14:textId="77777777" w:rsidR="00A1733E" w:rsidRPr="0031221C" w:rsidRDefault="00A1733E" w:rsidP="006A78BA">
      <w:pPr>
        <w:pStyle w:val="Annexetitre"/>
        <w:rPr>
          <w:u w:val="none"/>
        </w:rPr>
      </w:pPr>
      <w:r>
        <w:rPr>
          <w:u w:val="none"/>
        </w:rPr>
        <w:t xml:space="preserve">«ANEXO XXXVIII</w:t>
      </w:r>
    </w:p>
    <w:p w14:paraId="77F10DF1" w14:textId="10384F48" w:rsidR="006A78BA" w:rsidRPr="0031221C" w:rsidRDefault="0078309E" w:rsidP="006A78BA">
      <w:pPr>
        <w:pStyle w:val="Annexetitre"/>
        <w:rPr>
          <w:u w:val="none"/>
        </w:rPr>
      </w:pPr>
      <w:r>
        <w:rPr>
          <w:u w:val="none"/>
        </w:rPr>
        <w:t xml:space="preserve">Instrucciones relativas a las plantillas para la divulgación de información sobre el riesgo de tipo de interés en relación con posiciones no mantenidas en la cartera de negociación</w:t>
      </w:r>
    </w:p>
    <w:p w14:paraId="09721089" w14:textId="77777777" w:rsidR="006A78BA" w:rsidRPr="0031221C" w:rsidRDefault="006A78BA" w:rsidP="0054744B">
      <w:pPr>
        <w:jc w:val="both"/>
        <w:rPr>
          <w:rFonts w:ascii="Times New Roman" w:hAnsi="Times New Roman"/>
          <w:b/>
          <w:bCs/>
          <w:sz w:val="24"/>
        </w:rPr>
      </w:pPr>
    </w:p>
    <w:p w14:paraId="47A0C8EE" w14:textId="01383A2B" w:rsidR="00CD3692" w:rsidRPr="0031221C" w:rsidRDefault="00166FFE" w:rsidP="00CD3692">
      <w:pPr>
        <w:rPr>
          <w:bCs/>
          <w:sz w:val="24"/>
          <w:rFonts w:ascii="Times New Roman" w:hAnsi="Times New Roman"/>
        </w:rPr>
      </w:pPr>
      <w:r>
        <w:rPr>
          <w:b/>
          <w:sz w:val="24"/>
          <w:rFonts w:ascii="Times New Roman" w:hAnsi="Times New Roman"/>
        </w:rPr>
        <w:t xml:space="preserve">Instrucciones relativas a la divulgación de información correspondientes a la plantilla EU IRRBBA</w:t>
      </w:r>
      <w:r>
        <w:rPr>
          <w:b/>
          <w:sz w:val="24"/>
          <w:rFonts w:ascii="Times New Roman" w:hAnsi="Times New Roman"/>
        </w:rPr>
        <w:t xml:space="preserve"> </w:t>
      </w:r>
    </w:p>
    <w:p w14:paraId="7E4925DA" w14:textId="77777777" w:rsidR="00CD3692" w:rsidRPr="0031221C" w:rsidRDefault="00CD3692" w:rsidP="00CD3692">
      <w:pPr>
        <w:rPr>
          <w:rFonts w:ascii="Times New Roman" w:hAnsi="Times New Roman"/>
          <w:bCs/>
          <w:sz w:val="24"/>
        </w:rPr>
      </w:pPr>
    </w:p>
    <w:p w14:paraId="31D9779B" w14:textId="7383F91C" w:rsidR="00580D58" w:rsidRPr="0031221C" w:rsidRDefault="00580D58" w:rsidP="00470043">
      <w:pPr>
        <w:spacing w:after="120"/>
        <w:jc w:val="both"/>
        <w:rPr>
          <w:color w:val="000000"/>
          <w:szCs w:val="22"/>
          <w:rFonts w:ascii="Calibri" w:eastAsia="Times New Roman" w:hAnsi="Calibri" w:cs="Times New Roman"/>
        </w:rPr>
      </w:pPr>
      <w:r>
        <w:rPr>
          <w:sz w:val="24"/>
          <w:rFonts w:ascii="Times New Roman" w:hAnsi="Times New Roman"/>
        </w:rPr>
        <w:t xml:space="preserve">Las entidades divulgarán la información cualitativa que se especifica a continuación sobre la base de su metodología relativa al sistema interno de medición del riesgo, la metodología normalizada o la metodología normalizada simplificada, si procede, de conformidad con el artículo 84 de la Directiva 2013/36/UE.</w:t>
      </w:r>
    </w:p>
    <w:p w14:paraId="3D633743" w14:textId="14CE6FC2" w:rsidR="00C07A00" w:rsidRDefault="0017255F" w:rsidP="000D6C4D">
      <w:pPr>
        <w:jc w:val="both"/>
        <w:rPr>
          <w:sz w:val="24"/>
          <w:rFonts w:ascii="Times New Roman" w:hAnsi="Times New Roman" w:cs="Times New Roman"/>
        </w:rPr>
      </w:pPr>
      <w:r>
        <w:rPr>
          <w:sz w:val="24"/>
          <w:rFonts w:ascii="Times New Roman" w:hAnsi="Times New Roman"/>
        </w:rPr>
        <w:t xml:space="preserve">Estas instrucciones se han elaborado basándose en los requisitos establecidos en el artículo 448 del Reglamento (UE) n.º 575/2013 y en consonancia con la norma de divulgación de información del pilar 3 de Basilea.</w:t>
      </w:r>
      <w:r>
        <w:rPr>
          <w:sz w:val="24"/>
          <w:rFonts w:ascii="Times New Roman" w:hAnsi="Times New Roman"/>
        </w:rPr>
        <w:t xml:space="preserve"> </w:t>
      </w:r>
    </w:p>
    <w:p w14:paraId="4EA230EE" w14:textId="77777777" w:rsidR="000D6C4D" w:rsidRPr="0031221C" w:rsidRDefault="000D6C4D" w:rsidP="000D6C4D">
      <w:pPr>
        <w:jc w:val="both"/>
      </w:pPr>
    </w:p>
    <w:tbl>
      <w:tblPr>
        <w:tblW w:w="8926" w:type="dxa"/>
        <w:tblLook w:val="04A0" w:firstRow="1" w:lastRow="0" w:firstColumn="1" w:lastColumn="0" w:noHBand="0" w:noVBand="1"/>
      </w:tblPr>
      <w:tblGrid>
        <w:gridCol w:w="1555"/>
        <w:gridCol w:w="7371"/>
      </w:tblGrid>
      <w:tr w:rsidR="00CD3692" w:rsidRPr="0031221C" w14:paraId="5A9E0A69" w14:textId="77777777" w:rsidTr="00F930E4">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58FC1AD4" w14:textId="77777777" w:rsidR="00CD3692" w:rsidRPr="0031221C" w:rsidRDefault="00CD3692" w:rsidP="00F930E4">
            <w:pPr>
              <w:rPr>
                <w:b/>
                <w:bCs/>
                <w:color w:val="000000"/>
                <w:szCs w:val="22"/>
                <w:rFonts w:ascii="Times New Roman" w:eastAsia="Times New Roman" w:hAnsi="Times New Roman" w:cs="Times New Roman"/>
              </w:rPr>
            </w:pPr>
            <w:r>
              <w:rPr>
                <w:b/>
                <w:color w:val="000000"/>
                <w:rFonts w:ascii="Times New Roman" w:hAnsi="Times New Roman"/>
              </w:rPr>
              <w:t xml:space="preserve">Referencias jurídicas e instrucciones</w:t>
            </w:r>
          </w:p>
        </w:tc>
      </w:tr>
      <w:tr w:rsidR="00CD3692" w:rsidRPr="0031221C" w14:paraId="254CB684" w14:textId="77777777" w:rsidTr="00F930E4">
        <w:trPr>
          <w:trHeight w:val="315"/>
        </w:trPr>
        <w:tc>
          <w:tcPr>
            <w:tcW w:w="1555" w:type="dxa"/>
            <w:tcBorders>
              <w:top w:val="nil"/>
              <w:left w:val="single" w:sz="4" w:space="0" w:color="auto"/>
              <w:bottom w:val="single" w:sz="4" w:space="0" w:color="auto"/>
              <w:right w:val="single" w:sz="4" w:space="0" w:color="auto"/>
            </w:tcBorders>
            <w:shd w:val="clear" w:color="000000" w:fill="D9D9D9"/>
            <w:vAlign w:val="center"/>
            <w:hideMark/>
          </w:tcPr>
          <w:p w14:paraId="7C023E59" w14:textId="77777777" w:rsidR="00CD3692" w:rsidRPr="0031221C" w:rsidRDefault="00CD3692" w:rsidP="00F930E4">
            <w:pPr>
              <w:rPr>
                <w:b/>
                <w:bCs/>
                <w:color w:val="000000"/>
                <w:szCs w:val="22"/>
                <w:rFonts w:ascii="Times New Roman" w:eastAsia="Times New Roman" w:hAnsi="Times New Roman" w:cs="Times New Roman"/>
              </w:rPr>
            </w:pPr>
            <w:r>
              <w:rPr>
                <w:b/>
                <w:color w:val="000000"/>
                <w:rFonts w:ascii="Times New Roman" w:hAnsi="Times New Roman"/>
              </w:rPr>
              <w:t xml:space="preserve">Número de fila</w:t>
            </w:r>
          </w:p>
        </w:tc>
        <w:tc>
          <w:tcPr>
            <w:tcW w:w="7371" w:type="dxa"/>
            <w:tcBorders>
              <w:top w:val="single" w:sz="4" w:space="0" w:color="auto"/>
              <w:left w:val="nil"/>
              <w:bottom w:val="single" w:sz="4" w:space="0" w:color="auto"/>
              <w:right w:val="single" w:sz="4" w:space="0" w:color="auto"/>
            </w:tcBorders>
            <w:shd w:val="clear" w:color="000000" w:fill="D9D9D9"/>
            <w:vAlign w:val="center"/>
            <w:hideMark/>
          </w:tcPr>
          <w:p w14:paraId="7D1EE539" w14:textId="77777777" w:rsidR="00CD3692" w:rsidRPr="0031221C" w:rsidRDefault="00CD3692" w:rsidP="00F930E4">
            <w:pPr>
              <w:rPr>
                <w:b/>
                <w:bCs/>
                <w:color w:val="000000"/>
                <w:szCs w:val="22"/>
                <w:rFonts w:ascii="Times New Roman" w:eastAsia="Times New Roman" w:hAnsi="Times New Roman" w:cs="Times New Roman"/>
              </w:rPr>
            </w:pPr>
            <w:r>
              <w:rPr>
                <w:b/>
                <w:color w:val="000000"/>
                <w:rFonts w:ascii="Times New Roman" w:hAnsi="Times New Roman"/>
              </w:rPr>
              <w:t xml:space="preserve">Explicación</w:t>
            </w:r>
          </w:p>
        </w:tc>
      </w:tr>
      <w:tr w:rsidR="00FC2089" w:rsidRPr="0031221C" w14:paraId="5BBA757F" w14:textId="77777777" w:rsidTr="00C143B2">
        <w:trPr>
          <w:trHeight w:val="2448"/>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1225657E" w14:textId="73DDAA01" w:rsidR="00FC2089" w:rsidRPr="0031221C" w:rsidRDefault="00FC2089" w:rsidP="00F930E4">
            <w:pPr>
              <w:jc w:val="center"/>
              <w:rPr>
                <w:color w:val="000000"/>
                <w:szCs w:val="22"/>
                <w:rFonts w:ascii="Times New Roman" w:eastAsia="Times New Roman" w:hAnsi="Times New Roman" w:cs="Times New Roman"/>
              </w:rPr>
            </w:pPr>
            <w:r>
              <w:rPr>
                <w:color w:val="000000"/>
                <w:rFonts w:ascii="Times New Roman" w:hAnsi="Times New Roman"/>
              </w:rPr>
              <w:t xml:space="preserve">a)</w:t>
            </w:r>
          </w:p>
        </w:tc>
        <w:tc>
          <w:tcPr>
            <w:tcW w:w="7371" w:type="dxa"/>
            <w:tcBorders>
              <w:top w:val="single" w:sz="4" w:space="0" w:color="auto"/>
              <w:left w:val="nil"/>
              <w:bottom w:val="single" w:sz="4" w:space="0" w:color="auto"/>
              <w:right w:val="single" w:sz="4" w:space="0" w:color="auto"/>
            </w:tcBorders>
            <w:shd w:val="clear" w:color="auto" w:fill="auto"/>
            <w:vAlign w:val="center"/>
          </w:tcPr>
          <w:p w14:paraId="2DF47E25" w14:textId="66C09E90" w:rsidR="00FC2089" w:rsidRPr="0031221C" w:rsidRDefault="00465DF4" w:rsidP="00F930E4">
            <w:pPr>
              <w:spacing w:before="120" w:after="120"/>
              <w:jc w:val="both"/>
              <w:rPr>
                <w:b/>
                <w:color w:val="000000"/>
                <w:sz w:val="24"/>
                <w:szCs w:val="22"/>
                <w:rFonts w:ascii="Times New Roman" w:eastAsia="Times New Roman" w:hAnsi="Times New Roman" w:cs="Times New Roman"/>
              </w:rPr>
            </w:pPr>
            <w:r>
              <w:rPr>
                <w:b/>
                <w:color w:val="000000"/>
                <w:sz w:val="24"/>
                <w:rFonts w:ascii="Times New Roman" w:hAnsi="Times New Roman"/>
              </w:rPr>
              <w:t xml:space="preserve">Descripción de cómo define la entidad el IRRBB a efectos de control y medición del riesgo</w:t>
            </w:r>
          </w:p>
          <w:p w14:paraId="3FB34713" w14:textId="03A80E6F" w:rsidR="00FC2089" w:rsidRPr="0031221C" w:rsidRDefault="00133E44" w:rsidP="00721ADE">
            <w:pPr>
              <w:spacing w:before="120" w:after="120"/>
              <w:jc w:val="both"/>
              <w:rPr>
                <w:b/>
                <w:color w:val="000000"/>
                <w:sz w:val="24"/>
                <w:szCs w:val="22"/>
                <w:rFonts w:ascii="Times New Roman" w:eastAsia="Times New Roman" w:hAnsi="Times New Roman" w:cs="Times New Roman"/>
              </w:rPr>
            </w:pPr>
            <w:r>
              <w:rPr>
                <w:color w:val="000000"/>
                <w:rFonts w:ascii="Times New Roman" w:hAnsi="Times New Roman"/>
              </w:rPr>
              <w:t xml:space="preserve">De conformidad con el artículo 448, apartado 1, letra e), del Reglamento (UE) n.º 575/2013, las entidades deben proporcionar una descripción general de la manera en que definen, miden, reducen y controlan los riesgos de tipo de interés de las actividades de su cartera de inversión a efectos de la revisión encomendada a las autoridades competentes de conformidad con el artículo 84 de la Directiva 2013/36/UE.</w:t>
            </w:r>
          </w:p>
        </w:tc>
      </w:tr>
      <w:tr w:rsidR="00465DF4" w:rsidRPr="0031221C" w14:paraId="68082CB2" w14:textId="77777777" w:rsidTr="00F930E4">
        <w:trPr>
          <w:trHeight w:val="301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474795CC" w14:textId="1C705731" w:rsidR="00465DF4" w:rsidRPr="0031221C" w:rsidRDefault="00465DF4" w:rsidP="00F930E4">
            <w:pPr>
              <w:jc w:val="center"/>
              <w:rPr>
                <w:color w:val="000000"/>
                <w:szCs w:val="22"/>
                <w:rFonts w:ascii="Times New Roman" w:eastAsia="Times New Roman" w:hAnsi="Times New Roman" w:cs="Times New Roman"/>
              </w:rPr>
            </w:pPr>
            <w:r>
              <w:rPr>
                <w:color w:val="000000"/>
                <w:rFonts w:ascii="Times New Roman" w:hAnsi="Times New Roman"/>
              </w:rPr>
              <w:t xml:space="preserve">b)</w:t>
            </w:r>
          </w:p>
        </w:tc>
        <w:tc>
          <w:tcPr>
            <w:tcW w:w="7371" w:type="dxa"/>
            <w:tcBorders>
              <w:top w:val="single" w:sz="4" w:space="0" w:color="auto"/>
              <w:left w:val="nil"/>
              <w:bottom w:val="single" w:sz="4" w:space="0" w:color="auto"/>
              <w:right w:val="single" w:sz="4" w:space="0" w:color="auto"/>
            </w:tcBorders>
            <w:shd w:val="clear" w:color="auto" w:fill="auto"/>
            <w:vAlign w:val="center"/>
          </w:tcPr>
          <w:p w14:paraId="602EFF4A" w14:textId="20E6E488" w:rsidR="00465DF4" w:rsidRPr="0031221C" w:rsidRDefault="00EA2452" w:rsidP="00F930E4">
            <w:pPr>
              <w:spacing w:before="120" w:after="120"/>
              <w:jc w:val="both"/>
              <w:rPr>
                <w:b/>
                <w:color w:val="000000"/>
                <w:sz w:val="24"/>
                <w:szCs w:val="22"/>
                <w:rFonts w:ascii="Times New Roman" w:eastAsia="Times New Roman" w:hAnsi="Times New Roman" w:cs="Times New Roman"/>
              </w:rPr>
            </w:pPr>
            <w:r>
              <w:rPr>
                <w:b/>
                <w:color w:val="000000"/>
                <w:sz w:val="24"/>
                <w:rFonts w:ascii="Times New Roman" w:hAnsi="Times New Roman"/>
              </w:rPr>
              <w:t xml:space="preserve">Descripción de las estrategias globales de gestión y reducción del IRRBB de la entidad</w:t>
            </w:r>
          </w:p>
          <w:p w14:paraId="204A9378" w14:textId="5470BAC2" w:rsidR="005F58E6" w:rsidRPr="0031221C" w:rsidRDefault="005F58E6" w:rsidP="007012E2">
            <w:pPr>
              <w:spacing w:before="120" w:after="120"/>
              <w:jc w:val="both"/>
              <w:rPr>
                <w:color w:val="000000"/>
                <w:sz w:val="24"/>
                <w:szCs w:val="22"/>
                <w:rFonts w:ascii="Times New Roman" w:eastAsia="Times New Roman" w:hAnsi="Times New Roman" w:cs="Times New Roman"/>
              </w:rPr>
            </w:pPr>
            <w:r>
              <w:rPr>
                <w:color w:val="000000"/>
                <w:rFonts w:ascii="Times New Roman" w:hAnsi="Times New Roman"/>
              </w:rPr>
              <w:t xml:space="preserve">De conformidad con el artículo 448, apartado 1, letra f), del Reglamento (UE) n.º 575/2013, las entidades deben proporcionar una descripción general de las estrategias globales de gestión y reducción del IRRBB, con inclusión de los elementos siguientes:</w:t>
            </w:r>
            <w:r>
              <w:rPr>
                <w:color w:val="000000"/>
                <w:rFonts w:ascii="Times New Roman" w:hAnsi="Times New Roman"/>
              </w:rPr>
              <w:t xml:space="preserve"> </w:t>
            </w:r>
            <w:r>
              <w:rPr>
                <w:color w:val="000000"/>
                <w:rFonts w:ascii="Times New Roman" w:hAnsi="Times New Roman"/>
              </w:rPr>
              <w:t xml:space="preserve">el seguimiento del valor económico del patrimonio neto y de los ingresos netos por intereses en relación con los límites establecidos, las prácticas de cobertura, la realización de pruebas de resistencia, el análisis de los resultados, el papel de la auditoría independiente, el papel y las prácticas del comité de gestión de activos y pasivos, las prácticas de la entidad para garantizar una validación adecuada del modelo y las actualizaciones oportunas del modelo en respuesta a cambios en las condiciones del mercado.</w:t>
            </w:r>
          </w:p>
        </w:tc>
      </w:tr>
      <w:tr w:rsidR="00EA2452" w:rsidRPr="0031221C" w14:paraId="00B80900" w14:textId="77777777" w:rsidTr="00C41D59">
        <w:trPr>
          <w:trHeight w:val="841"/>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201763AB" w14:textId="4C8DCD01" w:rsidR="00EA2452" w:rsidRPr="0031221C" w:rsidRDefault="00EA2452" w:rsidP="00EA2452">
            <w:pPr>
              <w:jc w:val="center"/>
              <w:rPr>
                <w:color w:val="000000"/>
                <w:szCs w:val="22"/>
                <w:rFonts w:ascii="Times New Roman" w:eastAsia="Times New Roman" w:hAnsi="Times New Roman" w:cs="Times New Roman"/>
              </w:rPr>
            </w:pPr>
            <w:r>
              <w:rPr>
                <w:color w:val="000000"/>
                <w:rFonts w:ascii="Times New Roman" w:hAnsi="Times New Roman"/>
              </w:rPr>
              <w:t xml:space="preserve">c)</w:t>
            </w:r>
          </w:p>
        </w:tc>
        <w:tc>
          <w:tcPr>
            <w:tcW w:w="7371" w:type="dxa"/>
            <w:tcBorders>
              <w:top w:val="single" w:sz="4" w:space="0" w:color="auto"/>
              <w:left w:val="nil"/>
              <w:bottom w:val="single" w:sz="4" w:space="0" w:color="auto"/>
              <w:right w:val="single" w:sz="4" w:space="0" w:color="auto"/>
            </w:tcBorders>
            <w:shd w:val="clear" w:color="auto" w:fill="auto"/>
            <w:vAlign w:val="center"/>
          </w:tcPr>
          <w:p w14:paraId="3F78C5C7" w14:textId="77777777" w:rsidR="008F617B" w:rsidRPr="0031221C" w:rsidRDefault="008F617B" w:rsidP="00B650A9">
            <w:pPr>
              <w:spacing w:after="120"/>
              <w:jc w:val="both"/>
              <w:rPr>
                <w:rFonts w:ascii="Times New Roman" w:eastAsia="Times New Roman" w:hAnsi="Times New Roman" w:cs="Times New Roman"/>
                <w:color w:val="000000"/>
                <w:szCs w:val="22"/>
                <w:lang w:eastAsia="en-GB"/>
              </w:rPr>
            </w:pPr>
          </w:p>
          <w:p w14:paraId="074838C9" w14:textId="79671406" w:rsidR="00716636" w:rsidRPr="0031221C" w:rsidRDefault="00716636" w:rsidP="00B650A9">
            <w:pPr>
              <w:spacing w:after="120"/>
              <w:jc w:val="both"/>
              <w:rPr>
                <w:b/>
                <w:color w:val="000000"/>
                <w:szCs w:val="22"/>
                <w:rFonts w:ascii="Times New Roman" w:eastAsia="Times New Roman" w:hAnsi="Times New Roman" w:cs="Times New Roman"/>
              </w:rPr>
            </w:pPr>
            <w:r>
              <w:rPr>
                <w:b/>
                <w:color w:val="000000"/>
                <w:rFonts w:ascii="Times New Roman" w:hAnsi="Times New Roman"/>
              </w:rPr>
              <w:t xml:space="preserve">La periodicidad del cálculo de las medidas sobre el IRRBB de la entidad y descripción de las medidas específicas que la entidad utiliza para calibrar su sensibilidad al IRRBB</w:t>
            </w:r>
          </w:p>
          <w:p w14:paraId="6FC20A2F" w14:textId="7F1E505C" w:rsidR="00EA2452" w:rsidRPr="0031221C" w:rsidRDefault="00716636" w:rsidP="00B650A9">
            <w:pPr>
              <w:spacing w:after="120"/>
              <w:jc w:val="both"/>
              <w:rPr>
                <w:color w:val="000000"/>
                <w:szCs w:val="22"/>
                <w:rFonts w:ascii="Times New Roman" w:eastAsia="Times New Roman" w:hAnsi="Times New Roman" w:cs="Times New Roman"/>
              </w:rPr>
            </w:pPr>
            <w:r>
              <w:rPr>
                <w:color w:val="000000"/>
                <w:rFonts w:ascii="Times New Roman" w:hAnsi="Times New Roman"/>
              </w:rPr>
              <w:t xml:space="preserve">De conformidad con el artículo 448, apartado 1, letra e), incisos i) y v), del Reglamento (UE) n.º 575/2013, las entidades deben proporcionar una descripción general de las medidas específicas de riesgo que se utilizan para evaluar los cambios del valor económico del patrimonio neto y de sus ingresos netos por intereses, y también deben indicar la frecuencia con que se lleva a cabo la evaluación del riesgo de tipo de interés.</w:t>
            </w:r>
          </w:p>
          <w:p w14:paraId="3C576B31" w14:textId="6E0F133A" w:rsidR="0013410F" w:rsidRPr="0031221C" w:rsidRDefault="0013410F" w:rsidP="00721ADE">
            <w:pPr>
              <w:spacing w:after="120"/>
              <w:jc w:val="both"/>
              <w:rPr>
                <w:color w:val="000000"/>
                <w:szCs w:val="22"/>
                <w:rFonts w:ascii="Times New Roman" w:eastAsia="Times New Roman" w:hAnsi="Times New Roman" w:cs="Times New Roman"/>
              </w:rPr>
            </w:pPr>
            <w:r>
              <w:rPr>
                <w:color w:val="000000"/>
                <w:rFonts w:ascii="Times New Roman" w:hAnsi="Times New Roman"/>
              </w:rPr>
              <w:t xml:space="preserve">Con arreglo a lo dispuesto en el artículo 448, apartado 2, del Reglamento (UE) n.º 575/2013, el requisito de descripción de las medidas específicas de riesgo utilizadas para calibrar la sensibilidad al IRRBB no será aplicable a las entidades que apliquen el método estándar o el método estándar simplificado mencionados en el artículo 84, apartado 1, de la Directiva 2013/36/UE.</w:t>
            </w:r>
          </w:p>
        </w:tc>
      </w:tr>
      <w:tr w:rsidR="00716636" w:rsidRPr="0031221C" w14:paraId="3452DFD3" w14:textId="77777777" w:rsidTr="00C143B2">
        <w:trPr>
          <w:trHeight w:val="197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5293A998" w14:textId="3472E13E" w:rsidR="00716636" w:rsidRPr="0031221C" w:rsidRDefault="00716636" w:rsidP="00F930E4">
            <w:pPr>
              <w:jc w:val="center"/>
              <w:rPr>
                <w:color w:val="000000"/>
                <w:szCs w:val="22"/>
                <w:rFonts w:ascii="Times New Roman" w:eastAsia="Times New Roman" w:hAnsi="Times New Roman" w:cs="Times New Roman"/>
              </w:rPr>
            </w:pPr>
            <w:r>
              <w:rPr>
                <w:color w:val="000000"/>
                <w:rFonts w:ascii="Times New Roman" w:hAnsi="Times New Roman"/>
              </w:rPr>
              <w:t xml:space="preserve">d)</w:t>
            </w:r>
          </w:p>
        </w:tc>
        <w:tc>
          <w:tcPr>
            <w:tcW w:w="7371" w:type="dxa"/>
            <w:tcBorders>
              <w:top w:val="single" w:sz="4" w:space="0" w:color="auto"/>
              <w:left w:val="nil"/>
              <w:bottom w:val="single" w:sz="4" w:space="0" w:color="auto"/>
              <w:right w:val="single" w:sz="4" w:space="0" w:color="auto"/>
            </w:tcBorders>
            <w:shd w:val="clear" w:color="auto" w:fill="auto"/>
            <w:vAlign w:val="center"/>
          </w:tcPr>
          <w:p w14:paraId="086EC818" w14:textId="713F89A4" w:rsidR="00716636" w:rsidRPr="0031221C" w:rsidRDefault="00716636" w:rsidP="00716636">
            <w:pPr>
              <w:spacing w:before="120" w:after="120"/>
              <w:jc w:val="both"/>
              <w:rPr>
                <w:b/>
                <w:color w:val="000000"/>
                <w:sz w:val="24"/>
                <w:szCs w:val="22"/>
                <w:rFonts w:ascii="Times New Roman" w:eastAsia="Times New Roman" w:hAnsi="Times New Roman" w:cs="Times New Roman"/>
              </w:rPr>
            </w:pPr>
            <w:r>
              <w:rPr>
                <w:b/>
                <w:color w:val="000000"/>
                <w:sz w:val="24"/>
                <w:rFonts w:ascii="Times New Roman" w:hAnsi="Times New Roman"/>
              </w:rPr>
              <w:t xml:space="preserve">Descripción de los escenarios de perturbación y tensión de los tipos de interés que la entidad utiliza para estimar los cambios del valor económico y de los ingresos netos por intereses (si procede)</w:t>
            </w:r>
          </w:p>
          <w:p w14:paraId="24AB856B" w14:textId="5DBA799D" w:rsidR="00716636" w:rsidRPr="0031221C" w:rsidRDefault="00716636" w:rsidP="00226654">
            <w:pPr>
              <w:spacing w:before="120" w:after="120"/>
              <w:jc w:val="both"/>
              <w:rPr>
                <w:color w:val="000000"/>
                <w:szCs w:val="22"/>
                <w:rFonts w:ascii="Times New Roman" w:eastAsia="Times New Roman" w:hAnsi="Times New Roman" w:cs="Times New Roman"/>
              </w:rPr>
            </w:pPr>
            <w:r>
              <w:rPr>
                <w:color w:val="000000"/>
                <w:rFonts w:ascii="Times New Roman" w:hAnsi="Times New Roman"/>
              </w:rPr>
              <w:t xml:space="preserve">De conformidad con el artículo 448, apartado 1, letra e), inciso iii), del Reglamento (UE) n.º 575/2013, las entidades deben proporcionar una descripción general de los escenarios de perturbación del tipo de interés utilizados para estimar el riesgo de tipo de interés.</w:t>
            </w:r>
          </w:p>
          <w:p w14:paraId="05DE1832" w14:textId="3AF43FAB" w:rsidR="0013410F" w:rsidRPr="0031221C" w:rsidRDefault="0013410F" w:rsidP="00721ADE">
            <w:pPr>
              <w:spacing w:before="120" w:after="120"/>
              <w:jc w:val="both"/>
              <w:rPr>
                <w:color w:val="000000"/>
                <w:sz w:val="24"/>
                <w:szCs w:val="22"/>
                <w:rFonts w:ascii="Times New Roman" w:eastAsia="Times New Roman" w:hAnsi="Times New Roman" w:cs="Times New Roman"/>
              </w:rPr>
            </w:pPr>
            <w:r>
              <w:rPr>
                <w:color w:val="000000"/>
                <w:rFonts w:ascii="Times New Roman" w:hAnsi="Times New Roman"/>
              </w:rPr>
              <w:t xml:space="preserve">De conformidad con el artículo 448, apartado 2, del Reglamento (UE) n.º 575/2013, tales requisitos de divulgación de información no serán aplicables a las entidades que apliquen el método estándar o el método estándar simplificado a que se refiere el artículo 84, apartado 1, de la Directiva 2013/36/UE.</w:t>
            </w:r>
          </w:p>
        </w:tc>
      </w:tr>
      <w:tr w:rsidR="00716636" w:rsidRPr="0031221C" w14:paraId="7F74CA5A" w14:textId="77777777" w:rsidTr="00005B93">
        <w:trPr>
          <w:trHeight w:val="2966"/>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5A210618" w14:textId="7713D88E" w:rsidR="00716636" w:rsidRPr="0031221C" w:rsidRDefault="00716636" w:rsidP="00F930E4">
            <w:pPr>
              <w:jc w:val="center"/>
              <w:rPr>
                <w:color w:val="000000"/>
                <w:szCs w:val="22"/>
                <w:rFonts w:ascii="Times New Roman" w:eastAsia="Times New Roman" w:hAnsi="Times New Roman" w:cs="Times New Roman"/>
              </w:rPr>
            </w:pPr>
            <w:r>
              <w:rPr>
                <w:color w:val="000000"/>
                <w:rFonts w:ascii="Times New Roman" w:hAnsi="Times New Roman"/>
              </w:rPr>
              <w:t xml:space="preserve">e)</w:t>
            </w:r>
          </w:p>
        </w:tc>
        <w:tc>
          <w:tcPr>
            <w:tcW w:w="7371" w:type="dxa"/>
            <w:tcBorders>
              <w:top w:val="single" w:sz="4" w:space="0" w:color="auto"/>
              <w:left w:val="nil"/>
              <w:bottom w:val="single" w:sz="4" w:space="0" w:color="auto"/>
              <w:right w:val="single" w:sz="4" w:space="0" w:color="auto"/>
            </w:tcBorders>
            <w:shd w:val="clear" w:color="auto" w:fill="auto"/>
            <w:vAlign w:val="center"/>
          </w:tcPr>
          <w:p w14:paraId="7576C839" w14:textId="00FE41FE" w:rsidR="0094340A" w:rsidRPr="0031221C" w:rsidRDefault="0094340A" w:rsidP="00F930E4">
            <w:pPr>
              <w:spacing w:before="120" w:after="120"/>
              <w:jc w:val="both"/>
              <w:rPr>
                <w:b/>
                <w:color w:val="000000"/>
                <w:sz w:val="24"/>
                <w:szCs w:val="22"/>
                <w:rFonts w:ascii="Times New Roman" w:eastAsia="Times New Roman" w:hAnsi="Times New Roman" w:cs="Times New Roman"/>
              </w:rPr>
            </w:pPr>
            <w:r>
              <w:rPr>
                <w:b/>
                <w:color w:val="000000"/>
                <w:sz w:val="24"/>
                <w:rFonts w:ascii="Times New Roman" w:hAnsi="Times New Roman"/>
              </w:rPr>
              <w:t xml:space="preserve">Descripción de las hipótesis de modelización y paramétricas clave distintas de las utilizadas para la divulgación de la plantilla EU IRRBB1 (si procede)</w:t>
            </w:r>
          </w:p>
          <w:p w14:paraId="15A00557" w14:textId="4EC63038" w:rsidR="00716636" w:rsidRPr="0031221C" w:rsidRDefault="0094340A" w:rsidP="0094340A">
            <w:pPr>
              <w:spacing w:before="120" w:after="120"/>
              <w:jc w:val="both"/>
              <w:rPr>
                <w:color w:val="000000"/>
                <w:szCs w:val="22"/>
                <w:rFonts w:ascii="Times New Roman" w:eastAsia="Times New Roman" w:hAnsi="Times New Roman" w:cs="Times New Roman"/>
              </w:rPr>
            </w:pPr>
            <w:r>
              <w:rPr>
                <w:color w:val="000000"/>
                <w:rFonts w:ascii="Times New Roman" w:hAnsi="Times New Roman"/>
              </w:rPr>
              <w:t xml:space="preserve">De conformidad con el artículo 448, apartado 1, letra e), inciso ii), del Reglamento (UE) n.º 575/2013, en aquellos casos en que las hipótesis de modelización y paramétricas clave utilizadas en los sistemas internos de medición de la entidad difieran de las contempladas en el artículo 98, apartado 5 </w:t>
            </w:r>
            <w:r>
              <w:rPr>
                <w:color w:val="000000"/>
                <w:i/>
                <w:iCs/>
                <w:rFonts w:ascii="Times New Roman" w:hAnsi="Times New Roman"/>
              </w:rPr>
              <w:t xml:space="preserve">bis</w:t>
            </w:r>
            <w:r>
              <w:rPr>
                <w:color w:val="000000"/>
                <w:rFonts w:ascii="Times New Roman" w:hAnsi="Times New Roman"/>
              </w:rPr>
              <w:t xml:space="preserve">, de la Directiva 2013/36/UE empleadas para la divulgación de la plantilla EU IRRBB1, la entidad facilitará una descripción general de dichas hipótesis, incluida la justificación de dichas diferencias (por ejemplo, datos históricos, investigaciones publicadas, criterios y análisis de la gerencia, etc.).</w:t>
            </w:r>
          </w:p>
          <w:p w14:paraId="3FF39A57" w14:textId="5F109832" w:rsidR="003B1160" w:rsidRPr="0031221C" w:rsidRDefault="0013410F" w:rsidP="00721ADE">
            <w:pPr>
              <w:spacing w:before="120" w:after="120"/>
              <w:jc w:val="both"/>
              <w:rPr>
                <w:b/>
                <w:color w:val="000000"/>
                <w:sz w:val="24"/>
                <w:szCs w:val="22"/>
                <w:rFonts w:ascii="Times New Roman" w:eastAsia="Times New Roman" w:hAnsi="Times New Roman" w:cs="Times New Roman"/>
              </w:rPr>
            </w:pPr>
            <w:r>
              <w:rPr>
                <w:color w:val="000000"/>
                <w:rFonts w:ascii="Times New Roman" w:hAnsi="Times New Roman"/>
              </w:rPr>
              <w:t xml:space="preserve">De conformidad con el artículo 448, apartado 2, del Reglamento (UE) n.º 575/2013, tales requisitos de divulgación de información no serán aplicables a las entidades que apliquen el método estándar o el método estándar simplificado a que se refiere el artículo 84, apartado 1, de la Directiva 2013/36/UE.</w:t>
            </w:r>
          </w:p>
        </w:tc>
      </w:tr>
      <w:tr w:rsidR="0094340A" w:rsidRPr="0031221C" w14:paraId="766E1A7E" w14:textId="77777777" w:rsidTr="00005B93">
        <w:trPr>
          <w:trHeight w:val="230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1239BE99" w14:textId="6073D3B2" w:rsidR="0094340A" w:rsidRPr="0031221C" w:rsidRDefault="0094340A" w:rsidP="00F930E4">
            <w:pPr>
              <w:jc w:val="center"/>
              <w:rPr>
                <w:color w:val="000000"/>
                <w:szCs w:val="22"/>
                <w:rFonts w:ascii="Times New Roman" w:eastAsia="Times New Roman" w:hAnsi="Times New Roman" w:cs="Times New Roman"/>
              </w:rPr>
            </w:pPr>
            <w:r>
              <w:rPr>
                <w:color w:val="000000"/>
                <w:rFonts w:ascii="Times New Roman" w:hAnsi="Times New Roman"/>
              </w:rPr>
              <w:t xml:space="preserve">f)</w:t>
            </w:r>
          </w:p>
        </w:tc>
        <w:tc>
          <w:tcPr>
            <w:tcW w:w="7371" w:type="dxa"/>
            <w:tcBorders>
              <w:top w:val="single" w:sz="4" w:space="0" w:color="auto"/>
              <w:left w:val="nil"/>
              <w:bottom w:val="single" w:sz="4" w:space="0" w:color="auto"/>
              <w:right w:val="single" w:sz="4" w:space="0" w:color="auto"/>
            </w:tcBorders>
            <w:shd w:val="clear" w:color="auto" w:fill="auto"/>
            <w:vAlign w:val="center"/>
          </w:tcPr>
          <w:p w14:paraId="0384639B" w14:textId="05CA8B66" w:rsidR="0094340A" w:rsidRPr="0031221C" w:rsidRDefault="001A6E70" w:rsidP="00B650A9">
            <w:pPr>
              <w:spacing w:after="120"/>
              <w:jc w:val="both"/>
              <w:rPr>
                <w:b/>
                <w:color w:val="000000"/>
                <w:szCs w:val="22"/>
                <w:rFonts w:ascii="Times New Roman" w:eastAsia="Times New Roman" w:hAnsi="Times New Roman" w:cs="Times New Roman"/>
              </w:rPr>
            </w:pPr>
            <w:r>
              <w:rPr>
                <w:b/>
                <w:color w:val="000000"/>
                <w:rFonts w:ascii="Times New Roman" w:hAnsi="Times New Roman"/>
              </w:rPr>
              <w:t xml:space="preserve">Descripción general de la forma en que la entidad cubre su IRRBB, así como del tratamiento contable asociado (si procede)</w:t>
            </w:r>
          </w:p>
          <w:p w14:paraId="70B99ACF" w14:textId="007FE981" w:rsidR="0094340A" w:rsidRPr="0031221C" w:rsidRDefault="001A6E70" w:rsidP="00B650A9">
            <w:pPr>
              <w:spacing w:after="120"/>
              <w:jc w:val="both"/>
              <w:rPr>
                <w:color w:val="000000"/>
                <w:szCs w:val="22"/>
                <w:rFonts w:ascii="Times New Roman" w:eastAsia="Times New Roman" w:hAnsi="Times New Roman" w:cs="Times New Roman"/>
              </w:rPr>
            </w:pPr>
            <w:r>
              <w:rPr>
                <w:color w:val="000000"/>
                <w:rFonts w:ascii="Times New Roman" w:hAnsi="Times New Roman"/>
              </w:rPr>
              <w:t xml:space="preserve">En concreto, de conformidad con el artículo 448, apartado 1, letra e), inciso iv), del Reglamento (UE) n.º 575/2013, las entidades deben identificar el efecto de las coberturas frente a sus riesgos de tipo de interés, incluidas las coberturas internas que cumplan los requisitos establecidos en el artículo 106, apartado 3, del Reglamento citado.</w:t>
            </w:r>
          </w:p>
          <w:p w14:paraId="4C51BA8A" w14:textId="2771AF79" w:rsidR="0013410F" w:rsidRPr="0031221C" w:rsidRDefault="0013410F" w:rsidP="00721ADE">
            <w:pPr>
              <w:spacing w:after="120"/>
              <w:jc w:val="both"/>
              <w:rPr>
                <w:color w:val="000000"/>
                <w:szCs w:val="22"/>
                <w:rFonts w:ascii="Times New Roman" w:eastAsia="Times New Roman" w:hAnsi="Times New Roman" w:cs="Times New Roman"/>
              </w:rPr>
            </w:pPr>
            <w:r>
              <w:rPr>
                <w:color w:val="000000"/>
                <w:rFonts w:ascii="Times New Roman" w:hAnsi="Times New Roman"/>
              </w:rPr>
              <w:t xml:space="preserve">De conformidad con el artículo 448, apartado 2, del Reglamento (UE) n.º 575/2013, tales requisitos de divulgación de información no serán aplicables a las entidades que apliquen el método estándar o el método estándar simplificado a que se refiere el artículo 84, apartado 1, de la Directiva 2013/36/UE.</w:t>
            </w:r>
          </w:p>
        </w:tc>
      </w:tr>
      <w:tr w:rsidR="00CD3692" w:rsidRPr="0031221C" w14:paraId="6344348E" w14:textId="77777777" w:rsidTr="0064412E">
        <w:trPr>
          <w:trHeight w:val="1408"/>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02B4B5" w14:textId="349E9B67" w:rsidR="00CD3692" w:rsidRPr="0031221C" w:rsidRDefault="00CF6849" w:rsidP="00F930E4">
            <w:pPr>
              <w:jc w:val="center"/>
              <w:rPr>
                <w:color w:val="000000"/>
                <w:szCs w:val="22"/>
                <w:rFonts w:ascii="Times New Roman" w:eastAsia="Times New Roman" w:hAnsi="Times New Roman" w:cs="Times New Roman"/>
              </w:rPr>
            </w:pPr>
            <w:r>
              <w:rPr>
                <w:color w:val="000000"/>
                <w:rFonts w:ascii="Times New Roman" w:hAnsi="Times New Roman"/>
              </w:rPr>
              <w:t xml:space="preserve">g)</w:t>
            </w:r>
            <w:r>
              <w:rPr>
                <w:color w:val="000000"/>
                <w:rFonts w:ascii="Times New Roman" w:hAnsi="Times New Roman"/>
              </w:rPr>
              <w:t xml:space="preserve">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01DB3390" w14:textId="6E2E0F9E" w:rsidR="00CD3692" w:rsidRPr="0031221C" w:rsidRDefault="00EA1CF8" w:rsidP="00B650A9">
            <w:pPr>
              <w:spacing w:before="120" w:after="120"/>
              <w:jc w:val="both"/>
              <w:rPr>
                <w:color w:val="000000"/>
                <w:sz w:val="24"/>
                <w:szCs w:val="22"/>
                <w:rFonts w:ascii="Times New Roman" w:eastAsia="Times New Roman" w:hAnsi="Times New Roman" w:cs="Times New Roman"/>
              </w:rPr>
            </w:pPr>
            <w:r>
              <w:rPr>
                <w:b/>
                <w:color w:val="000000"/>
                <w:sz w:val="24"/>
                <w:rFonts w:ascii="Times New Roman" w:hAnsi="Times New Roman"/>
              </w:rPr>
              <w:t xml:space="preserve">Descripción de las hipótesis de modelización y paramétricas clave utilizadas para las medidas sobre el IRRBB en la plantilla EU IRRBB1 (si procede)</w:t>
            </w:r>
          </w:p>
          <w:p w14:paraId="083A4172" w14:textId="093A90CF" w:rsidR="00CD3692" w:rsidRPr="0031221C" w:rsidRDefault="00133E44" w:rsidP="00B650A9">
            <w:pPr>
              <w:jc w:val="both"/>
              <w:rPr>
                <w:color w:val="000000"/>
                <w:szCs w:val="22"/>
                <w:rFonts w:ascii="Times New Roman" w:eastAsia="Times New Roman" w:hAnsi="Times New Roman" w:cs="Times New Roman"/>
              </w:rPr>
            </w:pPr>
            <w:r>
              <w:rPr>
                <w:color w:val="000000"/>
                <w:rFonts w:ascii="Times New Roman" w:hAnsi="Times New Roman"/>
              </w:rPr>
              <w:t xml:space="preserve">De conformidad con el artículo 448, apartado 1, letra c), del Reglamento (UE) n.º 575/2013, las entidades deben facilitar una descripción general de las hipótesis de modelización y paramétricas clave, distintas de las contempladas en el artículo 98, apartado 5 </w:t>
            </w:r>
            <w:r>
              <w:rPr>
                <w:color w:val="000000"/>
                <w:i/>
                <w:iCs/>
                <w:rFonts w:ascii="Times New Roman" w:hAnsi="Times New Roman"/>
              </w:rPr>
              <w:t xml:space="preserve">bis</w:t>
            </w:r>
            <w:r>
              <w:rPr>
                <w:color w:val="000000"/>
                <w:rFonts w:ascii="Times New Roman" w:hAnsi="Times New Roman"/>
              </w:rPr>
              <w:t xml:space="preserve">, letras b) y c), de la Directiva 2013/36/UE, utilizadas para calcular los cambios del valor económico del patrimonio neto y de los ingresos netos por intereses en la plantilla EU IRRBB1.</w:t>
            </w:r>
            <w:r>
              <w:rPr>
                <w:color w:val="000000"/>
                <w:rFonts w:ascii="Times New Roman" w:hAnsi="Times New Roman"/>
              </w:rPr>
              <w:t xml:space="preserve"> </w:t>
            </w:r>
            <w:r>
              <w:rPr>
                <w:color w:val="000000"/>
                <w:rFonts w:ascii="Times New Roman" w:hAnsi="Times New Roman"/>
              </w:rPr>
              <w:t xml:space="preserve">Esta descripción general incluirá, como mínimo:</w:t>
            </w:r>
          </w:p>
          <w:p w14:paraId="26388E97" w14:textId="6114187E" w:rsidR="00843F8C" w:rsidRPr="0031221C" w:rsidRDefault="0016128F" w:rsidP="00B650A9">
            <w:pPr>
              <w:pStyle w:val="ListParagraph"/>
              <w:numPr>
                <w:ilvl w:val="0"/>
                <w:numId w:val="8"/>
              </w:numPr>
              <w:jc w:val="both"/>
              <w:rPr>
                <w:color w:val="000000"/>
                <w:szCs w:val="22"/>
                <w:rFonts w:ascii="Times New Roman" w:eastAsia="Times New Roman" w:hAnsi="Times New Roman" w:cs="Times New Roman"/>
              </w:rPr>
            </w:pPr>
            <w:r>
              <w:rPr>
                <w:color w:val="000000"/>
                <w:rFonts w:ascii="Times New Roman" w:hAnsi="Times New Roman"/>
              </w:rPr>
              <w:t xml:space="preserve">el modo en que se ha determinado el período medio del vencimiento para la revisión de intereses asignados a los depósitos sin vencimiento, incluida cualquier característica única del producto que afecte a la fecha de revisión de los intereses conductual supuesta;</w:t>
            </w:r>
          </w:p>
          <w:p w14:paraId="01CB0AA3" w14:textId="2D904141" w:rsidR="00843F8C" w:rsidRPr="0031221C" w:rsidRDefault="00843F8C" w:rsidP="00B650A9">
            <w:pPr>
              <w:pStyle w:val="ListParagraph"/>
              <w:numPr>
                <w:ilvl w:val="0"/>
                <w:numId w:val="8"/>
              </w:numPr>
              <w:jc w:val="both"/>
              <w:rPr>
                <w:color w:val="000000"/>
                <w:szCs w:val="22"/>
                <w:rFonts w:ascii="Times New Roman" w:eastAsia="Times New Roman" w:hAnsi="Times New Roman" w:cs="Times New Roman"/>
              </w:rPr>
            </w:pPr>
            <w:r>
              <w:rPr>
                <w:color w:val="000000"/>
                <w:rFonts w:ascii="Times New Roman" w:hAnsi="Times New Roman"/>
              </w:rPr>
              <w:t xml:space="preserve">la metodología utilizada para estimar los tipos de pago anticipado de los préstamos y/o los tipos de retirada anticipada de los depósitos a plazo, y otras hipótesis significativas;</w:t>
            </w:r>
          </w:p>
          <w:p w14:paraId="1BD4D78B" w14:textId="273602CC" w:rsidR="00AE69B7" w:rsidRPr="0031221C" w:rsidRDefault="00745B25" w:rsidP="00B650A9">
            <w:pPr>
              <w:pStyle w:val="ListParagraph"/>
              <w:numPr>
                <w:ilvl w:val="0"/>
                <w:numId w:val="8"/>
              </w:numPr>
              <w:jc w:val="both"/>
              <w:rPr>
                <w:color w:val="000000"/>
                <w:szCs w:val="22"/>
                <w:rFonts w:ascii="Times New Roman" w:eastAsia="Times New Roman" w:hAnsi="Times New Roman" w:cs="Times New Roman"/>
              </w:rPr>
            </w:pPr>
            <w:r>
              <w:rPr>
                <w:color w:val="000000"/>
                <w:rFonts w:ascii="Times New Roman" w:hAnsi="Times New Roman"/>
              </w:rPr>
              <w:t xml:space="preserve">cualesquiera otros supuestos, incluidos los relativos a instrumentos con opcionalidades conductuales, que tengan un impacto significativo en las medidas sobre el IRRBB divulgadas en la plantilla EU IRRBB1, incluida una explicación de los motivos por los que son significativos.</w:t>
            </w:r>
          </w:p>
          <w:p w14:paraId="2195D942" w14:textId="77777777" w:rsidR="005E2B3A" w:rsidRPr="0031221C" w:rsidRDefault="005E2B3A" w:rsidP="00B650A9">
            <w:pPr>
              <w:jc w:val="both"/>
              <w:rPr>
                <w:rFonts w:ascii="Times New Roman" w:eastAsia="Times New Roman" w:hAnsi="Times New Roman" w:cs="Times New Roman"/>
                <w:color w:val="000000"/>
                <w:szCs w:val="22"/>
                <w:lang w:eastAsia="en-GB"/>
              </w:rPr>
            </w:pPr>
          </w:p>
          <w:p w14:paraId="5155CA71" w14:textId="23D5624A" w:rsidR="005E2B3A" w:rsidRPr="0031221C" w:rsidRDefault="005E2B3A" w:rsidP="00721ADE">
            <w:pPr>
              <w:jc w:val="both"/>
              <w:rPr>
                <w:color w:val="000000"/>
                <w:szCs w:val="22"/>
                <w:rFonts w:ascii="Times New Roman" w:eastAsia="Times New Roman" w:hAnsi="Times New Roman" w:cs="Times New Roman"/>
              </w:rPr>
            </w:pPr>
            <w:r>
              <w:rPr>
                <w:color w:val="000000"/>
                <w:rFonts w:ascii="Times New Roman" w:hAnsi="Times New Roman"/>
              </w:rPr>
              <w:t xml:space="preserve">De conformidad con el artículo 448, apartado 2, del Reglamento (UE) n.º 575/2013, tales requisitos de divulgación de información no serán aplicables a las entidades que apliquen el método estándar o el método estándar simplificado a que se refiere el artículo 84, apartado 1, de la Directiva 2013/36/UE.</w:t>
            </w:r>
          </w:p>
        </w:tc>
      </w:tr>
      <w:tr w:rsidR="00CD3692" w:rsidRPr="0031221C" w14:paraId="124DC3B1" w14:textId="77777777" w:rsidTr="00F930E4">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4AA124D2" w14:textId="3A2AB43A" w:rsidR="00CD3692" w:rsidRPr="0031221C" w:rsidRDefault="00C143B2" w:rsidP="00F930E4">
            <w:pPr>
              <w:jc w:val="center"/>
              <w:rPr>
                <w:color w:val="000000"/>
                <w:szCs w:val="22"/>
                <w:rFonts w:ascii="Times New Roman" w:eastAsia="Times New Roman" w:hAnsi="Times New Roman" w:cs="Times New Roman"/>
              </w:rPr>
            </w:pPr>
            <w:r>
              <w:rPr>
                <w:color w:val="000000"/>
                <w:rFonts w:ascii="Times New Roman" w:hAnsi="Times New Roman"/>
              </w:rPr>
              <w:t xml:space="preserve">h)</w:t>
            </w:r>
            <w:r>
              <w:rPr>
                <w:color w:val="000000"/>
                <w:rFonts w:ascii="Times New Roman" w:hAnsi="Times New Roman"/>
              </w:rPr>
              <w:t xml:space="preserve">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17794F6D" w14:textId="6C923999" w:rsidR="003C310D" w:rsidRPr="0031221C" w:rsidRDefault="003C310D" w:rsidP="00B650A9">
            <w:pPr>
              <w:spacing w:after="120"/>
              <w:jc w:val="both"/>
              <w:rPr>
                <w:b/>
                <w:color w:val="000000"/>
                <w:sz w:val="24"/>
                <w:szCs w:val="22"/>
                <w:rFonts w:ascii="Times New Roman" w:eastAsia="Times New Roman" w:hAnsi="Times New Roman" w:cs="Times New Roman"/>
              </w:rPr>
            </w:pPr>
            <w:r>
              <w:rPr>
                <w:b/>
                <w:color w:val="000000"/>
                <w:sz w:val="24"/>
                <w:rFonts w:ascii="Times New Roman" w:hAnsi="Times New Roman"/>
              </w:rPr>
              <w:t xml:space="preserve">Explicación de la importancia de las medidas sobre el IRRBB, así como de cualquier variación significativa desde las divulgaciones de información anteriores</w:t>
            </w:r>
          </w:p>
          <w:p w14:paraId="79D598A4" w14:textId="45AA4311" w:rsidR="00CD3692" w:rsidRPr="0031221C" w:rsidRDefault="00133E44" w:rsidP="00942E61">
            <w:pPr>
              <w:spacing w:after="120"/>
              <w:jc w:val="both"/>
              <w:rPr>
                <w:color w:val="000000"/>
                <w:szCs w:val="22"/>
                <w:rFonts w:ascii="Times New Roman" w:eastAsia="Times New Roman" w:hAnsi="Times New Roman" w:cs="Times New Roman"/>
              </w:rPr>
            </w:pPr>
            <w:r>
              <w:rPr>
                <w:color w:val="000000"/>
                <w:rFonts w:ascii="Times New Roman" w:hAnsi="Times New Roman"/>
              </w:rPr>
              <w:t xml:space="preserve">De conformidad con el artículo 448, apartado 1, letra d), del Reglamento (UE) n.º 575/2013, las entidades deben proporcionar una explicación general de la importancia de las medidas sobre el IRRBB divulgadas en la plantilla EU IRRBB1 y de cualquier variación significativa de dichas medidas desde la fecha de referencia de la divulgación anterior.</w:t>
            </w:r>
          </w:p>
        </w:tc>
      </w:tr>
      <w:tr w:rsidR="007573CB" w:rsidRPr="0031221C" w14:paraId="7AE95BD0" w14:textId="77777777" w:rsidTr="004F5466">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04CEE7D5" w14:textId="3CB7C340" w:rsidR="007573CB" w:rsidRPr="0031221C" w:rsidRDefault="00912FEC" w:rsidP="00F930E4">
            <w:pPr>
              <w:jc w:val="center"/>
              <w:rPr>
                <w:color w:val="000000"/>
                <w:szCs w:val="22"/>
                <w:rFonts w:ascii="Times New Roman" w:eastAsia="Times New Roman" w:hAnsi="Times New Roman" w:cs="Times New Roman"/>
              </w:rPr>
            </w:pPr>
            <w:r>
              <w:rPr>
                <w:color w:val="000000"/>
                <w:rFonts w:ascii="Times New Roman" w:hAnsi="Times New Roman"/>
              </w:rPr>
              <w:t xml:space="preserve">i)</w:t>
            </w:r>
          </w:p>
        </w:tc>
        <w:tc>
          <w:tcPr>
            <w:tcW w:w="7371" w:type="dxa"/>
            <w:tcBorders>
              <w:top w:val="single" w:sz="4" w:space="0" w:color="auto"/>
              <w:left w:val="nil"/>
              <w:bottom w:val="single" w:sz="4" w:space="0" w:color="auto"/>
              <w:right w:val="single" w:sz="4" w:space="0" w:color="auto"/>
            </w:tcBorders>
            <w:shd w:val="clear" w:color="auto" w:fill="auto"/>
            <w:vAlign w:val="center"/>
          </w:tcPr>
          <w:p w14:paraId="45D4BD64" w14:textId="782047AF" w:rsidR="007573CB" w:rsidRPr="0031221C" w:rsidRDefault="007573CB" w:rsidP="00B650A9">
            <w:pPr>
              <w:spacing w:after="120"/>
              <w:jc w:val="both"/>
              <w:rPr>
                <w:b/>
                <w:color w:val="000000"/>
                <w:sz w:val="24"/>
                <w:szCs w:val="22"/>
                <w:rFonts w:ascii="Times New Roman" w:eastAsia="Times New Roman" w:hAnsi="Times New Roman" w:cs="Times New Roman"/>
              </w:rPr>
            </w:pPr>
            <w:r>
              <w:rPr>
                <w:b/>
                <w:color w:val="000000"/>
                <w:sz w:val="24"/>
                <w:rFonts w:ascii="Times New Roman" w:hAnsi="Times New Roman"/>
              </w:rPr>
              <w:t xml:space="preserve">Cualquier otra información pertinente relativa a las medidas sobre el IRRBB divulgada en la plantilla EU IRRBB1 (opcional)</w:t>
            </w:r>
          </w:p>
          <w:p w14:paraId="4A261DD1" w14:textId="6EDF41BA" w:rsidR="007F15BF" w:rsidRPr="0031221C" w:rsidRDefault="007573CB" w:rsidP="00B650A9">
            <w:pPr>
              <w:spacing w:after="120"/>
              <w:jc w:val="both"/>
              <w:rPr>
                <w:color w:val="000000"/>
                <w:szCs w:val="22"/>
                <w:rFonts w:ascii="Times New Roman" w:eastAsia="Times New Roman" w:hAnsi="Times New Roman" w:cs="Times New Roman"/>
              </w:rPr>
            </w:pPr>
            <w:r>
              <w:rPr>
                <w:color w:val="000000"/>
                <w:rFonts w:ascii="Times New Roman" w:hAnsi="Times New Roman"/>
              </w:rPr>
              <w:t xml:space="preserve">Cualquier otra información pertinente que las entidades deseen divulgar en relación con las medidas sobre el IRRBB incluidas en la plantilla EU IRRBB1.</w:t>
            </w:r>
            <w:r>
              <w:rPr>
                <w:color w:val="000000"/>
                <w:rFonts w:ascii="Times New Roman" w:hAnsi="Times New Roman"/>
              </w:rPr>
              <w:t xml:space="preserve"> </w:t>
            </w:r>
          </w:p>
          <w:p w14:paraId="10A0910D" w14:textId="43AEBA65" w:rsidR="007573CB" w:rsidRPr="0031221C" w:rsidRDefault="002B630E" w:rsidP="002B630E">
            <w:pPr>
              <w:spacing w:after="120"/>
              <w:jc w:val="both"/>
              <w:rPr>
                <w:color w:val="000000"/>
                <w:szCs w:val="22"/>
                <w:rFonts w:ascii="Times New Roman" w:eastAsia="Times New Roman" w:hAnsi="Times New Roman" w:cs="Times New Roman"/>
              </w:rPr>
            </w:pPr>
            <w:r>
              <w:rPr>
                <w:color w:val="000000"/>
                <w:rFonts w:ascii="Times New Roman" w:hAnsi="Times New Roman"/>
              </w:rPr>
              <w:t xml:space="preserve">.</w:t>
            </w:r>
            <w:r>
              <w:rPr>
                <w:color w:val="000000"/>
                <w:rFonts w:ascii="Times New Roman" w:hAnsi="Times New Roman"/>
              </w:rPr>
              <w:t xml:space="preserve"> </w:t>
            </w:r>
            <w:r>
              <w:t xml:space="preserve"> </w:t>
            </w:r>
            <w:r>
              <w:rPr>
                <w:color w:val="000000"/>
                <w:rFonts w:ascii="Times New Roman" w:hAnsi="Times New Roman"/>
              </w:rPr>
              <w:t xml:space="preserve">Hasta que sean aplicables los criterios de las directrices especificadas en el artículo 84, apartado 6, de la Directiva 2013/36/UE y los demás elementos que figuran en el artículo 98, apartado 5 </w:t>
            </w:r>
            <w:r>
              <w:rPr>
                <w:color w:val="000000"/>
                <w:i/>
                <w:iCs/>
                <w:rFonts w:ascii="Times New Roman" w:hAnsi="Times New Roman"/>
              </w:rPr>
              <w:t xml:space="preserve">bis</w:t>
            </w:r>
            <w:r>
              <w:rPr>
                <w:color w:val="000000"/>
                <w:rFonts w:ascii="Times New Roman" w:hAnsi="Times New Roman"/>
              </w:rPr>
              <w:t xml:space="preserve">, de la Directiva 2013/36/UE, las entidades divulgarán los parámetros utilizados para los escenarios de perturbación a efectos de supervisión, la definición de los ingresos netos por intereses que utilicen y cualquier otra información pertinente para comprender cómo se han calculado los cambios de los ingresos netos por intereses en la plantilla EU IRRBB1.</w:t>
            </w:r>
            <w:r>
              <w:rPr>
                <w:color w:val="000000"/>
                <w:rFonts w:ascii="Times New Roman" w:hAnsi="Times New Roman"/>
              </w:rPr>
              <w:t xml:space="preserve"> </w:t>
            </w:r>
          </w:p>
        </w:tc>
      </w:tr>
      <w:tr w:rsidR="004F5466" w:rsidRPr="0031221C" w14:paraId="3C02208B" w14:textId="77777777" w:rsidTr="004F5466">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7AC3EA22" w14:textId="416D163F" w:rsidR="004F5466" w:rsidRPr="0031221C" w:rsidRDefault="00EA1CF8" w:rsidP="00F930E4">
            <w:pPr>
              <w:jc w:val="center"/>
              <w:rPr>
                <w:color w:val="000000"/>
                <w:szCs w:val="22"/>
                <w:rFonts w:ascii="Times New Roman" w:eastAsia="Times New Roman" w:hAnsi="Times New Roman" w:cs="Times New Roman"/>
              </w:rPr>
            </w:pPr>
            <w:r>
              <w:rPr>
                <w:color w:val="000000"/>
                <w:rFonts w:ascii="Times New Roman" w:hAnsi="Times New Roman"/>
              </w:rPr>
              <w:t xml:space="preserve">1), 2)</w:t>
            </w:r>
          </w:p>
        </w:tc>
        <w:tc>
          <w:tcPr>
            <w:tcW w:w="7371" w:type="dxa"/>
            <w:tcBorders>
              <w:top w:val="single" w:sz="4" w:space="0" w:color="auto"/>
              <w:left w:val="nil"/>
              <w:bottom w:val="single" w:sz="4" w:space="0" w:color="auto"/>
              <w:right w:val="single" w:sz="4" w:space="0" w:color="auto"/>
            </w:tcBorders>
            <w:shd w:val="clear" w:color="auto" w:fill="auto"/>
            <w:vAlign w:val="center"/>
          </w:tcPr>
          <w:p w14:paraId="25E7AF10" w14:textId="2D31C73F" w:rsidR="00065C44" w:rsidRPr="0031221C" w:rsidRDefault="00EA1CF8" w:rsidP="00B650A9">
            <w:pPr>
              <w:spacing w:after="120"/>
              <w:jc w:val="both"/>
              <w:rPr>
                <w:b/>
                <w:color w:val="000000"/>
                <w:sz w:val="24"/>
                <w:szCs w:val="22"/>
                <w:rFonts w:ascii="Times New Roman" w:eastAsia="Times New Roman" w:hAnsi="Times New Roman" w:cs="Times New Roman"/>
              </w:rPr>
            </w:pPr>
            <w:r>
              <w:rPr>
                <w:b/>
                <w:color w:val="000000"/>
                <w:sz w:val="24"/>
                <w:rFonts w:ascii="Times New Roman" w:hAnsi="Times New Roman"/>
              </w:rPr>
              <w:t xml:space="preserve">Divulgación del período medio y el más largo del vencimiento para la revisión de intereses asignados a los depósitos sin vencimiento</w:t>
            </w:r>
          </w:p>
          <w:p w14:paraId="48FA0E44" w14:textId="035E5E4B" w:rsidR="004F5466" w:rsidRPr="0031221C" w:rsidRDefault="00065C44" w:rsidP="00942E61">
            <w:pPr>
              <w:spacing w:after="120"/>
              <w:jc w:val="both"/>
              <w:rPr>
                <w:b/>
                <w:color w:val="000000"/>
                <w:sz w:val="24"/>
                <w:szCs w:val="22"/>
                <w:rFonts w:ascii="Times New Roman" w:eastAsia="Times New Roman" w:hAnsi="Times New Roman" w:cs="Times New Roman"/>
              </w:rPr>
            </w:pPr>
            <w:r>
              <w:rPr>
                <w:color w:val="000000"/>
                <w:rFonts w:ascii="Times New Roman" w:hAnsi="Times New Roman"/>
              </w:rPr>
              <w:t xml:space="preserve">De conformidad con el artículo 448, apartado 1, letra g), del Reglamento (UE) n.º 575/2013, las entidades deben divulgar el período medio y el más largo del vencimiento para la revisión de intereses asignados a los depósitos sin vencimiento de las contrapartes minoristas y mayoristas no financieras.</w:t>
            </w:r>
            <w:r>
              <w:rPr>
                <w:color w:val="000000"/>
                <w:rFonts w:ascii="Times New Roman" w:hAnsi="Times New Roman"/>
              </w:rPr>
              <w:t xml:space="preserve"> </w:t>
            </w:r>
            <w:r>
              <w:rPr>
                <w:color w:val="000000"/>
                <w:rFonts w:ascii="Times New Roman" w:hAnsi="Times New Roman"/>
              </w:rPr>
              <w:t xml:space="preserve">La divulgación de información se referirá por separado tanto a la parte principal como al importe total de los depósitos sin vencimiento de las contrapartes minoristas y mayoristas no financieras.</w:t>
            </w:r>
          </w:p>
        </w:tc>
      </w:tr>
    </w:tbl>
    <w:p w14:paraId="7CCC608C" w14:textId="665437C9" w:rsidR="00CD3692" w:rsidRPr="0031221C" w:rsidRDefault="00CD3692" w:rsidP="0054744B">
      <w:pPr>
        <w:jc w:val="both"/>
        <w:rPr>
          <w:rFonts w:ascii="Times New Roman" w:hAnsi="Times New Roman"/>
          <w:b/>
          <w:bCs/>
          <w:sz w:val="24"/>
        </w:rPr>
      </w:pPr>
    </w:p>
    <w:p w14:paraId="47ECF7AE" w14:textId="68E6A9FF" w:rsidR="00CD3692" w:rsidRPr="0031221C" w:rsidRDefault="00CD3692" w:rsidP="0054744B">
      <w:pPr>
        <w:jc w:val="both"/>
        <w:rPr>
          <w:rFonts w:ascii="Times New Roman" w:hAnsi="Times New Roman"/>
          <w:b/>
          <w:bCs/>
          <w:sz w:val="24"/>
        </w:rPr>
      </w:pPr>
    </w:p>
    <w:p w14:paraId="2CCE4A80" w14:textId="7996A576" w:rsidR="00CD3692" w:rsidRDefault="00CD3692" w:rsidP="0054744B">
      <w:pPr>
        <w:jc w:val="both"/>
        <w:rPr>
          <w:rFonts w:ascii="Times New Roman" w:hAnsi="Times New Roman"/>
          <w:b/>
          <w:bCs/>
          <w:sz w:val="24"/>
        </w:rPr>
      </w:pPr>
    </w:p>
    <w:p w14:paraId="23569941" w14:textId="4C420FFB" w:rsidR="000D6C4D" w:rsidRDefault="000D6C4D" w:rsidP="0054744B">
      <w:pPr>
        <w:jc w:val="both"/>
        <w:rPr>
          <w:rFonts w:ascii="Times New Roman" w:hAnsi="Times New Roman"/>
          <w:b/>
          <w:bCs/>
          <w:sz w:val="24"/>
        </w:rPr>
      </w:pPr>
    </w:p>
    <w:p w14:paraId="1D6BE0F5" w14:textId="4EA1E980" w:rsidR="000D6C4D" w:rsidRDefault="000D6C4D" w:rsidP="0054744B">
      <w:pPr>
        <w:jc w:val="both"/>
        <w:rPr>
          <w:rFonts w:ascii="Times New Roman" w:hAnsi="Times New Roman"/>
          <w:b/>
          <w:bCs/>
          <w:sz w:val="24"/>
        </w:rPr>
      </w:pPr>
    </w:p>
    <w:p w14:paraId="3487ACD1" w14:textId="53FD952F" w:rsidR="000D6C4D" w:rsidRDefault="000D6C4D" w:rsidP="0054744B">
      <w:pPr>
        <w:jc w:val="both"/>
        <w:rPr>
          <w:rFonts w:ascii="Times New Roman" w:hAnsi="Times New Roman"/>
          <w:b/>
          <w:bCs/>
          <w:sz w:val="24"/>
        </w:rPr>
      </w:pPr>
    </w:p>
    <w:p w14:paraId="4250FBF3" w14:textId="37DE64E1" w:rsidR="000D6C4D" w:rsidRDefault="000D6C4D" w:rsidP="0054744B">
      <w:pPr>
        <w:jc w:val="both"/>
        <w:rPr>
          <w:rFonts w:ascii="Times New Roman" w:hAnsi="Times New Roman"/>
          <w:b/>
          <w:bCs/>
          <w:sz w:val="24"/>
        </w:rPr>
      </w:pPr>
    </w:p>
    <w:p w14:paraId="69D0F024" w14:textId="0F997E35" w:rsidR="000D6C4D" w:rsidRDefault="000D6C4D" w:rsidP="0054744B">
      <w:pPr>
        <w:jc w:val="both"/>
        <w:rPr>
          <w:rFonts w:ascii="Times New Roman" w:hAnsi="Times New Roman"/>
          <w:b/>
          <w:bCs/>
          <w:sz w:val="24"/>
        </w:rPr>
      </w:pPr>
    </w:p>
    <w:p w14:paraId="0E8B64AA" w14:textId="14A18415" w:rsidR="000D6C4D" w:rsidRDefault="000D6C4D" w:rsidP="0054744B">
      <w:pPr>
        <w:jc w:val="both"/>
        <w:rPr>
          <w:rFonts w:ascii="Times New Roman" w:hAnsi="Times New Roman"/>
          <w:b/>
          <w:bCs/>
          <w:sz w:val="24"/>
        </w:rPr>
      </w:pPr>
    </w:p>
    <w:p w14:paraId="1354E78F" w14:textId="3B4408D4" w:rsidR="000D6C4D" w:rsidRDefault="000D6C4D" w:rsidP="0054744B">
      <w:pPr>
        <w:jc w:val="both"/>
        <w:rPr>
          <w:rFonts w:ascii="Times New Roman" w:hAnsi="Times New Roman"/>
          <w:b/>
          <w:bCs/>
          <w:sz w:val="24"/>
        </w:rPr>
      </w:pPr>
    </w:p>
    <w:p w14:paraId="3C13897A" w14:textId="548DECB4" w:rsidR="000D6C4D" w:rsidRDefault="000D6C4D" w:rsidP="0054744B">
      <w:pPr>
        <w:jc w:val="both"/>
        <w:rPr>
          <w:rFonts w:ascii="Times New Roman" w:hAnsi="Times New Roman"/>
          <w:b/>
          <w:bCs/>
          <w:sz w:val="24"/>
        </w:rPr>
      </w:pPr>
    </w:p>
    <w:p w14:paraId="63BE97FF" w14:textId="21D9ECFA" w:rsidR="000D6C4D" w:rsidRDefault="000D6C4D" w:rsidP="0054744B">
      <w:pPr>
        <w:jc w:val="both"/>
        <w:rPr>
          <w:rFonts w:ascii="Times New Roman" w:hAnsi="Times New Roman"/>
          <w:b/>
          <w:bCs/>
          <w:sz w:val="24"/>
        </w:rPr>
      </w:pPr>
    </w:p>
    <w:p w14:paraId="4064F668" w14:textId="77777777" w:rsidR="000D6C4D" w:rsidRPr="0031221C" w:rsidRDefault="000D6C4D" w:rsidP="0054744B">
      <w:pPr>
        <w:jc w:val="both"/>
        <w:rPr>
          <w:rFonts w:ascii="Times New Roman" w:hAnsi="Times New Roman"/>
          <w:b/>
          <w:bCs/>
          <w:sz w:val="24"/>
        </w:rPr>
      </w:pPr>
    </w:p>
    <w:p w14:paraId="287F28AF" w14:textId="08831685" w:rsidR="0054744B" w:rsidRPr="0031221C" w:rsidRDefault="00906CCA" w:rsidP="0054744B">
      <w:pPr>
        <w:jc w:val="both"/>
        <w:rPr>
          <w:bCs/>
          <w:sz w:val="24"/>
          <w:rFonts w:ascii="Times New Roman" w:hAnsi="Times New Roman"/>
        </w:rPr>
      </w:pPr>
      <w:r>
        <w:rPr>
          <w:b/>
          <w:sz w:val="24"/>
          <w:rFonts w:ascii="Times New Roman" w:hAnsi="Times New Roman"/>
        </w:rPr>
        <w:t xml:space="preserve">Instrucciones relativas a la divulgación de información correspondientes a la plantilla EU IRRBB1</w:t>
      </w:r>
      <w:r>
        <w:rPr>
          <w:b/>
          <w:sz w:val="24"/>
          <w:rFonts w:ascii="Times New Roman" w:hAnsi="Times New Roman"/>
        </w:rPr>
        <w:t xml:space="preserve"> </w:t>
      </w:r>
    </w:p>
    <w:p w14:paraId="31489412" w14:textId="77777777" w:rsidR="0054744B" w:rsidRPr="0031221C" w:rsidRDefault="0054744B" w:rsidP="0054744B">
      <w:pPr>
        <w:ind w:left="360"/>
        <w:jc w:val="both"/>
        <w:rPr>
          <w:rFonts w:ascii="Times New Roman" w:hAnsi="Times New Roman"/>
          <w:bCs/>
          <w:sz w:val="24"/>
        </w:rPr>
      </w:pPr>
    </w:p>
    <w:p w14:paraId="341C6BAB" w14:textId="32CD6F45" w:rsidR="00580D58" w:rsidRPr="0031221C" w:rsidRDefault="00580D58" w:rsidP="000D6C4D">
      <w:pPr>
        <w:ind w:left="360"/>
        <w:jc w:val="both"/>
        <w:rPr>
          <w:bCs/>
        </w:rPr>
      </w:pPr>
    </w:p>
    <w:p w14:paraId="59C5AC78" w14:textId="3F3BF0EE" w:rsidR="00AC7CEB" w:rsidRPr="0031221C" w:rsidRDefault="00580D58" w:rsidP="0064406C">
      <w:pPr>
        <w:numPr>
          <w:ilvl w:val="0"/>
          <w:numId w:val="9"/>
        </w:numPr>
        <w:jc w:val="both"/>
        <w:rPr>
          <w:bCs/>
          <w:sz w:val="24"/>
          <w:rFonts w:ascii="Times New Roman" w:hAnsi="Times New Roman"/>
        </w:rPr>
      </w:pPr>
      <w:r>
        <w:rPr>
          <w:sz w:val="24"/>
          <w:rFonts w:ascii="Times New Roman" w:hAnsi="Times New Roman"/>
        </w:rPr>
        <w:t xml:space="preserve">Las entidades evaluarán el riesgo de tipo de interés de las actividades de la cartera de inversión sobre la base de la metodología de su sistema interno de medición, de la metodología normalizada o de la metodología normalizada simplificada, cuando proceda, tal como se definen de conformidad con el artículo 84 de la Directiva 2013/36/UE, dados los escenarios de perturbación a efectos de supervisión y las hipótesis de modelización y paramétricas comunes que se definen en el artículo 98, apartado 5 </w:t>
      </w:r>
      <w:r>
        <w:rPr>
          <w:sz w:val="24"/>
          <w:i/>
          <w:iCs/>
          <w:rFonts w:ascii="Times New Roman" w:hAnsi="Times New Roman"/>
        </w:rPr>
        <w:t xml:space="preserve">bis</w:t>
      </w:r>
      <w:r>
        <w:rPr>
          <w:sz w:val="24"/>
          <w:rFonts w:ascii="Times New Roman" w:hAnsi="Times New Roman"/>
        </w:rPr>
        <w:t xml:space="preserve">, de la Directiva mencionada.</w:t>
      </w:r>
    </w:p>
    <w:p w14:paraId="18595772" w14:textId="50D032F2" w:rsidR="00580D58" w:rsidRPr="0031221C" w:rsidRDefault="00580D58" w:rsidP="000D6C4D">
      <w:pPr>
        <w:ind w:left="360"/>
        <w:jc w:val="both"/>
        <w:rPr>
          <w:rFonts w:ascii="Times New Roman" w:hAnsi="Times New Roman"/>
          <w:bCs/>
          <w:sz w:val="24"/>
        </w:rPr>
      </w:pPr>
    </w:p>
    <w:p w14:paraId="5E3F5B28" w14:textId="0B4D03FC" w:rsidR="00AC7CEB" w:rsidRPr="0031221C" w:rsidRDefault="00AC7CEB" w:rsidP="0064406C">
      <w:pPr>
        <w:numPr>
          <w:ilvl w:val="0"/>
          <w:numId w:val="9"/>
        </w:numPr>
        <w:jc w:val="both"/>
        <w:rPr>
          <w:bCs/>
          <w:sz w:val="24"/>
          <w:rFonts w:ascii="Times New Roman" w:hAnsi="Times New Roman"/>
        </w:rPr>
      </w:pPr>
      <w:r>
        <w:rPr>
          <w:sz w:val="24"/>
          <w:rFonts w:ascii="Times New Roman" w:hAnsi="Times New Roman"/>
        </w:rPr>
        <w:t xml:space="preserve">Estas instrucciones se han elaborado basándose en los requisitos establecidos en el artículo 448 del Reglamento (UE) n.º 575/2013 y en consonancia con la norma de divulgación de información del pilar 3 de Basilea.</w:t>
      </w:r>
      <w:r>
        <w:rPr>
          <w:sz w:val="24"/>
          <w:rFonts w:ascii="Times New Roman" w:hAnsi="Times New Roman"/>
        </w:rPr>
        <w:t xml:space="preserve"> </w:t>
      </w:r>
    </w:p>
    <w:p w14:paraId="71B54BD0" w14:textId="77777777" w:rsidR="00227FDC" w:rsidRPr="0031221C" w:rsidRDefault="00227FDC" w:rsidP="00A81E4E">
      <w:pPr>
        <w:jc w:val="both"/>
        <w:rPr>
          <w:rFonts w:ascii="Times New Roman" w:hAnsi="Times New Roman"/>
          <w:bCs/>
          <w:sz w:val="24"/>
        </w:rPr>
      </w:pPr>
    </w:p>
    <w:p w14:paraId="532A60CC" w14:textId="38E17551" w:rsidR="0054744B" w:rsidRPr="0031221C" w:rsidRDefault="005B5611" w:rsidP="0064406C">
      <w:pPr>
        <w:numPr>
          <w:ilvl w:val="0"/>
          <w:numId w:val="9"/>
        </w:numPr>
        <w:jc w:val="both"/>
        <w:rPr>
          <w:bCs/>
          <w:sz w:val="24"/>
          <w:rFonts w:ascii="Times New Roman" w:hAnsi="Times New Roman"/>
        </w:rPr>
      </w:pPr>
      <w:r>
        <w:rPr>
          <w:sz w:val="24"/>
          <w:rFonts w:ascii="Times New Roman" w:hAnsi="Times New Roman"/>
        </w:rPr>
        <w:t xml:space="preserve">Las entidades no están obligadas a facilitar en su primera divulgación la información correspondiente al período anterior.</w:t>
      </w:r>
    </w:p>
    <w:p w14:paraId="4329A1AB" w14:textId="77777777" w:rsidR="00CE0D17" w:rsidRPr="0031221C" w:rsidRDefault="00CE0D17" w:rsidP="00CE0D17">
      <w:pPr>
        <w:pStyle w:val="ListParagraph"/>
        <w:rPr>
          <w:rFonts w:ascii="Times New Roman" w:hAnsi="Times New Roman"/>
          <w:bCs/>
          <w:sz w:val="24"/>
        </w:rPr>
      </w:pPr>
    </w:p>
    <w:p w14:paraId="6EDD9A3D" w14:textId="77777777" w:rsidR="0060489A" w:rsidRPr="0031221C" w:rsidRDefault="0060489A"/>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54744B" w:rsidRPr="0031221C" w14:paraId="4761A8A4" w14:textId="77777777" w:rsidTr="0095024C">
        <w:trPr>
          <w:trHeight w:val="377"/>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73110B" w14:textId="04B554CD" w:rsidR="0054744B" w:rsidRPr="0031221C" w:rsidRDefault="0054744B" w:rsidP="0054744B">
            <w:pPr>
              <w:pStyle w:val="TableTitle"/>
              <w:jc w:val="left"/>
              <w:rPr>
                <w:noProof w:val="0"/>
                <w:sz w:val="24"/>
                <w:rFonts w:ascii="Times New Roman" w:hAnsi="Times New Roman"/>
              </w:rPr>
            </w:pPr>
            <w:r>
              <w:rPr>
                <w:rFonts w:ascii="Times New Roman" w:hAnsi="Times New Roman"/>
              </w:rPr>
              <w:t xml:space="preserve">Instrucciones para cumplimentar la plantilla de divulgación de información EU IRRBB1</w:t>
            </w:r>
          </w:p>
        </w:tc>
      </w:tr>
      <w:tr w:rsidR="0054744B" w:rsidRPr="0031221C" w14:paraId="4DCD406D" w14:textId="77777777" w:rsidTr="007C351F">
        <w:trPr>
          <w:trHeight w:val="238"/>
        </w:trPr>
        <w:tc>
          <w:tcPr>
            <w:tcW w:w="1271" w:type="dxa"/>
            <w:tcBorders>
              <w:bottom w:val="nil"/>
            </w:tcBorders>
            <w:shd w:val="clear" w:color="auto" w:fill="D9D9D9" w:themeFill="background1" w:themeFillShade="D9"/>
          </w:tcPr>
          <w:p w14:paraId="088F66A9" w14:textId="77777777" w:rsidR="0054744B" w:rsidRPr="0031221C" w:rsidRDefault="0054744B" w:rsidP="0060489A">
            <w:pPr>
              <w:autoSpaceDE w:val="0"/>
              <w:autoSpaceDN w:val="0"/>
              <w:adjustRightInd w:val="0"/>
              <w:rPr>
                <w:b/>
                <w:szCs w:val="22"/>
                <w:rFonts w:ascii="Times New Roman" w:hAnsi="Times New Roman" w:cs="Times New Roman"/>
              </w:rPr>
            </w:pPr>
            <w:r>
              <w:rPr>
                <w:b/>
                <w:rFonts w:ascii="Times New Roman" w:hAnsi="Times New Roman"/>
              </w:rPr>
              <w:t xml:space="preserve">Columna</w:t>
            </w:r>
          </w:p>
        </w:tc>
        <w:tc>
          <w:tcPr>
            <w:tcW w:w="7768" w:type="dxa"/>
            <w:tcBorders>
              <w:bottom w:val="nil"/>
            </w:tcBorders>
            <w:shd w:val="clear" w:color="auto" w:fill="D9D9D9" w:themeFill="background1" w:themeFillShade="D9"/>
          </w:tcPr>
          <w:p w14:paraId="00621506" w14:textId="77777777" w:rsidR="0054744B" w:rsidRPr="0031221C" w:rsidRDefault="0054744B" w:rsidP="0060489A">
            <w:pPr>
              <w:autoSpaceDE w:val="0"/>
              <w:autoSpaceDN w:val="0"/>
              <w:adjustRightInd w:val="0"/>
              <w:rPr>
                <w:color w:val="000000"/>
                <w:szCs w:val="22"/>
                <w:rFonts w:ascii="Times New Roman" w:hAnsi="Times New Roman" w:cs="Times New Roman"/>
              </w:rPr>
            </w:pPr>
            <w:r>
              <w:rPr>
                <w:b/>
                <w:rFonts w:ascii="Times New Roman" w:hAnsi="Times New Roman"/>
              </w:rPr>
              <w:t xml:space="preserve">Explicación</w:t>
            </w:r>
          </w:p>
        </w:tc>
      </w:tr>
      <w:tr w:rsidR="0054744B" w:rsidRPr="0031221C" w14:paraId="53AAFC46" w14:textId="77777777" w:rsidTr="007C351F">
        <w:trPr>
          <w:trHeight w:val="238"/>
        </w:trPr>
        <w:tc>
          <w:tcPr>
            <w:tcW w:w="1271" w:type="dxa"/>
            <w:shd w:val="clear" w:color="auto" w:fill="FFFFFF" w:themeFill="background1"/>
          </w:tcPr>
          <w:p w14:paraId="562D66BF" w14:textId="1E0A8346" w:rsidR="0054744B" w:rsidRPr="0031221C" w:rsidRDefault="00316B9A" w:rsidP="00F55DB0">
            <w:pPr>
              <w:autoSpaceDE w:val="0"/>
              <w:autoSpaceDN w:val="0"/>
              <w:adjustRightInd w:val="0"/>
              <w:spacing w:before="60"/>
              <w:jc w:val="center"/>
              <w:rPr>
                <w:b/>
                <w:szCs w:val="22"/>
                <w:rFonts w:ascii="Times New Roman" w:hAnsi="Times New Roman" w:cs="Times New Roman"/>
              </w:rPr>
            </w:pPr>
            <w:r>
              <w:rPr>
                <w:b/>
                <w:rFonts w:ascii="Times New Roman" w:hAnsi="Times New Roman"/>
              </w:rPr>
              <w:t xml:space="preserve">a, b</w:t>
            </w:r>
          </w:p>
        </w:tc>
        <w:tc>
          <w:tcPr>
            <w:tcW w:w="7768" w:type="dxa"/>
            <w:shd w:val="clear" w:color="auto" w:fill="FFFFFF" w:themeFill="background1"/>
          </w:tcPr>
          <w:p w14:paraId="26CB8AC0" w14:textId="3A3B49B8" w:rsidR="00793890" w:rsidRPr="0031221C" w:rsidRDefault="004E6BD5" w:rsidP="0060489A">
            <w:pPr>
              <w:spacing w:before="60" w:after="120"/>
              <w:jc w:val="both"/>
              <w:rPr>
                <w:b/>
                <w:szCs w:val="22"/>
                <w:rFonts w:ascii="Times New Roman" w:eastAsia="Times New Roman" w:hAnsi="Times New Roman" w:cs="Times New Roman"/>
              </w:rPr>
            </w:pPr>
            <w:r>
              <w:rPr>
                <w:b/>
                <w:rFonts w:ascii="Times New Roman" w:hAnsi="Times New Roman"/>
              </w:rPr>
              <w:t xml:space="preserve">Cambios del valor económico del patrimonio neto</w:t>
            </w:r>
          </w:p>
          <w:p w14:paraId="7E84F9AE" w14:textId="3C5E67A3" w:rsidR="002F2E04" w:rsidRPr="0031221C" w:rsidRDefault="009C3247" w:rsidP="009C3247">
            <w:pPr>
              <w:spacing w:before="60" w:after="120"/>
              <w:jc w:val="both"/>
              <w:rPr>
                <w:szCs w:val="22"/>
                <w:rFonts w:ascii="Times New Roman" w:hAnsi="Times New Roman" w:cs="Times New Roman"/>
              </w:rPr>
            </w:pPr>
            <w:r>
              <w:rPr>
                <w:rFonts w:ascii="Times New Roman" w:hAnsi="Times New Roman"/>
              </w:rPr>
              <w:t xml:space="preserve">Artículo 448, apartado 1, letra a), del Reglamento (UE) n.º 575/2013.</w:t>
            </w:r>
            <w:r>
              <w:rPr>
                <w:rFonts w:ascii="Times New Roman" w:hAnsi="Times New Roman"/>
              </w:rPr>
              <w:t xml:space="preserve"> </w:t>
            </w:r>
          </w:p>
          <w:p w14:paraId="4C9FBFE2" w14:textId="0CBAAF6F" w:rsidR="009C2377" w:rsidRPr="0031221C" w:rsidRDefault="009C3247" w:rsidP="009C3247">
            <w:pPr>
              <w:spacing w:before="60" w:after="120"/>
              <w:jc w:val="both"/>
              <w:rPr>
                <w:szCs w:val="22"/>
                <w:rFonts w:ascii="Times New Roman" w:hAnsi="Times New Roman" w:cs="Times New Roman"/>
              </w:rPr>
            </w:pPr>
            <w:r>
              <w:rPr>
                <w:rFonts w:ascii="Times New Roman" w:hAnsi="Times New Roman"/>
              </w:rPr>
              <w:t xml:space="preserve">Las entidades comunicarán los cambios del valor económico del patrimonio neto con arreglo a cada escenario de perturbación de los tipos de interés a efectos de supervisión, para el período actual y el anterior, de conformidad con los requisitos establecidos en los artículos 84 y 98, apartado 5, de la Directiva 2013/36/UE.</w:t>
            </w:r>
          </w:p>
          <w:p w14:paraId="6996A7A9" w14:textId="72F54AA8" w:rsidR="009D7A7D" w:rsidRPr="0031221C" w:rsidRDefault="009D7A7D" w:rsidP="009D7A7D">
            <w:pPr>
              <w:spacing w:before="60" w:after="120"/>
              <w:jc w:val="both"/>
              <w:rPr>
                <w:rFonts w:ascii="Times New Roman" w:hAnsi="Times New Roman" w:cs="Times New Roman"/>
                <w:szCs w:val="22"/>
              </w:rPr>
            </w:pPr>
          </w:p>
        </w:tc>
      </w:tr>
      <w:tr w:rsidR="0054744B" w:rsidRPr="0031221C" w14:paraId="6583A42B" w14:textId="77777777" w:rsidTr="007C351F">
        <w:trPr>
          <w:trHeight w:val="238"/>
        </w:trPr>
        <w:tc>
          <w:tcPr>
            <w:tcW w:w="1271" w:type="dxa"/>
            <w:shd w:val="clear" w:color="auto" w:fill="FFFFFF" w:themeFill="background1"/>
          </w:tcPr>
          <w:p w14:paraId="619CE943" w14:textId="5F0011ED" w:rsidR="0054744B" w:rsidRPr="0031221C" w:rsidRDefault="00316B9A" w:rsidP="0060489A">
            <w:pPr>
              <w:autoSpaceDE w:val="0"/>
              <w:autoSpaceDN w:val="0"/>
              <w:adjustRightInd w:val="0"/>
              <w:spacing w:before="60" w:after="120"/>
              <w:jc w:val="center"/>
              <w:rPr>
                <w:b/>
                <w:szCs w:val="22"/>
                <w:rFonts w:ascii="Times New Roman" w:hAnsi="Times New Roman" w:cs="Times New Roman"/>
              </w:rPr>
            </w:pPr>
            <w:r>
              <w:rPr>
                <w:b/>
                <w:rFonts w:ascii="Times New Roman" w:hAnsi="Times New Roman"/>
              </w:rPr>
              <w:t xml:space="preserve">c, d</w:t>
            </w:r>
          </w:p>
        </w:tc>
        <w:tc>
          <w:tcPr>
            <w:tcW w:w="7768" w:type="dxa"/>
            <w:shd w:val="clear" w:color="auto" w:fill="FFFFFF" w:themeFill="background1"/>
          </w:tcPr>
          <w:p w14:paraId="5BAD9564" w14:textId="213A9B28" w:rsidR="00305C67" w:rsidRPr="0031221C" w:rsidRDefault="00316B9A" w:rsidP="00305C67">
            <w:pPr>
              <w:spacing w:before="60" w:after="120"/>
              <w:jc w:val="both"/>
              <w:rPr>
                <w:b/>
                <w:szCs w:val="22"/>
                <w:rFonts w:ascii="Times New Roman" w:eastAsia="Times New Roman" w:hAnsi="Times New Roman" w:cs="Times New Roman"/>
              </w:rPr>
            </w:pPr>
            <w:r>
              <w:rPr>
                <w:b/>
                <w:rFonts w:ascii="Times New Roman" w:hAnsi="Times New Roman"/>
              </w:rPr>
              <w:t xml:space="preserve">Cambios de los ingresos netos por intereses</w:t>
            </w:r>
          </w:p>
          <w:p w14:paraId="0ED8B6C6" w14:textId="70E8F948" w:rsidR="002F2E04" w:rsidRPr="0031221C" w:rsidRDefault="00CE0D17" w:rsidP="00B81100">
            <w:pPr>
              <w:spacing w:before="60" w:after="120"/>
              <w:jc w:val="both"/>
              <w:rPr>
                <w:szCs w:val="22"/>
                <w:rFonts w:ascii="Times New Roman" w:hAnsi="Times New Roman" w:cs="Times New Roman"/>
              </w:rPr>
            </w:pPr>
            <w:r>
              <w:rPr>
                <w:rFonts w:ascii="Times New Roman" w:hAnsi="Times New Roman"/>
              </w:rPr>
              <w:t xml:space="preserve">Artículo 448, apartado 1, letra b), del Reglamento (UE) n.º 575/2013.</w:t>
            </w:r>
            <w:r>
              <w:rPr>
                <w:rFonts w:ascii="Times New Roman" w:hAnsi="Times New Roman"/>
              </w:rPr>
              <w:t xml:space="preserve"> </w:t>
            </w:r>
          </w:p>
          <w:p w14:paraId="629DC825" w14:textId="34B035B2" w:rsidR="008E005A" w:rsidRPr="0031221C" w:rsidRDefault="00CE0D17" w:rsidP="00B81100">
            <w:pPr>
              <w:spacing w:before="60" w:after="120"/>
              <w:jc w:val="both"/>
              <w:rPr>
                <w:szCs w:val="22"/>
                <w:rFonts w:ascii="Times New Roman" w:hAnsi="Times New Roman" w:cs="Times New Roman"/>
              </w:rPr>
            </w:pPr>
            <w:r>
              <w:rPr>
                <w:rFonts w:ascii="Times New Roman" w:hAnsi="Times New Roman"/>
              </w:rPr>
              <w:t xml:space="preserve">Las entidades comunicarán los cambios de los ingresos netos por intereses con arreglo a los dos escenarios de perturbación del tipo de interés a efectos de supervisión contemplados en la plantilla para el período actual y el anterior, de conformidad con los requisitos establecidos en los artículos 84 y 98, apartado 5, de la Directiva 2013/36/UE.</w:t>
            </w:r>
            <w:r>
              <w:rPr>
                <w:rFonts w:ascii="Times New Roman" w:hAnsi="Times New Roman"/>
              </w:rPr>
              <w:t xml:space="preserve"> </w:t>
            </w:r>
          </w:p>
          <w:p w14:paraId="2D49064E" w14:textId="1AFABC17" w:rsidR="00C41D59" w:rsidRPr="0031221C" w:rsidRDefault="00C24484" w:rsidP="00C24484">
            <w:pPr>
              <w:spacing w:before="60" w:after="120"/>
              <w:jc w:val="both"/>
              <w:rPr>
                <w:szCs w:val="22"/>
                <w:rFonts w:ascii="Times New Roman" w:hAnsi="Times New Roman" w:cs="Times New Roman"/>
              </w:rPr>
            </w:pPr>
            <w:r>
              <w:rPr>
                <w:color w:val="000000"/>
                <w:rFonts w:ascii="Times New Roman" w:hAnsi="Times New Roman"/>
              </w:rPr>
              <w:t xml:space="preserve"> </w:t>
            </w:r>
            <w:r>
              <w:rPr>
                <w:rFonts w:ascii="Times New Roman" w:hAnsi="Times New Roman"/>
              </w:rPr>
              <w:t xml:space="preserve">Hasta que sean aplicables los criterios de las directrices especificadas en el artículo 84, apartado 6, de la Directiva 2013/36/UE y los demás elementos que figuran en el artículo 98, apartado 5 </w:t>
            </w:r>
            <w:r>
              <w:rPr>
                <w:i/>
                <w:iCs/>
                <w:rFonts w:ascii="Times New Roman" w:hAnsi="Times New Roman"/>
              </w:rPr>
              <w:t xml:space="preserve">bis</w:t>
            </w:r>
            <w:r>
              <w:rPr>
                <w:rFonts w:ascii="Times New Roman" w:hAnsi="Times New Roman"/>
              </w:rPr>
              <w:t xml:space="preserve">, de la Directiva 2013/36/UE, las entidades describirán la definición y las características clave (escenarios, hipótesis y horizontes de los ingresos netos por intereses) de los ingresos netos por intereses que utilicen en la letra i) del cuadro EU IRRBBA o, si dejan esas columnas en blanco, explicarán los motivos en la mencionada letra i).</w:t>
            </w:r>
            <w:r>
              <w:rPr>
                <w:rFonts w:ascii="Times New Roman" w:hAnsi="Times New Roman"/>
              </w:rPr>
              <w:t xml:space="preserve"> </w:t>
            </w:r>
          </w:p>
        </w:tc>
      </w:tr>
      <w:tr w:rsidR="00227FDC" w:rsidRPr="0031221C" w14:paraId="55BAD1A1" w14:textId="77777777" w:rsidTr="00A81E4E">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7CBAA6" w14:textId="77777777" w:rsidR="00227FDC" w:rsidRPr="0031221C" w:rsidRDefault="00227FDC" w:rsidP="00A81E4E">
            <w:pPr>
              <w:autoSpaceDE w:val="0"/>
              <w:autoSpaceDN w:val="0"/>
              <w:adjustRightInd w:val="0"/>
              <w:rPr>
                <w:b/>
                <w:szCs w:val="22"/>
                <w:rFonts w:ascii="Times New Roman" w:hAnsi="Times New Roman" w:cs="Times New Roman"/>
              </w:rPr>
            </w:pPr>
            <w:r>
              <w:rPr>
                <w:b/>
                <w:rFonts w:ascii="Times New Roman" w:hAnsi="Times New Roman"/>
              </w:rPr>
              <w:t xml:space="preserve">Fila</w:t>
            </w:r>
            <w:r>
              <w:rPr>
                <w:b/>
                <w:rFonts w:ascii="Times New Roman" w:hAnsi="Times New Roman"/>
              </w:rPr>
              <w:t xml:space="preserve">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112B66" w14:textId="77777777" w:rsidR="00227FDC" w:rsidRPr="0031221C" w:rsidRDefault="00227FDC" w:rsidP="00A81E4E">
            <w:pPr>
              <w:rPr>
                <w:b/>
                <w:szCs w:val="22"/>
                <w:rFonts w:ascii="Times New Roman" w:hAnsi="Times New Roman" w:cs="Times New Roman"/>
              </w:rPr>
            </w:pPr>
            <w:r>
              <w:rPr>
                <w:b/>
                <w:rFonts w:ascii="Times New Roman" w:hAnsi="Times New Roman"/>
              </w:rPr>
              <w:t xml:space="preserve">Explicación</w:t>
            </w:r>
          </w:p>
        </w:tc>
      </w:tr>
      <w:tr w:rsidR="00227FDC" w:rsidRPr="0031221C" w14:paraId="58E34903"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B08E4B4" w14:textId="7F6176AD" w:rsidR="00227FDC" w:rsidRPr="0031221C" w:rsidRDefault="00F55DB0" w:rsidP="00227FDC">
            <w:pPr>
              <w:autoSpaceDE w:val="0"/>
              <w:autoSpaceDN w:val="0"/>
              <w:adjustRightInd w:val="0"/>
              <w:spacing w:before="60" w:after="120"/>
              <w:jc w:val="center"/>
              <w:rPr>
                <w:b/>
                <w:szCs w:val="22"/>
                <w:rFonts w:ascii="Times New Roman" w:hAnsi="Times New Roman" w:cs="Times New Roman"/>
              </w:rPr>
            </w:pPr>
            <w:r>
              <w:rPr>
                <w:b/>
                <w:rFonts w:ascii="Times New Roman" w:hAnsi="Times New Roman"/>
              </w:rPr>
              <w:t xml:space="preserve">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F3AB7B7" w14:textId="385B87B7" w:rsidR="00227FDC" w:rsidRPr="0031221C" w:rsidRDefault="003E3A89" w:rsidP="0060489A">
            <w:pPr>
              <w:spacing w:before="60" w:after="120"/>
              <w:jc w:val="both"/>
              <w:rPr>
                <w:b/>
                <w:szCs w:val="22"/>
                <w:rFonts w:ascii="Times New Roman" w:eastAsia="Times New Roman" w:hAnsi="Times New Roman" w:cs="Times New Roman"/>
              </w:rPr>
            </w:pPr>
            <w:r>
              <w:rPr>
                <w:b/>
                <w:rFonts w:ascii="Times New Roman" w:hAnsi="Times New Roman"/>
              </w:rPr>
              <w:t xml:space="preserve">Movimiento paralelo al alza</w:t>
            </w:r>
          </w:p>
          <w:p w14:paraId="460792B5" w14:textId="200E6EE9" w:rsidR="0080384B" w:rsidRPr="0031221C" w:rsidRDefault="00615DB8" w:rsidP="00B9107D">
            <w:pPr>
              <w:spacing w:before="60" w:after="120"/>
              <w:jc w:val="both"/>
              <w:rPr>
                <w:szCs w:val="22"/>
                <w:rFonts w:ascii="Times New Roman" w:hAnsi="Times New Roman" w:cs="Times New Roman"/>
              </w:rPr>
            </w:pPr>
            <w:r>
              <w:rPr>
                <w:rFonts w:ascii="Times New Roman" w:hAnsi="Times New Roman"/>
              </w:rPr>
              <w:t xml:space="preserve">Las entidades deben divulgar los cambios del valor económico del patrimonio neto y de los ingresos netos por intereses con una perturbación constante paralela al alza en la curva de rendimiento.</w:t>
            </w:r>
            <w:r>
              <w:rPr>
                <w:rFonts w:ascii="Times New Roman" w:hAnsi="Times New Roman"/>
              </w:rPr>
              <w:t xml:space="preserve"> </w:t>
            </w:r>
          </w:p>
          <w:p w14:paraId="2AA6B7BB" w14:textId="14575B1E" w:rsidR="0084271D" w:rsidRPr="0031221C" w:rsidRDefault="00C24484" w:rsidP="00C24484">
            <w:pPr>
              <w:spacing w:before="60" w:after="120"/>
              <w:jc w:val="both"/>
              <w:rPr>
                <w:szCs w:val="22"/>
                <w:rFonts w:ascii="Times New Roman" w:hAnsi="Times New Roman" w:cs="Times New Roman"/>
              </w:rPr>
            </w:pPr>
            <w:r>
              <w:rPr>
                <w:rFonts w:ascii="Times New Roman" w:hAnsi="Times New Roman"/>
              </w:rPr>
              <w:t xml:space="preserve"> </w:t>
            </w:r>
            <w:r>
              <w:rPr>
                <w:rFonts w:ascii="Times New Roman" w:hAnsi="Times New Roman"/>
              </w:rPr>
              <w:t xml:space="preserve">Hasta que sean aplicables los criterios de las directrices especificadas en el artículo 84, apartado 6, de la Directiva 2013/36/UE y los demás elementos que figuran en el artículo 98, apartado 5 </w:t>
            </w:r>
            <w:r>
              <w:rPr>
                <w:i/>
                <w:iCs/>
                <w:rFonts w:ascii="Times New Roman" w:hAnsi="Times New Roman"/>
              </w:rPr>
              <w:t xml:space="preserve">bis</w:t>
            </w:r>
            <w:r>
              <w:rPr>
                <w:rFonts w:ascii="Times New Roman" w:hAnsi="Times New Roman"/>
              </w:rPr>
              <w:t xml:space="preserve">, de la Directiva 2013/36/UE, los parámetros utilizados para este escenario se describirán en la letra i) del cuadro EU IRRBBA.</w:t>
            </w:r>
          </w:p>
        </w:tc>
      </w:tr>
      <w:tr w:rsidR="00227FDC" w:rsidRPr="0031221C" w14:paraId="544FB1F8"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274EE41" w14:textId="424C34BA" w:rsidR="00227FDC" w:rsidRPr="0031221C" w:rsidRDefault="00F55DB0" w:rsidP="00227FDC">
            <w:pPr>
              <w:autoSpaceDE w:val="0"/>
              <w:autoSpaceDN w:val="0"/>
              <w:adjustRightInd w:val="0"/>
              <w:spacing w:before="60" w:after="120"/>
              <w:jc w:val="center"/>
              <w:rPr>
                <w:b/>
                <w:szCs w:val="22"/>
                <w:rFonts w:ascii="Times New Roman" w:hAnsi="Times New Roman" w:cs="Times New Roman"/>
              </w:rPr>
            </w:pPr>
            <w:r>
              <w:rPr>
                <w:b/>
                <w:rFonts w:ascii="Times New Roman" w:hAnsi="Times New Roman"/>
              </w:rPr>
              <w:t xml:space="preserve">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AE4F83F" w14:textId="3625939B" w:rsidR="00227FDC" w:rsidRPr="0031221C" w:rsidRDefault="003E3A89" w:rsidP="0060489A">
            <w:pPr>
              <w:spacing w:before="60" w:after="120"/>
              <w:jc w:val="both"/>
              <w:rPr>
                <w:b/>
                <w:szCs w:val="22"/>
                <w:rFonts w:ascii="Times New Roman" w:eastAsia="Times New Roman" w:hAnsi="Times New Roman" w:cs="Times New Roman"/>
              </w:rPr>
            </w:pPr>
            <w:r>
              <w:rPr>
                <w:b/>
                <w:rFonts w:ascii="Times New Roman" w:hAnsi="Times New Roman"/>
              </w:rPr>
              <w:t xml:space="preserve">Movimiento paralelo a la baja</w:t>
            </w:r>
          </w:p>
          <w:p w14:paraId="1C16CAC1" w14:textId="764F4FC2" w:rsidR="0080384B" w:rsidRPr="0031221C" w:rsidRDefault="0084271D" w:rsidP="00B9107D">
            <w:pPr>
              <w:spacing w:before="60" w:after="120"/>
              <w:jc w:val="both"/>
              <w:rPr>
                <w:szCs w:val="22"/>
                <w:rFonts w:ascii="Times New Roman" w:hAnsi="Times New Roman" w:cs="Times New Roman"/>
              </w:rPr>
            </w:pPr>
            <w:r>
              <w:rPr>
                <w:rFonts w:ascii="Times New Roman" w:hAnsi="Times New Roman"/>
              </w:rPr>
              <w:t xml:space="preserve">Las entidades deben divulgar los cambios del valor económico del patrimonio neto y de los ingresos netos por intereses con una perturbación constante paralela a la baja en la curva de rendimiento.</w:t>
            </w:r>
            <w:r>
              <w:rPr>
                <w:rFonts w:ascii="Times New Roman" w:hAnsi="Times New Roman"/>
              </w:rPr>
              <w:t xml:space="preserve"> </w:t>
            </w:r>
          </w:p>
          <w:p w14:paraId="3D14716A" w14:textId="5D1C74C8" w:rsidR="0084271D" w:rsidRPr="0031221C" w:rsidRDefault="00C24484" w:rsidP="00C24484">
            <w:pPr>
              <w:spacing w:before="60" w:after="120"/>
              <w:jc w:val="both"/>
              <w:rPr>
                <w:szCs w:val="22"/>
                <w:rFonts w:ascii="Times New Roman" w:hAnsi="Times New Roman" w:cs="Times New Roman"/>
              </w:rPr>
            </w:pPr>
            <w:r>
              <w:rPr>
                <w:rFonts w:ascii="Times New Roman" w:hAnsi="Times New Roman"/>
              </w:rPr>
              <w:t xml:space="preserve">Hasta que sean aplicables los criterios de las directrices especificadas en el artículo 84, apartado 6, de la Directiva 2013/36/UE y los demás elementos que figuran en el artículo 98, apartado 5 </w:t>
            </w:r>
            <w:r>
              <w:rPr>
                <w:i/>
                <w:iCs/>
                <w:rFonts w:ascii="Times New Roman" w:hAnsi="Times New Roman"/>
              </w:rPr>
              <w:t xml:space="preserve">bis</w:t>
            </w:r>
            <w:r>
              <w:rPr>
                <w:rFonts w:ascii="Times New Roman" w:hAnsi="Times New Roman"/>
              </w:rPr>
              <w:t xml:space="preserve">, de la Directiva 2013/36/UE, los parámetros utilizados para este escenario se describirán en la letra i) del cuadro EU IRRBBA.</w:t>
            </w:r>
            <w:r>
              <w:rPr>
                <w:rFonts w:ascii="Times New Roman" w:hAnsi="Times New Roman"/>
              </w:rPr>
              <w:t xml:space="preserve"> </w:t>
            </w:r>
          </w:p>
        </w:tc>
      </w:tr>
      <w:tr w:rsidR="00227FDC" w:rsidRPr="0031221C" w14:paraId="39F33934"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06B555B" w14:textId="0BCBC177" w:rsidR="00227FDC" w:rsidRPr="0031221C" w:rsidRDefault="00F55DB0" w:rsidP="00227FDC">
            <w:pPr>
              <w:autoSpaceDE w:val="0"/>
              <w:autoSpaceDN w:val="0"/>
              <w:adjustRightInd w:val="0"/>
              <w:spacing w:before="60" w:after="120"/>
              <w:jc w:val="center"/>
              <w:rPr>
                <w:b/>
                <w:szCs w:val="22"/>
                <w:rFonts w:ascii="Times New Roman" w:hAnsi="Times New Roman" w:cs="Times New Roman"/>
              </w:rPr>
            </w:pPr>
            <w:r>
              <w:rPr>
                <w:b/>
                <w:rFonts w:ascii="Times New Roman" w:hAnsi="Times New Roman"/>
              </w:rPr>
              <w:t xml:space="preserve">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0B64ADF" w14:textId="1E50F678" w:rsidR="00227FDC" w:rsidRPr="0031221C" w:rsidRDefault="003E3A89" w:rsidP="00227FDC">
            <w:pPr>
              <w:spacing w:before="60" w:after="120"/>
              <w:jc w:val="both"/>
              <w:rPr>
                <w:rStyle w:val="InstructionsTabelleberschrift"/>
                <w:bCs w:val="0"/>
                <w:sz w:val="22"/>
                <w:szCs w:val="22"/>
                <w:u w:val="none"/>
                <w:rFonts w:ascii="Times New Roman" w:eastAsia="Times New Roman" w:hAnsi="Times New Roman"/>
              </w:rPr>
            </w:pPr>
            <w:r>
              <w:rPr>
                <w:rStyle w:val="InstructionsTabelleberschrift"/>
                <w:sz w:val="22"/>
                <w:u w:val="none"/>
                <w:rFonts w:ascii="Times New Roman" w:hAnsi="Times New Roman"/>
              </w:rPr>
              <w:t xml:space="preserve">Empinamiento</w:t>
            </w:r>
          </w:p>
          <w:p w14:paraId="1FAE89D5" w14:textId="27B90C73" w:rsidR="0080384B" w:rsidRPr="0031221C" w:rsidRDefault="003F5907" w:rsidP="00B9107D">
            <w:pPr>
              <w:spacing w:before="60" w:after="120"/>
              <w:jc w:val="both"/>
              <w:rPr>
                <w:szCs w:val="22"/>
                <w:rFonts w:ascii="Times New Roman" w:eastAsia="Times New Roman" w:hAnsi="Times New Roman" w:cs="Times New Roman"/>
              </w:rPr>
            </w:pPr>
            <w:r>
              <w:rPr>
                <w:rFonts w:ascii="Times New Roman" w:hAnsi="Times New Roman"/>
              </w:rPr>
              <w:t xml:space="preserve">Las entidades deben divulgar los cambios del valor económico del patrimonio neto en un escenario de bajada de tipos a corto y subida de tipos a largo de la curva de rendimiento.</w:t>
            </w:r>
            <w:r>
              <w:rPr>
                <w:rFonts w:ascii="Times New Roman" w:hAnsi="Times New Roman"/>
              </w:rPr>
              <w:t xml:space="preserve"> </w:t>
            </w:r>
          </w:p>
          <w:p w14:paraId="2B14043C" w14:textId="013A1877" w:rsidR="0084271D" w:rsidRPr="0031221C" w:rsidRDefault="00C24484" w:rsidP="00C24484">
            <w:pPr>
              <w:spacing w:before="60" w:after="120"/>
              <w:jc w:val="both"/>
              <w:rPr>
                <w:szCs w:val="22"/>
                <w:rFonts w:ascii="Times New Roman" w:eastAsia="Times New Roman" w:hAnsi="Times New Roman" w:cs="Times New Roman"/>
              </w:rPr>
            </w:pPr>
            <w:r>
              <w:rPr>
                <w:rFonts w:ascii="Times New Roman" w:hAnsi="Times New Roman"/>
              </w:rPr>
              <w:t xml:space="preserve"> </w:t>
            </w:r>
            <w:r>
              <w:rPr>
                <w:rFonts w:ascii="Times New Roman" w:hAnsi="Times New Roman"/>
              </w:rPr>
              <w:t xml:space="preserve">Hasta que sean aplicables los criterios de las directrices especificadas en el artículo 84, apartado 6, de la Directiva 2013/36/UE y los demás elementos que figuran en el artículo 98, apartado 5 </w:t>
            </w:r>
            <w:r>
              <w:rPr>
                <w:i/>
                <w:iCs/>
                <w:rFonts w:ascii="Times New Roman" w:hAnsi="Times New Roman"/>
              </w:rPr>
              <w:t xml:space="preserve">bis</w:t>
            </w:r>
            <w:r>
              <w:rPr>
                <w:rFonts w:ascii="Times New Roman" w:hAnsi="Times New Roman"/>
              </w:rPr>
              <w:t xml:space="preserve">, de la Directiva 2013/36/UE, los parámetros utilizados para este escenario se describirán en la letra i) del cuadro EU IRRBBA.</w:t>
            </w:r>
            <w:r>
              <w:rPr>
                <w:rFonts w:ascii="Times New Roman" w:hAnsi="Times New Roman"/>
              </w:rPr>
              <w:t xml:space="preserve"> </w:t>
            </w:r>
          </w:p>
        </w:tc>
      </w:tr>
      <w:tr w:rsidR="00227FDC" w:rsidRPr="0031221C" w14:paraId="6BC8352B"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2E65DB3" w14:textId="300BBE37" w:rsidR="00227FDC" w:rsidRPr="0031221C" w:rsidRDefault="00F55DB0" w:rsidP="00227FDC">
            <w:pPr>
              <w:autoSpaceDE w:val="0"/>
              <w:autoSpaceDN w:val="0"/>
              <w:adjustRightInd w:val="0"/>
              <w:spacing w:before="60" w:after="120"/>
              <w:jc w:val="center"/>
              <w:rPr>
                <w:b/>
                <w:szCs w:val="22"/>
                <w:rFonts w:ascii="Times New Roman" w:hAnsi="Times New Roman" w:cs="Times New Roman"/>
              </w:rPr>
            </w:pPr>
            <w:r>
              <w:rPr>
                <w:b/>
                <w:rFonts w:ascii="Times New Roman" w:hAnsi="Times New Roman"/>
              </w:rPr>
              <w:t xml:space="preserve">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AA585C1" w14:textId="65969A28" w:rsidR="00227FDC" w:rsidRPr="0031221C" w:rsidRDefault="003E3A89" w:rsidP="00227FDC">
            <w:pPr>
              <w:spacing w:before="60" w:after="120"/>
              <w:jc w:val="both"/>
              <w:rPr>
                <w:rStyle w:val="InstructionsTabelleberschrift"/>
                <w:bCs w:val="0"/>
                <w:sz w:val="22"/>
                <w:szCs w:val="22"/>
                <w:u w:val="none"/>
                <w:rFonts w:ascii="Times New Roman" w:eastAsia="Times New Roman" w:hAnsi="Times New Roman"/>
              </w:rPr>
            </w:pPr>
            <w:r>
              <w:rPr>
                <w:rStyle w:val="InstructionsTabelleberschrift"/>
                <w:sz w:val="22"/>
                <w:u w:val="none"/>
                <w:rFonts w:ascii="Times New Roman" w:hAnsi="Times New Roman"/>
              </w:rPr>
              <w:t xml:space="preserve">Aplanamiento</w:t>
            </w:r>
          </w:p>
          <w:p w14:paraId="3D4F63A7" w14:textId="2CC94F2B" w:rsidR="0080384B" w:rsidRPr="0031221C" w:rsidRDefault="003F5907" w:rsidP="003F5907">
            <w:pPr>
              <w:spacing w:before="60" w:after="120"/>
              <w:jc w:val="both"/>
              <w:rPr>
                <w:szCs w:val="22"/>
                <w:rFonts w:ascii="Times New Roman" w:eastAsia="Times New Roman" w:hAnsi="Times New Roman" w:cs="Times New Roman"/>
              </w:rPr>
            </w:pPr>
            <w:r>
              <w:rPr>
                <w:rFonts w:ascii="Times New Roman" w:hAnsi="Times New Roman"/>
              </w:rPr>
              <w:t xml:space="preserve">Las entidades deben divulgar los cambios del valor económico del patrimonio neto en un escenario de subida de tipos a corto y bajada de tipos a largo de la curva de rendimiento.</w:t>
            </w:r>
            <w:r>
              <w:rPr>
                <w:rFonts w:ascii="Times New Roman" w:hAnsi="Times New Roman"/>
              </w:rPr>
              <w:t xml:space="preserve"> </w:t>
            </w:r>
          </w:p>
          <w:p w14:paraId="68AA63EC" w14:textId="159AECB7" w:rsidR="003C7BCD" w:rsidRPr="0031221C" w:rsidRDefault="00C24484" w:rsidP="00C24484">
            <w:pPr>
              <w:spacing w:before="60" w:after="120"/>
              <w:jc w:val="both"/>
              <w:rPr>
                <w:szCs w:val="22"/>
                <w:rFonts w:ascii="Times New Roman" w:eastAsia="Times New Roman" w:hAnsi="Times New Roman" w:cs="Times New Roman"/>
              </w:rPr>
            </w:pPr>
            <w:r>
              <w:rPr>
                <w:rFonts w:ascii="Times New Roman" w:hAnsi="Times New Roman"/>
              </w:rPr>
              <w:t xml:space="preserve">Hasta que sean aplicables los criterios de las directrices especificadas en el artículo 84, apartado 6, de la Directiva 2013/36/UE y los demás elementos que figuran en el artículo 98, apartado 5 </w:t>
            </w:r>
            <w:r>
              <w:rPr>
                <w:i/>
                <w:iCs/>
                <w:rFonts w:ascii="Times New Roman" w:hAnsi="Times New Roman"/>
              </w:rPr>
              <w:t xml:space="preserve">bis</w:t>
            </w:r>
            <w:r>
              <w:rPr>
                <w:rFonts w:ascii="Times New Roman" w:hAnsi="Times New Roman"/>
              </w:rPr>
              <w:t xml:space="preserve">, de la Directiva 2013/36/UE, los parámetros utilizados para este escenario se describirán en la letra i) del cuadro EU IRRBBA.</w:t>
            </w:r>
            <w:r>
              <w:rPr>
                <w:rFonts w:ascii="Times New Roman" w:hAnsi="Times New Roman"/>
              </w:rPr>
              <w:t xml:space="preserve"> </w:t>
            </w:r>
          </w:p>
        </w:tc>
      </w:tr>
      <w:tr w:rsidR="00227FDC" w:rsidRPr="0031221C" w14:paraId="5A47760B"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AAC9AB1" w14:textId="59E27251" w:rsidR="00227FDC" w:rsidRPr="0031221C" w:rsidRDefault="00F55DB0" w:rsidP="00227FDC">
            <w:pPr>
              <w:autoSpaceDE w:val="0"/>
              <w:autoSpaceDN w:val="0"/>
              <w:adjustRightInd w:val="0"/>
              <w:spacing w:before="60" w:after="120"/>
              <w:jc w:val="center"/>
              <w:rPr>
                <w:b/>
                <w:szCs w:val="22"/>
                <w:rFonts w:ascii="Times New Roman" w:hAnsi="Times New Roman" w:cs="Times New Roman"/>
              </w:rPr>
            </w:pPr>
            <w:r>
              <w:rPr>
                <w:b/>
                <w:rFonts w:ascii="Times New Roman" w:hAnsi="Times New Roman"/>
              </w:rPr>
              <w:t xml:space="preserve">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AB7840B" w14:textId="0C1AAD14" w:rsidR="00227FDC" w:rsidRPr="0031221C" w:rsidRDefault="003E3A89" w:rsidP="0060489A">
            <w:pPr>
              <w:spacing w:before="60" w:after="120"/>
              <w:jc w:val="both"/>
              <w:rPr>
                <w:b/>
                <w:szCs w:val="22"/>
                <w:rFonts w:ascii="Times New Roman" w:eastAsia="Times New Roman" w:hAnsi="Times New Roman" w:cs="Times New Roman"/>
              </w:rPr>
            </w:pPr>
            <w:r>
              <w:rPr>
                <w:b/>
                <w:rFonts w:ascii="Times New Roman" w:hAnsi="Times New Roman"/>
              </w:rPr>
              <w:t xml:space="preserve">Movimiento de los tipos a corto plazo al alza</w:t>
            </w:r>
          </w:p>
          <w:p w14:paraId="68A86533" w14:textId="7377DB6E" w:rsidR="0080384B" w:rsidRPr="0031221C" w:rsidRDefault="003F5907" w:rsidP="003F5907">
            <w:pPr>
              <w:spacing w:before="60" w:after="120"/>
              <w:jc w:val="both"/>
              <w:rPr>
                <w:szCs w:val="22"/>
                <w:rFonts w:ascii="Times New Roman" w:eastAsia="Times New Roman" w:hAnsi="Times New Roman" w:cs="Times New Roman"/>
              </w:rPr>
            </w:pPr>
            <w:r>
              <w:rPr>
                <w:rFonts w:ascii="Times New Roman" w:hAnsi="Times New Roman"/>
              </w:rPr>
              <w:t xml:space="preserve">Las entidades deben divulgar los cambios del valor económico del patrimonio neto en un escenario de subida de tipos a corto de la curva de rendimiento.</w:t>
            </w:r>
            <w:r>
              <w:rPr>
                <w:rFonts w:ascii="Times New Roman" w:hAnsi="Times New Roman"/>
              </w:rPr>
              <w:t xml:space="preserve"> </w:t>
            </w:r>
          </w:p>
          <w:p w14:paraId="6A69073C" w14:textId="59D58E63" w:rsidR="003C7BCD" w:rsidRPr="0031221C" w:rsidRDefault="00C24484" w:rsidP="00C24484">
            <w:pPr>
              <w:spacing w:before="60" w:after="120"/>
              <w:jc w:val="both"/>
              <w:rPr>
                <w:b/>
                <w:szCs w:val="22"/>
                <w:rFonts w:ascii="Times New Roman" w:eastAsia="Times New Roman" w:hAnsi="Times New Roman" w:cs="Times New Roman"/>
              </w:rPr>
            </w:pPr>
            <w:r>
              <w:rPr>
                <w:rFonts w:ascii="Times New Roman" w:hAnsi="Times New Roman"/>
              </w:rPr>
              <w:t xml:space="preserve">Hasta que sean aplicables los criterios de las directrices especificadas en el artículo 84, apartado 6, de la Directiva 2013/36/UE y los demás elementos que figuran en el artículo 98, apartado 5 </w:t>
            </w:r>
            <w:r>
              <w:rPr>
                <w:i/>
                <w:iCs/>
                <w:rFonts w:ascii="Times New Roman" w:hAnsi="Times New Roman"/>
              </w:rPr>
              <w:t xml:space="preserve">bis</w:t>
            </w:r>
            <w:r>
              <w:rPr>
                <w:rFonts w:ascii="Times New Roman" w:hAnsi="Times New Roman"/>
              </w:rPr>
              <w:t xml:space="preserve">, de la Directiva 2013/36/UE, los parámetros utilizados para este escenario se describirán en la letra i) del cuadro EU IRRBBA.</w:t>
            </w:r>
            <w:r>
              <w:rPr>
                <w:rFonts w:ascii="Times New Roman" w:hAnsi="Times New Roman"/>
              </w:rPr>
              <w:t xml:space="preserve"> </w:t>
            </w:r>
          </w:p>
        </w:tc>
      </w:tr>
      <w:tr w:rsidR="00CE0D17" w:rsidRPr="0031221C" w14:paraId="54BF60AA"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DCDA67F" w14:textId="4CEC3E89" w:rsidR="00CE0D17" w:rsidRPr="0031221C" w:rsidRDefault="00CE0D17" w:rsidP="00227FDC">
            <w:pPr>
              <w:autoSpaceDE w:val="0"/>
              <w:autoSpaceDN w:val="0"/>
              <w:adjustRightInd w:val="0"/>
              <w:spacing w:before="60" w:after="120"/>
              <w:jc w:val="center"/>
              <w:rPr>
                <w:b/>
                <w:szCs w:val="22"/>
                <w:rFonts w:ascii="Times New Roman" w:hAnsi="Times New Roman" w:cs="Times New Roman"/>
              </w:rPr>
            </w:pPr>
            <w:r>
              <w:rPr>
                <w:b/>
                <w:rFonts w:ascii="Times New Roman" w:hAnsi="Times New Roman"/>
              </w:rPr>
              <w:t xml:space="preserve">6</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CC8A263" w14:textId="77777777" w:rsidR="00CE0D17" w:rsidRPr="0031221C" w:rsidRDefault="003E3A89" w:rsidP="0060489A">
            <w:pPr>
              <w:spacing w:before="60" w:after="120"/>
              <w:jc w:val="both"/>
              <w:rPr>
                <w:b/>
                <w:szCs w:val="22"/>
                <w:rFonts w:ascii="Times New Roman" w:eastAsia="Times New Roman" w:hAnsi="Times New Roman" w:cs="Times New Roman"/>
              </w:rPr>
            </w:pPr>
            <w:r>
              <w:rPr>
                <w:b/>
                <w:rFonts w:ascii="Times New Roman" w:hAnsi="Times New Roman"/>
              </w:rPr>
              <w:t xml:space="preserve">Movimiento de los tipos a corto plazo a la baja</w:t>
            </w:r>
          </w:p>
          <w:p w14:paraId="52648BA1" w14:textId="70C444CA" w:rsidR="0080384B" w:rsidRPr="0031221C" w:rsidRDefault="003F5907" w:rsidP="003F5907">
            <w:pPr>
              <w:spacing w:before="60" w:after="120"/>
              <w:jc w:val="both"/>
              <w:rPr>
                <w:szCs w:val="22"/>
                <w:rFonts w:ascii="Times New Roman" w:eastAsia="Times New Roman" w:hAnsi="Times New Roman" w:cs="Times New Roman"/>
              </w:rPr>
            </w:pPr>
            <w:r>
              <w:rPr>
                <w:rFonts w:ascii="Times New Roman" w:hAnsi="Times New Roman"/>
              </w:rPr>
              <w:t xml:space="preserve">Las entidades deben divulgar los cambios del valor económico del patrimonio neto en un escenario de bajada de tipos a corto de la curva de rendimiento.</w:t>
            </w:r>
            <w:r>
              <w:rPr>
                <w:rFonts w:ascii="Times New Roman" w:hAnsi="Times New Roman"/>
              </w:rPr>
              <w:t xml:space="preserve"> </w:t>
            </w:r>
          </w:p>
          <w:p w14:paraId="45792CFB" w14:textId="3D985205" w:rsidR="003C7BCD" w:rsidRPr="0031221C" w:rsidRDefault="00C24484" w:rsidP="00C24484">
            <w:pPr>
              <w:spacing w:before="60" w:after="120"/>
              <w:jc w:val="both"/>
              <w:rPr>
                <w:b/>
                <w:szCs w:val="22"/>
                <w:rFonts w:ascii="Times New Roman" w:eastAsia="Times New Roman" w:hAnsi="Times New Roman" w:cs="Times New Roman"/>
              </w:rPr>
            </w:pPr>
            <w:r>
              <w:rPr>
                <w:rFonts w:ascii="Times New Roman" w:hAnsi="Times New Roman"/>
              </w:rPr>
              <w:t xml:space="preserve">Hasta que sean aplicables los criterios de las directrices especificadas en el artículo 84, apartado 6, de la Directiva 2013/36/UE y los demás elementos que figuran en el artículo 98, apartado 5 </w:t>
            </w:r>
            <w:r>
              <w:rPr>
                <w:i/>
                <w:iCs/>
                <w:rFonts w:ascii="Times New Roman" w:hAnsi="Times New Roman"/>
              </w:rPr>
              <w:t xml:space="preserve">bis</w:t>
            </w:r>
            <w:r>
              <w:rPr>
                <w:rFonts w:ascii="Times New Roman" w:hAnsi="Times New Roman"/>
              </w:rPr>
              <w:t xml:space="preserve">, de la Directiva 2013/36/UE, los parámetros utilizados para este escenario se describirán en la letra i) del cuadro EU IRRBBA.</w:t>
            </w:r>
            <w:r>
              <w:rPr>
                <w:rFonts w:ascii="Times New Roman" w:hAnsi="Times New Roman"/>
              </w:rPr>
              <w:t xml:space="preserve"> </w:t>
            </w:r>
          </w:p>
        </w:tc>
      </w:tr>
    </w:tbl>
    <w:p w14:paraId="3452EC82" w14:textId="7F3D1507" w:rsidR="00FE2CB5" w:rsidRPr="0031221C" w:rsidRDefault="00FE2CB5" w:rsidP="00FE2CB5">
      <w:pPr>
        <w:jc w:val="both"/>
        <w:rPr>
          <w:rFonts w:ascii="Calibri" w:eastAsia="Times New Roman" w:hAnsi="Calibri" w:cs="Times New Roman"/>
          <w:color w:val="000000"/>
          <w:szCs w:val="22"/>
          <w:lang w:eastAsia="en-GB"/>
        </w:rPr>
      </w:pPr>
    </w:p>
    <w:p w14:paraId="7DD927F3" w14:textId="7DB8FF08" w:rsidR="00FE2CB5" w:rsidRPr="00482070" w:rsidRDefault="005B5611" w:rsidP="00A81E4E">
      <w:r>
        <w:t xml:space="preserve">»</w:t>
      </w:r>
    </w:p>
    <w:sectPr w:rsidR="00FE2CB5" w:rsidRPr="00482070">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63957D" w16cex:dateUtc="2021-12-14T21:13:00Z"/>
  <w16cex:commentExtensible w16cex:durableId="2563964E" w16cex:dateUtc="2021-12-14T21:16:00Z"/>
  <w16cex:commentExtensible w16cex:durableId="25639664" w16cex:dateUtc="2021-12-14T21:17:00Z"/>
  <w16cex:commentExtensible w16cex:durableId="256396F7" w16cex:dateUtc="2021-12-14T21:19:00Z"/>
  <w16cex:commentExtensible w16cex:durableId="2563976E" w16cex:dateUtc="2021-12-14T21:21:00Z"/>
  <w16cex:commentExtensible w16cex:durableId="2563980B" w16cex:dateUtc="2021-12-14T21:24:00Z"/>
  <w16cex:commentExtensible w16cex:durableId="2564311E" w16cex:dateUtc="2021-12-15T08:17:00Z"/>
  <w16cex:commentExtensible w16cex:durableId="2563999B" w16cex:dateUtc="2021-12-14T21:30:00Z"/>
  <w16cex:commentExtensible w16cex:durableId="256399A9" w16cex:dateUtc="2021-12-14T21:31:00Z"/>
  <w16cex:commentExtensible w16cex:durableId="25639A19" w16cex:dateUtc="2021-12-14T21:32:00Z"/>
  <w16cex:commentExtensible w16cex:durableId="25639A63" w16cex:dateUtc="2021-12-14T21:34:00Z"/>
  <w16cex:commentExtensible w16cex:durableId="25639AC4" w16cex:dateUtc="2021-12-14T21:35:00Z"/>
  <w16cex:commentExtensible w16cex:durableId="25639B49" w16cex:dateUtc="2021-12-14T21:38:00Z"/>
  <w16cex:commentExtensible w16cex:durableId="25639B92" w16cex:dateUtc="2021-12-14T21:39:00Z"/>
  <w16cex:commentExtensible w16cex:durableId="25639C31" w16cex:dateUtc="2021-12-14T21:41:00Z"/>
  <w16cex:commentExtensible w16cex:durableId="25639C57" w16cex:dateUtc="2021-12-14T21:42:00Z"/>
  <w16cex:commentExtensible w16cex:durableId="256431B7" w16cex:dateUtc="2021-12-15T08:19:00Z"/>
  <w16cex:commentExtensible w16cex:durableId="25639D00" w16cex:dateUtc="2021-12-14T21:45:00Z"/>
  <w16cex:commentExtensible w16cex:durableId="25639D16" w16cex:dateUtc="2021-12-14T21:45:00Z"/>
  <w16cex:commentExtensible w16cex:durableId="25639D20" w16cex:dateUtc="2021-12-14T21:45:00Z"/>
  <w16cex:commentExtensible w16cex:durableId="25639D28" w16cex:dateUtc="2021-12-14T21: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1E20546" w16cid:durableId="25639565"/>
  <w16cid:commentId w16cid:paraId="550322A7" w16cid:durableId="25639566"/>
  <w16cid:commentId w16cid:paraId="6AEC2973" w16cid:durableId="25639567"/>
  <w16cid:commentId w16cid:paraId="77DB14AD" w16cid:durableId="2563957D"/>
  <w16cid:commentId w16cid:paraId="733C91F8" w16cid:durableId="25639568"/>
  <w16cid:commentId w16cid:paraId="3F5E91F2" w16cid:durableId="25639569"/>
  <w16cid:commentId w16cid:paraId="337FF161" w16cid:durableId="2563956A"/>
  <w16cid:commentId w16cid:paraId="7A01F064" w16cid:durableId="2563964E"/>
  <w16cid:commentId w16cid:paraId="6E8632C5" w16cid:durableId="2563956B"/>
  <w16cid:commentId w16cid:paraId="17BF3F7E" w16cid:durableId="25639664"/>
  <w16cid:commentId w16cid:paraId="09696C97" w16cid:durableId="2563956C"/>
  <w16cid:commentId w16cid:paraId="699146E7" w16cid:durableId="2563956D"/>
  <w16cid:commentId w16cid:paraId="4F8BD1C6" w16cid:durableId="256396F7"/>
  <w16cid:commentId w16cid:paraId="041347AD" w16cid:durableId="2563956E"/>
  <w16cid:commentId w16cid:paraId="440AB23A" w16cid:durableId="2563956F"/>
  <w16cid:commentId w16cid:paraId="3BF2C77B" w16cid:durableId="25639570"/>
  <w16cid:commentId w16cid:paraId="31C81043" w16cid:durableId="2563976E"/>
  <w16cid:commentId w16cid:paraId="51EF7DC4" w16cid:durableId="25639571"/>
  <w16cid:commentId w16cid:paraId="57BD693E" w16cid:durableId="2563980B"/>
  <w16cid:commentId w16cid:paraId="61369E07" w16cid:durableId="2564311E"/>
  <w16cid:commentId w16cid:paraId="5E476EB2" w16cid:durableId="25639572"/>
  <w16cid:commentId w16cid:paraId="5E20D633" w16cid:durableId="2563999B"/>
  <w16cid:commentId w16cid:paraId="6EED4264" w16cid:durableId="25639573"/>
  <w16cid:commentId w16cid:paraId="4D7BB019" w16cid:durableId="256399A9"/>
  <w16cid:commentId w16cid:paraId="490C0683" w16cid:durableId="25639574"/>
  <w16cid:commentId w16cid:paraId="7531E822" w16cid:durableId="25639A19"/>
  <w16cid:commentId w16cid:paraId="2C4CCC55" w16cid:durableId="25639575"/>
  <w16cid:commentId w16cid:paraId="1A445087" w16cid:durableId="25639A63"/>
  <w16cid:commentId w16cid:paraId="40CDDC02" w16cid:durableId="25639576"/>
  <w16cid:commentId w16cid:paraId="1702AF2B" w16cid:durableId="25639AC4"/>
  <w16cid:commentId w16cid:paraId="346D5188" w16cid:durableId="25639B49"/>
  <w16cid:commentId w16cid:paraId="330C005A" w16cid:durableId="25639B92"/>
  <w16cid:commentId w16cid:paraId="520D2CC0" w16cid:durableId="25639C31"/>
  <w16cid:commentId w16cid:paraId="278A9C73" w16cid:durableId="25639577"/>
  <w16cid:commentId w16cid:paraId="63424010" w16cid:durableId="25639C57"/>
  <w16cid:commentId w16cid:paraId="36CE4E9B" w16cid:durableId="256431B7"/>
  <w16cid:commentId w16cid:paraId="5090C07A" w16cid:durableId="25639D00"/>
  <w16cid:commentId w16cid:paraId="0D434E15" w16cid:durableId="25639D16"/>
  <w16cid:commentId w16cid:paraId="18CAFB82" w16cid:durableId="25639D20"/>
  <w16cid:commentId w16cid:paraId="33D5E744" w16cid:durableId="25639D2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DB82AC" w14:textId="77777777" w:rsidR="00B86ED4" w:rsidRDefault="00B86ED4" w:rsidP="003B5C57">
      <w:r>
        <w:separator/>
      </w:r>
    </w:p>
  </w:endnote>
  <w:endnote w:type="continuationSeparator" w:id="0">
    <w:p w14:paraId="76F692C0" w14:textId="77777777" w:rsidR="00B86ED4" w:rsidRDefault="00B86ED4" w:rsidP="003B5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2C445" w14:textId="77777777" w:rsidR="004B327C" w:rsidRDefault="004B32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B5D18" w14:textId="77777777" w:rsidR="004B327C" w:rsidRDefault="004B327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6B9CC" w14:textId="77777777" w:rsidR="004B327C" w:rsidRDefault="004B32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A7AD1B" w14:textId="77777777" w:rsidR="00B86ED4" w:rsidRDefault="00B86ED4" w:rsidP="003B5C57">
      <w:r>
        <w:separator/>
      </w:r>
    </w:p>
  </w:footnote>
  <w:footnote w:type="continuationSeparator" w:id="0">
    <w:p w14:paraId="14714B02" w14:textId="77777777" w:rsidR="00B86ED4" w:rsidRDefault="00B86ED4" w:rsidP="003B5C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E0BA4" w14:textId="77777777" w:rsidR="004B327C" w:rsidRDefault="004B32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53384" w14:textId="77777777" w:rsidR="004B327C" w:rsidRDefault="004B32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A2324C" w14:textId="77777777" w:rsidR="004B327C" w:rsidRDefault="004B32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E4820"/>
    <w:multiLevelType w:val="hybridMultilevel"/>
    <w:tmpl w:val="9008071A"/>
    <w:lvl w:ilvl="0" w:tplc="328800F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4667BC"/>
    <w:multiLevelType w:val="hybridMultilevel"/>
    <w:tmpl w:val="A320B384"/>
    <w:lvl w:ilvl="0" w:tplc="0809001B">
      <w:start w:val="1"/>
      <w:numFmt w:val="lowerRoman"/>
      <w:lvlText w:val="%1."/>
      <w:lvlJc w:val="righ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 w15:restartNumberingAfterBreak="0">
    <w:nsid w:val="2466072A"/>
    <w:multiLevelType w:val="multilevel"/>
    <w:tmpl w:val="3566011E"/>
    <w:lvl w:ilvl="0">
      <w:start w:val="1"/>
      <w:numFmt w:val="low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4" w15:restartNumberingAfterBreak="0">
    <w:nsid w:val="507845AC"/>
    <w:multiLevelType w:val="hybridMultilevel"/>
    <w:tmpl w:val="98463E24"/>
    <w:lvl w:ilvl="0" w:tplc="6CE4CC1C">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9CD6352"/>
    <w:multiLevelType w:val="hybridMultilevel"/>
    <w:tmpl w:val="89E0F2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 w15:restartNumberingAfterBreak="0">
    <w:nsid w:val="60BC6196"/>
    <w:multiLevelType w:val="hybridMultilevel"/>
    <w:tmpl w:val="3566011E"/>
    <w:lvl w:ilvl="0" w:tplc="A9A8210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A2D1428"/>
    <w:multiLevelType w:val="hybridMultilevel"/>
    <w:tmpl w:val="3566011E"/>
    <w:lvl w:ilvl="0" w:tplc="A9A8210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A4767C0"/>
    <w:multiLevelType w:val="hybridMultilevel"/>
    <w:tmpl w:val="89E0F2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abstractNumId w:val="8"/>
  </w:num>
  <w:num w:numId="2">
    <w:abstractNumId w:val="3"/>
  </w:num>
  <w:num w:numId="3">
    <w:abstractNumId w:val="1"/>
  </w:num>
  <w:num w:numId="4">
    <w:abstractNumId w:val="0"/>
  </w:num>
  <w:num w:numId="5">
    <w:abstractNumId w:val="6"/>
  </w:num>
  <w:num w:numId="6">
    <w:abstractNumId w:val="2"/>
  </w:num>
  <w:num w:numId="7">
    <w:abstractNumId w:val="7"/>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defaultTabStop w:val="720"/>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4744B"/>
    <w:rsid w:val="00005B93"/>
    <w:rsid w:val="00013240"/>
    <w:rsid w:val="00025422"/>
    <w:rsid w:val="000469EE"/>
    <w:rsid w:val="00047E00"/>
    <w:rsid w:val="00053035"/>
    <w:rsid w:val="00060307"/>
    <w:rsid w:val="0006327F"/>
    <w:rsid w:val="00063CE6"/>
    <w:rsid w:val="00065C44"/>
    <w:rsid w:val="00067516"/>
    <w:rsid w:val="000A10FC"/>
    <w:rsid w:val="000A53EF"/>
    <w:rsid w:val="000B212C"/>
    <w:rsid w:val="000B28B3"/>
    <w:rsid w:val="000D6C4D"/>
    <w:rsid w:val="000F5EAA"/>
    <w:rsid w:val="000F6E3B"/>
    <w:rsid w:val="000F720A"/>
    <w:rsid w:val="0010640D"/>
    <w:rsid w:val="00110370"/>
    <w:rsid w:val="00111970"/>
    <w:rsid w:val="001163B7"/>
    <w:rsid w:val="00125B00"/>
    <w:rsid w:val="00133E44"/>
    <w:rsid w:val="0013410F"/>
    <w:rsid w:val="00146A3F"/>
    <w:rsid w:val="00146DB4"/>
    <w:rsid w:val="0016128F"/>
    <w:rsid w:val="00166CAA"/>
    <w:rsid w:val="00166FFE"/>
    <w:rsid w:val="00167A62"/>
    <w:rsid w:val="0017255F"/>
    <w:rsid w:val="00177088"/>
    <w:rsid w:val="001810BE"/>
    <w:rsid w:val="00186FD4"/>
    <w:rsid w:val="00187547"/>
    <w:rsid w:val="0019262D"/>
    <w:rsid w:val="001A538C"/>
    <w:rsid w:val="001A6E70"/>
    <w:rsid w:val="001A7DE4"/>
    <w:rsid w:val="001D0BA8"/>
    <w:rsid w:val="001D3283"/>
    <w:rsid w:val="001E248D"/>
    <w:rsid w:val="001E68FA"/>
    <w:rsid w:val="001F11D4"/>
    <w:rsid w:val="001F2FE9"/>
    <w:rsid w:val="00226654"/>
    <w:rsid w:val="00227A69"/>
    <w:rsid w:val="00227FDC"/>
    <w:rsid w:val="0024072B"/>
    <w:rsid w:val="002711B6"/>
    <w:rsid w:val="00271375"/>
    <w:rsid w:val="00292CEC"/>
    <w:rsid w:val="002931F0"/>
    <w:rsid w:val="002B52BC"/>
    <w:rsid w:val="002B630E"/>
    <w:rsid w:val="002B6C39"/>
    <w:rsid w:val="002D655D"/>
    <w:rsid w:val="002E597B"/>
    <w:rsid w:val="002E7E2E"/>
    <w:rsid w:val="002F10D0"/>
    <w:rsid w:val="002F2E04"/>
    <w:rsid w:val="002F726C"/>
    <w:rsid w:val="00305C67"/>
    <w:rsid w:val="0031221C"/>
    <w:rsid w:val="00316B9A"/>
    <w:rsid w:val="003364BD"/>
    <w:rsid w:val="00367A62"/>
    <w:rsid w:val="0037080E"/>
    <w:rsid w:val="00371201"/>
    <w:rsid w:val="00371886"/>
    <w:rsid w:val="0038371B"/>
    <w:rsid w:val="003942C9"/>
    <w:rsid w:val="003A2001"/>
    <w:rsid w:val="003A5365"/>
    <w:rsid w:val="003B1160"/>
    <w:rsid w:val="003B4F8B"/>
    <w:rsid w:val="003B5C57"/>
    <w:rsid w:val="003C03B3"/>
    <w:rsid w:val="003C310D"/>
    <w:rsid w:val="003C78DE"/>
    <w:rsid w:val="003C7BCD"/>
    <w:rsid w:val="003D086C"/>
    <w:rsid w:val="003E1403"/>
    <w:rsid w:val="003E3A89"/>
    <w:rsid w:val="003F5907"/>
    <w:rsid w:val="004018B3"/>
    <w:rsid w:val="00416C73"/>
    <w:rsid w:val="0042024E"/>
    <w:rsid w:val="00426CEC"/>
    <w:rsid w:val="0043059C"/>
    <w:rsid w:val="0045248D"/>
    <w:rsid w:val="00453AC4"/>
    <w:rsid w:val="00465DF4"/>
    <w:rsid w:val="00470043"/>
    <w:rsid w:val="00482070"/>
    <w:rsid w:val="004858AF"/>
    <w:rsid w:val="00487F1C"/>
    <w:rsid w:val="0049568B"/>
    <w:rsid w:val="004979A6"/>
    <w:rsid w:val="004A12CC"/>
    <w:rsid w:val="004B0B2A"/>
    <w:rsid w:val="004B327C"/>
    <w:rsid w:val="004D27DD"/>
    <w:rsid w:val="004E2266"/>
    <w:rsid w:val="004E6BD5"/>
    <w:rsid w:val="004F5466"/>
    <w:rsid w:val="00503DC1"/>
    <w:rsid w:val="00504410"/>
    <w:rsid w:val="00512477"/>
    <w:rsid w:val="00520421"/>
    <w:rsid w:val="00523FE8"/>
    <w:rsid w:val="005470E3"/>
    <w:rsid w:val="0054744B"/>
    <w:rsid w:val="00550EA4"/>
    <w:rsid w:val="00565F5A"/>
    <w:rsid w:val="00573FD3"/>
    <w:rsid w:val="00580D58"/>
    <w:rsid w:val="00586B82"/>
    <w:rsid w:val="00593C4B"/>
    <w:rsid w:val="00595903"/>
    <w:rsid w:val="005A5573"/>
    <w:rsid w:val="005B367A"/>
    <w:rsid w:val="005B5611"/>
    <w:rsid w:val="005D48C1"/>
    <w:rsid w:val="005E2B3A"/>
    <w:rsid w:val="005F4729"/>
    <w:rsid w:val="005F58E6"/>
    <w:rsid w:val="006001A4"/>
    <w:rsid w:val="00604339"/>
    <w:rsid w:val="0060489A"/>
    <w:rsid w:val="00607494"/>
    <w:rsid w:val="00615DB8"/>
    <w:rsid w:val="00616CF0"/>
    <w:rsid w:val="0064406C"/>
    <w:rsid w:val="0064412E"/>
    <w:rsid w:val="006473E8"/>
    <w:rsid w:val="00653207"/>
    <w:rsid w:val="00681608"/>
    <w:rsid w:val="00697A36"/>
    <w:rsid w:val="006A78BA"/>
    <w:rsid w:val="006B3947"/>
    <w:rsid w:val="006C2CA1"/>
    <w:rsid w:val="006C6FD2"/>
    <w:rsid w:val="006D4BE6"/>
    <w:rsid w:val="006D6B49"/>
    <w:rsid w:val="006D6C52"/>
    <w:rsid w:val="006F391A"/>
    <w:rsid w:val="006F69ED"/>
    <w:rsid w:val="007012E2"/>
    <w:rsid w:val="00711138"/>
    <w:rsid w:val="00716636"/>
    <w:rsid w:val="00721ADE"/>
    <w:rsid w:val="007269B1"/>
    <w:rsid w:val="00745B25"/>
    <w:rsid w:val="007573CB"/>
    <w:rsid w:val="00763C4D"/>
    <w:rsid w:val="00765030"/>
    <w:rsid w:val="007700DF"/>
    <w:rsid w:val="00775FD9"/>
    <w:rsid w:val="0078309E"/>
    <w:rsid w:val="00793890"/>
    <w:rsid w:val="007A1366"/>
    <w:rsid w:val="007A4AA0"/>
    <w:rsid w:val="007A7AFA"/>
    <w:rsid w:val="007B3033"/>
    <w:rsid w:val="007C351F"/>
    <w:rsid w:val="007D1AE4"/>
    <w:rsid w:val="007F15BF"/>
    <w:rsid w:val="007F71C4"/>
    <w:rsid w:val="0080384B"/>
    <w:rsid w:val="00804CDC"/>
    <w:rsid w:val="008220B0"/>
    <w:rsid w:val="00834F07"/>
    <w:rsid w:val="00835D8A"/>
    <w:rsid w:val="0084271D"/>
    <w:rsid w:val="00842C3A"/>
    <w:rsid w:val="00843F8C"/>
    <w:rsid w:val="00844CC6"/>
    <w:rsid w:val="00862897"/>
    <w:rsid w:val="0086459A"/>
    <w:rsid w:val="0087249C"/>
    <w:rsid w:val="008766A5"/>
    <w:rsid w:val="00885EBE"/>
    <w:rsid w:val="0088622B"/>
    <w:rsid w:val="00886EB3"/>
    <w:rsid w:val="008A053C"/>
    <w:rsid w:val="008A5827"/>
    <w:rsid w:val="008B589A"/>
    <w:rsid w:val="008E005A"/>
    <w:rsid w:val="008F617B"/>
    <w:rsid w:val="00904C4D"/>
    <w:rsid w:val="00906CCA"/>
    <w:rsid w:val="00912FEC"/>
    <w:rsid w:val="009222ED"/>
    <w:rsid w:val="00925221"/>
    <w:rsid w:val="00926D41"/>
    <w:rsid w:val="00942E61"/>
    <w:rsid w:val="0094340A"/>
    <w:rsid w:val="0094354B"/>
    <w:rsid w:val="00947B6C"/>
    <w:rsid w:val="0095024C"/>
    <w:rsid w:val="00952741"/>
    <w:rsid w:val="009528FB"/>
    <w:rsid w:val="0095538A"/>
    <w:rsid w:val="0095708D"/>
    <w:rsid w:val="00976355"/>
    <w:rsid w:val="0098778C"/>
    <w:rsid w:val="009A3E6C"/>
    <w:rsid w:val="009A42C9"/>
    <w:rsid w:val="009C2377"/>
    <w:rsid w:val="009C3247"/>
    <w:rsid w:val="009D1BA6"/>
    <w:rsid w:val="009D7A7D"/>
    <w:rsid w:val="00A0381B"/>
    <w:rsid w:val="00A05663"/>
    <w:rsid w:val="00A1733E"/>
    <w:rsid w:val="00A2202B"/>
    <w:rsid w:val="00A22F00"/>
    <w:rsid w:val="00A56B74"/>
    <w:rsid w:val="00A64295"/>
    <w:rsid w:val="00A67645"/>
    <w:rsid w:val="00A77093"/>
    <w:rsid w:val="00A81E4E"/>
    <w:rsid w:val="00A8375D"/>
    <w:rsid w:val="00A930B2"/>
    <w:rsid w:val="00AB382F"/>
    <w:rsid w:val="00AC7CEB"/>
    <w:rsid w:val="00AC7DCE"/>
    <w:rsid w:val="00AD6D9C"/>
    <w:rsid w:val="00AE69B7"/>
    <w:rsid w:val="00AF252C"/>
    <w:rsid w:val="00AF3439"/>
    <w:rsid w:val="00B4159D"/>
    <w:rsid w:val="00B44524"/>
    <w:rsid w:val="00B54332"/>
    <w:rsid w:val="00B56EBF"/>
    <w:rsid w:val="00B650A9"/>
    <w:rsid w:val="00B66A3D"/>
    <w:rsid w:val="00B81100"/>
    <w:rsid w:val="00B82005"/>
    <w:rsid w:val="00B8650B"/>
    <w:rsid w:val="00B86ED4"/>
    <w:rsid w:val="00B9107D"/>
    <w:rsid w:val="00B923DC"/>
    <w:rsid w:val="00B94237"/>
    <w:rsid w:val="00BB39FB"/>
    <w:rsid w:val="00BB574D"/>
    <w:rsid w:val="00BC025C"/>
    <w:rsid w:val="00BF2E73"/>
    <w:rsid w:val="00C006B4"/>
    <w:rsid w:val="00C07A00"/>
    <w:rsid w:val="00C143B2"/>
    <w:rsid w:val="00C1556C"/>
    <w:rsid w:val="00C206DE"/>
    <w:rsid w:val="00C24484"/>
    <w:rsid w:val="00C307AB"/>
    <w:rsid w:val="00C41D59"/>
    <w:rsid w:val="00C42692"/>
    <w:rsid w:val="00C4502B"/>
    <w:rsid w:val="00C4547F"/>
    <w:rsid w:val="00C612FA"/>
    <w:rsid w:val="00C71181"/>
    <w:rsid w:val="00C76C94"/>
    <w:rsid w:val="00C77A9E"/>
    <w:rsid w:val="00CA2AD5"/>
    <w:rsid w:val="00CD3692"/>
    <w:rsid w:val="00CE0D17"/>
    <w:rsid w:val="00CF6849"/>
    <w:rsid w:val="00D14F4A"/>
    <w:rsid w:val="00D267B0"/>
    <w:rsid w:val="00D31F66"/>
    <w:rsid w:val="00D6257E"/>
    <w:rsid w:val="00D6294D"/>
    <w:rsid w:val="00D727B4"/>
    <w:rsid w:val="00D76DCA"/>
    <w:rsid w:val="00D7725E"/>
    <w:rsid w:val="00D97456"/>
    <w:rsid w:val="00DB6997"/>
    <w:rsid w:val="00DC1B4D"/>
    <w:rsid w:val="00DD20B0"/>
    <w:rsid w:val="00DF18F3"/>
    <w:rsid w:val="00DF58CB"/>
    <w:rsid w:val="00E0485C"/>
    <w:rsid w:val="00E05113"/>
    <w:rsid w:val="00E0540C"/>
    <w:rsid w:val="00E05823"/>
    <w:rsid w:val="00E22DED"/>
    <w:rsid w:val="00E251C6"/>
    <w:rsid w:val="00E4184D"/>
    <w:rsid w:val="00E47444"/>
    <w:rsid w:val="00E74FF6"/>
    <w:rsid w:val="00E825AF"/>
    <w:rsid w:val="00EA0ADF"/>
    <w:rsid w:val="00EA1CF8"/>
    <w:rsid w:val="00EA2452"/>
    <w:rsid w:val="00EA5AA0"/>
    <w:rsid w:val="00EA5C4B"/>
    <w:rsid w:val="00EC3E7F"/>
    <w:rsid w:val="00EE3ECC"/>
    <w:rsid w:val="00EF335F"/>
    <w:rsid w:val="00F01CEA"/>
    <w:rsid w:val="00F070E6"/>
    <w:rsid w:val="00F10FFC"/>
    <w:rsid w:val="00F24E72"/>
    <w:rsid w:val="00F441CD"/>
    <w:rsid w:val="00F470EA"/>
    <w:rsid w:val="00F55DB0"/>
    <w:rsid w:val="00F666E7"/>
    <w:rsid w:val="00F720A8"/>
    <w:rsid w:val="00F931AD"/>
    <w:rsid w:val="00FA7485"/>
    <w:rsid w:val="00FB03B8"/>
    <w:rsid w:val="00FB0584"/>
    <w:rsid w:val="00FC2089"/>
    <w:rsid w:val="00FC55A8"/>
    <w:rsid w:val="00FD20DB"/>
    <w:rsid w:val="00FD6A8F"/>
    <w:rsid w:val="00FD7503"/>
    <w:rsid w:val="00FE2CB5"/>
    <w:rsid w:val="00FF04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26743BF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744B"/>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itle">
    <w:name w:val="TableTitle"/>
    <w:basedOn w:val="Normal"/>
    <w:next w:val="Normal"/>
    <w:link w:val="TableTitleChar"/>
    <w:rsid w:val="0054744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54744B"/>
    <w:rPr>
      <w:rFonts w:ascii="Arial" w:eastAsia="MS Mincho" w:hAnsi="Arial" w:cs="Times New Roman"/>
      <w:b/>
      <w:noProof/>
      <w:szCs w:val="20"/>
    </w:rPr>
  </w:style>
  <w:style w:type="character" w:customStyle="1" w:styleId="InstructionsTabelleberschrift">
    <w:name w:val="Instructions Tabelle Überschrift"/>
    <w:qFormat/>
    <w:rsid w:val="00BB39FB"/>
    <w:rPr>
      <w:rFonts w:ascii="Verdana" w:hAnsi="Verdana" w:cs="Times New Roman"/>
      <w:b/>
      <w:bCs/>
      <w:sz w:val="20"/>
      <w:u w:val="single"/>
    </w:rPr>
  </w:style>
  <w:style w:type="character" w:customStyle="1" w:styleId="InstructionsTabelleText">
    <w:name w:val="Instructions Tabelle Text"/>
    <w:rsid w:val="00BB39FB"/>
    <w:rPr>
      <w:rFonts w:ascii="Verdana" w:hAnsi="Verdana" w:cs="Times New Roman"/>
      <w:sz w:val="20"/>
    </w:rPr>
  </w:style>
  <w:style w:type="paragraph" w:customStyle="1" w:styleId="InstructionsText2">
    <w:name w:val="Instructions Text 2"/>
    <w:basedOn w:val="Normal"/>
    <w:qFormat/>
    <w:rsid w:val="002B52BC"/>
    <w:pPr>
      <w:numPr>
        <w:numId w:val="2"/>
      </w:numPr>
      <w:spacing w:after="240"/>
      <w:jc w:val="both"/>
    </w:pPr>
    <w:rPr>
      <w:rFonts w:ascii="Times New Roman" w:eastAsia="Times New Roman" w:hAnsi="Times New Roman" w:cs="Times New Roman"/>
      <w:sz w:val="24"/>
      <w:lang w:eastAsia="de-DE"/>
    </w:rPr>
  </w:style>
  <w:style w:type="character" w:styleId="CommentReference">
    <w:name w:val="annotation reference"/>
    <w:basedOn w:val="DefaultParagraphFont"/>
    <w:uiPriority w:val="99"/>
    <w:semiHidden/>
    <w:unhideWhenUsed/>
    <w:rsid w:val="00E05823"/>
    <w:rPr>
      <w:sz w:val="16"/>
      <w:szCs w:val="16"/>
    </w:rPr>
  </w:style>
  <w:style w:type="paragraph" w:styleId="CommentText">
    <w:name w:val="annotation text"/>
    <w:basedOn w:val="Normal"/>
    <w:link w:val="CommentTextChar"/>
    <w:uiPriority w:val="99"/>
    <w:unhideWhenUsed/>
    <w:rsid w:val="00E05823"/>
    <w:rPr>
      <w:sz w:val="20"/>
      <w:szCs w:val="20"/>
    </w:rPr>
  </w:style>
  <w:style w:type="character" w:customStyle="1" w:styleId="CommentTextChar">
    <w:name w:val="Comment Text Char"/>
    <w:basedOn w:val="DefaultParagraphFont"/>
    <w:link w:val="CommentText"/>
    <w:uiPriority w:val="99"/>
    <w:rsid w:val="00E05823"/>
    <w:rPr>
      <w:rFonts w:eastAsiaTheme="minorEastAsia"/>
      <w:sz w:val="20"/>
      <w:szCs w:val="20"/>
      <w:lang w:val="es-ES"/>
    </w:rPr>
  </w:style>
  <w:style w:type="paragraph" w:styleId="CommentSubject">
    <w:name w:val="annotation subject"/>
    <w:basedOn w:val="CommentText"/>
    <w:next w:val="CommentText"/>
    <w:link w:val="CommentSubjectChar"/>
    <w:uiPriority w:val="99"/>
    <w:semiHidden/>
    <w:unhideWhenUsed/>
    <w:rsid w:val="00E05823"/>
    <w:rPr>
      <w:b/>
      <w:bCs/>
    </w:rPr>
  </w:style>
  <w:style w:type="character" w:customStyle="1" w:styleId="CommentSubjectChar">
    <w:name w:val="Comment Subject Char"/>
    <w:basedOn w:val="CommentTextChar"/>
    <w:link w:val="CommentSubject"/>
    <w:uiPriority w:val="99"/>
    <w:semiHidden/>
    <w:rsid w:val="00E05823"/>
    <w:rPr>
      <w:rFonts w:eastAsiaTheme="minorEastAsia"/>
      <w:b/>
      <w:bCs/>
      <w:sz w:val="20"/>
      <w:szCs w:val="20"/>
      <w:lang w:val="es-ES"/>
    </w:rPr>
  </w:style>
  <w:style w:type="paragraph" w:styleId="BalloonText">
    <w:name w:val="Balloon Text"/>
    <w:basedOn w:val="Normal"/>
    <w:link w:val="BalloonTextChar"/>
    <w:uiPriority w:val="99"/>
    <w:semiHidden/>
    <w:unhideWhenUsed/>
    <w:rsid w:val="00E058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5823"/>
    <w:rPr>
      <w:rFonts w:ascii="Segoe UI" w:eastAsiaTheme="minorEastAsia" w:hAnsi="Segoe UI" w:cs="Segoe UI"/>
      <w:sz w:val="18"/>
      <w:szCs w:val="18"/>
      <w:lang w:val="es-ES"/>
    </w:rPr>
  </w:style>
  <w:style w:type="paragraph" w:styleId="ListParagraph">
    <w:name w:val="List Paragraph"/>
    <w:basedOn w:val="Normal"/>
    <w:uiPriority w:val="34"/>
    <w:qFormat/>
    <w:rsid w:val="00A81E4E"/>
    <w:pPr>
      <w:ind w:left="720"/>
      <w:contextualSpacing/>
    </w:pPr>
  </w:style>
  <w:style w:type="paragraph" w:customStyle="1" w:styleId="Annexetitre">
    <w:name w:val="Annexe titre"/>
    <w:basedOn w:val="Normal"/>
    <w:next w:val="Normal"/>
    <w:rsid w:val="006A78BA"/>
    <w:pPr>
      <w:spacing w:before="120" w:after="120"/>
      <w:jc w:val="center"/>
    </w:pPr>
    <w:rPr>
      <w:rFonts w:ascii="Times New Roman" w:eastAsia="Times New Roman" w:hAnsi="Times New Roman" w:cs="Times New Roman"/>
      <w:b/>
      <w:sz w:val="24"/>
      <w:u w:val="single"/>
    </w:rPr>
  </w:style>
  <w:style w:type="paragraph" w:customStyle="1" w:styleId="CM1">
    <w:name w:val="CM1"/>
    <w:basedOn w:val="Normal"/>
    <w:next w:val="Normal"/>
    <w:uiPriority w:val="99"/>
    <w:rsid w:val="00065C44"/>
    <w:pPr>
      <w:autoSpaceDE w:val="0"/>
      <w:autoSpaceDN w:val="0"/>
      <w:adjustRightInd w:val="0"/>
    </w:pPr>
    <w:rPr>
      <w:rFonts w:ascii="Times New Roman" w:eastAsiaTheme="minorHAnsi" w:hAnsi="Times New Roman" w:cs="Times New Roman"/>
      <w:sz w:val="24"/>
    </w:rPr>
  </w:style>
  <w:style w:type="paragraph" w:customStyle="1" w:styleId="CM3">
    <w:name w:val="CM3"/>
    <w:basedOn w:val="Normal"/>
    <w:next w:val="Normal"/>
    <w:uiPriority w:val="99"/>
    <w:rsid w:val="00065C44"/>
    <w:pPr>
      <w:autoSpaceDE w:val="0"/>
      <w:autoSpaceDN w:val="0"/>
      <w:adjustRightInd w:val="0"/>
    </w:pPr>
    <w:rPr>
      <w:rFonts w:ascii="Times New Roman" w:eastAsiaTheme="minorHAnsi" w:hAnsi="Times New Roman" w:cs="Times New Roman"/>
      <w:sz w:val="24"/>
    </w:rPr>
  </w:style>
  <w:style w:type="paragraph" w:styleId="Revision">
    <w:name w:val="Revision"/>
    <w:hidden/>
    <w:uiPriority w:val="99"/>
    <w:semiHidden/>
    <w:rsid w:val="00F441CD"/>
    <w:pPr>
      <w:spacing w:after="0" w:line="240" w:lineRule="auto"/>
    </w:pPr>
    <w:rPr>
      <w:rFonts w:eastAsiaTheme="minorEastAsia"/>
      <w:szCs w:val="24"/>
    </w:rPr>
  </w:style>
  <w:style w:type="character" w:styleId="Hyperlink">
    <w:name w:val="Hyperlink"/>
    <w:basedOn w:val="DefaultParagraphFont"/>
    <w:uiPriority w:val="99"/>
    <w:semiHidden/>
    <w:unhideWhenUsed/>
    <w:rsid w:val="00616CF0"/>
    <w:rPr>
      <w:color w:val="0000FF"/>
      <w:u w:val="single"/>
    </w:rPr>
  </w:style>
  <w:style w:type="paragraph" w:styleId="Header">
    <w:name w:val="header"/>
    <w:basedOn w:val="Normal"/>
    <w:link w:val="HeaderChar"/>
    <w:uiPriority w:val="99"/>
    <w:unhideWhenUsed/>
    <w:rsid w:val="004B327C"/>
    <w:pPr>
      <w:tabs>
        <w:tab w:val="center" w:pos="4680"/>
        <w:tab w:val="right" w:pos="9360"/>
      </w:tabs>
    </w:pPr>
  </w:style>
  <w:style w:type="character" w:customStyle="1" w:styleId="HeaderChar">
    <w:name w:val="Header Char"/>
    <w:basedOn w:val="DefaultParagraphFont"/>
    <w:link w:val="Header"/>
    <w:uiPriority w:val="99"/>
    <w:rsid w:val="004B327C"/>
    <w:rPr>
      <w:rFonts w:eastAsiaTheme="minorEastAsia"/>
      <w:szCs w:val="24"/>
    </w:rPr>
  </w:style>
  <w:style w:type="paragraph" w:styleId="Footer">
    <w:name w:val="footer"/>
    <w:basedOn w:val="Normal"/>
    <w:link w:val="FooterChar"/>
    <w:uiPriority w:val="99"/>
    <w:unhideWhenUsed/>
    <w:rsid w:val="004B327C"/>
    <w:pPr>
      <w:tabs>
        <w:tab w:val="center" w:pos="4680"/>
        <w:tab w:val="right" w:pos="9360"/>
      </w:tabs>
    </w:pPr>
  </w:style>
  <w:style w:type="character" w:customStyle="1" w:styleId="FooterChar">
    <w:name w:val="Footer Char"/>
    <w:basedOn w:val="DefaultParagraphFont"/>
    <w:link w:val="Footer"/>
    <w:uiPriority w:val="99"/>
    <w:rsid w:val="004B327C"/>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194359">
      <w:bodyDiv w:val="1"/>
      <w:marLeft w:val="0"/>
      <w:marRight w:val="0"/>
      <w:marTop w:val="0"/>
      <w:marBottom w:val="0"/>
      <w:divBdr>
        <w:top w:val="none" w:sz="0" w:space="0" w:color="auto"/>
        <w:left w:val="none" w:sz="0" w:space="0" w:color="auto"/>
        <w:bottom w:val="none" w:sz="0" w:space="0" w:color="auto"/>
        <w:right w:val="none" w:sz="0" w:space="0" w:color="auto"/>
      </w:divBdr>
    </w:div>
    <w:div w:id="188043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 Id="rId22"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89A7153-8381-41E6-B52D-20FA0B8D4F22}">
  <ds:schemaRefs>
    <ds:schemaRef ds:uri="http://schemas.openxmlformats.org/officeDocument/2006/bibliography"/>
  </ds:schemaRefs>
</ds:datastoreItem>
</file>

<file path=customXml/itemProps2.xml><?xml version="1.0" encoding="utf-8"?>
<ds:datastoreItem xmlns:ds="http://schemas.openxmlformats.org/officeDocument/2006/customXml" ds:itemID="{5A0EC8DB-BF77-42D9-AE36-4B283683FCCA}"/>
</file>

<file path=customXml/itemProps3.xml><?xml version="1.0" encoding="utf-8"?>
<ds:datastoreItem xmlns:ds="http://schemas.openxmlformats.org/officeDocument/2006/customXml" ds:itemID="{D5494D0D-2C84-4FC5-BC95-0B531D47F911}"/>
</file>

<file path=customXml/itemProps4.xml><?xml version="1.0" encoding="utf-8"?>
<ds:datastoreItem xmlns:ds="http://schemas.openxmlformats.org/officeDocument/2006/customXml" ds:itemID="{5F8CB945-7205-4F47-9FFC-0F34BC2CC2F1}"/>
</file>

<file path=docProps/app.xml><?xml version="1.0" encoding="utf-8"?>
<Properties xmlns="http://schemas.openxmlformats.org/officeDocument/2006/extended-properties" xmlns:vt="http://schemas.openxmlformats.org/officeDocument/2006/docPropsVTypes">
  <Template>Normal</Template>
  <TotalTime>0</TotalTime>
  <Pages>5</Pages>
  <Words>1912</Words>
  <Characters>10748</Characters>
  <Application>Microsoft Office Word</Application>
  <DocSecurity>0</DocSecurity>
  <Lines>233</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2022-01-27T09:43:00Z</dcterms:created>
  <dcterms:modified xsi:type="dcterms:W3CDTF">2022-01-27T09:44:00Z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