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 xml:space="preserve">XXVIII PIELIKUMS – Norādījumi informācijas atklāšanai par vērtspapīrošanas pozīciju riska darījumiem</w:t>
      </w:r>
    </w:p>
    <w:p w14:paraId="6F670D8D"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Tabula EU SECA – Ar vērtspapīrošanas riska darījumiem saistītas kvalitatīvās informācijas atklāšanas prasības.</w:t>
      </w:r>
      <w:r>
        <w:rPr>
          <w:sz w:val="24"/>
          <w:b/>
          <w:rFonts w:ascii="Times New Roman" w:hAnsi="Times New Roman"/>
        </w:rPr>
        <w:t xml:space="preserve"> </w:t>
      </w:r>
      <w:r>
        <w:rPr>
          <w:sz w:val="24"/>
          <w:rFonts w:ascii="Times New Roman" w:hAnsi="Times New Roman"/>
        </w:rPr>
        <w:t xml:space="preserve">Brīva formāta tekstlogi kvalitatīvās informācijas atklāšanai.</w:t>
      </w:r>
    </w:p>
    <w:p w14:paraId="5F7FC059" w14:textId="26D0159A"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Iestādes atklāj Regulas (ES) Nr. 575/2013</w:t>
      </w:r>
      <w:r w:rsidRPr="007F4CC8">
        <w:rPr>
          <w:rStyle w:val="FootnoteReference"/>
          <w:bCs/>
        </w:rPr>
        <w:footnoteReference w:id="1"/>
      </w:r>
      <w:r>
        <w:rPr>
          <w:sz w:val="24"/>
          <w:rFonts w:ascii="Times New Roman" w:hAnsi="Times New Roman"/>
        </w:rPr>
        <w:t xml:space="preserve"> (“</w:t>
      </w:r>
      <w:r>
        <w:rPr>
          <w:sz w:val="24"/>
          <w:i/>
          <w:rFonts w:ascii="Times New Roman" w:hAnsi="Times New Roman"/>
        </w:rPr>
        <w:t xml:space="preserve">CRR</w:t>
      </w:r>
      <w:r>
        <w:rPr>
          <w:sz w:val="24"/>
          <w:rFonts w:ascii="Times New Roman" w:hAnsi="Times New Roman"/>
        </w:rPr>
        <w:t xml:space="preserve">”) 449. panta a)–i) punktā minēto informāciju, ievērojot turpmāk šajā pielikumā sniegtos norādījumus, lai aizpildītu EBI IT risinājumu XXVII pielikumā ietverto tabulu EU SECA.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Atsauce uz rindu</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411A6A43"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Vērtspapīrošanas un atkārtotas vērtspapīrošanas darbību apraksts,</w:t>
            </w:r>
            <w:r>
              <w:rPr>
                <w:sz w:val="24"/>
                <w:rFonts w:ascii="Times New Roman" w:hAnsi="Times New Roman"/>
              </w:rPr>
              <w:t xml:space="preserve"> </w:t>
            </w:r>
            <w:r>
              <w:rPr>
                <w:sz w:val="24"/>
                <w:rFonts w:ascii="Times New Roman" w:hAnsi="Times New Roman"/>
              </w:rPr>
              <w:t xml:space="preserve">tajā skaitā iestāžu riska pārvaldības un ieguldījumu mērķi saistībā ar minētajām darbībām, to loma vērtspapīrošanas un atkārtotas vērtspapīrošanas darījumos, tas, vai iestāde izmanto vienkāršas, pārredzamas un standartizētas vērtspapīrošanas (VPS) sistēmu, un tas, kādā apjomā iestāde izmanto vērtspapīrošanas darījumus, lai pārvestu vērtspapīroto riska darījumu kredītrisku uz trešām personām, un – attiecīgā gadījumā – atsevišķs apraksts par iestādes sintētiskās vērtspapīrošanas riska pārvešanas politiku saskaņā ar </w:t>
            </w:r>
            <w:r>
              <w:rPr>
                <w:sz w:val="24"/>
                <w:i/>
                <w:rFonts w:ascii="Times New Roman" w:hAnsi="Times New Roman"/>
              </w:rPr>
              <w:t xml:space="preserve">CRR</w:t>
            </w:r>
            <w:r>
              <w:rPr>
                <w:sz w:val="24"/>
                <w:rFonts w:ascii="Times New Roman" w:hAnsi="Times New Roman"/>
              </w:rPr>
              <w:t xml:space="preserve"> 449. panta a) punktu.</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5A3026E1"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Tas, kāda veida riskam iestādes ir pakļautas, veicot savas vērtspapīrošanas un atkārtotas vērtspapīrošanas darbības, attiecīgo vērtspapīrošanas pozīciju prioritātes dalījumā, nošķirot pozīcijas, kuras ir un kuras nav VPS vērtspapīrošanas pozīcijas, un:</w:t>
            </w:r>
          </w:p>
          <w:p w14:paraId="04507AB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risku, kas saglabājas pašu iniciētajos darījumos;</w:t>
            </w:r>
          </w:p>
          <w:p w14:paraId="1E8013A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ii) risku, kas radies saistībā ar darījumiem, kuru iniciators ir trešā persona,</w:t>
            </w:r>
          </w:p>
          <w:p w14:paraId="327D988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saskaņā ar </w:t>
            </w:r>
            <w:r>
              <w:rPr>
                <w:sz w:val="24"/>
                <w:i/>
                <w:rFonts w:ascii="Times New Roman" w:hAnsi="Times New Roman"/>
              </w:rPr>
              <w:t xml:space="preserve">CRR</w:t>
            </w:r>
            <w:r>
              <w:rPr>
                <w:sz w:val="24"/>
                <w:rFonts w:ascii="Times New Roman" w:hAnsi="Times New Roman"/>
              </w:rPr>
              <w:t xml:space="preserve"> 449. panta b) punktu.</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4D27BD27"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Riska darījumu riska svērto vērtību aprēķināšanas pieejas, ko iestādes piemēro savām vērtspapīrošanas darbībām, tajā skaitā arī visu vērtspapīrošanas pozīciju veidi, uz kurām attiecas katra pieeja, nošķirot pozīcijas, kuras ir un kuras nav VPS vērtspapīrošanas pozīcijas, saskaņā ar </w:t>
            </w:r>
            <w:r>
              <w:rPr>
                <w:sz w:val="24"/>
                <w:i/>
                <w:rFonts w:ascii="Times New Roman" w:hAnsi="Times New Roman"/>
              </w:rPr>
              <w:t xml:space="preserve">CRR</w:t>
            </w:r>
            <w:r>
              <w:rPr>
                <w:sz w:val="24"/>
                <w:rFonts w:ascii="Times New Roman" w:hAnsi="Times New Roman"/>
              </w:rPr>
              <w:t xml:space="preserve"> 449. panta c) punktu.</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0F0CB3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Tādu īpašam nolūkam dibinātu sabiedrību, kas veic vērtspapīrošanu (</w:t>
            </w:r>
            <w:r>
              <w:rPr>
                <w:sz w:val="24"/>
                <w:i/>
                <w:rFonts w:ascii="Times New Roman" w:hAnsi="Times New Roman"/>
              </w:rPr>
              <w:t xml:space="preserve">SSPE</w:t>
            </w:r>
            <w:r>
              <w:rPr>
                <w:sz w:val="24"/>
                <w:rFonts w:ascii="Times New Roman" w:hAnsi="Times New Roman"/>
              </w:rPr>
              <w:t xml:space="preserve">), uzskaitījums, kuras atbilst jebkurai no turpmāk minētajām kategorijām, un apraksts par iestādes riska darījumu veidiem ar minētajām </w:t>
            </w:r>
            <w:r>
              <w:rPr>
                <w:sz w:val="24"/>
                <w:i/>
                <w:rFonts w:ascii="Times New Roman" w:hAnsi="Times New Roman"/>
              </w:rPr>
              <w:t xml:space="preserve">SSPE</w:t>
            </w:r>
            <w:r>
              <w:rPr>
                <w:sz w:val="24"/>
                <w:rFonts w:ascii="Times New Roman" w:hAnsi="Times New Roman"/>
              </w:rPr>
              <w:t xml:space="preserve">, tajā skaitā attiecībā uz atvasināto instrumentu līgumiem:</w:t>
            </w:r>
          </w:p>
          <w:p w14:paraId="7548040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w:t>
            </w:r>
            <w:r>
              <w:rPr>
                <w:sz w:val="24"/>
                <w:i/>
                <w:rFonts w:ascii="Times New Roman" w:hAnsi="Times New Roman"/>
              </w:rPr>
              <w:t xml:space="preserve">SSPE</w:t>
            </w:r>
            <w:r>
              <w:rPr>
                <w:sz w:val="24"/>
                <w:rFonts w:ascii="Times New Roman" w:hAnsi="Times New Roman"/>
              </w:rPr>
              <w:t xml:space="preserve">, kas iegādājas iestāžu iniciētos riska darījumus;</w:t>
            </w:r>
          </w:p>
          <w:p w14:paraId="66CFD6C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 </w:t>
            </w:r>
            <w:r>
              <w:rPr>
                <w:sz w:val="24"/>
                <w:i/>
                <w:rFonts w:ascii="Times New Roman" w:hAnsi="Times New Roman"/>
              </w:rPr>
              <w:t xml:space="preserve">SSPE</w:t>
            </w:r>
            <w:r>
              <w:rPr>
                <w:sz w:val="24"/>
                <w:rFonts w:ascii="Times New Roman" w:hAnsi="Times New Roman"/>
              </w:rPr>
              <w:t xml:space="preserve">, kuras sponsorē iestāde;</w:t>
            </w:r>
            <w:r>
              <w:rPr>
                <w:sz w:val="24"/>
                <w:rFonts w:ascii="Times New Roman" w:hAnsi="Times New Roman"/>
              </w:rPr>
              <w:t xml:space="preserve"> </w:t>
            </w:r>
          </w:p>
          <w:p w14:paraId="4E6EDCA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iii) </w:t>
            </w:r>
            <w:r>
              <w:rPr>
                <w:sz w:val="24"/>
                <w:i/>
                <w:rFonts w:ascii="Times New Roman" w:hAnsi="Times New Roman"/>
              </w:rPr>
              <w:t xml:space="preserve">SSPE</w:t>
            </w:r>
            <w:r>
              <w:rPr>
                <w:sz w:val="24"/>
                <w:rFonts w:ascii="Times New Roman" w:hAnsi="Times New Roman"/>
              </w:rPr>
              <w:t xml:space="preserve"> un citas juridiskās personas, kurām iestādes sniedz ar vērtspapīrošanu saistītus pakalpojumus, piemēram, konsultācijas, aktīvu apkalpošanas vai pārvaldības pakalpojumus;</w:t>
            </w:r>
            <w:r>
              <w:rPr>
                <w:sz w:val="24"/>
                <w:rFonts w:ascii="Times New Roman" w:hAnsi="Times New Roman"/>
              </w:rPr>
              <w:t xml:space="preserve"> </w:t>
            </w:r>
          </w:p>
          <w:p w14:paraId="0E14603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iv) </w:t>
            </w:r>
            <w:r>
              <w:rPr>
                <w:sz w:val="24"/>
                <w:i/>
                <w:rFonts w:ascii="Times New Roman" w:hAnsi="Times New Roman"/>
              </w:rPr>
              <w:t xml:space="preserve">SSPE</w:t>
            </w:r>
            <w:r>
              <w:rPr>
                <w:sz w:val="24"/>
                <w:rFonts w:ascii="Times New Roman" w:hAnsi="Times New Roman"/>
              </w:rPr>
              <w:t xml:space="preserve">, kas iekļautas iestādes prudenciālās konsolidācijas tvērumā,</w:t>
            </w:r>
          </w:p>
          <w:p w14:paraId="3EBB09FF"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saskaņā ar </w:t>
            </w:r>
            <w:r>
              <w:rPr>
                <w:sz w:val="24"/>
                <w:i/>
                <w:rFonts w:ascii="Times New Roman" w:hAnsi="Times New Roman"/>
              </w:rPr>
              <w:t xml:space="preserve">CRR</w:t>
            </w:r>
            <w:r>
              <w:rPr>
                <w:sz w:val="24"/>
                <w:rFonts w:ascii="Times New Roman" w:hAnsi="Times New Roman"/>
              </w:rPr>
              <w:t xml:space="preserve"> 449. panta d) punktu.</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1F60BF20"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Visu to juridisko personu uzskaitījums, attiecībā uz kurām iestādes ir atklājušas informāciju, ka ir sniegušas atbalstu saskaņā ar </w:t>
            </w:r>
            <w:r>
              <w:rPr>
                <w:sz w:val="24"/>
                <w:i/>
                <w:rFonts w:ascii="Times New Roman" w:hAnsi="Times New Roman"/>
              </w:rPr>
              <w:t xml:space="preserve">CRR</w:t>
            </w:r>
            <w:r>
              <w:rPr>
                <w:sz w:val="24"/>
                <w:rFonts w:ascii="Times New Roman" w:hAnsi="Times New Roman"/>
              </w:rPr>
              <w:t xml:space="preserve"> trešās daļas II sadaļas 5. nodaļas 449. panta e) punktu.</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1A5C718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To juridisko personu uzskaitījums, kas ir saistītas ar iestādi un kas iegulda iestāžu iniciētajā vērtspapīrošanā vai vērtspapīrošanas pozīcijās, ko izdevušas </w:t>
            </w:r>
            <w:r>
              <w:rPr>
                <w:sz w:val="24"/>
                <w:i/>
                <w:rFonts w:ascii="Times New Roman" w:hAnsi="Times New Roman"/>
              </w:rPr>
              <w:t xml:space="preserve">SSPE</w:t>
            </w:r>
            <w:r>
              <w:rPr>
                <w:sz w:val="24"/>
                <w:rFonts w:ascii="Times New Roman" w:hAnsi="Times New Roman"/>
              </w:rPr>
              <w:t xml:space="preserve">, kuras sponsorē iestādes, saskaņā ar </w:t>
            </w:r>
            <w:r>
              <w:rPr>
                <w:sz w:val="24"/>
                <w:i/>
                <w:rFonts w:ascii="Times New Roman" w:hAnsi="Times New Roman"/>
              </w:rPr>
              <w:t xml:space="preserve">CRR</w:t>
            </w:r>
            <w:r>
              <w:rPr>
                <w:sz w:val="24"/>
                <w:rFonts w:ascii="Times New Roman" w:hAnsi="Times New Roman"/>
              </w:rPr>
              <w:t xml:space="preserve"> 449. panta f) punktu.</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g)</w:t>
            </w:r>
          </w:p>
        </w:tc>
        <w:tc>
          <w:tcPr>
            <w:tcW w:w="7654" w:type="dxa"/>
          </w:tcPr>
          <w:p w14:paraId="1967D94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Kopsavilkums par iestādes grāmatvedības politiku attiecībā uz vērtspapīrošanas darbību, tajā skaitā attiecīgā gadījumā vērtspapīrošanas un atkārtotas vērtspapīrošanas pozīciju nošķīrumu saskaņā ar </w:t>
            </w:r>
            <w:r>
              <w:rPr>
                <w:sz w:val="24"/>
                <w:i/>
                <w:rFonts w:ascii="Times New Roman" w:hAnsi="Times New Roman"/>
              </w:rPr>
              <w:t xml:space="preserve">CRR</w:t>
            </w:r>
            <w:r>
              <w:rPr>
                <w:sz w:val="24"/>
                <w:rFonts w:ascii="Times New Roman" w:hAnsi="Times New Roman"/>
              </w:rPr>
              <w:t xml:space="preserve"> 449. panta g) punktu.</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w:t>
            </w:r>
          </w:p>
        </w:tc>
        <w:tc>
          <w:tcPr>
            <w:tcW w:w="7654" w:type="dxa"/>
          </w:tcPr>
          <w:p w14:paraId="16F8574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Vērtspapīrošanai izmantoto ĀKNI nosaukumi un riska darījumu veidi, kuriem ir izmantota katra aģentūra, saskaņā ar </w:t>
            </w:r>
            <w:r>
              <w:rPr>
                <w:sz w:val="24"/>
                <w:i/>
                <w:rFonts w:ascii="Times New Roman" w:hAnsi="Times New Roman"/>
              </w:rPr>
              <w:t xml:space="preserve">CRR</w:t>
            </w:r>
            <w:r>
              <w:rPr>
                <w:sz w:val="24"/>
                <w:rFonts w:ascii="Times New Roman" w:hAnsi="Times New Roman"/>
              </w:rPr>
              <w:t xml:space="preserve"> 449. panta h) punktu</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i)</w:t>
            </w:r>
          </w:p>
        </w:tc>
        <w:tc>
          <w:tcPr>
            <w:tcW w:w="7654" w:type="dxa"/>
          </w:tcPr>
          <w:p w14:paraId="4835A78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Attiecīgā gadījumā – iekšējā novērtējuma pieejas apraksts, kā noteikts </w:t>
            </w:r>
            <w:r>
              <w:rPr>
                <w:sz w:val="24"/>
                <w:i/>
                <w:rFonts w:ascii="Times New Roman" w:hAnsi="Times New Roman"/>
              </w:rPr>
              <w:t xml:space="preserve">CRR</w:t>
            </w:r>
            <w:r>
              <w:rPr>
                <w:sz w:val="24"/>
                <w:rFonts w:ascii="Times New Roman" w:hAnsi="Times New Roman"/>
              </w:rPr>
              <w:t xml:space="preserve"> trešās daļas II sadaļas 5. nodaļā, tajā skaitā arī iekšējā novērtēšanas procesa struktūra un saikne starp attiecīgās ĀKNI iekšējo novērtēšanu un ārējiem reitingiem, kas sniegti saskaņā ar h) punktu, iekšējās novērtēšanas procesa kontroles mehānismi, tajā skaitā arī neatkarības, pārskatatbildības un iekšējās novērtēšanas procesa pārskatīšanas iztirzājums, riska darījumu veidi, kam piemēro iekšējās novērtēšanas procesu, un spriedzes faktori, kurus izmanto, lai noteiktu kredīta kvalitātes uzlabojumu līmeņus, saskaņā ar </w:t>
            </w:r>
            <w:r>
              <w:rPr>
                <w:sz w:val="24"/>
                <w:i/>
                <w:rFonts w:ascii="Times New Roman" w:hAnsi="Times New Roman"/>
              </w:rPr>
              <w:t xml:space="preserve">CRR</w:t>
            </w:r>
            <w:r>
              <w:rPr>
                <w:sz w:val="24"/>
                <w:rFonts w:ascii="Times New Roman" w:hAnsi="Times New Roman"/>
              </w:rPr>
              <w:t xml:space="preserve"> 449. panta i) punktu</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EU-SEC1 – Vērtspapīrošanas riska darījumi netirdzniecības portfelī.</w:t>
      </w:r>
      <w:r>
        <w:rPr>
          <w:sz w:val="24"/>
          <w:b/>
          <w:rFonts w:ascii="Times New Roman" w:hAnsi="Times New Roman"/>
        </w:rPr>
        <w:t xml:space="preserve"> </w:t>
      </w:r>
      <w:r>
        <w:rPr>
          <w:sz w:val="24"/>
          <w:rFonts w:ascii="Times New Roman" w:hAnsi="Times New Roman"/>
        </w:rPr>
        <w:t xml:space="preserve">Fiksēts formāts.</w:t>
      </w:r>
    </w:p>
    <w:p w14:paraId="64C7288F"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Iestādes atklāj </w:t>
      </w:r>
      <w:r>
        <w:rPr>
          <w:sz w:val="24"/>
          <w:i/>
          <w:rFonts w:ascii="Times New Roman" w:hAnsi="Times New Roman"/>
        </w:rPr>
        <w:t xml:space="preserve">CRR</w:t>
      </w:r>
      <w:r>
        <w:rPr>
          <w:sz w:val="24"/>
          <w:rFonts w:ascii="Times New Roman" w:hAnsi="Times New Roman"/>
        </w:rPr>
        <w:t xml:space="preserve"> 449. panta j) punktā minēto informāciju, ievērojot turpmāk šajā pielikumā sniegtos norādījumus, lai aizpildītu šīs īstenošanas regulas XXVII pielikumā ietverto veidni EU SEC1.</w:t>
      </w:r>
      <w:r>
        <w:rPr>
          <w:sz w:val="24"/>
          <w:rFonts w:ascii="Times New Roman" w:hAnsi="Times New Roman"/>
        </w:rPr>
        <w:t xml:space="preserve"> </w:t>
      </w:r>
      <w:r>
        <w:rPr>
          <w:sz w:val="24"/>
          <w:rFonts w:ascii="Times New Roman" w:hAnsi="Times New Roman"/>
        </w:rPr>
        <w:t xml:space="preserve">Iestādes veidnei pievienotajā izklāsta daļā paskaidro uz aktīviem balstītu komerciālo vērtspapīru (</w:t>
      </w:r>
      <w:r>
        <w:rPr>
          <w:sz w:val="24"/>
          <w:i/>
          <w:rFonts w:ascii="Times New Roman" w:hAnsi="Times New Roman"/>
        </w:rPr>
        <w:t xml:space="preserve">ABCP</w:t>
      </w:r>
      <w:r>
        <w:rPr>
          <w:sz w:val="24"/>
          <w:rFonts w:ascii="Times New Roman" w:hAnsi="Times New Roman"/>
        </w:rPr>
        <w:t xml:space="preserve">) programmas, ja tādas ir to tradicionālajos vērtspapīrošanas darījumos, un </w:t>
      </w:r>
      <w:r>
        <w:rPr>
          <w:sz w:val="24"/>
          <w:i/>
          <w:rFonts w:ascii="Times New Roman" w:hAnsi="Times New Roman"/>
        </w:rPr>
        <w:t xml:space="preserve">ABCP</w:t>
      </w:r>
      <w:r>
        <w:rPr>
          <w:sz w:val="24"/>
          <w:rFonts w:ascii="Times New Roman" w:hAnsi="Times New Roman"/>
        </w:rPr>
        <w:t xml:space="preserve"> darījumu apmēru.</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Atsauce uz aili</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a–g</w:t>
            </w:r>
          </w:p>
        </w:tc>
        <w:tc>
          <w:tcPr>
            <w:tcW w:w="7654" w:type="dxa"/>
          </w:tcPr>
          <w:p w14:paraId="1FBE1E5E"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Iestāde darbojas kā iniciators</w:t>
            </w:r>
            <w:r>
              <w:rPr>
                <w:b/>
                <w:sz w:val="24"/>
                <w:rFonts w:ascii="Times New Roman" w:hAnsi="Times New Roman"/>
              </w:rPr>
              <w:t xml:space="preserve"> </w:t>
            </w:r>
          </w:p>
          <w:p w14:paraId="5B9FC4AD"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Ja “iestāde darbojas kā iniciators”, kā definēts </w:t>
            </w:r>
            <w:r>
              <w:rPr>
                <w:sz w:val="24"/>
                <w:i/>
                <w:rFonts w:ascii="Times New Roman" w:hAnsi="Times New Roman"/>
              </w:rPr>
              <w:t xml:space="preserve">CRR</w:t>
            </w:r>
            <w:r>
              <w:rPr>
                <w:sz w:val="24"/>
                <w:rFonts w:ascii="Times New Roman" w:hAnsi="Times New Roman"/>
              </w:rPr>
              <w:t xml:space="preserve"> 4. panta 1. punkta 13. apakšpunktā, vērtspapīrošanas riska darījumi ir saglabātās pozīcijas, pat ja tie nav atbilstīgi vērtspapīrošanas regulējumam, jo nav būtiskas riska pārvešanas.</w:t>
            </w:r>
            <w:r>
              <w:rPr>
                <w:sz w:val="24"/>
                <w:rFonts w:ascii="Times New Roman" w:hAnsi="Times New Roman"/>
              </w:rPr>
              <w:t xml:space="preserve"> </w:t>
            </w:r>
            <w:r>
              <w:rPr>
                <w:sz w:val="24"/>
                <w:rFonts w:ascii="Times New Roman" w:hAnsi="Times New Roman"/>
              </w:rPr>
              <w:t xml:space="preserve">Vērtspapīrošanas riska darījumus darījumos, kuros sasniegta būtiska riska pārnešana (</w:t>
            </w:r>
            <w:r>
              <w:rPr>
                <w:sz w:val="24"/>
                <w:i/>
                <w:rFonts w:ascii="Times New Roman" w:hAnsi="Times New Roman"/>
              </w:rPr>
              <w:t xml:space="preserve">SRT</w:t>
            </w:r>
            <w:r>
              <w:rPr>
                <w:sz w:val="24"/>
                <w:rFonts w:ascii="Times New Roman" w:hAnsi="Times New Roman"/>
              </w:rPr>
              <w:t xml:space="preserve">), norāda atsevišķi.</w:t>
            </w:r>
          </w:p>
          <w:p w14:paraId="1B491A7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Iestādes, kas darbojas kā iniciatori, atklāj visu to iniciēto un turēto pašreizējo vērtspapīrošanas riska darījumu uzskaites vērtību informācijas atklāšanas datumā.</w:t>
            </w:r>
            <w:r>
              <w:rPr>
                <w:sz w:val="24"/>
                <w:rFonts w:ascii="Times New Roman" w:hAnsi="Times New Roman"/>
              </w:rPr>
              <w:t xml:space="preserve"> </w:t>
            </w:r>
            <w:r>
              <w:rPr>
                <w:sz w:val="24"/>
                <w:rFonts w:ascii="Times New Roman" w:hAnsi="Times New Roman"/>
              </w:rPr>
              <w:t xml:space="preserve">Līdz ar to uzrāda gan bilances vērtspapīrošanas riska darījumus (piemēram, obligācijas, subordinētos aizdevumus), gan ārpusbilances riska darījumus un atvasinātos instrumentus (piemēram, subordinēto kredītu līnijas, likviditātes līgumus, procentu likmju mijmaiņas darījumus, kredītriska mijmaiņas darījumus utt.), kas iniciēti vērtspapīrošanas darījumos.</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h–k</w:t>
            </w:r>
          </w:p>
        </w:tc>
        <w:tc>
          <w:tcPr>
            <w:tcW w:w="7654" w:type="dxa"/>
          </w:tcPr>
          <w:p w14:paraId="37E8770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Iestāde darbojas kā sponsors</w:t>
            </w:r>
            <w:r>
              <w:rPr>
                <w:b/>
                <w:sz w:val="24"/>
                <w:rFonts w:ascii="Times New Roman" w:hAnsi="Times New Roman"/>
              </w:rPr>
              <w:t xml:space="preserve"> </w:t>
            </w:r>
          </w:p>
          <w:p w14:paraId="6C2A7CD6"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Ja “iestāde darbojas kā sponsors” (kā definēts </w:t>
            </w:r>
            <w:r>
              <w:rPr>
                <w:sz w:val="24"/>
                <w:i/>
                <w:rFonts w:ascii="Times New Roman" w:hAnsi="Times New Roman"/>
              </w:rPr>
              <w:t xml:space="preserve">CRR</w:t>
            </w:r>
            <w:r>
              <w:rPr>
                <w:sz w:val="24"/>
                <w:rFonts w:ascii="Times New Roman" w:hAnsi="Times New Roman"/>
              </w:rPr>
              <w:t xml:space="preserve"> 4. panta 1. punkta 14. apakšpunktā), vērtspapīrošanas riska darījumos ietver riska darījumus ar komerciālu vērtspapīru emisijas sabiedrībām, kurām iestāde nodrošina programmas mēroga uzlabojumus, likviditāti un citas iespējas.</w:t>
            </w:r>
            <w:r>
              <w:rPr>
                <w:sz w:val="24"/>
                <w:rFonts w:ascii="Times New Roman" w:hAnsi="Times New Roman"/>
              </w:rPr>
              <w:t xml:space="preserve"> </w:t>
            </w:r>
            <w:r>
              <w:rPr>
                <w:sz w:val="24"/>
                <w:rFonts w:ascii="Times New Roman" w:hAnsi="Times New Roman"/>
              </w:rPr>
              <w:t xml:space="preserve">Ja iestāde darbojas gan kā iniciators, gan kā sponsors, tā izvairās no dubultās uzskaites.</w:t>
            </w:r>
            <w:r>
              <w:rPr>
                <w:sz w:val="24"/>
                <w:rFonts w:ascii="Times New Roman" w:hAnsi="Times New Roman"/>
              </w:rPr>
              <w:t xml:space="preserve"> </w:t>
            </w:r>
            <w:r>
              <w:rPr>
                <w:sz w:val="24"/>
                <w:rFonts w:ascii="Times New Roman" w:hAnsi="Times New Roman"/>
              </w:rPr>
              <w:t xml:space="preserve">Šajā ziņā iestāde var apvienot abas ailes – “iestāde darbojas kā iniciators” un “iestāde darbojas kās sponsors” – un izmantot ailes “iestāde darbojas kā iniciators/sponsors”.</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l–o</w:t>
            </w:r>
          </w:p>
        </w:tc>
        <w:tc>
          <w:tcPr>
            <w:tcW w:w="7654" w:type="dxa"/>
          </w:tcPr>
          <w:p w14:paraId="764534FA"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Iestāde darbojas kā ieguldītājs</w:t>
            </w:r>
            <w:r>
              <w:rPr>
                <w:b/>
                <w:sz w:val="24"/>
                <w:rFonts w:ascii="Times New Roman" w:hAnsi="Times New Roman"/>
              </w:rPr>
              <w:t xml:space="preserve"> </w:t>
            </w:r>
          </w:p>
          <w:p w14:paraId="580E5B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Ja “iestāde darbojas kā ieguldītājs”, vērtspapīrošanas riska darījumi ir ieguldījumu pozīcijas, kas iegādātas darījumos ar trešām personām.</w:t>
            </w:r>
          </w:p>
          <w:p w14:paraId="39D2466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“Ieguldītājs” </w:t>
            </w:r>
            <w:r>
              <w:rPr>
                <w:sz w:val="24"/>
                <w:i/>
                <w:rFonts w:ascii="Times New Roman" w:hAnsi="Times New Roman"/>
              </w:rPr>
              <w:t xml:space="preserve">CRR</w:t>
            </w:r>
            <w:r>
              <w:rPr>
                <w:sz w:val="24"/>
                <w:rFonts w:ascii="Times New Roman" w:hAnsi="Times New Roman"/>
              </w:rPr>
              <w:t xml:space="preserve"> nav skaidri definēts.</w:t>
            </w:r>
            <w:r>
              <w:rPr>
                <w:sz w:val="24"/>
                <w:rFonts w:ascii="Times New Roman" w:hAnsi="Times New Roman"/>
              </w:rPr>
              <w:t xml:space="preserve"> </w:t>
            </w:r>
            <w:r>
              <w:rPr>
                <w:sz w:val="24"/>
                <w:rFonts w:ascii="Times New Roman" w:hAnsi="Times New Roman"/>
              </w:rPr>
              <w:t xml:space="preserve">Tāpēc šajā kontekstā tas jāsaprot kā iestāde, kas vērtspapīrošanas darījumā tur vērtspapīrošanas pozīciju un kas nav šā darījuma iniciators vai sponsors.</w:t>
            </w:r>
            <w:r>
              <w:rPr>
                <w:sz w:val="24"/>
                <w:rFonts w:ascii="Times New Roman" w:hAnsi="Times New Roman"/>
              </w:rPr>
              <w:t xml:space="preserve"> </w:t>
            </w:r>
          </w:p>
          <w:p w14:paraId="52E3FA0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Ja vērtspapīroto riska darījumu portfelis ir vērtspapīrošanas darījumu veidu kombinācija, iestāde norāda vissvarīgāko veidu.</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a–d;</w:t>
            </w:r>
            <w:r>
              <w:rPr>
                <w:sz w:val="24"/>
                <w:rFonts w:ascii="Times New Roman" w:hAnsi="Times New Roman"/>
              </w:rPr>
              <w:t xml:space="preserve"> </w:t>
            </w:r>
            <w:r>
              <w:rPr>
                <w:sz w:val="24"/>
                <w:rFonts w:ascii="Times New Roman" w:hAnsi="Times New Roman"/>
              </w:rPr>
              <w:t xml:space="preserve">h, i, l, m</w:t>
            </w:r>
          </w:p>
        </w:tc>
        <w:tc>
          <w:tcPr>
            <w:tcW w:w="7654" w:type="dxa"/>
          </w:tcPr>
          <w:p w14:paraId="79CC848D"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Tradicionālie darījumi</w:t>
            </w:r>
            <w:r>
              <w:rPr>
                <w:b/>
                <w:sz w:val="24"/>
                <w:rFonts w:ascii="Times New Roman" w:hAnsi="Times New Roman"/>
              </w:rPr>
              <w:t xml:space="preserve"> </w:t>
            </w:r>
          </w:p>
          <w:p w14:paraId="36060F5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Saskaņā ar </w:t>
            </w:r>
            <w:r>
              <w:rPr>
                <w:sz w:val="24"/>
                <w:i/>
                <w:rFonts w:ascii="Times New Roman" w:hAnsi="Times New Roman"/>
              </w:rPr>
              <w:t xml:space="preserve">CRR</w:t>
            </w:r>
            <w:r>
              <w:rPr>
                <w:sz w:val="24"/>
                <w:rFonts w:ascii="Times New Roman" w:hAnsi="Times New Roman"/>
              </w:rPr>
              <w:t xml:space="preserve"> 242. panta 13. punktu apvienojumā ar Regulas (ES) 2017/2402</w:t>
            </w:r>
            <w:r w:rsidRPr="007F4CC8">
              <w:rPr>
                <w:rStyle w:val="FootnoteReference"/>
                <w:rFonts w:eastAsia="Times New Roman" w:cs="Times New Roman"/>
                <w:iCs/>
              </w:rPr>
              <w:footnoteReference w:id="2"/>
            </w:r>
            <w:r>
              <w:rPr>
                <w:sz w:val="24"/>
                <w:rFonts w:ascii="Times New Roman" w:hAnsi="Times New Roman"/>
              </w:rPr>
              <w:t xml:space="preserve"> 2. panta 9. punktu “tradicionālā vērtspapīrošana” ir vērtspapīrošana, kas ietver ekonomiskās līdzdalības nodošanu vērtspapīrotajos riska darījumos.</w:t>
            </w:r>
            <w:r>
              <w:rPr>
                <w:sz w:val="24"/>
                <w:rFonts w:ascii="Times New Roman" w:hAnsi="Times New Roman"/>
              </w:rPr>
              <w:t xml:space="preserve"> </w:t>
            </w:r>
            <w:r>
              <w:rPr>
                <w:sz w:val="24"/>
                <w:rFonts w:ascii="Times New Roman" w:hAnsi="Times New Roman"/>
              </w:rPr>
              <w:t xml:space="preserve">Tas notiek, iniciatoriestādes īpašumtiesības uz vērtspapīrojamajiem riska darījumiem tieši vai pastarpināti caur </w:t>
            </w:r>
            <w:r>
              <w:rPr>
                <w:sz w:val="24"/>
                <w:i/>
                <w:rFonts w:ascii="Times New Roman" w:hAnsi="Times New Roman"/>
              </w:rPr>
              <w:t xml:space="preserve">SSPE</w:t>
            </w:r>
            <w:r>
              <w:rPr>
                <w:sz w:val="24"/>
                <w:rFonts w:ascii="Times New Roman" w:hAnsi="Times New Roman"/>
              </w:rPr>
              <w:t xml:space="preserve"> pakārtotu līdzdalību nododot citai </w:t>
            </w:r>
            <w:r>
              <w:rPr>
                <w:sz w:val="24"/>
                <w:i/>
                <w:rFonts w:ascii="Times New Roman" w:hAnsi="Times New Roman"/>
              </w:rPr>
              <w:t xml:space="preserve">SSPE</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Emitētie vērtspapīri nav uzskatāmi par iniciatoriestādes maksājuma saistībām.</w:t>
            </w:r>
          </w:p>
          <w:p w14:paraId="2187F2E6"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Tradicionālās vērtspapīrošanas gadījumā, ja iniciators netur nekādas pozīcijas, tad iniciatoram minētā vērtspapīrošana nav jāņem vērā, atklājot informāciju šajā veidnē.</w:t>
            </w:r>
            <w:r>
              <w:rPr>
                <w:sz w:val="24"/>
                <w:rFonts w:ascii="Times New Roman" w:hAnsi="Times New Roman"/>
              </w:rPr>
              <w:t xml:space="preserv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f, j, n</w:t>
            </w:r>
          </w:p>
        </w:tc>
        <w:tc>
          <w:tcPr>
            <w:tcW w:w="7654" w:type="dxa"/>
          </w:tcPr>
          <w:p w14:paraId="37BF2347"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Sintētiskie darījumi</w:t>
            </w:r>
            <w:r>
              <w:rPr>
                <w:b/>
                <w:sz w:val="24"/>
                <w:rFonts w:ascii="Times New Roman" w:hAnsi="Times New Roman"/>
              </w:rPr>
              <w:t xml:space="preserve"> </w:t>
            </w:r>
          </w:p>
          <w:p w14:paraId="3AB93A1A"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Saskaņā ar </w:t>
            </w:r>
            <w:r>
              <w:rPr>
                <w:sz w:val="24"/>
                <w:i/>
                <w:rFonts w:ascii="Times New Roman" w:hAnsi="Times New Roman"/>
              </w:rPr>
              <w:t xml:space="preserve">CRR</w:t>
            </w:r>
            <w:r>
              <w:rPr>
                <w:sz w:val="24"/>
                <w:rFonts w:ascii="Times New Roman" w:hAnsi="Times New Roman"/>
              </w:rPr>
              <w:t xml:space="preserve"> 242. panta 14. punktu apvienojumā ar Regulas (ES) 2017/2402 2. panta 10. punktu “sintētiskā vērtspapīrošana” ir vērtspapīrošana, kurā risks tiek nodots, izmantojot kredīta atvasinātos instrumentus vai garantijas, un vērtspapīrotie riska darījumi paliek iniciatoriestādes riska darījumi.</w:t>
            </w:r>
          </w:p>
          <w:p w14:paraId="6EF6D31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Ja iestāde ir iegādājusies aizsardzību, tā atklāj riska darījumu neto summas, kurām tā ir pakļauta un uz kurām neattiecas iegādātā aizsardzība, šīs veidnes ailē “iniciators/sponsors” (t. i., summa, kas nav nodrošināta).</w:t>
            </w:r>
            <w:r>
              <w:rPr>
                <w:sz w:val="24"/>
                <w:rFonts w:ascii="Times New Roman" w:hAnsi="Times New Roman"/>
              </w:rPr>
              <w:t xml:space="preserve"> </w:t>
            </w:r>
            <w:r>
              <w:rPr>
                <w:sz w:val="24"/>
                <w:rFonts w:ascii="Times New Roman" w:hAnsi="Times New Roman"/>
              </w:rPr>
              <w:t xml:space="preserve">Ja iestāde ir pārdevusi aizsardzību, kredītaizsardzības riska darījumu vērtību atklāj šīs veidnes ailē “ieguldītājs”.</w:t>
            </w:r>
            <w:r>
              <w:rPr>
                <w:sz w:val="24"/>
                <w:rFonts w:ascii="Times New Roman" w:hAnsi="Times New Roman"/>
              </w:rPr>
              <w:t xml:space="preserve">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b, h, l</w:t>
            </w:r>
          </w:p>
        </w:tc>
        <w:tc>
          <w:tcPr>
            <w:tcW w:w="7654" w:type="dxa"/>
          </w:tcPr>
          <w:p w14:paraId="0ED89EA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VPS riska darījumi</w:t>
            </w:r>
            <w:r>
              <w:rPr>
                <w:b/>
                <w:sz w:val="24"/>
                <w:rFonts w:ascii="Times New Roman" w:hAnsi="Times New Roman"/>
              </w:rPr>
              <w:t xml:space="preserve"> </w:t>
            </w:r>
          </w:p>
          <w:p w14:paraId="274A8EEF" w14:textId="77777777" w:rsidR="007224D6" w:rsidRPr="007F4CC8" w:rsidRDefault="007224D6" w:rsidP="004F3087">
            <w:pPr>
              <w:autoSpaceDE w:val="0"/>
              <w:autoSpaceDN w:val="0"/>
              <w:adjustRightInd w:val="0"/>
              <w:spacing w:before="120" w:after="120"/>
              <w:jc w:val="both"/>
              <w:rPr>
                <w:sz w:val="24"/>
                <w:rFonts w:ascii="Times New Roman" w:hAnsi="Times New Roman"/>
              </w:rPr>
            </w:pPr>
            <w:r>
              <w:rPr>
                <w:sz w:val="24"/>
                <w:rFonts w:ascii="Times New Roman" w:hAnsi="Times New Roman"/>
              </w:rPr>
              <w:t xml:space="preserve">VPS vērtspapīrošanas pozīciju kopējā summa saskaņā ar kritērijiem, kas noteikti Regulas (ES) 2017/2402 18.–26. pantā</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 d, f</w:t>
            </w:r>
          </w:p>
        </w:tc>
        <w:tc>
          <w:tcPr>
            <w:tcW w:w="7654" w:type="dxa"/>
          </w:tcPr>
          <w:p w14:paraId="0E899B71"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i/>
                <w:rFonts w:ascii="Times New Roman" w:hAnsi="Times New Roman"/>
              </w:rPr>
              <w:t xml:space="preserve">SRT</w:t>
            </w:r>
            <w:r>
              <w:rPr>
                <w:b/>
                <w:sz w:val="24"/>
                <w:rFonts w:ascii="Times New Roman" w:hAnsi="Times New Roman"/>
              </w:rPr>
              <w:t xml:space="preserve"> riska darījumi</w:t>
            </w:r>
            <w:r>
              <w:rPr>
                <w:b/>
                <w:sz w:val="24"/>
                <w:rFonts w:ascii="Times New Roman" w:hAnsi="Times New Roman"/>
              </w:rPr>
              <w:t xml:space="preserve"> </w:t>
            </w:r>
          </w:p>
          <w:p w14:paraId="501CE6A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To vērtspapīrošanas pozīciju kopējā summa, attiecībā uz kurām iniciatoriestāde ir sasniegusi būtisku riska pārvešanu (</w:t>
            </w:r>
            <w:r>
              <w:rPr>
                <w:sz w:val="24"/>
                <w:i/>
                <w:rFonts w:ascii="Times New Roman" w:hAnsi="Times New Roman"/>
              </w:rPr>
              <w:t xml:space="preserve">SRT</w:t>
            </w:r>
            <w:r>
              <w:rPr>
                <w:sz w:val="24"/>
                <w:rFonts w:ascii="Times New Roman" w:hAnsi="Times New Roman"/>
              </w:rPr>
              <w:t xml:space="preserve">) saskaņā ar </w:t>
            </w:r>
            <w:r>
              <w:rPr>
                <w:sz w:val="24"/>
                <w:i/>
                <w:rFonts w:ascii="Times New Roman" w:hAnsi="Times New Roman"/>
              </w:rPr>
              <w:t xml:space="preserve">CRR</w:t>
            </w:r>
            <w:r>
              <w:rPr>
                <w:sz w:val="24"/>
                <w:rFonts w:ascii="Times New Roman" w:hAnsi="Times New Roman"/>
              </w:rPr>
              <w:t xml:space="preserve"> 244. pantu (tradicionālā vērtspapīrošana) un 245. pantu (sintētiskā vērtspapīrošana)</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 xml:space="preserve">06., 12.</w:t>
            </w:r>
          </w:p>
        </w:tc>
        <w:tc>
          <w:tcPr>
            <w:tcW w:w="7655" w:type="dxa"/>
          </w:tcPr>
          <w:p w14:paraId="61ECD678" w14:textId="77777777" w:rsidR="007224D6" w:rsidRPr="007F4CC8" w:rsidRDefault="007224D6" w:rsidP="004F3087">
            <w:pPr>
              <w:jc w:val="both"/>
              <w:rPr>
                <w:b/>
                <w:sz w:val="24"/>
                <w:rFonts w:ascii="Times New Roman" w:hAnsi="Times New Roman" w:cs="Times New Roman"/>
              </w:rPr>
            </w:pPr>
            <w:r>
              <w:rPr>
                <w:b/>
                <w:sz w:val="24"/>
                <w:rFonts w:ascii="Times New Roman" w:hAnsi="Times New Roman"/>
              </w:rPr>
              <w:t xml:space="preserve">Atkārtota vērtspapīrošana</w:t>
            </w:r>
          </w:p>
          <w:p w14:paraId="55ECAEC8"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Nenokārtotu atkārtotas vērtspapīrošanas pozīciju kopsumma, kā definēts </w:t>
            </w:r>
            <w:r>
              <w:rPr>
                <w:sz w:val="24"/>
                <w:i/>
                <w:rFonts w:ascii="Times New Roman" w:hAnsi="Times New Roman"/>
              </w:rPr>
              <w:t xml:space="preserve">CRR</w:t>
            </w:r>
            <w:r>
              <w:rPr>
                <w:sz w:val="24"/>
                <w:rFonts w:ascii="Times New Roman" w:hAnsi="Times New Roman"/>
              </w:rPr>
              <w:t xml:space="preserve"> 4. panta 1. punkta 63. un 64. apakšpunktā.</w:t>
            </w:r>
          </w:p>
          <w:p w14:paraId="73FA0BCA" w14:textId="77777777" w:rsidR="007224D6" w:rsidRPr="007F4CC8" w:rsidRDefault="007224D6" w:rsidP="004F3087">
            <w:pPr>
              <w:jc w:val="both"/>
              <w:rPr>
                <w:sz w:val="24"/>
                <w:highlight w:val="yellow"/>
                <w:rFonts w:ascii="Times New Roman" w:hAnsi="Times New Roman" w:cs="Times New Roman"/>
              </w:rPr>
            </w:pPr>
            <w:r>
              <w:rPr>
                <w:sz w:val="24"/>
                <w:rFonts w:ascii="Times New Roman" w:hAnsi="Times New Roman"/>
              </w:rPr>
              <w:t xml:space="preserve">Visus vērtspapīrošanas riska darījumus, kas saistīti ar atkārtotu vērtspapīrošanu, ieraksta rindā “atkārtota vērtspapīrošana”, nevis iepriekšējās rindās (sadalījumā pa pamatā esošo aktīvu veidiem), kurās ietver tikai vērtspapīrošanas riska darījumus, kas nav atkārtotā vērtspapīrošana.</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Veidne EU SEC2 – Vērtspapīrošanas riska darījumi tirdzniecības portfelī.</w:t>
      </w:r>
      <w:r>
        <w:rPr>
          <w:sz w:val="24"/>
          <w:b/>
          <w:rFonts w:ascii="Times New Roman" w:hAnsi="Times New Roman"/>
        </w:rPr>
        <w:t xml:space="preserve"> </w:t>
      </w:r>
      <w:r>
        <w:rPr>
          <w:sz w:val="24"/>
          <w:rFonts w:ascii="Times New Roman" w:hAnsi="Times New Roman"/>
        </w:rPr>
        <w:t xml:space="preserve">Fiksēts formāts.</w:t>
      </w:r>
    </w:p>
    <w:p w14:paraId="579136F1"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Iestādes atklāj </w:t>
      </w:r>
      <w:r>
        <w:rPr>
          <w:sz w:val="24"/>
          <w:i/>
          <w:rFonts w:ascii="Times New Roman" w:hAnsi="Times New Roman"/>
        </w:rPr>
        <w:t xml:space="preserve">CRR</w:t>
      </w:r>
      <w:r>
        <w:rPr>
          <w:sz w:val="24"/>
          <w:rFonts w:ascii="Times New Roman" w:hAnsi="Times New Roman"/>
        </w:rPr>
        <w:t xml:space="preserve"> 449. panta j) punktā minēto informāciju, ievērojot turpmāk šajā pielikumā sniegtos norādījumus, lai aizpildītu šīs īstenošanas regulas XXVII pielikumā ietverto veidni EU SEC2.</w:t>
      </w:r>
    </w:p>
    <w:p w14:paraId="78F5A20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Iestādes izmanto norādījumus, kas sniegti par veidni EU SEC1 “Vērtspapīrošanas riska darījumi netirdzniecības portfelī”.</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Veidne EU SEC3 – Vērtspapīrošanas riska darījumi netirdzniecības portfelī un saistītās regulatīvās kapitāla prasības – iestāde darbojas kā iniciators vai kā sponsors.</w:t>
      </w:r>
      <w:r>
        <w:rPr>
          <w:sz w:val="24"/>
          <w:b/>
          <w:rFonts w:ascii="Times New Roman" w:hAnsi="Times New Roman"/>
        </w:rPr>
        <w:t xml:space="preserve"> </w:t>
      </w:r>
      <w:r>
        <w:rPr>
          <w:sz w:val="24"/>
          <w:rFonts w:ascii="Times New Roman" w:hAnsi="Times New Roman"/>
        </w:rPr>
        <w:t xml:space="preserve">Fiksēts formāts.</w:t>
      </w:r>
    </w:p>
    <w:p w14:paraId="0E7F18B2"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Iestādes atklāj </w:t>
      </w:r>
      <w:r>
        <w:rPr>
          <w:sz w:val="24"/>
          <w:i/>
          <w:rFonts w:ascii="Times New Roman" w:hAnsi="Times New Roman"/>
        </w:rPr>
        <w:t xml:space="preserve">CRR</w:t>
      </w:r>
      <w:r>
        <w:rPr>
          <w:sz w:val="24"/>
          <w:rFonts w:ascii="Times New Roman" w:hAnsi="Times New Roman"/>
        </w:rPr>
        <w:t xml:space="preserve"> 449. panta k) punkta i) apakšpunktā minēto informāciju, ievērojot turpmāk šajā pielikumā sniegtos norādījumus, lai aizpildītu šīs īstenošanas regulas XXVII pielikumā ietverto veidni EU SEC3.</w:t>
      </w:r>
      <w:r>
        <w:rPr>
          <w:sz w:val="24"/>
          <w:rFonts w:ascii="Times New Roman" w:hAnsi="Times New Roman"/>
        </w:rPr>
        <w:t xml:space="preserve">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Atsauce uz aili</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Riska darījumu vērtības (sadalījumā pa riska pakāpju diapazoniem / atskaitījumiem)</w:t>
            </w:r>
          </w:p>
          <w:p w14:paraId="7020CF98"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Vērtības, kas atklājamas šīs veidnes a)–d) ailē attiecībā uz regulatīvajām riska pakāpēm, nosaka saskaņā ar </w:t>
            </w:r>
            <w:r>
              <w:rPr>
                <w:sz w:val="24"/>
                <w:i/>
                <w:rFonts w:ascii="Times New Roman" w:hAnsi="Times New Roman"/>
              </w:rPr>
              <w:t xml:space="preserve">CRR</w:t>
            </w:r>
            <w:r>
              <w:rPr>
                <w:sz w:val="24"/>
                <w:rFonts w:ascii="Times New Roman" w:hAnsi="Times New Roman"/>
              </w:rPr>
              <w:t xml:space="preserve"> trešās daļas II sadaļas 5. nodaļu.</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Riska darījumu vērtības (sadalījumā pa regulatīvajām pieejām)</w:t>
            </w:r>
          </w:p>
          <w:p w14:paraId="25B596FC"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Šīs veidnes f)–h) aile atbilstoši regulatīvajai pieejai, kas izmantota saskaņā ar </w:t>
            </w:r>
            <w:r>
              <w:rPr>
                <w:sz w:val="24"/>
                <w:i/>
                <w:rFonts w:ascii="Times New Roman" w:hAnsi="Times New Roman"/>
              </w:rPr>
              <w:t xml:space="preserve">CRR</w:t>
            </w:r>
            <w:r>
              <w:rPr>
                <w:sz w:val="24"/>
                <w:rFonts w:ascii="Times New Roman" w:hAnsi="Times New Roman"/>
              </w:rPr>
              <w:t xml:space="preserve"> 254. pantā noteikto pieeju hierarhiju</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i/>
                <w:rFonts w:ascii="Times New Roman" w:hAnsi="Times New Roman"/>
              </w:rPr>
              <w:t xml:space="preserve">RWEA</w:t>
            </w:r>
            <w:r>
              <w:rPr>
                <w:b/>
                <w:sz w:val="24"/>
                <w:rFonts w:ascii="Times New Roman" w:hAnsi="Times New Roman"/>
              </w:rPr>
              <w:t xml:space="preserve"> (sadalījumā pa regulatīvajām pieejām)</w:t>
            </w:r>
          </w:p>
          <w:p w14:paraId="1FD36159"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Riska darījumu riska svērtā vērtība (</w:t>
            </w:r>
            <w:r>
              <w:rPr>
                <w:sz w:val="24"/>
                <w:i/>
                <w:rFonts w:ascii="Times New Roman" w:hAnsi="Times New Roman"/>
              </w:rPr>
              <w:t xml:space="preserve">RWEA</w:t>
            </w:r>
            <w:r>
              <w:rPr>
                <w:sz w:val="24"/>
                <w:rFonts w:ascii="Times New Roman" w:hAnsi="Times New Roman"/>
              </w:rPr>
              <w:t xml:space="preserve">) sadalījumā pa regulatīvajām pieejām saskaņā ar </w:t>
            </w:r>
            <w:r>
              <w:rPr>
                <w:sz w:val="24"/>
                <w:i/>
                <w:rFonts w:ascii="Times New Roman" w:hAnsi="Times New Roman"/>
              </w:rPr>
              <w:t xml:space="preserve">CRR</w:t>
            </w:r>
            <w:r>
              <w:rPr>
                <w:sz w:val="24"/>
                <w:rFonts w:ascii="Times New Roman" w:hAnsi="Times New Roman"/>
              </w:rPr>
              <w:t xml:space="preserve"> trešās daļas II sadaļas 5. nodaļu pirms maksimālās robežvērtības piemērošanas</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n–EU-p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Kapitāla prasība pēc maksimālās robežvērtības piemērošanas</w:t>
            </w:r>
          </w:p>
          <w:p w14:paraId="5FE118E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Šīs ailes attiecas uz kapitāla prasību pēc maksimālās robežvērtības piemērošanas saskaņā ar </w:t>
            </w:r>
            <w:r>
              <w:rPr>
                <w:sz w:val="24"/>
                <w:i/>
                <w:rFonts w:ascii="Times New Roman" w:hAnsi="Times New Roman"/>
              </w:rPr>
              <w:t xml:space="preserve">CRR</w:t>
            </w:r>
            <w:r>
              <w:rPr>
                <w:sz w:val="24"/>
                <w:rFonts w:ascii="Times New Roman" w:hAnsi="Times New Roman"/>
              </w:rPr>
              <w:t xml:space="preserve"> 267. un 268. pantu.</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1250 % riska pakāpe / atskaitījumi</w:t>
            </w:r>
          </w:p>
          <w:p w14:paraId="1C33091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Šī aile attiecas uz šādiem posteņiem:</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ar piemērotu 1250 % riska pakāpi vai atskaitījumu saskaņā ar </w:t>
            </w:r>
            <w:r>
              <w:rPr>
                <w:sz w:val="24"/>
                <w:i/>
                <w:rFonts w:ascii="Times New Roman" w:hAnsi="Times New Roman"/>
              </w:rPr>
              <w:t xml:space="preserve">CRR</w:t>
            </w:r>
            <w:r>
              <w:rPr>
                <w:sz w:val="24"/>
                <w:rFonts w:ascii="Times New Roman" w:hAnsi="Times New Roman"/>
              </w:rPr>
              <w:t xml:space="preserve"> trešās daļas II sadaļas 5. nodaļu;</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ar piemērotu 1250 % riska pakāpi vai atskaitījumu saskaņā ar </w:t>
            </w:r>
            <w:r>
              <w:rPr>
                <w:sz w:val="24"/>
                <w:i/>
                <w:rFonts w:ascii="Times New Roman" w:hAnsi="Times New Roman"/>
              </w:rPr>
              <w:t xml:space="preserve">CRR</w:t>
            </w:r>
            <w:r>
              <w:rPr>
                <w:sz w:val="24"/>
                <w:rFonts w:ascii="Times New Roman" w:hAnsi="Times New Roman"/>
              </w:rPr>
              <w:t xml:space="preserve"> 244. panta 1. punkta b) apakšpunktu un 245. panta 1. punkta b) apakšpunktu;</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ar piemērotu 1250 % riska pakāpi saskaņā ar </w:t>
            </w:r>
            <w:r>
              <w:rPr>
                <w:sz w:val="24"/>
                <w:i/>
                <w:rFonts w:ascii="Times New Roman" w:hAnsi="Times New Roman"/>
              </w:rPr>
              <w:t xml:space="preserve">CRR</w:t>
            </w:r>
            <w:r>
              <w:rPr>
                <w:sz w:val="24"/>
                <w:rFonts w:ascii="Times New Roman" w:hAnsi="Times New Roman"/>
              </w:rPr>
              <w:t xml:space="preserve"> 254. panta 7. punktu</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vai ar atskaitījumu saskaņā ar </w:t>
            </w:r>
            <w:r>
              <w:rPr>
                <w:sz w:val="24"/>
                <w:i/>
                <w:rFonts w:ascii="Times New Roman" w:hAnsi="Times New Roman"/>
              </w:rPr>
              <w:t xml:space="preserve">CRR</w:t>
            </w:r>
            <w:r>
              <w:rPr>
                <w:sz w:val="24"/>
                <w:rFonts w:ascii="Times New Roman" w:hAnsi="Times New Roman"/>
              </w:rPr>
              <w:t xml:space="preserve"> 253. pantu.</w:t>
            </w:r>
            <w:r>
              <w:rPr>
                <w:sz w:val="24"/>
                <w:rFonts w:ascii="Times New Roman" w:hAnsi="Times New Roman"/>
              </w:rPr>
              <w:t xml:space="preserve">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Riska darījumi kopā</w:t>
            </w:r>
            <w:r>
              <w:rPr>
                <w:b/>
                <w:sz w:val="24"/>
                <w:rFonts w:ascii="Times New Roman" w:hAnsi="Times New Roman"/>
              </w:rPr>
              <w:t xml:space="preserve"> </w:t>
            </w:r>
          </w:p>
          <w:p w14:paraId="5FF24F9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Kopējie riska darījumi attiecas uz vērtspapīrošanas un atkārtotas vērtspapīrošanas pozīciju, ko tur iestāde, kura darbojas kā iniciators vai sponsors, kopsummu.</w:t>
            </w:r>
            <w:r>
              <w:rPr>
                <w:sz w:val="24"/>
                <w:rFonts w:ascii="Times New Roman" w:hAnsi="Times New Roman"/>
              </w:rPr>
              <w:t xml:space="preserve"> </w:t>
            </w:r>
            <w:r>
              <w:rPr>
                <w:sz w:val="24"/>
                <w:rFonts w:ascii="Times New Roman" w:hAnsi="Times New Roman"/>
              </w:rPr>
              <w:t xml:space="preserve">Šajā rindā apkopo informāciju par tradicionālo un sintētisko vērtspapīrošanu, ko iniciatori un sponsori atklājuši turpmākajās rindās.</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Tradicionālie darījumi</w:t>
            </w:r>
            <w:r>
              <w:rPr>
                <w:b/>
                <w:sz w:val="24"/>
                <w:rFonts w:ascii="Times New Roman" w:hAnsi="Times New Roman"/>
              </w:rPr>
              <w:t xml:space="preserve"> </w:t>
            </w:r>
          </w:p>
          <w:p w14:paraId="59253CCA"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Sk. skaidrojumu par veidni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3., 10.</w:t>
            </w:r>
          </w:p>
        </w:tc>
        <w:tc>
          <w:tcPr>
            <w:tcW w:w="7654" w:type="dxa"/>
          </w:tcPr>
          <w:p w14:paraId="6AB9BEF9"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Vērtspapīrošana</w:t>
            </w:r>
            <w:r>
              <w:rPr>
                <w:b/>
                <w:sz w:val="24"/>
                <w:rFonts w:ascii="Times New Roman" w:hAnsi="Times New Roman"/>
              </w:rPr>
              <w:t xml:space="preserve"> </w:t>
            </w:r>
          </w:p>
          <w:p w14:paraId="72E056E2" w14:textId="77777777" w:rsidR="007224D6" w:rsidRPr="007F4CC8" w:rsidRDefault="007224D6" w:rsidP="004F3087">
            <w:pPr>
              <w:jc w:val="both"/>
              <w:rPr>
                <w:sz w:val="24"/>
                <w:rFonts w:ascii="Times New Roman" w:hAnsi="Times New Roman" w:cs="Times New Roman"/>
              </w:rPr>
            </w:pPr>
            <w:r>
              <w:rPr>
                <w:sz w:val="24"/>
                <w:rFonts w:ascii="Times New Roman" w:hAnsi="Times New Roman"/>
              </w:rPr>
              <w:t xml:space="preserve">Nenokārtoto vērtspapīrošanas pozīciju kopsumma, kā noteikts </w:t>
            </w:r>
            <w:r>
              <w:rPr>
                <w:sz w:val="24"/>
                <w:i/>
                <w:rFonts w:ascii="Times New Roman" w:hAnsi="Times New Roman"/>
              </w:rPr>
              <w:t xml:space="preserve">CRR</w:t>
            </w:r>
            <w:r>
              <w:rPr>
                <w:sz w:val="24"/>
                <w:rFonts w:ascii="Times New Roman" w:hAnsi="Times New Roman"/>
              </w:rPr>
              <w:t xml:space="preserve"> 4. panta 1. punkta 62. apakšpunktā, kas nav atkārtotas vērtspapīrošanas pozīcijas, kā definēts </w:t>
            </w:r>
            <w:r>
              <w:rPr>
                <w:sz w:val="24"/>
                <w:i/>
                <w:rFonts w:ascii="Times New Roman" w:hAnsi="Times New Roman"/>
              </w:rPr>
              <w:t xml:space="preserve">CRR</w:t>
            </w:r>
            <w:r>
              <w:rPr>
                <w:sz w:val="24"/>
                <w:rFonts w:ascii="Times New Roman" w:hAnsi="Times New Roman"/>
              </w:rPr>
              <w:t xml:space="preserve"> 4. panta 1. punkta 64. apakšpunktā</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5., 7.</w:t>
            </w:r>
          </w:p>
        </w:tc>
        <w:tc>
          <w:tcPr>
            <w:tcW w:w="7654" w:type="dxa"/>
          </w:tcPr>
          <w:p w14:paraId="3B75C561"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VPS</w:t>
            </w:r>
            <w:r>
              <w:rPr>
                <w:b/>
                <w:sz w:val="24"/>
                <w:rFonts w:ascii="Times New Roman" w:hAnsi="Times New Roman"/>
              </w:rPr>
              <w:t xml:space="preserve"> </w:t>
            </w:r>
          </w:p>
          <w:p w14:paraId="3021FDAB"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Sk. skaidrojumu par veidni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8., 13.</w:t>
            </w:r>
          </w:p>
        </w:tc>
        <w:tc>
          <w:tcPr>
            <w:tcW w:w="7654" w:type="dxa"/>
          </w:tcPr>
          <w:p w14:paraId="102AB9F3"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Atkārtota vērtspapīrošana</w:t>
            </w:r>
          </w:p>
          <w:p w14:paraId="522C4E42"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Sk. skaidrojumu par veidni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9.</w:t>
            </w:r>
          </w:p>
        </w:tc>
        <w:tc>
          <w:tcPr>
            <w:tcW w:w="7654" w:type="dxa"/>
          </w:tcPr>
          <w:p w14:paraId="0CE1D535"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Sintētiskie darījumi</w:t>
            </w:r>
          </w:p>
          <w:p w14:paraId="4EBD0B20"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Sk. skaidrojumu par veidni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Veidne EU SEC4 – Vērtspapīrošanas riska darījumi netirdzniecības portfelī un saistītās regulatīvās kapitāla prasības – iestāde darbojas kā ieguldītājs.</w:t>
      </w:r>
      <w:r>
        <w:rPr>
          <w:sz w:val="24"/>
          <w:b/>
          <w:rFonts w:ascii="Times New Roman" w:hAnsi="Times New Roman"/>
        </w:rPr>
        <w:t xml:space="preserve"> </w:t>
      </w:r>
      <w:r>
        <w:rPr>
          <w:sz w:val="24"/>
          <w:rFonts w:ascii="Times New Roman" w:hAnsi="Times New Roman"/>
        </w:rPr>
        <w:t xml:space="preserve">Fiksēts formāts.</w:t>
      </w:r>
    </w:p>
    <w:p w14:paraId="4F6C6877"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Iestādes atklāj </w:t>
      </w:r>
      <w:r>
        <w:rPr>
          <w:sz w:val="24"/>
          <w:i/>
          <w:rFonts w:ascii="Times New Roman" w:hAnsi="Times New Roman"/>
        </w:rPr>
        <w:t xml:space="preserve">CRR</w:t>
      </w:r>
      <w:r>
        <w:rPr>
          <w:sz w:val="24"/>
          <w:rFonts w:ascii="Times New Roman" w:hAnsi="Times New Roman"/>
        </w:rPr>
        <w:t xml:space="preserve"> 449. panta k) punkta ii) apakšpunktā minēto informāciju, ievērojot turpmāk šajā pielikumā sniegtos norādījumus, lai aizpildītu šīs īstenošanas regulas XXVII pielikumā ietverto veidni EU SEC4.</w:t>
      </w:r>
    </w:p>
    <w:p w14:paraId="0CF07294"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Iestādes izmanto norādījumus par veidni EU SEC3 “Vērtspapīrošanas riska darījumi netirdzniecības portfelī un saistītās regulatīvās kapitāla prasības – iestāde darbojas kā iniciators vai kā sponsors”.</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Veidne EU SEC5 – Riska darījumi, ko nodrošinājusi iestāde – riska darījumi, kuros netiek pildītas saistības, un specifiskās kredītriska korekcijas.</w:t>
      </w:r>
      <w:r>
        <w:rPr>
          <w:sz w:val="24"/>
          <w:b/>
          <w:rFonts w:ascii="Times New Roman" w:hAnsi="Times New Roman"/>
        </w:rPr>
        <w:t xml:space="preserve"> </w:t>
      </w:r>
      <w:r>
        <w:rPr>
          <w:sz w:val="24"/>
          <w:rFonts w:ascii="Times New Roman" w:hAnsi="Times New Roman"/>
        </w:rPr>
        <w:t xml:space="preserve">Fiksēts formāts.</w:t>
      </w:r>
    </w:p>
    <w:p w14:paraId="29D8D2D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Iestādes atklāj </w:t>
      </w:r>
      <w:r>
        <w:rPr>
          <w:sz w:val="24"/>
          <w:i/>
          <w:rFonts w:ascii="Times New Roman" w:hAnsi="Times New Roman"/>
        </w:rPr>
        <w:t xml:space="preserve">CRR</w:t>
      </w:r>
      <w:r>
        <w:rPr>
          <w:sz w:val="24"/>
          <w:rFonts w:ascii="Times New Roman" w:hAnsi="Times New Roman"/>
        </w:rPr>
        <w:t xml:space="preserve"> 449. panta l) punktā minēto informāciju sadalījumā pa vērtspapīrošanas riska darījumiem, ievērojot turpmāk šajā pielikumā sniegtos norādījumus, lai aizpildītu šīs īstenošanas regulas XXVII pielikumā ietverto veidni EU SEC5.</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Atsauce uz aili</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Kopējā neatmaksātā nominālvērtība</w:t>
            </w:r>
          </w:p>
          <w:p w14:paraId="1C72EF1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Iestādes nodrošināto riska darījumu kopējā neatmaksātā nominālvērtība (iestāde darbojas kā iniciators vai sponsors) sadalījumā pa vērtspapīrošanas riska darījumu veidiem</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Kopējā neatmaksātā nominālvērtība, t. sk. riska darījumi, kuros netiek pildītas saistības</w:t>
            </w:r>
          </w:p>
          <w:p w14:paraId="1C467B8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To iestādes nodrošināto riska darījumu </w:t>
            </w:r>
            <w:r>
              <w:rPr>
                <w:sz w:val="24"/>
                <w:rStyle w:val="InstructionsTabelleText"/>
                <w:rFonts w:ascii="Times New Roman" w:hAnsi="Times New Roman"/>
              </w:rPr>
              <w:t xml:space="preserve">kopējā neatmaksātā nominālvērtība</w:t>
            </w:r>
            <w:r>
              <w:rPr>
                <w:sz w:val="24"/>
                <w:rFonts w:ascii="Times New Roman" w:hAnsi="Times New Roman"/>
              </w:rPr>
              <w:t xml:space="preserve"> (iestāde darbojas kā iniciators vai sponsors),</w:t>
            </w:r>
            <w:r>
              <w:rPr>
                <w:sz w:val="24"/>
                <w:rStyle w:val="InstructionsTabelleText"/>
                <w:rFonts w:ascii="Times New Roman" w:hAnsi="Times New Roman"/>
              </w:rPr>
              <w:t xml:space="preserve"> kas klasificēti kā riska darījumi, kuros netiek pildītas saistības saskaņā ar </w:t>
            </w:r>
            <w:r>
              <w:rPr>
                <w:sz w:val="24"/>
                <w:rStyle w:val="InstructionsTabelleText"/>
                <w:i/>
                <w:rFonts w:ascii="Times New Roman" w:hAnsi="Times New Roman"/>
              </w:rPr>
              <w:t xml:space="preserve">CRR</w:t>
            </w:r>
            <w:r>
              <w:rPr>
                <w:sz w:val="24"/>
                <w:rStyle w:val="InstructionsTabelleText"/>
                <w:rFonts w:ascii="Times New Roman" w:hAnsi="Times New Roman"/>
              </w:rPr>
              <w:t xml:space="preserve"> 178. pantu</w:t>
            </w:r>
            <w:r>
              <w:rPr>
                <w:sz w:val="24"/>
                <w:rFonts w:ascii="Times New Roman" w:hAnsi="Times New Roman"/>
              </w:rPr>
              <w:t xml:space="preserve">, sadalījumā pa vērtspapīrošanas riska darījumu veidiem</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shd w:val="clear" w:color="auto" w:fill="auto"/>
          </w:tcPr>
          <w:p w14:paraId="0B22FDE6" w14:textId="77777777" w:rsidR="007224D6" w:rsidRPr="007F4CC8" w:rsidRDefault="007224D6" w:rsidP="004F3087">
            <w:pPr>
              <w:rPr>
                <w:b/>
                <w:sz w:val="24"/>
                <w:rFonts w:ascii="Times New Roman" w:eastAsia="Times New Roman" w:hAnsi="Times New Roman" w:cs="Times New Roman"/>
              </w:rPr>
            </w:pPr>
            <w:r>
              <w:rPr>
                <w:b/>
                <w:sz w:val="24"/>
                <w:rFonts w:ascii="Times New Roman" w:hAnsi="Times New Roman"/>
              </w:rPr>
              <w:t xml:space="preserve">Specifiskās kredītriska korekcijas, kas veiktas attiecīgajā periodā</w:t>
            </w:r>
          </w:p>
          <w:p w14:paraId="587328A2"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Attiecīgajā periodā veikto specifisko kredītriska korekciju summa saskaņā ar </w:t>
            </w:r>
            <w:r>
              <w:rPr>
                <w:sz w:val="24"/>
                <w:i/>
                <w:rFonts w:ascii="Times New Roman" w:hAnsi="Times New Roman"/>
              </w:rPr>
              <w:t xml:space="preserve">CRR</w:t>
            </w:r>
            <w:r>
              <w:rPr>
                <w:sz w:val="24"/>
                <w:rFonts w:ascii="Times New Roman" w:hAnsi="Times New Roman"/>
              </w:rPr>
              <w:t xml:space="preserve"> 110. pantu attiecībā uz iestādes nodrošinātajiem riska darījumiem (iestāde darbojas kā iniciators vai sponsors) sadalījumā pa vērtspapīrošanas riska darījumu veidiem</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48E138D3" w:rsidR="007224D6" w:rsidRPr="00222AAB" w:rsidRDefault="007224D6" w:rsidP="007224D6">
      <w:pPr>
        <w:pStyle w:val="FootnoteText"/>
        <w:rPr>
          <w:rFonts w:cstheme="minorHAnsi"/>
        </w:rPr>
      </w:pPr>
      <w:r>
        <w:rPr>
          <w:rStyle w:val="FootnoteReference"/>
          <w:rFonts w:cstheme="minorHAnsi"/>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 xml:space="preserve"> </w:t>
      </w:r>
      <w:r>
        <w:tab/>
      </w:r>
      <w:r>
        <w:t xml:space="preserve">EIROPAS PARLAMENTA UN PADOMES REGULA (ES) 2017/2402 (2017. gada 12. decembris), ar ko nosaka vispārēju regulējumu vērtspapīrošanai un izveido īpašu satvaru attiecībā uz vienkāršu, pārredzamu un standartizētu vērtspapīrošanu, un groza Direktīvas 2009/65/EK, 2009/138/EK un 2011/61/ES un Regulas (EK) Nr. 1060/2009 un (ES) Nr. 648/2012 (OV 347, 28.12.2017., 35.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lang w:val="lv-LV"/>
    </w:rPr>
  </w:style>
  <w:style w:type="character" w:customStyle="1" w:styleId="FootnoteTextChar">
    <w:name w:val="Footnote Text Char"/>
    <w:basedOn w:val="DefaultParagraphFont"/>
    <w:link w:val="FootnoteText"/>
    <w:rsid w:val="007224D6"/>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439FE5-60E7-45C2-9C2F-BF7C1EFC5D89}"/>
</file>

<file path=customXml/itemProps2.xml><?xml version="1.0" encoding="utf-8"?>
<ds:datastoreItem xmlns:ds="http://schemas.openxmlformats.org/officeDocument/2006/customXml" ds:itemID="{A3386E6A-BD62-4EF0-83F2-7A1D9206B9F1}"/>
</file>

<file path=customXml/itemProps3.xml><?xml version="1.0" encoding="utf-8"?>
<ds:datastoreItem xmlns:ds="http://schemas.openxmlformats.org/officeDocument/2006/customXml" ds:itemID="{41A597CB-2357-4F4C-A9CA-B29BE9536E4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7</Pages>
  <Words>2089</Words>
  <Characters>11763</Characters>
  <Application>Microsoft Office Word</Application>
  <DocSecurity>0</DocSecurity>
  <Lines>267</Lines>
  <Paragraphs>117</Paragraphs>
  <ScaleCrop>false</ScaleCrop>
  <Company>XXXXXXX</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XXXXXXX</cp:lastModifiedBy>
  <cp:revision>4</cp:revision>
  <dcterms:created xsi:type="dcterms:W3CDTF">2021-03-11T13:29:00Z</dcterms:created>
  <dcterms:modified xsi:type="dcterms:W3CDTF">2024-10-02T11:29:00Z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