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0BFF8FD3" w:rsidR="00A81FD5" w:rsidRPr="007F4CC8" w:rsidRDefault="00A81FD5" w:rsidP="00A81FD5">
      <w:pPr>
        <w:pStyle w:val="Annexetitre"/>
        <w:spacing w:before="0"/>
      </w:pPr>
      <w:r>
        <w:t>XXIV LISA. Eriotstarbeliste nõuete ja omakapitali investeeringute avalikustamine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Vorm EU CR10. Eriotstarbelised nõuded ja omakapitali investeeringud</w:t>
      </w:r>
      <w:r>
        <w:rPr>
          <w:rFonts w:ascii="Times New Roman" w:hAnsi="Times New Roman"/>
          <w:sz w:val="24"/>
        </w:rPr>
        <w:t xml:space="preserve"> Muutumatu vorm.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Finantsinstitutsioonid avalikustavad määruse (EL) nr 575/2013</w:t>
      </w:r>
      <w:r w:rsidR="0016297E"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(„kapitalinõuete määrus“) artikli 438 punktis e osutatud teabe, järgides käesolevas lisas allpool esitatud juhiseid, et täita EBA IT-lahenduste XXIII lisas esitatud vorm EU CR10. Finantsinstitutsioonid avalikustavad: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teabe järgmiste artikli 153 lõike 5 tabelis 1 osutatud eriotstarbeliste nõuete liikide kohta: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„projektide rahastamine“ vormis EU CR10.1;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„tulu tootev kinnisvara ja väga volatiilne ärikinnisvara“ vormis EU CR10.2;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„objektide rahastamine“ vormis EU CR10.3;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„kaupade finantseerimine“ vormis EU CR 10.4;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teave omakapitali investeeringute kohta vormis EU 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Veeru viide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Viited õigussätetele ja juhised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Selgitus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Bilansilised riskipositsioonid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Finantsinstitutsioonid avalikustavad bilansiliste riskipositsioonide väärtuse vastavalt määruse (EL) nr 575/2013 artikli 166 lõigetele 1–7 ja artikli 167 lõikele 1.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Bilansivälised riskipositsioonid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Finantsinstitutsioonid avalikustavad bilansiväliste riskipositsioonide väärtuse vastavalt määruse (EL) nr 575/2013 artiklile 166 ja artikli 167 lõikele 2, võtmata arvesse määruse (EL) nr 575/2013 artikli 166 lõigetes 8 või 9 sätestatud ümberhindlustegureid või määruse (EL) nr 575/2013 artikli 166 lõikes 10 sätestatud protsente.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Bilansivälised riskipositsioonid hõlmavad kõiki eraldatud, aga kasutamata limiite ning bilansiväliseid kirjeid, mis on loetletud määruse (EL) nr 575/2013 I lisas.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Riskikaal</w:t>
            </w:r>
          </w:p>
          <w:p w14:paraId="74BDA868" w14:textId="663D5BC1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See on vormide EU CR 10.1 kuni EU CR 10.4 muutumatu veerg. Seda ei tohi muuta.</w:t>
            </w:r>
          </w:p>
          <w:p w14:paraId="2AF282A3" w14:textId="6652A7E3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See veerg on vormide EU CR10.1 kuni EU CR10.4 puhul kindlaks määratud vastavalt määruse (EL) nr 575/2013 artikli 153 lõikele 5. Vormi EU CR 10.5 puhul on see veerg paindlik. Finantsinstitutsioonid kohaldavad asjakohaseid </w:t>
            </w:r>
            <w:r>
              <w:rPr>
                <w:rFonts w:ascii="Times New Roman" w:hAnsi="Times New Roman"/>
                <w:sz w:val="24"/>
              </w:rPr>
              <w:lastRenderedPageBreak/>
              <w:t>riskikaalusid vastavalt määruse (EL) nr 575/2013 artikli 133 lõigetele 3–6 ja artikli 495a lõikele 3.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Riskipositsiooni väärtus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Riskipositsiooni väärtus vastavalt määruse (EL) nr 575/2013 artiklile 166 või 167.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Selles veerus esitatakse bilansiliste ja bilansiväliste riskipositsioonide väärtuste summa pärast ümberhindlustegurite ja protsentide kohaldamist vastavalt määruse (EL) nr 575/2013 artikli 166 lõigetele 8–10.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 (vormid EU CR10.1 kuni EU 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Riskiga kaalutud vara (eriotstarbelised nõuded, mille suhtes kohaldatakse riskikaalu määramise meetodit)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Riskiga kaalutud vara, mis on arvutatud vastavalt määruse (EL) nr 575/2013 artikli 153 lõikele 5 pärast määruse (EL) nr 575/2013 artiklite 501 ja 501a kohaste toetuskoefitsientide kohaldamist, kui see on asjakohane.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(vormid EU CR10.1 kuni EU 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Oodatav kahju (eriotstarbelised nõuded, mille suhtes kohaldatakse riskikaalu määramise meetodit)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Oodatava kahju summa, mis on arvutatud vastavalt määruse (EL) nr 575/2013 artikli 158 lõikele 6.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(vorm EU CR10.5.)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Oodatav kahju (omakapitali investeeringud, mille suhtes kohaldatakse lihtsustatud riskikaalu meetodit)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Oodatava kahju summa, mis on arvutatud vastavalt määruse (EL) nr 575/2013 artikli 158 lõikele 7, kui see on asjakohane.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Rea number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Viited õigussätetele ja juhised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Selgitus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Regulatiivne kategooria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Vormid EU CR10.1 kuni EU 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Regulatiivsed kategooriad, mida kohaldatakse riskikaalu määramise meetodi kohaste eriotstarbeliste nõuete suhtes iga eriotstarbeliste nõuete klassi puhul, nagu on sätestatud määruse (EL) nr 575/2013 artikli 153 lõikes 5 ja riskikaalu määramise meetodi regulatiivsete tehniliste standardite lõplikus eelnõus.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Kategooriad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Vorm EU CR10.5. Paindlik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Finantsinstitutsioonid hõlmavad asjakohased regulatiivsed kategooriad, mida kohaldatakse omakapitali investeeringute puhul vastavalt määruse (EL) nr 575/2013 artikli 133 lõigetele 3–6 ja artikli 495a lõikele 3.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350AF877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 xml:space="preserve"> Euroopa Parlamendi ja nõukogu 26. juuni 2013. aasta määrus (EL) nr 575/2013, mis käsitleb krediidiasutuste suhtes kohaldatavaid usaldatavusnõudeid ja millega muudetakse määrust (EL) nr 648/2012, nagu on muudetud määrusega (EL) 2024/1623</w:t>
      </w:r>
      <w:r w:rsidR="004503A6">
        <w:t xml:space="preserve">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OJ L 176, 27.6.2013, p.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Määrus - EL - 2024/1623 - ET -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tavakasutu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tavakasutus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tavakasutus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tavakasutus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tavakasutu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tavakasutus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tavakasutus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tavakasutus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tavakasutu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tavakasutus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tavakasutus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tavakasutus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43151"/>
    <w:rsid w:val="002A29F0"/>
    <w:rsid w:val="004503A6"/>
    <w:rsid w:val="00456335"/>
    <w:rsid w:val="005122C8"/>
    <w:rsid w:val="0053271E"/>
    <w:rsid w:val="006120BE"/>
    <w:rsid w:val="00703E80"/>
    <w:rsid w:val="0089557A"/>
    <w:rsid w:val="00964BDB"/>
    <w:rsid w:val="00993FC2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et-E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T/TXT/?uri=OJ:L_202401623" TargetMode="External"/><Relationship Id="rId1" Type="http://schemas.openxmlformats.org/officeDocument/2006/relationships/hyperlink" Target="https://eur-lex.europa.eu/legal-content/E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7FDAAA-F668-4BF8-B11E-08ADBF47FB27}"/>
</file>

<file path=customXml/itemProps3.xml><?xml version="1.0" encoding="utf-8"?>
<ds:datastoreItem xmlns:ds="http://schemas.openxmlformats.org/officeDocument/2006/customXml" ds:itemID="{2C4AA931-634E-45B0-BB9B-A07635BB8AA0}"/>
</file>

<file path=customXml/itemProps4.xml><?xml version="1.0" encoding="utf-8"?>
<ds:datastoreItem xmlns:ds="http://schemas.openxmlformats.org/officeDocument/2006/customXml" ds:itemID="{4A3B82AE-1227-4428-89CF-394F7250FC9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498</Words>
  <Characters>3333</Characters>
  <Application>Microsoft Office Word</Application>
  <DocSecurity>0</DocSecurity>
  <Lines>95</Lines>
  <Paragraphs>51</Paragraphs>
  <ScaleCrop>false</ScaleCrop>
  <Company>European Banking Authority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KURG Onne (DGT)</cp:lastModifiedBy>
  <cp:revision>16</cp:revision>
  <dcterms:created xsi:type="dcterms:W3CDTF">2021-03-11T13:21:00Z</dcterms:created>
  <dcterms:modified xsi:type="dcterms:W3CDTF">2024-10-16T13:41:00Z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