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47B8" w14:textId="080B76AD" w:rsidR="00931C32" w:rsidRPr="001F1865" w:rsidRDefault="3E2CC804" w:rsidP="06503780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PŘÍLOHA XXX – Tabulky a šablony pro zveřejňování informací o tržním riziku podle standardizovaného a interního přístupu: Pokyny </w:t>
      </w:r>
    </w:p>
    <w:p w14:paraId="30BCD097" w14:textId="4E7CD1C5" w:rsidR="00931C32" w:rsidRPr="001F1865" w:rsidRDefault="3E2CC804" w:rsidP="5DD19F35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Tato příloha obsahuje pokyny, kterými se instituce musí řídit při zpřístupňování informací uvedených v článcích 435, 445 a 455 nařízení (EU) č. 575/2013</w:t>
      </w:r>
      <w:r w:rsidR="00931C32" w:rsidRPr="00DB0A49">
        <w:rPr>
          <w:rStyle w:val="FootnoteReference"/>
          <w:rFonts w:ascii="Times New Roman" w:hAnsi="Times New Roman" w:cs="Times New Roman"/>
          <w:color w:val="auto"/>
          <w:lang w:val="en-GB"/>
        </w:rPr>
        <w:footnoteReference w:id="2"/>
      </w:r>
      <w:r>
        <w:rPr>
          <w:rFonts w:ascii="Times New Roman" w:hAnsi="Times New Roman"/>
          <w:color w:val="auto"/>
          <w:sz w:val="24"/>
        </w:rPr>
        <w:t xml:space="preserve"> (dále jen „CRR“), aby vyplnily tabulky a šablony pro zpřístupňování informací o tržním riziku, které jsou uvedeny v příloze XXIX IT řešení orgánu EBA. </w:t>
      </w:r>
    </w:p>
    <w:p w14:paraId="69DA8DE0" w14:textId="77777777" w:rsidR="00931C32" w:rsidRPr="001F1865" w:rsidRDefault="00931C32" w:rsidP="00931C32">
      <w:pPr>
        <w:spacing w:after="2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bCs/>
          <w:sz w:val="24"/>
        </w:rPr>
        <w:t>Tabulka EU MRA – Požadavky na zveřejňování kvalitativních informací týkajících se tržního rizika</w:t>
      </w:r>
      <w:r>
        <w:rPr>
          <w:rFonts w:ascii="Times New Roman" w:hAnsi="Times New Roman"/>
          <w:sz w:val="24"/>
        </w:rPr>
        <w:t>: Pole s volně zadávanými údaji</w:t>
      </w:r>
    </w:p>
    <w:p w14:paraId="1B9BDBE7" w14:textId="621617DF" w:rsidR="00931C32" w:rsidRPr="001F1865" w:rsidRDefault="00931C32" w:rsidP="72461198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Informace uvedené v čl. 435 odst. 1 písm. a) až d) nařízení (EU) č. 575/2013 týkající se tržního rizika zpřístupňují instituce podle níže uvedených pokynů uvedených k vyplnění šablony EU MRA, obsažené v příloze XXIX.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31C32" w:rsidRPr="001F1865" w14:paraId="4FA5DD43" w14:textId="77777777" w:rsidTr="72461198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879875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931C32" w:rsidRPr="001F1865" w14:paraId="0BB6A5B1" w14:textId="77777777" w:rsidTr="72461198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A522B50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BF504D8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31C32" w:rsidRPr="001F1865" w14:paraId="75D64070" w14:textId="77777777" w:rsidTr="72461198">
        <w:trPr>
          <w:trHeight w:val="680"/>
        </w:trPr>
        <w:tc>
          <w:tcPr>
            <w:tcW w:w="1384" w:type="dxa"/>
          </w:tcPr>
          <w:p w14:paraId="5CBE7772" w14:textId="14DBF168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t>a)</w:t>
            </w:r>
          </w:p>
        </w:tc>
        <w:tc>
          <w:tcPr>
            <w:tcW w:w="7655" w:type="dxa"/>
            <w:vAlign w:val="center"/>
          </w:tcPr>
          <w:p w14:paraId="0ECBECD6" w14:textId="59A2C39A" w:rsidR="00931C32" w:rsidRPr="001F1865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Při zpřístupňování informací uvedených v čl. 435 odst. 1 písm. a) a d) nařízení (EU) č. 575/2013 týkajících se cílů a zásad řízení rizik pro řízení tržního rizika instituce zahrnou:</w:t>
            </w:r>
          </w:p>
          <w:p w14:paraId="2954CCD3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vysvětlení strategických cílů jejich vedení při provádění obchodních činností; </w:t>
            </w:r>
          </w:p>
          <w:p w14:paraId="28C8AA1E" w14:textId="2D7A10DE" w:rsidR="00DE4020" w:rsidRPr="001F1865" w:rsidRDefault="00EC10EF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popis zásad uvedených v čl. 104 odst. 1 pro určení, která pozice má být zahrnuta do obchodního portfolia, včetně definice nehybných pozic a zásad řízení rizik pro sledování těchto pozic. Instituce navíc popíší případy, kdy jsou nástroje zařazeny do obchodního nebo bankovního portfolia v rozporu s obecnými předpoklady kategorie jejich nástrojů, včetně tržní a reálné hodnoty těchto případů, jakož i jakékoli reklasifikace z jednoho portfolia do druhého od posledního vykazovaného období, včetně reálné hodnoty těchto případů a důvodu reklasifikace;</w:t>
            </w:r>
          </w:p>
          <w:p w14:paraId="20F3C237" w14:textId="77E3E75D" w:rsidR="00795618" w:rsidRPr="001F1865" w:rsidRDefault="002C5234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popis činností převodu interního rizika, včetně typů interního útvaru pro převod rizika;</w:t>
            </w:r>
          </w:p>
          <w:p w14:paraId="17B1142E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zavedené postupy identifikace, měření, sledování a řízení tržních rizik instituce,</w:t>
            </w:r>
          </w:p>
          <w:p w14:paraId="216165DD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zásady zajištění a snižování rizika,</w:t>
            </w:r>
          </w:p>
          <w:p w14:paraId="5B43C932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strategie a postupy sledování trvalé účinnosti zajištění.</w:t>
            </w:r>
          </w:p>
        </w:tc>
      </w:tr>
      <w:tr w:rsidR="00931C32" w:rsidRPr="001F1865" w14:paraId="2F078747" w14:textId="77777777" w:rsidTr="72461198">
        <w:trPr>
          <w:trHeight w:val="680"/>
        </w:trPr>
        <w:tc>
          <w:tcPr>
            <w:tcW w:w="1384" w:type="dxa"/>
          </w:tcPr>
          <w:p w14:paraId="3715BE68" w14:textId="1F09F131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lastRenderedPageBreak/>
              <w:t>b)</w:t>
            </w:r>
          </w:p>
        </w:tc>
        <w:tc>
          <w:tcPr>
            <w:tcW w:w="7655" w:type="dxa"/>
          </w:tcPr>
          <w:p w14:paraId="57B23AAF" w14:textId="53C0A959" w:rsidR="00931C32" w:rsidRPr="001F1865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Při zpřístupňování informací uvedených v čl. 435 odst. 1 písm. b) nařízení (EU) č. 575/2013 o struktuře a organizaci funkce řízení tržních rizik instituce uvedou:</w:t>
            </w:r>
          </w:p>
          <w:p w14:paraId="15341445" w14:textId="0D70F6B3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popis struktury řízení tržních rizik zřízené za účelem provádění strategií a procesů instituce uvedených v řádku (a) výše, </w:t>
            </w:r>
          </w:p>
          <w:p w14:paraId="10C87729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popis vztahů a komunikačních mechanismů mezi různými stranami zapojenými do řízení tržních rizik. </w:t>
            </w:r>
          </w:p>
        </w:tc>
      </w:tr>
      <w:tr w:rsidR="00931C32" w:rsidRPr="001F1865" w14:paraId="15179A4A" w14:textId="77777777" w:rsidTr="72461198">
        <w:trPr>
          <w:trHeight w:val="436"/>
        </w:trPr>
        <w:tc>
          <w:tcPr>
            <w:tcW w:w="1384" w:type="dxa"/>
          </w:tcPr>
          <w:p w14:paraId="0F95AF50" w14:textId="5B76A5EA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t>c)</w:t>
            </w:r>
          </w:p>
          <w:p w14:paraId="672A6659" w14:textId="77777777" w:rsidR="00931C32" w:rsidRPr="001F1865" w:rsidRDefault="00931C32" w:rsidP="00DE090B">
            <w:pPr>
              <w:pStyle w:val="Fait"/>
              <w:spacing w:before="0" w:after="240"/>
            </w:pPr>
          </w:p>
        </w:tc>
        <w:tc>
          <w:tcPr>
            <w:tcW w:w="7655" w:type="dxa"/>
          </w:tcPr>
          <w:p w14:paraId="1ADA7F58" w14:textId="27D05688" w:rsidR="00931C32" w:rsidRPr="001F1865" w:rsidRDefault="3E2CC804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Při zpřístupňování informací uvedených v čl. 435 odst. 1 písm. c) nařízení (EU) č. 575/2013 o rozsahu a povaze systémů zveřejňování a měření tržních rizik instituce poskytnou popis rozsahu a povahy hlášení tržních rizik a systémů měření. </w:t>
            </w:r>
          </w:p>
        </w:tc>
      </w:tr>
      <w:tr w:rsidR="06503780" w:rsidRPr="001F1865" w14:paraId="5B327CF1" w14:textId="77777777" w:rsidTr="72461198">
        <w:trPr>
          <w:trHeight w:val="435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48C11C" w14:textId="0E272EB2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d)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42D3ED" w14:textId="19D1B8F3" w:rsidR="06503780" w:rsidRPr="001F1865" w:rsidRDefault="5B873F98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Při zpřístupňování informací uvedených v čl. 445 odst. 1 nařízení (EU) č. 575/2013 o obecném přehledu pozic v obchodním portfoliu poskytnou instituce obecný popis svých pozic v obchodním portfoliu .</w:t>
            </w:r>
          </w:p>
        </w:tc>
      </w:tr>
    </w:tbl>
    <w:p w14:paraId="0A37501D" w14:textId="5B1DE2AB" w:rsidR="00931C32" w:rsidRPr="00505231" w:rsidRDefault="00931C32" w:rsidP="06503780">
      <w:pPr>
        <w:pStyle w:val="Titlelevel2"/>
        <w:spacing w:before="0"/>
        <w:rPr>
          <w:rFonts w:ascii="Times New Roman" w:hAnsi="Times New Roman" w:cs="Times New Roman"/>
          <w:b/>
          <w:sz w:val="24"/>
        </w:rPr>
      </w:pPr>
    </w:p>
    <w:p w14:paraId="6A05A809" w14:textId="77777777" w:rsidR="00931C32" w:rsidRPr="00505231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p w14:paraId="21FE8BB6" w14:textId="0765936F" w:rsidR="00931C32" w:rsidRPr="00DB0A49" w:rsidRDefault="4E51ABE0" w:rsidP="00DB0A49">
      <w:pPr>
        <w:spacing w:after="2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/>
          <w:b/>
          <w:bCs/>
          <w:sz w:val="24"/>
        </w:rPr>
        <w:t>Šablona EU MR1 – Tržní riziko podle standardizovaného přístupu (ASA)</w:t>
      </w:r>
      <w:r>
        <w:rPr>
          <w:rFonts w:ascii="Times New Roman" w:hAnsi="Times New Roman"/>
          <w:sz w:val="24"/>
        </w:rPr>
        <w:t xml:space="preserve"> pevně daný formát</w:t>
      </w:r>
    </w:p>
    <w:p w14:paraId="328A3EAE" w14:textId="50FF69DE" w:rsidR="00931C32" w:rsidRPr="00DB0A49" w:rsidRDefault="4E51ABE0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Informace uvedené v článku 445 nařízení (EU) č. 575/2013 zpřístupňují instituce podle níže uvedených pokynů k vyplnění šablony EU MR 1, obsažené v příloze XXIX. </w:t>
      </w:r>
      <w:r>
        <w:rPr>
          <w:rFonts w:ascii="Times New Roman" w:hAnsi="Times New Roman"/>
          <w:color w:val="auto"/>
          <w:sz w:val="24"/>
        </w:rPr>
        <w:t>Instituce do této šablony nezahrnou žádné údaje o svém útvaru pro převod interního rizika (IRT).</w:t>
      </w:r>
    </w:p>
    <w:tbl>
      <w:tblPr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170"/>
        <w:gridCol w:w="7245"/>
      </w:tblGrid>
      <w:tr w:rsidR="06503780" w:rsidRPr="001F1865" w14:paraId="369C907B" w14:textId="77777777" w:rsidTr="00DB0A49">
        <w:trPr>
          <w:trHeight w:val="300"/>
        </w:trPr>
        <w:tc>
          <w:tcPr>
            <w:tcW w:w="84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5856BA3" w14:textId="6D5ECF6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6503780" w:rsidRPr="001F1865" w14:paraId="795949F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1A68A0C0" w14:textId="2354445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6505A62" w14:textId="1D45DAD9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6503780" w:rsidRPr="001F1865" w14:paraId="71E2347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7B57D3D" w14:textId="541004BD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5989EB1" w14:textId="332222EF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Metoda založená na citlivostech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</w:t>
            </w:r>
          </w:p>
          <w:p w14:paraId="32BE5AB7" w14:textId="13D92956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souladu s částí třetí hlavou IV kapitolou 1a oddílem 2 nařízení (EU) č. 575/2013.</w:t>
            </w:r>
          </w:p>
        </w:tc>
      </w:tr>
      <w:tr w:rsidR="06503780" w:rsidRPr="001F1865" w14:paraId="2A5FB34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DACAA6" w14:textId="4438CD41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CA48DD" w14:textId="1A77007D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Obecné úrokové riziko (GIRR)</w:t>
            </w:r>
          </w:p>
          <w:p w14:paraId="7CFD9A05" w14:textId="08877C85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podle čl. 325c odst. 2 písm. a) a čl. 325d odst. 1 bodu i) nařízení (EU) č. 575/2013.</w:t>
            </w:r>
          </w:p>
        </w:tc>
      </w:tr>
      <w:tr w:rsidR="006852CB" w:rsidRPr="001F1865" w14:paraId="69667920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C1D211" w14:textId="22B10623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623B38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Akciové riziko (EQU)</w:t>
            </w:r>
          </w:p>
          <w:p w14:paraId="7FA49EA1" w14:textId="72B40A8D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podle čl. 325c odst. 2 písm. a) a čl. 325d odst. 1 bodu v) nařízení (EU) č. 575/2013.</w:t>
            </w:r>
          </w:p>
        </w:tc>
      </w:tr>
      <w:tr w:rsidR="006852CB" w:rsidRPr="001F1865" w14:paraId="719DB443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6F2BD2" w14:textId="663EF07F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FF8925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Komoditní riziko (COM)</w:t>
            </w:r>
          </w:p>
          <w:p w14:paraId="2EF1141F" w14:textId="6573588B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podle čl. 325c odst. 2 písm. a) a čl. 325d odst. 1 bodu vi) nařízení (EU) č. 575/2013.</w:t>
            </w:r>
          </w:p>
        </w:tc>
      </w:tr>
      <w:tr w:rsidR="006852CB" w:rsidRPr="001F1865" w14:paraId="0F63097B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A0CA9C" w14:textId="3D6ACB22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21571B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Měnové riziko (FX)</w:t>
            </w:r>
          </w:p>
          <w:p w14:paraId="4E899697" w14:textId="1EDAE9C1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podle čl. 325c odst. 2 písm. a) a čl. 325d odst. 1 bodu vii) nařízení (EU) č. 575/2013.</w:t>
            </w:r>
          </w:p>
        </w:tc>
      </w:tr>
      <w:tr w:rsidR="06503780" w:rsidRPr="001F1865" w14:paraId="6069A77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1C4CC0" w14:textId="116256D7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ADD606" w14:textId="28FE3969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Riziko úvěrového rozpětí pro nesekuritizaci (CSR)</w:t>
            </w:r>
          </w:p>
          <w:p w14:paraId="7FFBB47A" w14:textId="19FCC5B4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podle čl. 325c odst. 2 písm. a) a čl. 325d odst. 1 bodu ii) nařízení (EU) č. 575/2013.</w:t>
            </w:r>
          </w:p>
        </w:tc>
      </w:tr>
      <w:tr w:rsidR="06503780" w:rsidRPr="001F1865" w14:paraId="05E22EA0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6D099A" w14:textId="2AA85B66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E01FBC" w14:textId="0075C0D5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Riziko úvěrového rozpětí pro sekuritizaci mimo alternativní portfolio obchodování s korelací (non–ACTP CSR)</w:t>
            </w:r>
          </w:p>
          <w:p w14:paraId="7767EDBC" w14:textId="24BC8D91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podle čl. 325c odst. 2 písm. a) a čl. 325d odst. 1 bodu iii) nařízení (EU) č. 575/2013.</w:t>
            </w:r>
          </w:p>
        </w:tc>
      </w:tr>
      <w:tr w:rsidR="06503780" w:rsidRPr="001F1865" w14:paraId="14D767E3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20E610" w14:textId="7B3DAB47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A00A1D" w14:textId="07E0B969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Riziko úvěrového rozpětí pro sekuritizaci v rámci alternativního portfolia obchodování s korelací (ACTP CSR)</w:t>
            </w:r>
          </w:p>
          <w:p w14:paraId="3E4A8A35" w14:textId="160B9A80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podle čl. 325c odst. 2 písm. a) a čl. 325d odst. 1 bodu iv) nařízení (EU) č. 575/2013.</w:t>
            </w:r>
          </w:p>
        </w:tc>
      </w:tr>
      <w:tr w:rsidR="06503780" w:rsidRPr="001F1865" w14:paraId="5BB1038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22C0155" w14:textId="1C2CF576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AC462EA" w14:textId="24FC6AB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Riziko selhání</w:t>
            </w:r>
          </w:p>
          <w:p w14:paraId="50AC8B96" w14:textId="24D7EC8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souladu s částí třetí hlavou IV kapitolou 1a oddílem 5 nařízení (EU) č. 575/2013.</w:t>
            </w:r>
          </w:p>
        </w:tc>
      </w:tr>
      <w:tr w:rsidR="06503780" w:rsidRPr="001F1865" w14:paraId="4CA77AC2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D9CDA3" w14:textId="20B6ABEB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D3825E" w14:textId="1E8FC60A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Nesekuritizované expozice</w:t>
            </w:r>
          </w:p>
          <w:p w14:paraId="6E07A74F" w14:textId="60055B48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podle čl. 325c odst. 2 písm. b) a části třetí hlavy IV kapitoly 1a oddílu 5 pododdílu 1 nařízení (EU) č. 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7297D5C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54CE0F" w14:textId="0108E6B7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034D48" w14:textId="567356EB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Sekuritizace mimo alternativní portfolio obchodování s korelací (non–ACTP)</w:t>
            </w:r>
          </w:p>
          <w:p w14:paraId="093A58C5" w14:textId="0BD66CFC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podle čl. 325c odst. 2 písm. b) a části třetí hlavy IV kapitoly 1a oddílu 5 pododdílu 2 nařízení (EU) č. 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7399949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60F427" w14:textId="2083466B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50980D" w14:textId="2B90AE8D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Sekuritizace v rámci alternativního portfolia obchodování s korelací (ACTP)</w:t>
            </w:r>
          </w:p>
          <w:p w14:paraId="4F126C34" w14:textId="2E83A436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podle čl. 325c odst. 2 písm. b) a části třetí hlavy IV kapitoly 1a oddílu 5 pododdílu 3 nařízení (EU) č. 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1A1B823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8B14961" w14:textId="055D18A0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38DF7BF" w14:textId="7E1499C0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Zbytkové riziko</w:t>
            </w:r>
          </w:p>
          <w:p w14:paraId="3E3A6F03" w14:textId="754D811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Část třetí hlava IV kapitola 1a oddíl 4 nařízení (EU) č. 575/2013.</w:t>
            </w:r>
          </w:p>
        </w:tc>
      </w:tr>
      <w:tr w:rsidR="06503780" w:rsidRPr="001F1865" w14:paraId="179BEFF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D2F5C6" w14:textId="1E18CC3B" w:rsidR="06503780" w:rsidRPr="001F1865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EU 11a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885E79" w14:textId="10B5A147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Exotické podklady</w:t>
            </w:r>
          </w:p>
          <w:p w14:paraId="7ED02FAC" w14:textId="7DFCBC6E" w:rsidR="06503780" w:rsidRPr="001F1865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podle čl. 325c odst. 2 písm. c) a čl. 325u odst. 2 písm. a) nařízení (EU) č. 575/2013.</w:t>
            </w:r>
          </w:p>
        </w:tc>
      </w:tr>
      <w:tr w:rsidR="06503780" w:rsidRPr="001F1865" w14:paraId="397A3B6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87ED4F" w14:textId="568A449C" w:rsidR="06503780" w:rsidRPr="001F1865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EU 11b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12FF09" w14:textId="69432A4B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Jiná zbytková rizika</w:t>
            </w:r>
          </w:p>
          <w:p w14:paraId="5E46032C" w14:textId="013FBB68" w:rsidR="06503780" w:rsidRPr="001F1865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podle čl. 325c odst. 2 písm. c) a čl. 325u odst. 2 písm. b) nařízení (EU) č. 575/2013.</w:t>
            </w:r>
          </w:p>
        </w:tc>
      </w:tr>
      <w:tr w:rsidR="06503780" w:rsidRPr="001F1865" w14:paraId="106996A8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A57C66" w14:textId="56FC3416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F69C8C" w14:textId="2E5029F0" w:rsidR="224E1E9F" w:rsidRPr="001F1865" w:rsidRDefault="224E1E9F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Kapitálové požadavky celkem (OFR)</w:t>
            </w:r>
          </w:p>
          <w:p w14:paraId="3AEB87FA" w14:textId="63F7CC8B" w:rsidR="06503780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řádků 1 až EU11b.</w:t>
            </w:r>
          </w:p>
          <w:p w14:paraId="65A75CAB" w14:textId="1D4354D4" w:rsidR="002A353C" w:rsidRPr="001F1865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6503780" w:rsidRPr="001F1865" w14:paraId="01D665D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6C2FE727" w14:textId="64C5B7A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370E68CC" w14:textId="5A5AF05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6503780" w:rsidRPr="001F1865" w14:paraId="57E6568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4DF7122" w14:textId="3D824940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77B88BE" w14:textId="5948A214" w:rsidR="01DFB7EB" w:rsidRPr="001F1865" w:rsidRDefault="01DFB7EB" w:rsidP="0650378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Kapitálové požadavky celkem (OFR)</w:t>
            </w:r>
          </w:p>
        </w:tc>
      </w:tr>
      <w:tr w:rsidR="06503780" w:rsidRPr="001F1865" w14:paraId="37D30FC4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1C04F1" w14:textId="4F64D071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669159E" w14:textId="0505478C" w:rsidR="517DDA85" w:rsidRPr="001F1865" w:rsidRDefault="02A66E37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Zpřístupňování informací o kapitálových požadavcích podle čl. 438 písm. d) nařízení (EU) č. 575/2013, vypočtených jako prostý součet částek uvedených výše v řádcích 1 až EU 11b.</w:t>
            </w:r>
          </w:p>
          <w:p w14:paraId="4E5B9771" w14:textId="40E878CC" w:rsidR="06503780" w:rsidRPr="001F1865" w:rsidRDefault="06503780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1C8F396" w14:textId="77777777" w:rsidR="00931C32" w:rsidRPr="001F1865" w:rsidRDefault="00931C32" w:rsidP="00931C32">
      <w:pPr>
        <w:spacing w:after="240"/>
        <w:rPr>
          <w:rFonts w:ascii="Times New Roman" w:hAnsi="Times New Roman" w:cs="Times New Roman"/>
          <w:b/>
          <w:sz w:val="24"/>
        </w:rPr>
      </w:pPr>
    </w:p>
    <w:p w14:paraId="49AD8C16" w14:textId="467238F4" w:rsidR="00931C32" w:rsidRPr="001F1865" w:rsidRDefault="00931C32" w:rsidP="48484374">
      <w:pPr>
        <w:spacing w:after="24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Tabulka EU MRB: </w:t>
      </w:r>
      <w:r>
        <w:rPr>
          <w:rFonts w:ascii="Times New Roman" w:hAnsi="Times New Roman"/>
          <w:b/>
          <w:bCs/>
          <w:sz w:val="24"/>
        </w:rPr>
        <w:t>Požadavky na zpřístupnění kvalitativních informací pro instituce, které používají přístup založený na alternativních interních modelech</w:t>
      </w:r>
      <w:r>
        <w:rPr>
          <w:rFonts w:ascii="Times New Roman" w:hAnsi="Times New Roman"/>
          <w:sz w:val="24"/>
        </w:rPr>
        <w:t>: volný formát</w:t>
      </w:r>
    </w:p>
    <w:p w14:paraId="32EDF34C" w14:textId="442D1C01" w:rsidR="00931C32" w:rsidRPr="001F1865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Informace uvedené v čl. 455 písm. a) až f) nařízení (EU) č. 575/2013 zpřístupňují instituce podle níže uvedených pokynů k vyplnění tabulky EU MRB, obsažené v příloze XXIX.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7184"/>
      </w:tblGrid>
      <w:tr w:rsidR="00931C32" w:rsidRPr="001F1865" w14:paraId="39C1942C" w14:textId="77777777" w:rsidTr="72461198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FE3064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931C32" w:rsidRPr="001F1865" w14:paraId="1B6F00FD" w14:textId="77777777" w:rsidTr="00DB0A49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4E9D0C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0C9A014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3765CAC5" w:rsidRPr="001F1865" w14:paraId="0407979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F9E1B4" w14:textId="5201D106" w:rsidR="3765CAC5" w:rsidRPr="001F1865" w:rsidRDefault="3765CAC5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E12632" w14:textId="11982131" w:rsidR="7BC02D42" w:rsidRPr="001F1865" w:rsidRDefault="2716EDAD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Při zpřístupňování informací uvedených v čl. 455 bodě 1a nařízení (EU) č. 575/2013 o alternativních interních modelech pro tržní riziko instituce zahrnou:</w:t>
            </w:r>
          </w:p>
        </w:tc>
      </w:tr>
      <w:tr w:rsidR="3765CAC5" w:rsidRPr="00AA772E" w14:paraId="6AB031E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29A411" w14:textId="71C7D5ED" w:rsidR="3C9E464D" w:rsidRPr="00DB0A49" w:rsidRDefault="00B02BFD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283DE8" w14:textId="143E0B94" w:rsidR="3C9E464D" w:rsidRPr="00445013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cíle instituce při provádění obchodních činností a zavedené postupy pro určení, měření, sledování a kontrolu tržního rizika instituce. Tyto informace lze poskytnout křížovým odkazem na tabulku EU MRA.</w:t>
            </w:r>
          </w:p>
        </w:tc>
      </w:tr>
      <w:tr w:rsidR="3765CAC5" w:rsidRPr="00AA772E" w14:paraId="3EEEAC3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B7E23A" w14:textId="1A66CFB9" w:rsidR="3C9E464D" w:rsidRPr="00DB0A49" w:rsidRDefault="00671C85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EECC21" w14:textId="2B4ED7C7" w:rsidR="3C9E464D" w:rsidRPr="00DB0A49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zásady uvedené v čl. 104 odst. 1 pro určení toho, která pozice má být zahrnuta do obchodního portfolia. Tyto informace lze poskytnout křížovým odkazem na tabulku EU MRA;</w:t>
            </w:r>
          </w:p>
        </w:tc>
      </w:tr>
      <w:tr w:rsidR="00671C85" w:rsidRPr="00AA772E" w14:paraId="0D6ADAE7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C578F" w14:textId="753BB1F6" w:rsidR="00671C85" w:rsidRPr="00DB0A49" w:rsidRDefault="00C06844" w:rsidP="00DE090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c)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47B801" w14:textId="77777777" w:rsidR="00671C85" w:rsidRPr="00DB0A49" w:rsidRDefault="00671C85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strukturu a organizaci útvaru řízení tržního rizika a jeho správy;</w:t>
            </w:r>
          </w:p>
        </w:tc>
      </w:tr>
      <w:tr w:rsidR="00701D8F" w:rsidRPr="00AA772E" w14:paraId="2E7B7CF0" w14:textId="77777777" w:rsidTr="00DB0A49">
        <w:trPr>
          <w:trHeight w:val="1301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5068B" w14:textId="77777777" w:rsidR="00701D8F" w:rsidRPr="00DB0A49" w:rsidRDefault="00701D8F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14:paraId="3A0D6228" w14:textId="0AB8AAD0" w:rsidR="00701D8F" w:rsidRPr="00DB0A49" w:rsidRDefault="0D04DF7A" w:rsidP="140F9D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A) B) Obecný popis struktury obchodního útvaru a druhů nástrojů zahrnutých do obchodního útvaru AIMA v souladu s čl. 455 odst. 1 písm. c) a d) nařízení (EU) č. 575/2013. </w:t>
            </w:r>
          </w:p>
        </w:tc>
      </w:tr>
      <w:tr w:rsidR="001B4290" w:rsidRPr="00AA772E" w14:paraId="59395D4F" w14:textId="77777777" w:rsidTr="00DB0A49">
        <w:trPr>
          <w:trHeight w:val="300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B5BC89" w14:textId="10370DC0" w:rsidR="001B4290" w:rsidRPr="00DB0A49" w:rsidRDefault="001B4290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B a)</w:t>
            </w:r>
          </w:p>
          <w:p w14:paraId="6D2F2E9A" w14:textId="09BF2D11" w:rsidR="001B4290" w:rsidRPr="00445013" w:rsidRDefault="001B4290" w:rsidP="00DB0A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3361A9" w14:textId="697DA5E8" w:rsidR="001B4290" w:rsidRPr="00DB0A49" w:rsidRDefault="6FF6DD2C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Při zpřístupňování informací uvedených v čl. 455 odst. 1 písm. c) nařízení (EU) č. 575/2013 instituce poskytnou obecný popis struktury obchodních útvarů, na něž se vztahují interní modely uvedené v článku 325az, včetně širšího popisu obchodní strategie každého útvaru, nástrojů v ní povolených a hlavních druhů rizik ve vztahu k tomuto útvaru;</w:t>
            </w:r>
          </w:p>
        </w:tc>
      </w:tr>
      <w:tr w:rsidR="001B4290" w:rsidRPr="00AA772E" w14:paraId="50FBF6A8" w14:textId="77777777" w:rsidTr="00DB0A49">
        <w:trPr>
          <w:trHeight w:val="300"/>
        </w:trPr>
        <w:tc>
          <w:tcPr>
            <w:tcW w:w="1230" w:type="dxa"/>
            <w:vMerge/>
            <w:hideMark/>
          </w:tcPr>
          <w:p w14:paraId="79170C23" w14:textId="7B220C5D" w:rsidR="001B4290" w:rsidRPr="00445013" w:rsidRDefault="001B4290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D9458D" w14:textId="1452A5E7" w:rsidR="001B4290" w:rsidRPr="00DB0A49" w:rsidRDefault="00F5701F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Při zpřístupňování informací uvedených v čl. 455 odst. 1 písm. d) nařízení (EU) č. 575/2013 instituce poskytnou obecný přehled pozic v obchodním portfoliu, na něž se nevztahují interní modely uvedené v článku 325az, včetně obecného popisu struktury útvaru a druhů nástrojů zahrnutých v útvarech nebo v kategoriích útvarů v souladu s článkem 104b;</w:t>
            </w:r>
          </w:p>
        </w:tc>
      </w:tr>
      <w:tr w:rsidR="00090EA4" w:rsidRPr="00AA772E" w:rsidDel="00671C85" w14:paraId="0C8EF869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868DE" w14:textId="77777777" w:rsidR="00090EA4" w:rsidRPr="00DB0A49" w:rsidRDefault="00090E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B) C) E) Popis hlavních rysů modelů používaných na konsolidované úrovni, včetně přístupů používaných při validaci modelů a procesů modelování.</w:t>
            </w:r>
          </w:p>
          <w:p w14:paraId="32D410A2" w14:textId="3D7C861F" w:rsidR="00DE5B78" w:rsidRPr="00DB0A49" w:rsidDel="00671C85" w:rsidRDefault="00DE5B78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A05A4" w:rsidRPr="00AA772E" w:rsidDel="00671C85" w14:paraId="2A2D75B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5B40F" w14:textId="5757A4C3" w:rsidR="00A75779" w:rsidRPr="00DB0A49" w:rsidDel="00671C85" w:rsidRDefault="00A75779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 b) c) d) e)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955CD" w14:textId="150F8DFA" w:rsidR="007E7D7A" w:rsidRPr="00DB0A49" w:rsidDel="00671C85" w:rsidRDefault="001D2F6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Při zpřístupňování informací uvedených v čl. 455 odst. 1 písm. f) bodě i) nařízení (EU) č. 575/2013 instituce poskytnou:  oblast působnosti, hlavní charakteristiky a klíčové volby modelování jednotlivých alternativních interních modelů uvedených v článku 325az nařízení (EU) č. 575/2013, které se používají k výpočtu objemů rizikových expozic pro hlavní modely používané na konsolidované úrovni, a popis toho, do jaké míry jsou tyto interní modely reprezentací všech modelů používaných na konsolidované úrovni, případně včetně: i) obecného popisu modelovacího přístupu použitého k výpočtu očekávaného deficitu uvedeného v čl. 325ba odst. 1 písm. a) nařízení (EU) č. 575/2013, včetně četnosti aktualizace údajů.</w:t>
            </w:r>
          </w:p>
        </w:tc>
      </w:tr>
      <w:tr w:rsidR="008A05A4" w:rsidRPr="00AA772E" w:rsidDel="00671C85" w14:paraId="45EADEA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93FED" w14:textId="58589ECF" w:rsidR="008A05A4" w:rsidRPr="00DB0A49" w:rsidDel="00671C85" w:rsidRDefault="00C82CB4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 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01C58" w14:textId="29B0602F" w:rsidR="00D6625B" w:rsidRPr="00DB0A49" w:rsidRDefault="00A7577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Při zpřístupňování informací uvedených v čl. 455 odst. 1 písm. f) bodě ii) nařízení (EU) č. 575/2013 instituce případně zahrnou: obecný popis metodiky použité k výpočtu rizikového ukazatele zátěžového scénáře uvedeného v čl. 325ba odst. 1 písm. b) nařízení (EU) č. 575/2013, s výjimkou specifikací uvedených v čl. 325bk odst. 3 nařízení (EU) č. 575/2013.</w:t>
            </w:r>
          </w:p>
          <w:p w14:paraId="3E866C05" w14:textId="635C3FD9" w:rsidR="008A05A4" w:rsidRPr="00DB0A49" w:rsidDel="00671C85" w:rsidRDefault="008A05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3247D" w:rsidRPr="00AA772E" w:rsidDel="00671C85" w14:paraId="24E01ADC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4C901" w14:textId="4C917FDF" w:rsidR="00C3247D" w:rsidRPr="00DB0A49" w:rsidRDefault="00C3247D" w:rsidP="00D662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D) Popis interních modelů pro výpočet požadavku k riziku selhání</w:t>
            </w:r>
          </w:p>
        </w:tc>
      </w:tr>
      <w:tr w:rsidR="3765CAC5" w:rsidRPr="00AA772E" w14:paraId="77D1514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5EB9A4" w14:textId="5AD16076" w:rsidR="3C9E464D" w:rsidRPr="00DB0A49" w:rsidRDefault="00827740" w:rsidP="00DB0A4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FC28FC" w14:textId="6E66AC42" w:rsidR="3C9E464D" w:rsidRPr="00DB0A49" w:rsidRDefault="00FF5D12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Při zpřístupňování informací uvedených v čl. 455 odst. 1 písm. f) bodě iii) nařízení (EU) č. 575/2013 instituce případně zahrnou: obecný popis modelovacího přístupu použitého k výpočtu požadavku k riziku selhání uvedeného v čl. 325ba odst. 2 nařízení (EU) č. 575/2013, včetně četnosti aktualizace údajů.</w:t>
            </w:r>
          </w:p>
        </w:tc>
      </w:tr>
    </w:tbl>
    <w:p w14:paraId="116B518F" w14:textId="73EB613A" w:rsidR="3765CAC5" w:rsidRDefault="3765CAC5">
      <w:pPr>
        <w:rPr>
          <w:rFonts w:ascii="Times New Roman" w:hAnsi="Times New Roman" w:cs="Times New Roman"/>
        </w:rPr>
      </w:pPr>
    </w:p>
    <w:p w14:paraId="471DC03E" w14:textId="77777777" w:rsidR="00445013" w:rsidRPr="00DB0A49" w:rsidRDefault="00445013">
      <w:pPr>
        <w:rPr>
          <w:rFonts w:ascii="Times New Roman" w:hAnsi="Times New Roman" w:cs="Times New Roman"/>
        </w:rPr>
      </w:pPr>
    </w:p>
    <w:p w14:paraId="681251D5" w14:textId="0749B91A" w:rsidR="00931C32" w:rsidRPr="001F1865" w:rsidRDefault="00931C32" w:rsidP="3821DFBC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Šablona EU MR2 – Tržní riziko podle přístupu alternativního interního modelu (AIMA):</w:t>
      </w:r>
      <w:r>
        <w:rPr>
          <w:rFonts w:ascii="Times New Roman" w:hAnsi="Times New Roman"/>
          <w:color w:val="auto"/>
          <w:sz w:val="24"/>
        </w:rPr>
        <w:t xml:space="preserve"> pevně daný formát</w:t>
      </w:r>
    </w:p>
    <w:p w14:paraId="2D64DF36" w14:textId="6604692C" w:rsidR="00931C32" w:rsidRPr="00DB0A49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Informace uvedené v čl. 455 odst. 2 nařízení (EU) č. 575/2013 zpřístupňují instituce podle níže uvedených pokynů k vyplnění šablony EU MR2, obsažené v příloze XXIX. </w:t>
      </w:r>
      <w:r>
        <w:rPr>
          <w:rFonts w:ascii="Times New Roman" w:hAnsi="Times New Roman"/>
          <w:color w:val="auto"/>
          <w:sz w:val="24"/>
        </w:rPr>
        <w:t>Instituce do této šablony nezahrnou žádné údaje o svém útvaru pro převod interního rizika (IRT).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931C32" w:rsidRPr="001F1865" w14:paraId="454671C8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CF57C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931C32" w:rsidRPr="001F1865" w14:paraId="74EB4602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D9C09D3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Řádek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527BB7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3765CAC5" w:rsidRPr="00DB0A49" w14:paraId="34D4196F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87A1073" w14:textId="03BB75EC" w:rsidR="3765CAC5" w:rsidRPr="00DB0A49" w:rsidRDefault="59A8805A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AF62FAF" w14:textId="54B9E90E" w:rsidR="02494BE7" w:rsidRPr="00AA44B0" w:rsidRDefault="42390ABD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Ukazatel neomezeného očekávaného deficitu (UESt)</w:t>
            </w:r>
          </w:p>
          <w:p w14:paraId="1E53AB6F" w14:textId="2D37B3D8" w:rsidR="3E91330B" w:rsidRPr="00DB0A49" w:rsidRDefault="3BB31265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Zpřístupňovaná hodnota se vypočítá na úrovni celkového portfolia, a nikoli na úrovni široké kategorie rizik podle článků 325bb a 325bc nařízení (EU) č. 575/2013.</w:t>
            </w:r>
          </w:p>
        </w:tc>
      </w:tr>
      <w:tr w:rsidR="4A0450B5" w:rsidRPr="00DB0A49" w14:paraId="2678203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01045CC" w14:textId="043660EE" w:rsidR="3B3426CC" w:rsidRPr="00DB0A49" w:rsidRDefault="3B3426CC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A1B0F63" w14:textId="348EF369" w:rsidR="3B3426CC" w:rsidRPr="00AA44B0" w:rsidRDefault="3B3426CC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Ukazatel neomezeného očekávaného deficitu pro kategorii rizikových faktorů „úroková sazba“</w:t>
            </w:r>
          </w:p>
          <w:p w14:paraId="39E48A15" w14:textId="5243BB2A" w:rsidR="40EE3118" w:rsidRPr="00DB0A49" w:rsidRDefault="749F8553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Zpřístupňovaná hodnota se vypočítá pro rizikové faktory kategorie úrokového rizika podle článků 325bb, 325bc a 325bd nařízení (EU) č. 575/2013.</w:t>
            </w:r>
          </w:p>
        </w:tc>
      </w:tr>
      <w:tr w:rsidR="00234F41" w:rsidRPr="00DB0A49" w14:paraId="1583C76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5B8C21" w14:textId="1D60FC2A" w:rsidR="00234F41" w:rsidRPr="00DB0A49" w:rsidRDefault="002F3022" w:rsidP="00234F4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FEEC3A3" w14:textId="32D0F810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Ukazatel neomezeného očekávaného deficitu pro kategorii rizikových faktorů „kapitál“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14:paraId="4E1BA488" w14:textId="705548F0" w:rsidR="00234F41" w:rsidRPr="00DB0A49" w:rsidRDefault="7A25B94F" w:rsidP="140F9DE1">
            <w:pP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Zpřístupňovaná hodnota se vypočítá pro rizikové faktory kategorie akciového rizika podle článků 325bb, 325bc a 325bd nařízení (EU) č. 575/2013.</w:t>
            </w:r>
          </w:p>
        </w:tc>
      </w:tr>
      <w:tr w:rsidR="00B86E1A" w:rsidRPr="00DB0A49" w14:paraId="3E75A52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499A8B" w14:textId="729DAF1D" w:rsidR="00B86E1A" w:rsidRPr="00DB0A49" w:rsidRDefault="002F3022" w:rsidP="00B86E1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1D6A90B" w14:textId="77777777" w:rsidR="00B86E1A" w:rsidRPr="00AA44B0" w:rsidRDefault="00B86E1A" w:rsidP="00B86E1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Ukazatel neomezeného očekávaného deficitu pro kategorii rizikových faktorů „komodita“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0BA8462" w14:textId="47AECB7A" w:rsidR="00B86E1A" w:rsidRPr="00DB0A49" w:rsidRDefault="05EA5842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Zpřístupňovaná hodnota se vypočítá pro rizikové faktory kategorie komoditního rizika podle článků 325bb, 325bc a 325bd nařízení (EU) č. 575/2013.</w:t>
            </w:r>
          </w:p>
        </w:tc>
      </w:tr>
      <w:tr w:rsidR="002F3022" w:rsidRPr="00DB0A49" w14:paraId="1C3E96A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3DAF73" w14:textId="5051FDEF" w:rsidR="002F3022" w:rsidRPr="00DB0A49" w:rsidRDefault="002F3022" w:rsidP="002F302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F42D096" w14:textId="4FA1AF42" w:rsidR="002F3022" w:rsidRPr="00AA44B0" w:rsidRDefault="12ADB0E7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Ukazatel neomezeného očekávaného deficitu pro kategorii rizikových faktorů „cizí měna“</w:t>
            </w:r>
          </w:p>
          <w:p w14:paraId="1880B223" w14:textId="34F16589" w:rsidR="002F3022" w:rsidRPr="00DB0A49" w:rsidRDefault="1F3BA536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color w:val="44444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Zpřístupňovaná hodnota se vypočítá pro rizikové faktory kategorie měnového rizika podle článků 325bb, 325bc a 325bd nařízení (EU) č. 575/2013.</w:t>
            </w:r>
          </w:p>
        </w:tc>
      </w:tr>
      <w:tr w:rsidR="00234F41" w:rsidRPr="00DB0A49" w14:paraId="12D2798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B07D6BA" w14:textId="0E7E67E0" w:rsidR="00234F41" w:rsidRPr="00DB0A49" w:rsidRDefault="00572E3E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BE84B9" w14:textId="21B277FE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Ukazatel neomezeného očekávaného deficitu pro kategorii rizikových faktorů „úrokové rozpětí“ </w:t>
            </w:r>
          </w:p>
          <w:p w14:paraId="5C567B92" w14:textId="2263B6AC" w:rsidR="00234F41" w:rsidRPr="00DB0A49" w:rsidRDefault="79641B5E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Zpřístupňovaná hodnota se vypočítá pro rizikové faktory kategorie rizika úvěrového rozpětí podle článků 325bb, 325bc a 325bd nařízení (EU) č. 575/2013.</w:t>
            </w:r>
          </w:p>
        </w:tc>
      </w:tr>
      <w:tr w:rsidR="00234F41" w:rsidRPr="00DB0A49" w14:paraId="4B55EABD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1FDAC90" w14:textId="59585282" w:rsidR="00234F41" w:rsidRPr="00DB0A49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DB2F1C1" w14:textId="77777777" w:rsidR="00AA44B0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Součet ukazatele neomezeného očekávaného deficitu pro obecné kategorie rizikových faktorů </w:t>
            </w:r>
            <w:r>
              <w:rPr>
                <w:rFonts w:ascii="Times New Roman" w:hAnsi="Times New Roman"/>
                <w:sz w:val="24"/>
              </w:rPr>
              <w:t>(∑UES</w:t>
            </w:r>
            <w:r>
              <w:rPr>
                <w:rFonts w:ascii="Times New Roman" w:hAnsi="Times New Roman"/>
                <w:sz w:val="24"/>
                <w:vertAlign w:val="superscript"/>
              </w:rPr>
              <w:t>i</w:t>
            </w:r>
            <w:r>
              <w:rPr>
                <w:rFonts w:ascii="Times New Roman" w:hAnsi="Times New Roman"/>
                <w:sz w:val="24"/>
                <w:vertAlign w:val="subscript"/>
              </w:rPr>
              <w:t>t</w:t>
            </w:r>
            <w:r>
              <w:rPr>
                <w:rFonts w:ascii="Times New Roman" w:hAnsi="Times New Roman"/>
                <w:sz w:val="24"/>
              </w:rPr>
              <w:t xml:space="preserve">) </w:t>
            </w:r>
          </w:p>
          <w:p w14:paraId="014CC777" w14:textId="17C0E236" w:rsidR="00234F41" w:rsidRPr="00AA44B0" w:rsidRDefault="00F80764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řádků 2 až 6</w:t>
            </w:r>
          </w:p>
          <w:p w14:paraId="0D4B3B7E" w14:textId="0C505591" w:rsidR="00234F41" w:rsidRPr="00DB0A49" w:rsidRDefault="00234F41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</w:p>
        </w:tc>
      </w:tr>
      <w:tr w:rsidR="00234F41" w:rsidRPr="00DB0A49" w14:paraId="329330E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256B5C8" w14:textId="228F99DD" w:rsidR="00234F41" w:rsidRPr="00DB0A49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988D5B" w14:textId="6487394C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Ukazatel očekávaného deficitu (ES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3985A7B9" w14:textId="37C4DB19" w:rsidR="00234F41" w:rsidRPr="00DB0A49" w:rsidRDefault="5D2FC7FD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Ukazatel očekávaného deficitu se vypočítá v souladu s čl. 325ba odst. 1 písm. a) bodem i) nařízení (EU) č. 575/2013.</w:t>
            </w:r>
          </w:p>
        </w:tc>
      </w:tr>
      <w:tr w:rsidR="00234F41" w:rsidRPr="00AA772E" w14:paraId="5C7A25A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0EB380" w14:textId="3CBA7B62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6CE40AF" w14:textId="0618CAD3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Rizikový ukazatel zátěžového scénáře (SS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1A984573" w14:textId="59113B26" w:rsidR="00234F41" w:rsidRPr="00DB0A49" w:rsidRDefault="060F6C17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Rizikový ukazatel zátěžového scénáře se vypočítá v souladu s čl. 325ba odst. 1 písm. a) bodem ii) nařízení (EU) č. 575/2013.</w:t>
            </w:r>
          </w:p>
        </w:tc>
      </w:tr>
      <w:tr w:rsidR="00234F41" w:rsidRPr="00AA772E" w14:paraId="3AAE30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8C72FB" w14:textId="2E7D9982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9FBF8F2" w14:textId="1A7A8A4A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Požadavek k riziku selhání (DRC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0AF5675B" w14:textId="1F8133B2" w:rsidR="00234F41" w:rsidRPr="00DB0A49" w:rsidRDefault="654BF7D8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Požadavek k riziku selhání se vypočítá v souladu s čl. 325ba odst. 2 písm. a) nařízení (EU) č. 575/2013.</w:t>
            </w:r>
          </w:p>
        </w:tc>
      </w:tr>
      <w:tr w:rsidR="00234F41" w:rsidRPr="00AA772E" w14:paraId="001F5A7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3795AF9" w14:textId="7BC27148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6C377DB" w14:textId="02406F87" w:rsidR="00234F41" w:rsidRPr="00AA44B0" w:rsidRDefault="1AC2462E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PLAnavýšení (PLAaddon)</w:t>
            </w:r>
          </w:p>
          <w:p w14:paraId="72CEFFB9" w14:textId="21DFFB57" w:rsidR="00234F41" w:rsidRPr="00DB0A49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Tato hodnota se vypočítá v souladu s čl. 325ba odst. 3 nařízení (EU) č. 575/2013 ve spojení s čl. 10 odst. 1 nařízení (EU) 2022/2059.</w:t>
            </w:r>
          </w:p>
        </w:tc>
      </w:tr>
      <w:tr w:rsidR="00234F41" w:rsidRPr="00AA772E" w14:paraId="1E5CB73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8C254C1" w14:textId="74B26BA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675D025" w14:textId="6D4C388A" w:rsidR="00234F41" w:rsidRPr="00AA44B0" w:rsidRDefault="11A57A2D" w:rsidP="140F9DE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OFR pro rozvahové a podrozvahové položky plus PLAnavýšení (AIMA + PLAaddon)</w:t>
            </w:r>
          </w:p>
          <w:p w14:paraId="595AB2F9" w14:textId="23FB87CE" w:rsidR="00234F41" w:rsidRPr="00DB0A49" w:rsidRDefault="00234F41" w:rsidP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Tato hodnota se vypočítá v souladu s čl. 10 odst. 1 nařízení (EU) 2022/2059. Přičte se hodnota uvedená v řádku 11.</w:t>
            </w:r>
          </w:p>
        </w:tc>
      </w:tr>
      <w:tr w:rsidR="00234F41" w:rsidRPr="00AA772E" w14:paraId="4CFEF04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4323EEB1" w14:textId="3C3F701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4FCE8B3" w14:textId="20C19D22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Celkové ASA OFR pro obchodní útvary nezpůsobilé k používání AIMA (ASAnon-aima)</w:t>
            </w:r>
          </w:p>
          <w:p w14:paraId="010A62FB" w14:textId="286F0BA2" w:rsidR="00234F41" w:rsidRPr="00DB0A49" w:rsidRDefault="11B9774E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Tato hodnota se vypočítá v souladu s čl. 325ba odst. 3 nařízení (EU) č. 575/2013.</w:t>
            </w:r>
          </w:p>
        </w:tc>
      </w:tr>
      <w:tr w:rsidR="00234F41" w:rsidRPr="00AA772E" w14:paraId="2E80D7EC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32017943" w14:textId="29CFFEEE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7A4C34B" w14:textId="20DBF86B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Rozdíl v OFR podle AIMA a ASA pro obchodní útvary AIMA (AIMA – ASAaima)</w:t>
            </w:r>
          </w:p>
          <w:p w14:paraId="326E0483" w14:textId="73A09039" w:rsidR="00234F41" w:rsidRPr="00DB0A49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Tato hodnota se vypočítá jako rozdíl mezi kapitálovými požadavky na útvary AIMA (čl. 10 odst. 1 nařízení (EU) 2022/2059) a hodnotou kapitálových požadavků ASA pro všechny útvary AIMA (zobrazení portfolia) (čl. 10 odst. 1 nařízení (EU) 2022/2059).</w:t>
            </w:r>
          </w:p>
        </w:tc>
      </w:tr>
      <w:tr w:rsidR="00234F41" w:rsidRPr="00AA772E" w14:paraId="04D8994F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E08381D" w14:textId="6243191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1DBA1AB" w14:textId="2D7FAA07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ASA OFR pro všechny obchodní útvary (včetně těch, na něž se vztahuje AIMA) (ASAall portfolio)</w:t>
            </w:r>
          </w:p>
          <w:p w14:paraId="7232E72B" w14:textId="0064FE14" w:rsidR="00234F41" w:rsidRPr="00DB0A49" w:rsidRDefault="3A829CD0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Tato hodnota se vypočítá v souladu s čl. 325ba odst. 3 nařízení (EU) č. 575/2013.</w:t>
            </w:r>
          </w:p>
        </w:tc>
      </w:tr>
      <w:tr w:rsidR="00234F41" w:rsidRPr="00AA772E" w14:paraId="1AA0793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875442B" w14:textId="25353664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E1B75E7" w14:textId="2021ED29" w:rsidR="00234F41" w:rsidRPr="00FE3752" w:rsidRDefault="471075D0" w:rsidP="3821DFBC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Celkové kapitálové požadavky pro AIMA (TotalAIMA)</w:t>
            </w:r>
          </w:p>
          <w:p w14:paraId="11A40A93" w14:textId="2A4DA65C" w:rsidR="00234F41" w:rsidRPr="00DB0A49" w:rsidRDefault="7D4B7A18" w:rsidP="3821DFBC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Tato hodnota se vypočítá v souladu s čl. 325ba odst. 3 nařízení (EU) č. 575/2013. </w:t>
            </w:r>
          </w:p>
        </w:tc>
      </w:tr>
      <w:tr w:rsidR="00234F41" w:rsidRPr="001F1865" w14:paraId="6CF294F9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D7C567" w14:textId="77777777" w:rsidR="00234F41" w:rsidRPr="001F1865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0A2FF6" w14:textId="77777777" w:rsidR="00234F41" w:rsidRPr="001F1865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234F41" w:rsidRPr="00AA772E" w14:paraId="691830EE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F2D892" w14:textId="13945D56" w:rsidR="00234F41" w:rsidRPr="00445013" w:rsidRDefault="00234F41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BC3495" w14:textId="6299B921" w:rsidR="00234F41" w:rsidRPr="00DB0A49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Zpřístupnění informací o nejnovějším rizikovém ukazateli [řádky 1 až 10] nebo kapitálových požadavcích [řádky 11 až 16] v běžném čtvrtletí. </w:t>
            </w:r>
          </w:p>
        </w:tc>
      </w:tr>
      <w:tr w:rsidR="00825C6F" w:rsidRPr="00AA772E" w14:paraId="3E585EB2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1655A" w14:textId="6A209115" w:rsidR="00825C6F" w:rsidRPr="00445013" w:rsidRDefault="00825C6F" w:rsidP="00825C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9F853" w14:textId="5237A310" w:rsidR="00825C6F" w:rsidRPr="00445013" w:rsidRDefault="00825C6F" w:rsidP="3821DF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Střední hodnota rizikového ukazatele [řádky 1 až 10] za předchozích 60 obchodních dnů [řádky 1 až 9] nebo za předchozích 12 týdnů [řádek 10] v běžném čtvrtletí.</w:t>
            </w:r>
          </w:p>
        </w:tc>
      </w:tr>
      <w:tr w:rsidR="00234F41" w:rsidRPr="00AA772E" w14:paraId="541E044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9A3D63" w14:textId="38507D4F" w:rsidR="00234F41" w:rsidRPr="00445013" w:rsidRDefault="00825C6F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0E847" w14:textId="02E42442" w:rsidR="00234F41" w:rsidRPr="00445013" w:rsidRDefault="00234F41" w:rsidP="3821DF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Nejvyšší rizikový ukazatel za předchozích 60 obchodních dnů [řádky 1 až 6] v běžném čtvrtletí.</w:t>
            </w:r>
          </w:p>
        </w:tc>
      </w:tr>
      <w:tr w:rsidR="00234F41" w:rsidRPr="00AA772E" w14:paraId="517652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185729" w14:textId="054FA251" w:rsidR="00234F41" w:rsidRPr="00445013" w:rsidRDefault="00825C6F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A32AC" w14:textId="30C74DA0" w:rsidR="00234F41" w:rsidRPr="00445013" w:rsidRDefault="00234F41" w:rsidP="3821DF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Nejnižší rizikový ukazatel za předchozích 60 obchodních dnů [řádek 1 až 6] v běžném čtvrtletí.</w:t>
            </w:r>
          </w:p>
        </w:tc>
      </w:tr>
      <w:tr w:rsidR="00234F41" w:rsidRPr="00AA772E" w14:paraId="41E2A894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FA296F" w14:textId="5510FEEB" w:rsidR="00234F41" w:rsidRPr="00445013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57FA4A" w14:textId="0166676A" w:rsidR="00234F41" w:rsidRPr="00445013" w:rsidRDefault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Počet překročení podle zpětného testování [řádek 1]</w:t>
            </w:r>
          </w:p>
          <w:p w14:paraId="486CF129" w14:textId="49048050" w:rsidR="00234F41" w:rsidRPr="00445013" w:rsidRDefault="51A69309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Počtem překročení vykázaných v této buňce je počet použitý ke stanovení navýšení podle tabulky 3 v čl. 325bf odst. 6 písm. b) nařízení (EU) č. 575/2013. Překročení, která jsou se svolením příslušného orgánu vyloučena, se nezahrnují.</w:t>
            </w:r>
          </w:p>
        </w:tc>
      </w:tr>
      <w:tr w:rsidR="00234F41" w:rsidRPr="00AA772E" w14:paraId="4299B6F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441333" w14:textId="19304036" w:rsidR="00234F41" w:rsidRPr="00445013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8BD1C0" w14:textId="66C9B10A" w:rsidR="00234F41" w:rsidRPr="00445013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Nejnovější rizikový ukazatel [řádky 1 až 10] nebo kapitálové požadavky [řádky 11 až 16] v předchozím čtvrtletí. </w:t>
            </w:r>
          </w:p>
        </w:tc>
      </w:tr>
      <w:tr w:rsidR="00234F41" w:rsidRPr="001F1865" w14:paraId="2CC4031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83754D" w14:textId="4239198E" w:rsidR="00234F41" w:rsidRPr="001F1865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88BFF1" w14:textId="1DB2F358" w:rsidR="00234F41" w:rsidRPr="001F1865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Střední hodnota rizikového ukazatele [řádky 1 až 10] za předchozích 60 obchodních dnů [řádky 1 až 9] nebo za předchozích 12 týdnů [řádek 10] v předchozím čtvrtletí.</w:t>
            </w:r>
          </w:p>
        </w:tc>
      </w:tr>
    </w:tbl>
    <w:p w14:paraId="60061E4C" w14:textId="6CE0B0D3" w:rsidR="00AA4A0F" w:rsidRPr="00505231" w:rsidRDefault="00AA4A0F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p w14:paraId="7EADC0A6" w14:textId="5B12A297" w:rsidR="00AA4A0F" w:rsidRPr="001F1865" w:rsidRDefault="00AA4A0F" w:rsidP="140F9DE1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Šablona EU MR 3 – Tržní riziko podle zjednodušeného standardizovaného přístupu (SSA)</w:t>
      </w:r>
      <w:r>
        <w:rPr>
          <w:rFonts w:ascii="Times New Roman" w:hAnsi="Times New Roman"/>
          <w:color w:val="auto"/>
          <w:sz w:val="24"/>
        </w:rPr>
        <w:t>: pevně daný formát</w:t>
      </w:r>
    </w:p>
    <w:p w14:paraId="6AC491D2" w14:textId="6E61C37E" w:rsidR="00AA4A0F" w:rsidRPr="001F1865" w:rsidRDefault="00AA4A0F" w:rsidP="00DB0A49">
      <w:pPr>
        <w:pStyle w:val="Titlelevel2"/>
        <w:numPr>
          <w:ilvl w:val="0"/>
          <w:numId w:val="5"/>
        </w:numPr>
        <w:spacing w:before="0"/>
        <w:ind w:left="284" w:hanging="284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Informace uvedené v článku 445 nařízení (EU) č. 575/2013 zpřístupňují instituce podle níže uvedených pokynů k vyplnění šablony EU MR 3, obsažené v příloze XXIX IT řešení.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AA4A0F" w:rsidRPr="001F1865" w14:paraId="31CE5A52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1B0653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AA4A0F" w:rsidRPr="001F1865" w14:paraId="5141F34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46BD028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Řádek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1D7C9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AA4A0F" w:rsidRPr="001F1865" w14:paraId="2557E2E3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A1E50F1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141434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eastAsia="ja-JP"/>
              </w:rPr>
            </w:pPr>
          </w:p>
        </w:tc>
      </w:tr>
      <w:tr w:rsidR="00AA4A0F" w:rsidRPr="001F1865" w14:paraId="739AED95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E9B2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133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Úrokové riziko (obecné a specifické) </w:t>
            </w:r>
          </w:p>
          <w:p w14:paraId="53976F70" w14:textId="7239AE46" w:rsidR="00AA4A0F" w:rsidRPr="001F1865" w:rsidRDefault="00AA4A0F" w:rsidP="0BE40342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Obecné a specifické riziko pozic v obchodovaných dluhových nástrojích v obchodním portfoliu v souladu s částí třetí hlavou IV kapitolou 2 nařízení (EU) č. 575/2013, s výjimkou specifického rizika spojeného se sekuritizací.</w:t>
            </w:r>
          </w:p>
        </w:tc>
      </w:tr>
      <w:tr w:rsidR="00AA4A0F" w:rsidRPr="001F1865" w14:paraId="3866E5CD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5B6D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676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Akciové riziko (obecné a specifické)</w:t>
            </w:r>
          </w:p>
          <w:p w14:paraId="7CB149BE" w14:textId="7EC2652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Obecné a specifické riziko pozic v akciích v obchodním portfoliu v souladu s částí třetí hlavou IV kapitolou 2 nařízení (EU) č. 575/2013.</w:t>
            </w:r>
          </w:p>
        </w:tc>
      </w:tr>
      <w:tr w:rsidR="00AA4A0F" w:rsidRPr="001F1865" w14:paraId="036D3FF7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B2FA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01EE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Komoditní riziko</w:t>
            </w:r>
          </w:p>
          <w:p w14:paraId="63B3CA85" w14:textId="0B927E14" w:rsidR="00AA4A0F" w:rsidRPr="001F1865" w:rsidRDefault="00AA4A0F" w:rsidP="0BE40342">
            <w:pPr>
              <w:spacing w:after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Riziko pozic v komoditách podle části třetí hlavy IV kapitoly 4 nařízení (EU) č. 575/2013.</w:t>
            </w:r>
          </w:p>
        </w:tc>
      </w:tr>
      <w:tr w:rsidR="00AA4A0F" w:rsidRPr="001F1865" w14:paraId="7A3EA1BB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8C93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8C77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Měnové riziko</w:t>
            </w:r>
          </w:p>
          <w:p w14:paraId="0EF57964" w14:textId="5BB6583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Riziko pozic v cizí měně podle části třetí hlavy IV kapitoly 3 nařízení (EU) č. 575/2013.</w:t>
            </w:r>
          </w:p>
        </w:tc>
      </w:tr>
      <w:tr w:rsidR="00AA4A0F" w:rsidRPr="001F1865" w14:paraId="510BA8A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69CF" w14:textId="77777777" w:rsidR="00AA4A0F" w:rsidRPr="001F1865" w:rsidRDefault="00AA4A0F" w:rsidP="00DE09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132C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Sekuritizace (specifické riziko)</w:t>
            </w:r>
          </w:p>
          <w:p w14:paraId="20BB6B2F" w14:textId="370CD600" w:rsidR="00AA4A0F" w:rsidRPr="00DE72D6" w:rsidRDefault="00AA4A0F" w:rsidP="00DE0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</w:rPr>
              <w:t>Specifické riziko sekuritizovaných pozic v obchodním portfoliu podle části třetí hlavy IV kapitoly 2 článků 337 a 338 nařízení (EU) č. 575/2013.</w:t>
            </w:r>
          </w:p>
        </w:tc>
      </w:tr>
      <w:tr w:rsidR="00AA4A0F" w:rsidRPr="001F1865" w14:paraId="7C502C6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68C1" w14:textId="77777777" w:rsidR="00AA4A0F" w:rsidRPr="001F1865" w:rsidRDefault="00AA4A0F" w:rsidP="00DE09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9167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OFR S-SA celkem </w:t>
            </w:r>
          </w:p>
          <w:p w14:paraId="5DD2D55D" w14:textId="027A9E83" w:rsidR="00AA4A0F" w:rsidRPr="001F1865" w:rsidRDefault="00AA4A0F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Zpřístupňování informací o kapitálových požadavcích podle čl. 438 písm. d) nařízení (EU) č. 575/2013, vypočtených jako prostý součet částek ve výše uvedených řádcích 1 až 5 ve sloupci a, jakož i vypočtených jako prostý součet částek ve výše uvedených řádcích 1 až 4 ve sloupcích b), c) a d).</w:t>
            </w:r>
          </w:p>
        </w:tc>
      </w:tr>
      <w:tr w:rsidR="00AA4A0F" w:rsidRPr="001F1865" w14:paraId="56185555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50AB2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381206" w14:textId="77777777" w:rsidR="00AA4A0F" w:rsidRPr="00DB0A49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AA4A0F" w:rsidRPr="001F1865" w14:paraId="2E9CE45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E7FF5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FD14A" w14:textId="77777777" w:rsidR="00AA4A0F" w:rsidRPr="00FE3752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Přímé produkty</w:t>
            </w:r>
          </w:p>
        </w:tc>
      </w:tr>
      <w:tr w:rsidR="00AA4A0F" w:rsidRPr="001F1865" w14:paraId="5A2CAA0E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87F" w14:textId="77777777" w:rsidR="00AA4A0F" w:rsidRPr="001F1865" w:rsidRDefault="00AA4A0F" w:rsidP="00DE090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E82" w14:textId="3E3EB933" w:rsidR="00AA4A0F" w:rsidRPr="00DB0A49" w:rsidRDefault="00AA4A0F" w:rsidP="00DE090B">
            <w:pPr>
              <w:rPr>
                <w:rFonts w:ascii="Times New Roman" w:eastAsia="Calibri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Pozice v produktech, které nejsou volitelné a nejsou zahrnuty do přístupů regulačních technických norem pro rizika opcí jiná než rizika delta v rámci standardizovaného přístupu k tržním rizikům</w:t>
            </w:r>
            <w:r w:rsidRPr="00DB0A49">
              <w:rPr>
                <w:rFonts w:ascii="Times New Roman" w:eastAsia="Calibri" w:hAnsi="Times New Roman" w:cs="Times New Roman"/>
                <w:szCs w:val="22"/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1F1865" w14:paraId="198A0D0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84CA33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4E150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Opce</w:t>
            </w:r>
          </w:p>
        </w:tc>
      </w:tr>
      <w:tr w:rsidR="00AA4A0F" w:rsidRPr="001F1865" w14:paraId="4D311DFE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A58E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FC3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Zjednodušená metoda</w:t>
            </w:r>
          </w:p>
          <w:p w14:paraId="71365A3F" w14:textId="32ACEA9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Opce nebo opční listy definované v části třetí hlavě IV kapitole 2 čl. 329 odst. 3 nařízení (EU) č. 575/2013, pro které instituce vypočítávají kapitálové požadavky související s jiným rizikem než rizikem delta pomocí zjednodušeného přístupu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4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1F1865" w14:paraId="4189105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83E5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D43E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Metoda Delta-plus</w:t>
            </w:r>
          </w:p>
          <w:p w14:paraId="4982FF4D" w14:textId="11E24DA9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Opce nebo opční listy v obchodním portfoliu ve smyslu části třetí hlavy IV kapitoly 2 čl. 329 odst. 3 nařízení (EU) č. 575/2013, pro které instituce vypočítávají kapitálové požadavky související s jiným rizikem než rizikem delta pomocí přístupu delta plus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5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1F1865" w14:paraId="4EBB665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3ACF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FE4D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Přístup podle scénáře</w:t>
            </w:r>
          </w:p>
          <w:p w14:paraId="2B78A76A" w14:textId="583FBB66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Opce nebo opční listy v obchodním portfoliu ve smyslu části třetí hlavy IV kapitoly 2 čl. 329 odst. 3 nařízení (EU) č. 575/2013, pro které instituce vypočítávají kapitálové požadavky související s rizikem jiným než delta pomocí přístupu podle scénáře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6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79592B57" w14:textId="77777777" w:rsidR="00931C32" w:rsidRPr="00505231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sectPr w:rsidR="00931C32" w:rsidRPr="0050523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1A622" w14:textId="77777777" w:rsidR="00F2772C" w:rsidRDefault="00F2772C" w:rsidP="00931C32">
      <w:r>
        <w:separator/>
      </w:r>
    </w:p>
  </w:endnote>
  <w:endnote w:type="continuationSeparator" w:id="0">
    <w:p w14:paraId="5609A27D" w14:textId="77777777" w:rsidR="00F2772C" w:rsidRDefault="00F2772C" w:rsidP="00931C32">
      <w:r>
        <w:continuationSeparator/>
      </w:r>
    </w:p>
  </w:endnote>
  <w:endnote w:type="continuationNotice" w:id="1">
    <w:p w14:paraId="2EEBBAF9" w14:textId="77777777" w:rsidR="00677CBD" w:rsidRDefault="00677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29608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B6A1F2" w14:textId="77777777" w:rsidR="001E400B" w:rsidRDefault="001E40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585">
          <w:t>14</w:t>
        </w:r>
        <w:r>
          <w:fldChar w:fldCharType="end"/>
        </w:r>
      </w:p>
    </w:sdtContent>
  </w:sdt>
  <w:p w14:paraId="2946DB82" w14:textId="77777777" w:rsidR="001E400B" w:rsidRDefault="001E40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7FBD0" w14:textId="77777777" w:rsidR="00F2772C" w:rsidRDefault="00F2772C" w:rsidP="00931C32">
      <w:r>
        <w:separator/>
      </w:r>
    </w:p>
  </w:footnote>
  <w:footnote w:type="continuationSeparator" w:id="0">
    <w:p w14:paraId="012E5BFC" w14:textId="77777777" w:rsidR="00F2772C" w:rsidRDefault="00F2772C" w:rsidP="00931C32">
      <w:r>
        <w:continuationSeparator/>
      </w:r>
    </w:p>
  </w:footnote>
  <w:footnote w:type="continuationNotice" w:id="1">
    <w:p w14:paraId="05A445BA" w14:textId="77777777" w:rsidR="00677CBD" w:rsidRDefault="00677CBD"/>
  </w:footnote>
  <w:footnote w:id="2">
    <w:p w14:paraId="62EBF3C5" w14:textId="4E8F5FFE" w:rsidR="00931C32" w:rsidRPr="00222AAB" w:rsidRDefault="00931C32" w:rsidP="007F0B68">
      <w:pPr>
        <w:pStyle w:val="FootnoteText"/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Nařízení Evropského parlamentu a Rady (EU) č. 575/2013 ze dne 26. června 2013 o obezřetnostních požadavcích na úvěrové instituce a o změně nařízení (EU) č. 648/2012 ve znění nařízení (EU) 2024/1623 (</w:t>
      </w:r>
      <w:hyperlink r:id="rId1" w:history="1">
        <w:r>
          <w:rPr>
            <w:rStyle w:val="Hyperlink"/>
            <w:color w:val="800080"/>
          </w:rPr>
          <w:t>Úř. věst. L 176, 27.6.2013, s. 1</w:t>
        </w:r>
      </w:hyperlink>
      <w:r>
        <w:t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nařízení – EU – 2024/1623 – CS – EUR-Lex (europa.eu)</w:t>
        </w:r>
      </w:hyperlink>
      <w:r>
        <w:rPr>
          <w:color w:val="444444"/>
        </w:rPr>
        <w:t>).</w:t>
      </w:r>
    </w:p>
  </w:footnote>
  <w:footnote w:id="3">
    <w:p w14:paraId="6651B5AC" w14:textId="77777777" w:rsidR="00AA4A0F" w:rsidRPr="008158FF" w:rsidRDefault="00AA4A0F" w:rsidP="00AA4A0F">
      <w:pPr>
        <w:pStyle w:val="FootnoteText"/>
      </w:pPr>
      <w:r>
        <w:footnoteRef/>
      </w:r>
      <w:r>
        <w:t xml:space="preserve"> </w:t>
      </w:r>
      <w:r>
        <w:tab/>
        <w:t>Jak je definováno v NAŘÍZENÍ KOMISE V PŘENESENÉ PRAVOMOCI (EU) č. 528/2014 ze dne 12. března 2014, kterým se doplňuje nařízení Evropského parlamentu a Rady (EU) č. 575/2013, pokud jde o regulační technické normy pro rizika opcí jiná než rizika delta v rámci standardizovaného přístupu k tržním rizikům (Úř. věst. L 148, 20.5.2014, s. 29).</w:t>
      </w:r>
    </w:p>
  </w:footnote>
  <w:footnote w:id="4">
    <w:p w14:paraId="67B37F98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Jak je definováno v NAŘÍZENÍ KOMISE V PŘENESENÉ PRAVOMOCI (EU) č. 528/2014 ze dne 12. března 2014, kterým se doplňuje nařízení Evropského parlamentu a Rady (EU) č. 575/2013, pokud jde o regulační technické normy pro rizika opcí jiná než rizika delta v rámci standardizovaného přístupu k tržním rizikům (Úř. věst. L 148, 20.5.2014, s. 29).</w:t>
      </w:r>
    </w:p>
  </w:footnote>
  <w:footnote w:id="5">
    <w:p w14:paraId="6C32CA93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Jak je definováno v NAŘÍZENÍ KOMISE V PŘENESENÉ PRAVOMOCI (EU) č. 528/2014 ze dne 12. března 2014, kterým se doplňuje nařízení Evropského parlamentu a Rady (EU) č. 575/2013, pokud jde o regulační technické normy pro rizika opcí jiná než rizika delta v rámci standardizovaného přístupu k tržním rizikům (Úř. věst. L 148, 20.5.2014, s. 29).</w:t>
      </w:r>
    </w:p>
  </w:footnote>
  <w:footnote w:id="6">
    <w:p w14:paraId="739259DE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Jak je definováno v NAŘÍZENÍ KOMISE V PŘENESENÉ PRAVOMOCI (EU) č. 528/2014 ze dne 12. března 2014, kterým se doplňuje nařízení Evropského parlamentu a Rady (EU) č. 575/2013, pokud jde o regulační technické normy pro rizika opcí jiná než rizika delta v rámci standardizovaného přístupu k tržním rizikům (Úř. věst. L 148, 20.5.2014, s. 29).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EF00" w14:textId="2FF13506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38BE4FF" wp14:editId="37B8D3A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56FCDE" w14:textId="162F82C7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8BE4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– pravidelné používání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A56FCDE" w14:textId="162F82C7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273E788A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7F8E82E" wp14:editId="22A30FA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3" name="Text Box 3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81BB6A" w14:textId="11FFB457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F8E82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– pravidelné používání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E81BB6A" w14:textId="11FFB457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9945" w14:textId="5EFD03C3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B864388" wp14:editId="43407DD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9E11F3" w14:textId="6F23960E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8643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– pravidelné používání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49E11F3" w14:textId="6F23960E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75914"/>
    <w:multiLevelType w:val="hybridMultilevel"/>
    <w:tmpl w:val="9A60C088"/>
    <w:lvl w:ilvl="0" w:tplc="858CAB9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B3313"/>
    <w:multiLevelType w:val="hybridMultilevel"/>
    <w:tmpl w:val="3FB20E04"/>
    <w:lvl w:ilvl="0" w:tplc="0804D116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  <w:lang w:val="en-GB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44831"/>
    <w:multiLevelType w:val="hybridMultilevel"/>
    <w:tmpl w:val="7B5E3790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D5598"/>
    <w:multiLevelType w:val="hybridMultilevel"/>
    <w:tmpl w:val="3C1C691C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2ECD9"/>
    <w:multiLevelType w:val="hybridMultilevel"/>
    <w:tmpl w:val="FFFFFFFF"/>
    <w:lvl w:ilvl="0" w:tplc="E932B00C">
      <w:start w:val="1"/>
      <w:numFmt w:val="decimal"/>
      <w:lvlText w:val="%1."/>
      <w:lvlJc w:val="left"/>
      <w:pPr>
        <w:ind w:left="720" w:hanging="360"/>
      </w:pPr>
    </w:lvl>
    <w:lvl w:ilvl="1" w:tplc="48C88220">
      <w:start w:val="1"/>
      <w:numFmt w:val="lowerLetter"/>
      <w:lvlText w:val="%2."/>
      <w:lvlJc w:val="left"/>
      <w:pPr>
        <w:ind w:left="1440" w:hanging="360"/>
      </w:pPr>
    </w:lvl>
    <w:lvl w:ilvl="2" w:tplc="7E166E12">
      <w:start w:val="1"/>
      <w:numFmt w:val="lowerRoman"/>
      <w:lvlText w:val="%3."/>
      <w:lvlJc w:val="right"/>
      <w:pPr>
        <w:ind w:left="2160" w:hanging="180"/>
      </w:pPr>
    </w:lvl>
    <w:lvl w:ilvl="3" w:tplc="10D641B0">
      <w:start w:val="1"/>
      <w:numFmt w:val="decimal"/>
      <w:lvlText w:val="%4."/>
      <w:lvlJc w:val="left"/>
      <w:pPr>
        <w:ind w:left="2880" w:hanging="360"/>
      </w:pPr>
    </w:lvl>
    <w:lvl w:ilvl="4" w:tplc="51DA6A34">
      <w:start w:val="1"/>
      <w:numFmt w:val="lowerLetter"/>
      <w:lvlText w:val="%5."/>
      <w:lvlJc w:val="left"/>
      <w:pPr>
        <w:ind w:left="3600" w:hanging="360"/>
      </w:pPr>
    </w:lvl>
    <w:lvl w:ilvl="5" w:tplc="B596B25E">
      <w:start w:val="1"/>
      <w:numFmt w:val="lowerRoman"/>
      <w:lvlText w:val="%6."/>
      <w:lvlJc w:val="right"/>
      <w:pPr>
        <w:ind w:left="4320" w:hanging="180"/>
      </w:pPr>
    </w:lvl>
    <w:lvl w:ilvl="6" w:tplc="5E96F650">
      <w:start w:val="1"/>
      <w:numFmt w:val="decimal"/>
      <w:lvlText w:val="%7."/>
      <w:lvlJc w:val="left"/>
      <w:pPr>
        <w:ind w:left="5040" w:hanging="360"/>
      </w:pPr>
    </w:lvl>
    <w:lvl w:ilvl="7" w:tplc="16062A40">
      <w:start w:val="1"/>
      <w:numFmt w:val="lowerLetter"/>
      <w:lvlText w:val="%8."/>
      <w:lvlJc w:val="left"/>
      <w:pPr>
        <w:ind w:left="5760" w:hanging="360"/>
      </w:pPr>
    </w:lvl>
    <w:lvl w:ilvl="8" w:tplc="20CE046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FB826"/>
    <w:multiLevelType w:val="hybridMultilevel"/>
    <w:tmpl w:val="FFFFFFFF"/>
    <w:lvl w:ilvl="0" w:tplc="916C4F7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2CE8F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267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C034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48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E2C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72E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84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A0F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159B3"/>
    <w:multiLevelType w:val="hybridMultilevel"/>
    <w:tmpl w:val="01102932"/>
    <w:lvl w:ilvl="0" w:tplc="674E8D52">
      <w:start w:val="6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270715">
    <w:abstractNumId w:val="6"/>
  </w:num>
  <w:num w:numId="2" w16cid:durableId="1371295629">
    <w:abstractNumId w:val="5"/>
  </w:num>
  <w:num w:numId="3" w16cid:durableId="1245528726">
    <w:abstractNumId w:val="3"/>
  </w:num>
  <w:num w:numId="4" w16cid:durableId="164059399">
    <w:abstractNumId w:val="2"/>
  </w:num>
  <w:num w:numId="5" w16cid:durableId="1786731752">
    <w:abstractNumId w:val="7"/>
  </w:num>
  <w:num w:numId="6" w16cid:durableId="1612781493">
    <w:abstractNumId w:val="0"/>
  </w:num>
  <w:num w:numId="7" w16cid:durableId="1525171532">
    <w:abstractNumId w:val="4"/>
  </w:num>
  <w:num w:numId="8" w16cid:durableId="67476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1"/>
  <w:removePersonalInformation/>
  <w:removeDateAndTime/>
  <w:activeWritingStyle w:appName="MSWord" w:lang="en-GB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EC2249"/>
    <w:rsid w:val="000336E7"/>
    <w:rsid w:val="0003639D"/>
    <w:rsid w:val="000370C1"/>
    <w:rsid w:val="00090EA4"/>
    <w:rsid w:val="000B08B4"/>
    <w:rsid w:val="000C11E2"/>
    <w:rsid w:val="000C7025"/>
    <w:rsid w:val="000D77D3"/>
    <w:rsid w:val="001018F4"/>
    <w:rsid w:val="001057C3"/>
    <w:rsid w:val="0011346D"/>
    <w:rsid w:val="00160583"/>
    <w:rsid w:val="001609D9"/>
    <w:rsid w:val="001737C7"/>
    <w:rsid w:val="00180294"/>
    <w:rsid w:val="001941CB"/>
    <w:rsid w:val="001B4290"/>
    <w:rsid w:val="001B6FDE"/>
    <w:rsid w:val="001D2F69"/>
    <w:rsid w:val="001E400B"/>
    <w:rsid w:val="001E5FF3"/>
    <w:rsid w:val="001F1865"/>
    <w:rsid w:val="00200AE2"/>
    <w:rsid w:val="00214362"/>
    <w:rsid w:val="002316A7"/>
    <w:rsid w:val="00234F41"/>
    <w:rsid w:val="00243650"/>
    <w:rsid w:val="00257A70"/>
    <w:rsid w:val="00260316"/>
    <w:rsid w:val="00264C63"/>
    <w:rsid w:val="00265D4A"/>
    <w:rsid w:val="00266BB6"/>
    <w:rsid w:val="002808D9"/>
    <w:rsid w:val="0028138E"/>
    <w:rsid w:val="002A353C"/>
    <w:rsid w:val="002C07D9"/>
    <w:rsid w:val="002C1404"/>
    <w:rsid w:val="002C44FE"/>
    <w:rsid w:val="002C5234"/>
    <w:rsid w:val="002F3022"/>
    <w:rsid w:val="002F7116"/>
    <w:rsid w:val="00313F1F"/>
    <w:rsid w:val="00347F3B"/>
    <w:rsid w:val="00350C8C"/>
    <w:rsid w:val="003711D5"/>
    <w:rsid w:val="003B4210"/>
    <w:rsid w:val="003B45C4"/>
    <w:rsid w:val="003C13EE"/>
    <w:rsid w:val="003E7DFC"/>
    <w:rsid w:val="003F26DE"/>
    <w:rsid w:val="00433034"/>
    <w:rsid w:val="0043C992"/>
    <w:rsid w:val="00445013"/>
    <w:rsid w:val="004832DE"/>
    <w:rsid w:val="00487226"/>
    <w:rsid w:val="00487DDA"/>
    <w:rsid w:val="00498A5B"/>
    <w:rsid w:val="0049D48D"/>
    <w:rsid w:val="004C112C"/>
    <w:rsid w:val="004D0D9E"/>
    <w:rsid w:val="00505231"/>
    <w:rsid w:val="00522E9A"/>
    <w:rsid w:val="00537B45"/>
    <w:rsid w:val="00572E3E"/>
    <w:rsid w:val="005938AD"/>
    <w:rsid w:val="005B429A"/>
    <w:rsid w:val="005C6FC8"/>
    <w:rsid w:val="005E135A"/>
    <w:rsid w:val="005E6E16"/>
    <w:rsid w:val="0060218B"/>
    <w:rsid w:val="00605F82"/>
    <w:rsid w:val="00621E9C"/>
    <w:rsid w:val="0065560D"/>
    <w:rsid w:val="00671C85"/>
    <w:rsid w:val="0067349D"/>
    <w:rsid w:val="00677CBD"/>
    <w:rsid w:val="0068248E"/>
    <w:rsid w:val="006852CB"/>
    <w:rsid w:val="006A5A7A"/>
    <w:rsid w:val="006B62CF"/>
    <w:rsid w:val="006BDE35"/>
    <w:rsid w:val="006D7761"/>
    <w:rsid w:val="006E3585"/>
    <w:rsid w:val="006E73FE"/>
    <w:rsid w:val="00701D8F"/>
    <w:rsid w:val="00714AE5"/>
    <w:rsid w:val="007336D9"/>
    <w:rsid w:val="007541E2"/>
    <w:rsid w:val="0079214C"/>
    <w:rsid w:val="00795618"/>
    <w:rsid w:val="007A4465"/>
    <w:rsid w:val="007D19BD"/>
    <w:rsid w:val="007D59E2"/>
    <w:rsid w:val="007E00FD"/>
    <w:rsid w:val="007E7D7A"/>
    <w:rsid w:val="007F0B68"/>
    <w:rsid w:val="007F14DD"/>
    <w:rsid w:val="007F2DC3"/>
    <w:rsid w:val="008158FF"/>
    <w:rsid w:val="00824BCF"/>
    <w:rsid w:val="00825C6F"/>
    <w:rsid w:val="00827740"/>
    <w:rsid w:val="00857EB9"/>
    <w:rsid w:val="00877F9B"/>
    <w:rsid w:val="008A05A4"/>
    <w:rsid w:val="008D03CB"/>
    <w:rsid w:val="009063C1"/>
    <w:rsid w:val="00911AB2"/>
    <w:rsid w:val="00931C32"/>
    <w:rsid w:val="00974577"/>
    <w:rsid w:val="0098272B"/>
    <w:rsid w:val="009874FB"/>
    <w:rsid w:val="009A6C30"/>
    <w:rsid w:val="00A50483"/>
    <w:rsid w:val="00A57E44"/>
    <w:rsid w:val="00A66CC7"/>
    <w:rsid w:val="00A71B45"/>
    <w:rsid w:val="00A75779"/>
    <w:rsid w:val="00A857E0"/>
    <w:rsid w:val="00A87CCE"/>
    <w:rsid w:val="00A93BC7"/>
    <w:rsid w:val="00A94820"/>
    <w:rsid w:val="00AA44B0"/>
    <w:rsid w:val="00AA4A0F"/>
    <w:rsid w:val="00AA772E"/>
    <w:rsid w:val="00AB6AC8"/>
    <w:rsid w:val="00AD6592"/>
    <w:rsid w:val="00AF5A1F"/>
    <w:rsid w:val="00B02BFD"/>
    <w:rsid w:val="00B17E7B"/>
    <w:rsid w:val="00B335DB"/>
    <w:rsid w:val="00B3658A"/>
    <w:rsid w:val="00B55C66"/>
    <w:rsid w:val="00B6384D"/>
    <w:rsid w:val="00B83EB1"/>
    <w:rsid w:val="00B86E1A"/>
    <w:rsid w:val="00B9598A"/>
    <w:rsid w:val="00BA0BDC"/>
    <w:rsid w:val="00BA2AA9"/>
    <w:rsid w:val="00BD6C00"/>
    <w:rsid w:val="00BE4793"/>
    <w:rsid w:val="00BE603F"/>
    <w:rsid w:val="00C06844"/>
    <w:rsid w:val="00C17F4F"/>
    <w:rsid w:val="00C213B7"/>
    <w:rsid w:val="00C225C5"/>
    <w:rsid w:val="00C3247D"/>
    <w:rsid w:val="00C45A99"/>
    <w:rsid w:val="00C53337"/>
    <w:rsid w:val="00C622B1"/>
    <w:rsid w:val="00C802F7"/>
    <w:rsid w:val="00C82CB4"/>
    <w:rsid w:val="00C84951"/>
    <w:rsid w:val="00CA0B40"/>
    <w:rsid w:val="00CD55C8"/>
    <w:rsid w:val="00CF112B"/>
    <w:rsid w:val="00CF17F8"/>
    <w:rsid w:val="00D0172B"/>
    <w:rsid w:val="00D45AA4"/>
    <w:rsid w:val="00D6625B"/>
    <w:rsid w:val="00D708CB"/>
    <w:rsid w:val="00D9145B"/>
    <w:rsid w:val="00D920BD"/>
    <w:rsid w:val="00DB0A49"/>
    <w:rsid w:val="00DE090B"/>
    <w:rsid w:val="00DE4020"/>
    <w:rsid w:val="00DE5B78"/>
    <w:rsid w:val="00DE72D6"/>
    <w:rsid w:val="00DF6C74"/>
    <w:rsid w:val="00DF7AF6"/>
    <w:rsid w:val="00E077AE"/>
    <w:rsid w:val="00E21B21"/>
    <w:rsid w:val="00E31B3A"/>
    <w:rsid w:val="00E33CFA"/>
    <w:rsid w:val="00E374FB"/>
    <w:rsid w:val="00E52C25"/>
    <w:rsid w:val="00E67450"/>
    <w:rsid w:val="00E7623F"/>
    <w:rsid w:val="00E8357D"/>
    <w:rsid w:val="00E9795A"/>
    <w:rsid w:val="00EA5911"/>
    <w:rsid w:val="00EB0DA2"/>
    <w:rsid w:val="00EC10EF"/>
    <w:rsid w:val="00EC2249"/>
    <w:rsid w:val="00F0799F"/>
    <w:rsid w:val="00F2772C"/>
    <w:rsid w:val="00F5701F"/>
    <w:rsid w:val="00F66685"/>
    <w:rsid w:val="00F806E6"/>
    <w:rsid w:val="00F80764"/>
    <w:rsid w:val="00F85A37"/>
    <w:rsid w:val="00F96CAA"/>
    <w:rsid w:val="00FB1DFD"/>
    <w:rsid w:val="00FC71A8"/>
    <w:rsid w:val="00FE3752"/>
    <w:rsid w:val="00FF5D12"/>
    <w:rsid w:val="013AE0EC"/>
    <w:rsid w:val="013E6BA9"/>
    <w:rsid w:val="01D445E4"/>
    <w:rsid w:val="01DD6D36"/>
    <w:rsid w:val="01DFB7EB"/>
    <w:rsid w:val="01E12F8D"/>
    <w:rsid w:val="01E55ABC"/>
    <w:rsid w:val="01E5A4EE"/>
    <w:rsid w:val="02494BE7"/>
    <w:rsid w:val="0266B904"/>
    <w:rsid w:val="02A66E37"/>
    <w:rsid w:val="02C4BBFE"/>
    <w:rsid w:val="02DA3C0A"/>
    <w:rsid w:val="02EBAE71"/>
    <w:rsid w:val="0309E604"/>
    <w:rsid w:val="035B3B5C"/>
    <w:rsid w:val="03793D97"/>
    <w:rsid w:val="03965670"/>
    <w:rsid w:val="03FE34DC"/>
    <w:rsid w:val="0406BB73"/>
    <w:rsid w:val="0419BD32"/>
    <w:rsid w:val="0424B465"/>
    <w:rsid w:val="0444CEFE"/>
    <w:rsid w:val="0465FC31"/>
    <w:rsid w:val="0478E1D1"/>
    <w:rsid w:val="04AAA319"/>
    <w:rsid w:val="04AF4EF7"/>
    <w:rsid w:val="04D070BB"/>
    <w:rsid w:val="04E38A17"/>
    <w:rsid w:val="04FA38B7"/>
    <w:rsid w:val="05EA5842"/>
    <w:rsid w:val="05F82D7D"/>
    <w:rsid w:val="060F6C17"/>
    <w:rsid w:val="0611DCCC"/>
    <w:rsid w:val="06503780"/>
    <w:rsid w:val="065E80CE"/>
    <w:rsid w:val="06A57226"/>
    <w:rsid w:val="06E4D96F"/>
    <w:rsid w:val="0715563F"/>
    <w:rsid w:val="07162E1C"/>
    <w:rsid w:val="0745D248"/>
    <w:rsid w:val="0761F1F8"/>
    <w:rsid w:val="0785B826"/>
    <w:rsid w:val="07922AD6"/>
    <w:rsid w:val="084CAEBA"/>
    <w:rsid w:val="08677D6F"/>
    <w:rsid w:val="0904027C"/>
    <w:rsid w:val="0922977E"/>
    <w:rsid w:val="09A3E23B"/>
    <w:rsid w:val="09FD1D50"/>
    <w:rsid w:val="0A14281A"/>
    <w:rsid w:val="0AC6FA36"/>
    <w:rsid w:val="0AEFC274"/>
    <w:rsid w:val="0B3FB29C"/>
    <w:rsid w:val="0BAA9654"/>
    <w:rsid w:val="0BB4E059"/>
    <w:rsid w:val="0BE40342"/>
    <w:rsid w:val="0BF1EAA1"/>
    <w:rsid w:val="0C680F01"/>
    <w:rsid w:val="0C75B420"/>
    <w:rsid w:val="0C79685A"/>
    <w:rsid w:val="0C7CF9AD"/>
    <w:rsid w:val="0CA68764"/>
    <w:rsid w:val="0CA716D1"/>
    <w:rsid w:val="0D04DF7A"/>
    <w:rsid w:val="0D275784"/>
    <w:rsid w:val="0D59D24B"/>
    <w:rsid w:val="0D7CF685"/>
    <w:rsid w:val="0DA56CFB"/>
    <w:rsid w:val="0E4C370B"/>
    <w:rsid w:val="0E7958B7"/>
    <w:rsid w:val="0E82FCE9"/>
    <w:rsid w:val="0E9810F5"/>
    <w:rsid w:val="0EBD9696"/>
    <w:rsid w:val="0F8C82AF"/>
    <w:rsid w:val="0FAD7BDF"/>
    <w:rsid w:val="0FDDE9F8"/>
    <w:rsid w:val="0FEA77C3"/>
    <w:rsid w:val="10332C22"/>
    <w:rsid w:val="1039BAA8"/>
    <w:rsid w:val="103CEB06"/>
    <w:rsid w:val="105966F7"/>
    <w:rsid w:val="105CD97D"/>
    <w:rsid w:val="105FAE25"/>
    <w:rsid w:val="1076596F"/>
    <w:rsid w:val="10BB7391"/>
    <w:rsid w:val="10DA8B40"/>
    <w:rsid w:val="110B538E"/>
    <w:rsid w:val="110BAC0F"/>
    <w:rsid w:val="11210FEE"/>
    <w:rsid w:val="118FDEEB"/>
    <w:rsid w:val="119A7C89"/>
    <w:rsid w:val="11A57A2D"/>
    <w:rsid w:val="11B9774E"/>
    <w:rsid w:val="11EB99D0"/>
    <w:rsid w:val="11FE2AC9"/>
    <w:rsid w:val="12599BAC"/>
    <w:rsid w:val="12679AD5"/>
    <w:rsid w:val="12894712"/>
    <w:rsid w:val="1290D411"/>
    <w:rsid w:val="12ADB0E7"/>
    <w:rsid w:val="12D9F196"/>
    <w:rsid w:val="1303875D"/>
    <w:rsid w:val="1383F52E"/>
    <w:rsid w:val="13974EE7"/>
    <w:rsid w:val="140F9DE1"/>
    <w:rsid w:val="14122C02"/>
    <w:rsid w:val="141290D0"/>
    <w:rsid w:val="142D883B"/>
    <w:rsid w:val="145659DD"/>
    <w:rsid w:val="145F55D9"/>
    <w:rsid w:val="14D2E2DE"/>
    <w:rsid w:val="14D86BD5"/>
    <w:rsid w:val="15402E32"/>
    <w:rsid w:val="15902733"/>
    <w:rsid w:val="1595FF36"/>
    <w:rsid w:val="159674C5"/>
    <w:rsid w:val="15A0274B"/>
    <w:rsid w:val="15ADFC63"/>
    <w:rsid w:val="15BABEB3"/>
    <w:rsid w:val="15BB7894"/>
    <w:rsid w:val="15D193E9"/>
    <w:rsid w:val="1616B043"/>
    <w:rsid w:val="163EE3A4"/>
    <w:rsid w:val="167ECDDF"/>
    <w:rsid w:val="16F55480"/>
    <w:rsid w:val="16F76100"/>
    <w:rsid w:val="17156926"/>
    <w:rsid w:val="173BDDB8"/>
    <w:rsid w:val="1796AF2F"/>
    <w:rsid w:val="1798CE14"/>
    <w:rsid w:val="17A74E34"/>
    <w:rsid w:val="181DB5E2"/>
    <w:rsid w:val="184D50B5"/>
    <w:rsid w:val="18548FBB"/>
    <w:rsid w:val="18F31956"/>
    <w:rsid w:val="1947A530"/>
    <w:rsid w:val="19A5E992"/>
    <w:rsid w:val="19A6EB79"/>
    <w:rsid w:val="19BD89BE"/>
    <w:rsid w:val="1A06906B"/>
    <w:rsid w:val="1A56DA11"/>
    <w:rsid w:val="1A816D86"/>
    <w:rsid w:val="1A8C08E2"/>
    <w:rsid w:val="1A9BC125"/>
    <w:rsid w:val="1AC2462E"/>
    <w:rsid w:val="1ADB6A38"/>
    <w:rsid w:val="1C553831"/>
    <w:rsid w:val="1CC88A43"/>
    <w:rsid w:val="1CD45785"/>
    <w:rsid w:val="1CDAB5BF"/>
    <w:rsid w:val="1D05CFA3"/>
    <w:rsid w:val="1D71DCB0"/>
    <w:rsid w:val="1D86C871"/>
    <w:rsid w:val="1DAFA5B4"/>
    <w:rsid w:val="1DF704CA"/>
    <w:rsid w:val="1E012910"/>
    <w:rsid w:val="1E1A8D65"/>
    <w:rsid w:val="1E2A4C2C"/>
    <w:rsid w:val="1E44D953"/>
    <w:rsid w:val="1E4B6898"/>
    <w:rsid w:val="1E689576"/>
    <w:rsid w:val="1E775069"/>
    <w:rsid w:val="1E7FF856"/>
    <w:rsid w:val="1EB702DA"/>
    <w:rsid w:val="1ED470E2"/>
    <w:rsid w:val="1F1BC5C4"/>
    <w:rsid w:val="1F256432"/>
    <w:rsid w:val="1F3BA536"/>
    <w:rsid w:val="1F64B9F6"/>
    <w:rsid w:val="1F7589B2"/>
    <w:rsid w:val="2048A19C"/>
    <w:rsid w:val="204B2419"/>
    <w:rsid w:val="2052D33B"/>
    <w:rsid w:val="20971A5B"/>
    <w:rsid w:val="20BAA939"/>
    <w:rsid w:val="2151C270"/>
    <w:rsid w:val="2177F6EC"/>
    <w:rsid w:val="22087F1A"/>
    <w:rsid w:val="22326B9B"/>
    <w:rsid w:val="223EDED0"/>
    <w:rsid w:val="22454DD3"/>
    <w:rsid w:val="224E1E9F"/>
    <w:rsid w:val="22B32477"/>
    <w:rsid w:val="230597CC"/>
    <w:rsid w:val="23097F10"/>
    <w:rsid w:val="2353290E"/>
    <w:rsid w:val="23797513"/>
    <w:rsid w:val="23F0E3A5"/>
    <w:rsid w:val="2404232F"/>
    <w:rsid w:val="243C9D54"/>
    <w:rsid w:val="2456F255"/>
    <w:rsid w:val="24621A9E"/>
    <w:rsid w:val="24896332"/>
    <w:rsid w:val="248B5059"/>
    <w:rsid w:val="24BC9442"/>
    <w:rsid w:val="24CAA7EB"/>
    <w:rsid w:val="24E39C7A"/>
    <w:rsid w:val="2513A64A"/>
    <w:rsid w:val="258B83A7"/>
    <w:rsid w:val="25D01BDE"/>
    <w:rsid w:val="25E2C28E"/>
    <w:rsid w:val="26618037"/>
    <w:rsid w:val="2686F3C8"/>
    <w:rsid w:val="26CC74D3"/>
    <w:rsid w:val="26E6B9CB"/>
    <w:rsid w:val="2716EDAD"/>
    <w:rsid w:val="2718BEF6"/>
    <w:rsid w:val="272C34AF"/>
    <w:rsid w:val="275945DB"/>
    <w:rsid w:val="277A49BD"/>
    <w:rsid w:val="27A218A6"/>
    <w:rsid w:val="27AC5450"/>
    <w:rsid w:val="27C3ED88"/>
    <w:rsid w:val="280248AD"/>
    <w:rsid w:val="284B470C"/>
    <w:rsid w:val="28525830"/>
    <w:rsid w:val="2888E6A1"/>
    <w:rsid w:val="288C200E"/>
    <w:rsid w:val="28B48F57"/>
    <w:rsid w:val="28F3D042"/>
    <w:rsid w:val="29112AA6"/>
    <w:rsid w:val="29519A63"/>
    <w:rsid w:val="29726F75"/>
    <w:rsid w:val="29F29B33"/>
    <w:rsid w:val="2A361900"/>
    <w:rsid w:val="2A44CE55"/>
    <w:rsid w:val="2A91DC01"/>
    <w:rsid w:val="2AE5C952"/>
    <w:rsid w:val="2AE7EE98"/>
    <w:rsid w:val="2B836C8D"/>
    <w:rsid w:val="2C9C033A"/>
    <w:rsid w:val="2C9D839C"/>
    <w:rsid w:val="2CD55D33"/>
    <w:rsid w:val="2D55B8CC"/>
    <w:rsid w:val="2D7FD1A3"/>
    <w:rsid w:val="2DAC2377"/>
    <w:rsid w:val="2DD4E655"/>
    <w:rsid w:val="2E262DBC"/>
    <w:rsid w:val="2E509B0B"/>
    <w:rsid w:val="2EB9C0BE"/>
    <w:rsid w:val="2F26FAA0"/>
    <w:rsid w:val="2F9537E2"/>
    <w:rsid w:val="2F9935B4"/>
    <w:rsid w:val="2FB2935D"/>
    <w:rsid w:val="2FC0E997"/>
    <w:rsid w:val="2FC34BD8"/>
    <w:rsid w:val="2FF17F43"/>
    <w:rsid w:val="309E130C"/>
    <w:rsid w:val="309F56BA"/>
    <w:rsid w:val="3138091C"/>
    <w:rsid w:val="31C6F8C8"/>
    <w:rsid w:val="32370E96"/>
    <w:rsid w:val="32530794"/>
    <w:rsid w:val="32BD1CA8"/>
    <w:rsid w:val="32F125D9"/>
    <w:rsid w:val="333A71EB"/>
    <w:rsid w:val="3354C78D"/>
    <w:rsid w:val="335A1535"/>
    <w:rsid w:val="335CF22B"/>
    <w:rsid w:val="33618848"/>
    <w:rsid w:val="343B0E60"/>
    <w:rsid w:val="3444B630"/>
    <w:rsid w:val="3458ED09"/>
    <w:rsid w:val="345C6F23"/>
    <w:rsid w:val="34A0388E"/>
    <w:rsid w:val="34B24874"/>
    <w:rsid w:val="34C450E8"/>
    <w:rsid w:val="34E8B93B"/>
    <w:rsid w:val="357C3DA5"/>
    <w:rsid w:val="35B1697F"/>
    <w:rsid w:val="35F689C6"/>
    <w:rsid w:val="360DB258"/>
    <w:rsid w:val="3620D915"/>
    <w:rsid w:val="3628C69B"/>
    <w:rsid w:val="3630BF65"/>
    <w:rsid w:val="36329550"/>
    <w:rsid w:val="3684899C"/>
    <w:rsid w:val="375736AC"/>
    <w:rsid w:val="3759DA62"/>
    <w:rsid w:val="375B6C0F"/>
    <w:rsid w:val="3765CAC5"/>
    <w:rsid w:val="37CDA40F"/>
    <w:rsid w:val="381B84D7"/>
    <w:rsid w:val="3821DFBC"/>
    <w:rsid w:val="386B0A6A"/>
    <w:rsid w:val="38AB8981"/>
    <w:rsid w:val="38FB720A"/>
    <w:rsid w:val="393F566D"/>
    <w:rsid w:val="3951EE12"/>
    <w:rsid w:val="39B332E1"/>
    <w:rsid w:val="39B75538"/>
    <w:rsid w:val="3A1F7E5A"/>
    <w:rsid w:val="3A452C4E"/>
    <w:rsid w:val="3A6E7108"/>
    <w:rsid w:val="3A76AB14"/>
    <w:rsid w:val="3A829CD0"/>
    <w:rsid w:val="3A84F2A5"/>
    <w:rsid w:val="3A858703"/>
    <w:rsid w:val="3A9012BA"/>
    <w:rsid w:val="3A9D2D50"/>
    <w:rsid w:val="3AC2C657"/>
    <w:rsid w:val="3B21E08E"/>
    <w:rsid w:val="3B3426CC"/>
    <w:rsid w:val="3BB31265"/>
    <w:rsid w:val="3C2AA7CF"/>
    <w:rsid w:val="3C7228A8"/>
    <w:rsid w:val="3C9E464D"/>
    <w:rsid w:val="3D0FF6D2"/>
    <w:rsid w:val="3E207EC7"/>
    <w:rsid w:val="3E2CC804"/>
    <w:rsid w:val="3E91330B"/>
    <w:rsid w:val="3EAC4B84"/>
    <w:rsid w:val="3EDECD12"/>
    <w:rsid w:val="3F04A19E"/>
    <w:rsid w:val="3F1E6A46"/>
    <w:rsid w:val="3F2103D8"/>
    <w:rsid w:val="3F28F1E0"/>
    <w:rsid w:val="3F3E3A05"/>
    <w:rsid w:val="3F645DFE"/>
    <w:rsid w:val="3FD57785"/>
    <w:rsid w:val="4010298B"/>
    <w:rsid w:val="404B81C6"/>
    <w:rsid w:val="4094CF28"/>
    <w:rsid w:val="40C48A2F"/>
    <w:rsid w:val="40E7EA50"/>
    <w:rsid w:val="40EE3118"/>
    <w:rsid w:val="40F9F09B"/>
    <w:rsid w:val="412A9867"/>
    <w:rsid w:val="418234B9"/>
    <w:rsid w:val="42390ABD"/>
    <w:rsid w:val="42B03F9A"/>
    <w:rsid w:val="42D8874E"/>
    <w:rsid w:val="42FF262F"/>
    <w:rsid w:val="431E3AAE"/>
    <w:rsid w:val="433A3EA3"/>
    <w:rsid w:val="4374D251"/>
    <w:rsid w:val="43810F13"/>
    <w:rsid w:val="444E1581"/>
    <w:rsid w:val="444EE6CF"/>
    <w:rsid w:val="44623929"/>
    <w:rsid w:val="44BF35F4"/>
    <w:rsid w:val="45371F7C"/>
    <w:rsid w:val="453EDF03"/>
    <w:rsid w:val="45F55FEC"/>
    <w:rsid w:val="462B8B89"/>
    <w:rsid w:val="4644B909"/>
    <w:rsid w:val="46581DAE"/>
    <w:rsid w:val="46AC7313"/>
    <w:rsid w:val="46ECAB22"/>
    <w:rsid w:val="471075D0"/>
    <w:rsid w:val="471984FB"/>
    <w:rsid w:val="473BD9A6"/>
    <w:rsid w:val="4775810C"/>
    <w:rsid w:val="482EC743"/>
    <w:rsid w:val="48484374"/>
    <w:rsid w:val="4857209D"/>
    <w:rsid w:val="48688054"/>
    <w:rsid w:val="4949147C"/>
    <w:rsid w:val="4968BF82"/>
    <w:rsid w:val="4A01280B"/>
    <w:rsid w:val="4A0450B5"/>
    <w:rsid w:val="4A30DCB3"/>
    <w:rsid w:val="4A6A4E1A"/>
    <w:rsid w:val="4A6C2180"/>
    <w:rsid w:val="4AC5B611"/>
    <w:rsid w:val="4AD057AA"/>
    <w:rsid w:val="4AD17AAD"/>
    <w:rsid w:val="4AD67064"/>
    <w:rsid w:val="4AF90071"/>
    <w:rsid w:val="4B144A9C"/>
    <w:rsid w:val="4B1E0054"/>
    <w:rsid w:val="4B8A22DD"/>
    <w:rsid w:val="4C26D47D"/>
    <w:rsid w:val="4CE18675"/>
    <w:rsid w:val="4D081AF5"/>
    <w:rsid w:val="4D3E0EC7"/>
    <w:rsid w:val="4D610E01"/>
    <w:rsid w:val="4D88C67F"/>
    <w:rsid w:val="4DA1EEDC"/>
    <w:rsid w:val="4E1F3559"/>
    <w:rsid w:val="4E2D94EE"/>
    <w:rsid w:val="4E3C7069"/>
    <w:rsid w:val="4E51ABE0"/>
    <w:rsid w:val="4ED4992E"/>
    <w:rsid w:val="4F2E289B"/>
    <w:rsid w:val="4F571A23"/>
    <w:rsid w:val="4FBE5092"/>
    <w:rsid w:val="4FD6A758"/>
    <w:rsid w:val="4FEAD79A"/>
    <w:rsid w:val="50492228"/>
    <w:rsid w:val="5052D778"/>
    <w:rsid w:val="509CC21A"/>
    <w:rsid w:val="50EE0EFC"/>
    <w:rsid w:val="517DDA85"/>
    <w:rsid w:val="5196DDA9"/>
    <w:rsid w:val="51A69309"/>
    <w:rsid w:val="51BF0249"/>
    <w:rsid w:val="51F52224"/>
    <w:rsid w:val="52052518"/>
    <w:rsid w:val="5215A594"/>
    <w:rsid w:val="5248ACDC"/>
    <w:rsid w:val="5270E00E"/>
    <w:rsid w:val="52A4808E"/>
    <w:rsid w:val="52B8D51D"/>
    <w:rsid w:val="53768E03"/>
    <w:rsid w:val="5453CB04"/>
    <w:rsid w:val="54715EEC"/>
    <w:rsid w:val="551C7B48"/>
    <w:rsid w:val="5552C3D9"/>
    <w:rsid w:val="55AD00C1"/>
    <w:rsid w:val="5627DDDC"/>
    <w:rsid w:val="56320F7B"/>
    <w:rsid w:val="5633172D"/>
    <w:rsid w:val="5669147C"/>
    <w:rsid w:val="56D9C6FC"/>
    <w:rsid w:val="56DB9496"/>
    <w:rsid w:val="56E894B8"/>
    <w:rsid w:val="56EB4201"/>
    <w:rsid w:val="5770AB32"/>
    <w:rsid w:val="57C71A90"/>
    <w:rsid w:val="57D731EF"/>
    <w:rsid w:val="580B83F8"/>
    <w:rsid w:val="5812FA68"/>
    <w:rsid w:val="5838B90A"/>
    <w:rsid w:val="58846519"/>
    <w:rsid w:val="588CE7D0"/>
    <w:rsid w:val="588FB03B"/>
    <w:rsid w:val="59A8805A"/>
    <w:rsid w:val="59DD2467"/>
    <w:rsid w:val="5A0C392B"/>
    <w:rsid w:val="5A4E6B5C"/>
    <w:rsid w:val="5A6F7853"/>
    <w:rsid w:val="5B2A25AA"/>
    <w:rsid w:val="5B5474DF"/>
    <w:rsid w:val="5B594D8B"/>
    <w:rsid w:val="5B73E1F6"/>
    <w:rsid w:val="5B81AA06"/>
    <w:rsid w:val="5B873F98"/>
    <w:rsid w:val="5BABE3D1"/>
    <w:rsid w:val="5C046FD3"/>
    <w:rsid w:val="5CD175D7"/>
    <w:rsid w:val="5CF04540"/>
    <w:rsid w:val="5D191279"/>
    <w:rsid w:val="5D2FC7FD"/>
    <w:rsid w:val="5D46A0EA"/>
    <w:rsid w:val="5D8D852E"/>
    <w:rsid w:val="5D9EEA49"/>
    <w:rsid w:val="5DA4B8ED"/>
    <w:rsid w:val="5DB016CF"/>
    <w:rsid w:val="5DD19F35"/>
    <w:rsid w:val="5DDF6946"/>
    <w:rsid w:val="5DE802A1"/>
    <w:rsid w:val="5DF9BC0F"/>
    <w:rsid w:val="5EBFBD17"/>
    <w:rsid w:val="5F0E0787"/>
    <w:rsid w:val="5F1562A5"/>
    <w:rsid w:val="5F15F480"/>
    <w:rsid w:val="5F7CF35B"/>
    <w:rsid w:val="5FC2F294"/>
    <w:rsid w:val="5FCB1D39"/>
    <w:rsid w:val="5FCDE374"/>
    <w:rsid w:val="5FE2C77D"/>
    <w:rsid w:val="60227BDF"/>
    <w:rsid w:val="60269017"/>
    <w:rsid w:val="6043BACB"/>
    <w:rsid w:val="6049A083"/>
    <w:rsid w:val="60B52EA8"/>
    <w:rsid w:val="60D04816"/>
    <w:rsid w:val="6131966D"/>
    <w:rsid w:val="616127EF"/>
    <w:rsid w:val="619577B7"/>
    <w:rsid w:val="619710C2"/>
    <w:rsid w:val="61B125A1"/>
    <w:rsid w:val="61E1B363"/>
    <w:rsid w:val="622179F0"/>
    <w:rsid w:val="62428427"/>
    <w:rsid w:val="628D2F48"/>
    <w:rsid w:val="62BEABAC"/>
    <w:rsid w:val="62E69824"/>
    <w:rsid w:val="63922BEF"/>
    <w:rsid w:val="639D3BBA"/>
    <w:rsid w:val="640C05E9"/>
    <w:rsid w:val="6413FA71"/>
    <w:rsid w:val="6451F41C"/>
    <w:rsid w:val="646D072E"/>
    <w:rsid w:val="649B0213"/>
    <w:rsid w:val="64B85C45"/>
    <w:rsid w:val="6506A36D"/>
    <w:rsid w:val="650FC355"/>
    <w:rsid w:val="6517C6A6"/>
    <w:rsid w:val="653DAA98"/>
    <w:rsid w:val="654BF7D8"/>
    <w:rsid w:val="65834D08"/>
    <w:rsid w:val="658D94D2"/>
    <w:rsid w:val="65F44FA7"/>
    <w:rsid w:val="660FF86B"/>
    <w:rsid w:val="662FC4E3"/>
    <w:rsid w:val="66349912"/>
    <w:rsid w:val="66505BFF"/>
    <w:rsid w:val="66B44710"/>
    <w:rsid w:val="66D918F0"/>
    <w:rsid w:val="673272D6"/>
    <w:rsid w:val="677C9114"/>
    <w:rsid w:val="67C46542"/>
    <w:rsid w:val="6851B66C"/>
    <w:rsid w:val="68A71830"/>
    <w:rsid w:val="6917E534"/>
    <w:rsid w:val="696C39D4"/>
    <w:rsid w:val="69BC3786"/>
    <w:rsid w:val="6A1D30E7"/>
    <w:rsid w:val="6A21B232"/>
    <w:rsid w:val="6AABC01B"/>
    <w:rsid w:val="6B72F021"/>
    <w:rsid w:val="6BBF51FC"/>
    <w:rsid w:val="6BE9A001"/>
    <w:rsid w:val="6BEF0970"/>
    <w:rsid w:val="6C05E3F9"/>
    <w:rsid w:val="6C1E44B5"/>
    <w:rsid w:val="6C795D2D"/>
    <w:rsid w:val="6C8840B6"/>
    <w:rsid w:val="6D1DE2D2"/>
    <w:rsid w:val="6D22FA9D"/>
    <w:rsid w:val="6D23F1B0"/>
    <w:rsid w:val="6D406AE0"/>
    <w:rsid w:val="6D6061AD"/>
    <w:rsid w:val="6DA1B45A"/>
    <w:rsid w:val="6DB50E13"/>
    <w:rsid w:val="6DB5A85C"/>
    <w:rsid w:val="6DCBCB4F"/>
    <w:rsid w:val="6EA0BFE5"/>
    <w:rsid w:val="6EAA26F1"/>
    <w:rsid w:val="6F073E45"/>
    <w:rsid w:val="6F457241"/>
    <w:rsid w:val="6F859EBA"/>
    <w:rsid w:val="6FDFAB55"/>
    <w:rsid w:val="6FF6DD2C"/>
    <w:rsid w:val="6FFE0D8A"/>
    <w:rsid w:val="7003C08C"/>
    <w:rsid w:val="702B790A"/>
    <w:rsid w:val="709C7A7B"/>
    <w:rsid w:val="70DA3D49"/>
    <w:rsid w:val="70E142A2"/>
    <w:rsid w:val="70ECAED5"/>
    <w:rsid w:val="7104D466"/>
    <w:rsid w:val="7122EB5B"/>
    <w:rsid w:val="71718F78"/>
    <w:rsid w:val="71AF0CE8"/>
    <w:rsid w:val="71E97DA9"/>
    <w:rsid w:val="71F92DDA"/>
    <w:rsid w:val="7214E0FE"/>
    <w:rsid w:val="72461198"/>
    <w:rsid w:val="727D1303"/>
    <w:rsid w:val="727F01A4"/>
    <w:rsid w:val="72D7A182"/>
    <w:rsid w:val="72DFF391"/>
    <w:rsid w:val="7332BCC3"/>
    <w:rsid w:val="736319CC"/>
    <w:rsid w:val="7380D2AA"/>
    <w:rsid w:val="738722B7"/>
    <w:rsid w:val="73D5B876"/>
    <w:rsid w:val="73DF7FA3"/>
    <w:rsid w:val="73F051F9"/>
    <w:rsid w:val="7418E364"/>
    <w:rsid w:val="742F8FBC"/>
    <w:rsid w:val="749F8553"/>
    <w:rsid w:val="74FEEA2D"/>
    <w:rsid w:val="751CA21E"/>
    <w:rsid w:val="75515E65"/>
    <w:rsid w:val="759F22D0"/>
    <w:rsid w:val="76471F00"/>
    <w:rsid w:val="76D11E5C"/>
    <w:rsid w:val="76DE3C77"/>
    <w:rsid w:val="76E999B5"/>
    <w:rsid w:val="77496F4A"/>
    <w:rsid w:val="77508426"/>
    <w:rsid w:val="775EA4DA"/>
    <w:rsid w:val="778E294B"/>
    <w:rsid w:val="77DD6371"/>
    <w:rsid w:val="77E13D77"/>
    <w:rsid w:val="7816FCD9"/>
    <w:rsid w:val="78238B4D"/>
    <w:rsid w:val="782A28DC"/>
    <w:rsid w:val="78368AEF"/>
    <w:rsid w:val="78CA9067"/>
    <w:rsid w:val="78F62356"/>
    <w:rsid w:val="79641B5E"/>
    <w:rsid w:val="79C1F05D"/>
    <w:rsid w:val="7A25B94F"/>
    <w:rsid w:val="7A34DAEB"/>
    <w:rsid w:val="7A369449"/>
    <w:rsid w:val="7A3EA2C7"/>
    <w:rsid w:val="7AA08895"/>
    <w:rsid w:val="7ACED647"/>
    <w:rsid w:val="7AD82AA8"/>
    <w:rsid w:val="7B4A673E"/>
    <w:rsid w:val="7B70FD51"/>
    <w:rsid w:val="7BBF82C1"/>
    <w:rsid w:val="7BC02D42"/>
    <w:rsid w:val="7C1350DD"/>
    <w:rsid w:val="7C6238D6"/>
    <w:rsid w:val="7C74C2F6"/>
    <w:rsid w:val="7CBE8C1F"/>
    <w:rsid w:val="7CE957D6"/>
    <w:rsid w:val="7D4B7A18"/>
    <w:rsid w:val="7D7D63FD"/>
    <w:rsid w:val="7DB6E073"/>
    <w:rsid w:val="7E0935AF"/>
    <w:rsid w:val="7E365CDD"/>
    <w:rsid w:val="7E3B1295"/>
    <w:rsid w:val="7E480FE0"/>
    <w:rsid w:val="7E5B78AF"/>
    <w:rsid w:val="7E7EDB83"/>
    <w:rsid w:val="7EBFBB7D"/>
    <w:rsid w:val="7EDF0406"/>
    <w:rsid w:val="7EEE0C78"/>
    <w:rsid w:val="7F06C5D4"/>
    <w:rsid w:val="7F0B3399"/>
    <w:rsid w:val="7FD22D3E"/>
    <w:rsid w:val="7FDBDDD3"/>
    <w:rsid w:val="7FF1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99F3E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C32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31C32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7F0B68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7F0B68"/>
    <w:rPr>
      <w:rFonts w:eastAsiaTheme="minorEastAsia"/>
      <w:sz w:val="18"/>
      <w:szCs w:val="18"/>
      <w:lang w:val="cs-CZ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31C32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31C32"/>
    <w:rPr>
      <w:color w:val="0563C1" w:themeColor="hyperlink"/>
      <w:u w:val="single"/>
    </w:rPr>
  </w:style>
  <w:style w:type="paragraph" w:customStyle="1" w:styleId="Default">
    <w:name w:val="Default"/>
    <w:rsid w:val="00931C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pplicationdirecte">
    <w:name w:val="Application directe"/>
    <w:basedOn w:val="Normal"/>
    <w:next w:val="Fait"/>
    <w:rsid w:val="00931C32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931C32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31C32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00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00B"/>
    <w:rPr>
      <w:rFonts w:eastAsiaTheme="minorEastAsia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B83EB1"/>
    <w:pPr>
      <w:spacing w:after="0" w:line="240" w:lineRule="auto"/>
    </w:pPr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A0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0B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0BD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BDC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CS/TXT/?uri=OJ%3AL_202401623" TargetMode="External"/><Relationship Id="rId1" Type="http://schemas.openxmlformats.org/officeDocument/2006/relationships/hyperlink" Target="https://eur-lex.europa.eu/legal-content/CS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438E7D-06DF-42E6-AB6F-B451A1CE4C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7475EB-643D-43A6-B9E1-F9834713A2ED}"/>
</file>

<file path=customXml/itemProps3.xml><?xml version="1.0" encoding="utf-8"?>
<ds:datastoreItem xmlns:ds="http://schemas.openxmlformats.org/officeDocument/2006/customXml" ds:itemID="{42EFE1F0-CDEC-40C3-97EA-308BFD202839}"/>
</file>

<file path=customXml/itemProps4.xml><?xml version="1.0" encoding="utf-8"?>
<ds:datastoreItem xmlns:ds="http://schemas.openxmlformats.org/officeDocument/2006/customXml" ds:itemID="{F93D81E5-F87C-4DCE-AE1E-0C7533B6AFC8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2526</Words>
  <Characters>13717</Characters>
  <Application>Microsoft Office Word</Application>
  <DocSecurity>0</DocSecurity>
  <Lines>403</Lines>
  <Paragraphs>249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15994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https://eur-lex.europa.eu/legal-content/EN/AUTO/?uri=OJ:L:2013:176:TOC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2024-06-07T07:11:00Z</dcterms:created>
  <dcterms:modified xsi:type="dcterms:W3CDTF">2024-10-17T10:06:00Z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2024-09-26T14:32:27Z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adac863f-55d7-42d3-9a6a-c1b74fd6180c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