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b/>
          <w:color w:val="auto"/>
          <w:sz w:val="24"/>
          <w:u w:val="single"/>
          <w:rFonts w:ascii="Times New Roman" w:hAnsi="Times New Roman" w:cs="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sz w:val="24"/>
          <w:rFonts w:ascii="Times New Roman" w:hAnsi="Times New Roman"/>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EBI oficiālai lietošanai"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r>
        <w:rPr>
          <w:b/>
          <w:color w:val="auto"/>
          <w:sz w:val="24"/>
          <w:u w:val="single"/>
          <w:rFonts w:ascii="Times New Roman" w:hAnsi="Times New Roman"/>
        </w:rPr>
        <w:t xml:space="preserve">XLII PIELIKUMS. Tabulas un veidnes informācijas atklāšanai par kredīta vērtības korekcijas risku:</w:t>
      </w:r>
      <w:r>
        <w:rPr>
          <w:b/>
          <w:color w:val="auto"/>
          <w:sz w:val="24"/>
          <w:u w:val="single"/>
          <w:rFonts w:ascii="Times New Roman" w:hAnsi="Times New Roman"/>
        </w:rPr>
        <w:t xml:space="preserve"> </w:t>
      </w:r>
      <w:r>
        <w:rPr>
          <w:b/>
          <w:color w:val="auto"/>
          <w:sz w:val="24"/>
          <w:u w:val="single"/>
          <w:rFonts w:ascii="Times New Roman" w:hAnsi="Times New Roman"/>
        </w:rPr>
        <w:t xml:space="preserve">norādījumi</w:t>
      </w:r>
    </w:p>
    <w:p w14:paraId="78BB236B" w14:textId="33A761EE" w:rsidR="00942645" w:rsidRPr="00CA7700" w:rsidRDefault="00942645" w:rsidP="00942645">
      <w:pPr>
        <w:pStyle w:val="Titlelevel2"/>
        <w:numPr>
          <w:ilvl w:val="0"/>
          <w:numId w:val="11"/>
        </w:numPr>
        <w:spacing w:before="120" w:after="120"/>
        <w:jc w:val="both"/>
        <w:rPr>
          <w:color w:val="auto"/>
          <w:sz w:val="24"/>
          <w:rFonts w:ascii="Times New Roman" w:hAnsi="Times New Roman" w:cs="Times New Roman"/>
        </w:rPr>
      </w:pPr>
      <w:r>
        <w:rPr>
          <w:color w:val="auto"/>
          <w:sz w:val="24"/>
          <w:rFonts w:ascii="Times New Roman" w:hAnsi="Times New Roman"/>
        </w:rPr>
        <w:t xml:space="preserve">Šajā pielikumā ir iekļauti norādījumi, kas iestādēm jāievēro, atklājot Regulas (ES) Nr. 575/2013 (“</w:t>
      </w:r>
      <w:r>
        <w:rPr>
          <w:color w:val="auto"/>
          <w:sz w:val="24"/>
          <w:i/>
          <w:rFonts w:ascii="Times New Roman" w:hAnsi="Times New Roman"/>
        </w:rPr>
        <w:t xml:space="preserve">CRR</w:t>
      </w:r>
      <w:r>
        <w:rPr>
          <w:color w:val="auto"/>
          <w:sz w:val="24"/>
          <w:rFonts w:ascii="Times New Roman" w:hAnsi="Times New Roman"/>
        </w:rPr>
        <w:t xml:space="preserve">”)</w:t>
      </w:r>
      <w:r w:rsidRPr="00CA7700">
        <w:rPr>
          <w:rStyle w:val="FootnoteReference"/>
          <w:rFonts w:ascii="Times New Roman" w:hAnsi="Times New Roman" w:cs="Times New Roman"/>
          <w:color w:val="auto"/>
          <w:sz w:val="24"/>
          <w:szCs w:val="24"/>
        </w:rPr>
        <w:footnoteReference w:id="2"/>
      </w:r>
      <w:r>
        <w:rPr>
          <w:color w:val="auto"/>
          <w:sz w:val="24"/>
          <w:rFonts w:ascii="Times New Roman" w:hAnsi="Times New Roman"/>
        </w:rPr>
        <w:t xml:space="preserve"> trešās daļas VI sadaļā minēto informāciju par to riska darījumiem attiecībā pret kredīta vērtības korekcijas (</w:t>
      </w:r>
      <w:r>
        <w:rPr>
          <w:color w:val="auto"/>
          <w:sz w:val="24"/>
          <w:i/>
          <w:rFonts w:ascii="Times New Roman" w:hAnsi="Times New Roman"/>
        </w:rPr>
        <w:t xml:space="preserve">CVA</w:t>
      </w:r>
      <w:r>
        <w:rPr>
          <w:color w:val="auto"/>
          <w:sz w:val="24"/>
          <w:rFonts w:ascii="Times New Roman" w:hAnsi="Times New Roman"/>
        </w:rPr>
        <w:t xml:space="preserve">) risku </w:t>
      </w:r>
      <w:r>
        <w:rPr>
          <w:color w:val="auto"/>
          <w:sz w:val="24"/>
          <w:i/>
          <w:rFonts w:ascii="Times New Roman" w:hAnsi="Times New Roman"/>
        </w:rPr>
        <w:t xml:space="preserve">CVA</w:t>
      </w:r>
      <w:r>
        <w:rPr>
          <w:color w:val="auto"/>
          <w:sz w:val="24"/>
          <w:rFonts w:ascii="Times New Roman" w:hAnsi="Times New Roman"/>
        </w:rPr>
        <w:t xml:space="preserve"> riska informācijas atklāšanas tabulās un veidnēs, kas sniegtas EBI IT risinājumu XLI pielikumā, saskaņā ar Regulas (ES) Nr. 575/2013 445.a pantu.</w:t>
      </w:r>
      <w:r>
        <w:rPr>
          <w:color w:val="auto"/>
          <w:sz w:val="24"/>
          <w:rFonts w:ascii="Times New Roman" w:hAnsi="Times New Roman"/>
        </w:rPr>
        <w:t xml:space="preserv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Tabula EU CVAA –</w:t>
      </w:r>
      <w:r>
        <w:rPr>
          <w:sz w:val="24"/>
          <w:b/>
          <w:color w:val="auto"/>
          <w:rFonts w:ascii="Times New Roman" w:hAnsi="Times New Roman"/>
        </w:rPr>
        <w:t xml:space="preserve"> </w:t>
      </w:r>
      <w:r>
        <w:rPr>
          <w:sz w:val="24"/>
          <w:b/>
          <w:color w:val="auto"/>
          <w:rFonts w:ascii="Times New Roman" w:hAnsi="Times New Roman"/>
        </w:rPr>
        <w:t xml:space="preserve">Kvalitatīvās informācijas atklāšanas prasības saistībā ar kredīta vērtības korekcijas risku.</w:t>
      </w:r>
      <w:r>
        <w:rPr>
          <w:sz w:val="24"/>
          <w:rFonts w:ascii="Times New Roman" w:hAnsi="Times New Roman"/>
        </w:rPr>
        <w:t xml:space="preserve"> </w:t>
      </w:r>
      <w:r>
        <w:rPr>
          <w:sz w:val="24"/>
          <w:color w:val="000000"/>
          <w:rFonts w:ascii="Times New Roman" w:hAnsi="Times New Roman"/>
        </w:rPr>
        <w:t xml:space="preserve">Brīva formāta tekstlogi</w:t>
      </w:r>
      <w:r>
        <w:rPr>
          <w:sz w:val="24"/>
          <w:color w:val="000000"/>
          <w:rFonts w:ascii="Times New Roman" w:hAnsi="Times New Roman"/>
        </w:rPr>
        <w:t xml:space="preserve"> </w:t>
      </w:r>
    </w:p>
    <w:p w14:paraId="6FF811C2" w14:textId="4AAED15E" w:rsidR="00942645" w:rsidRPr="00CA7700" w:rsidRDefault="00942645" w:rsidP="00942645">
      <w:pPr>
        <w:pStyle w:val="Titlelevel2"/>
        <w:numPr>
          <w:ilvl w:val="0"/>
          <w:numId w:val="11"/>
        </w:numPr>
        <w:spacing w:before="120"/>
        <w:jc w:val="both"/>
        <w:rPr>
          <w:sz w:val="24"/>
          <w:rFonts w:ascii="Times New Roman" w:hAnsi="Times New Roman" w:cs="Times New Roman"/>
        </w:rPr>
      </w:pPr>
      <w:r>
        <w:rPr>
          <w:sz w:val="24"/>
          <w:color w:val="000000" w:themeColor="text1"/>
          <w:rFonts w:ascii="Times New Roman" w:hAnsi="Times New Roman"/>
        </w:rPr>
        <w:t xml:space="preserve">Iestādes piemēro turpmāk šajā pielikumā sniegtos norādījumus, lai aizpildītu EBI IT risinājumu XLI pielikumā ietverto tabulu EU CVAA, piemērojot Regulas (ES) Nr. 575/2013 445.a panta 1. punkta a) un b)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Atsauces uz tiesību aktiem un norādījumi</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 xml:space="preserve">a)</w:t>
            </w:r>
          </w:p>
        </w:tc>
        <w:tc>
          <w:tcPr>
            <w:tcW w:w="7655" w:type="dxa"/>
            <w:vAlign w:val="center"/>
          </w:tcPr>
          <w:p w14:paraId="43DE697C" w14:textId="09014830" w:rsidR="0096186C" w:rsidRPr="00212EDF" w:rsidRDefault="0096186C" w:rsidP="00962254">
            <w:pPr>
              <w:spacing w:before="60" w:after="120"/>
              <w:jc w:val="both"/>
              <w:rPr>
                <w:b/>
                <w:bCs/>
                <w:noProof/>
                <w:sz w:val="24"/>
                <w:rFonts w:ascii="Times New Roman" w:hAnsi="Times New Roman" w:cs="Times New Roman"/>
              </w:rPr>
            </w:pPr>
            <w:r>
              <w:rPr>
                <w:b/>
                <w:sz w:val="24"/>
                <w:i/>
                <w:rFonts w:ascii="Times New Roman" w:hAnsi="Times New Roman"/>
              </w:rPr>
              <w:t xml:space="preserve">CRR</w:t>
            </w:r>
            <w:r>
              <w:rPr>
                <w:b/>
                <w:sz w:val="24"/>
                <w:rFonts w:ascii="Times New Roman" w:hAnsi="Times New Roman"/>
              </w:rPr>
              <w:t xml:space="preserve"> 445.a panta 1. punkta a) apakšpunkts</w:t>
            </w:r>
          </w:p>
          <w:p w14:paraId="73666F29" w14:textId="497C6292" w:rsidR="00942645" w:rsidRPr="00CA7700" w:rsidRDefault="00942645" w:rsidP="00962254">
            <w:pPr>
              <w:spacing w:before="60" w:after="120"/>
              <w:jc w:val="both"/>
              <w:rPr>
                <w:sz w:val="24"/>
                <w:rFonts w:ascii="Times New Roman" w:hAnsi="Times New Roman" w:cs="Times New Roman"/>
              </w:rPr>
            </w:pPr>
            <w:r>
              <w:rPr>
                <w:sz w:val="24"/>
                <w:rFonts w:ascii="Times New Roman" w:hAnsi="Times New Roman"/>
              </w:rPr>
              <w:t xml:space="preserve">Atklājot Regulas (ES) Nr. 575/2013 445.a panta 1. punkta a) apakšpunktā prasīto informāciju, iestādēm jāsniedz apraksts par procesiem, ko izmanto kredīta vērtības korekcijas riska pārvaldībai, tajā skaitā apraksts par procesiem, kas īstenoti, lai identificētu, novērtētu, uzraudzītu un kontrolētu iestādes kredīta vērtības korekcijas riskus, un apraksts par to politiku riska ierobežošanai un mazināšanai, kā arī stratēģijām un procesiem riska ierobežošanas pastāvīgas efektivitātes uzraudzībai.</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 xml:space="preserve">b)</w:t>
            </w:r>
          </w:p>
        </w:tc>
        <w:tc>
          <w:tcPr>
            <w:tcW w:w="7655" w:type="dxa"/>
          </w:tcPr>
          <w:p w14:paraId="14FA373F" w14:textId="1A83FE77" w:rsidR="0096186C" w:rsidRPr="00212EDF" w:rsidRDefault="0096186C" w:rsidP="00962254">
            <w:pPr>
              <w:spacing w:before="60" w:after="120"/>
              <w:jc w:val="both"/>
              <w:rPr>
                <w:b/>
                <w:bCs/>
                <w:noProof/>
                <w:sz w:val="24"/>
                <w:rFonts w:ascii="Times New Roman" w:hAnsi="Times New Roman" w:cs="Times New Roman"/>
              </w:rPr>
            </w:pPr>
            <w:r>
              <w:rPr>
                <w:b/>
                <w:sz w:val="24"/>
                <w:i/>
                <w:rFonts w:ascii="Times New Roman" w:hAnsi="Times New Roman"/>
              </w:rPr>
              <w:t xml:space="preserve">CRR</w:t>
            </w:r>
            <w:r>
              <w:rPr>
                <w:b/>
                <w:sz w:val="24"/>
                <w:rFonts w:ascii="Times New Roman" w:hAnsi="Times New Roman"/>
              </w:rPr>
              <w:t xml:space="preserve"> 445.a panta 1. punkta b) apakšpunkts</w:t>
            </w:r>
          </w:p>
          <w:p w14:paraId="08D093DD" w14:textId="666A3EDB"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Atklājot Regulas (ES) Nr. 575/2013 445.a panta 1. punkta b) apakšpunktā prasīto informāciju, iestādēm jāpaskaidro, vai ir izpildīti Regulas (ES) Nr. 575/2013 273.a panta 2. punktā izklāstītie nosacījumi un, ja minētie nosacījumi ir izpildīti, vai iestāde ir izvēlējusies aprēķināt </w:t>
            </w:r>
            <w:r>
              <w:rPr>
                <w:sz w:val="24"/>
                <w:i/>
                <w:rFonts w:ascii="Times New Roman" w:hAnsi="Times New Roman"/>
              </w:rPr>
              <w:t xml:space="preserve">CVA</w:t>
            </w:r>
            <w:r>
              <w:rPr>
                <w:sz w:val="24"/>
                <w:rFonts w:ascii="Times New Roman" w:hAnsi="Times New Roman"/>
              </w:rPr>
              <w:t xml:space="preserve"> riska pašu kapitāla prasības, izmantojot vienkāršoto pieeju, kas izklāstīta Regulas (ES) Nr. 575/2013 385. pantā;</w:t>
            </w:r>
            <w:r>
              <w:rPr>
                <w:sz w:val="24"/>
                <w:rFonts w:ascii="Times New Roman" w:hAnsi="Times New Roman"/>
              </w:rPr>
              <w:t xml:space="preserve"> </w:t>
            </w:r>
            <w:r>
              <w:rPr>
                <w:sz w:val="24"/>
                <w:rFonts w:ascii="Times New Roman" w:hAnsi="Times New Roman"/>
              </w:rPr>
              <w:t xml:space="preserve">ja iestādes ir izvēlējušās aprēķināt </w:t>
            </w:r>
            <w:r>
              <w:rPr>
                <w:sz w:val="24"/>
                <w:i/>
                <w:rFonts w:ascii="Times New Roman" w:hAnsi="Times New Roman"/>
              </w:rPr>
              <w:t xml:space="preserve">CVA</w:t>
            </w:r>
            <w:r>
              <w:rPr>
                <w:sz w:val="24"/>
                <w:rFonts w:ascii="Times New Roman" w:hAnsi="Times New Roman"/>
              </w:rPr>
              <w:t xml:space="preserve"> riska pašu kapitāla prasības, izmantojot vienkāršoto pieeju, – </w:t>
            </w:r>
            <w:r>
              <w:rPr>
                <w:sz w:val="24"/>
                <w:i/>
                <w:rFonts w:ascii="Times New Roman" w:hAnsi="Times New Roman"/>
              </w:rPr>
              <w:t xml:space="preserve">CVA</w:t>
            </w:r>
            <w:r>
              <w:rPr>
                <w:sz w:val="24"/>
                <w:rFonts w:ascii="Times New Roman" w:hAnsi="Times New Roman"/>
              </w:rPr>
              <w:t xml:space="preserve"> riska pašu kapitāla prasības saskaņā ar minēto pieeju.</w:t>
            </w:r>
            <w:r>
              <w:rPr>
                <w:sz w:val="24"/>
                <w:rFonts w:ascii="Times New Roman" w:hAnsi="Times New Roman"/>
              </w:rPr>
              <w:t xml:space="preserve">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CVA1 – Kredīta vērtības korekcijas risks saskaņā ar samazināto pamatpieeju (</w:t>
      </w:r>
      <w:r>
        <w:rPr>
          <w:color w:val="auto"/>
          <w:sz w:val="24"/>
          <w:b/>
          <w:i/>
          <w:rFonts w:ascii="Times New Roman" w:hAnsi="Times New Roman"/>
        </w:rPr>
        <w:t xml:space="preserve">R-BA</w:t>
      </w:r>
      <w:r>
        <w:rPr>
          <w:color w:val="auto"/>
          <w:sz w:val="24"/>
          <w:b/>
          <w:rFonts w:ascii="Times New Roman" w:hAnsi="Times New Roman"/>
        </w:rPr>
        <w:t xml:space="preserve">).</w:t>
      </w:r>
      <w:r>
        <w:rPr>
          <w:color w:val="auto"/>
          <w:sz w:val="24"/>
          <w:b/>
          <w:rFonts w:ascii="Times New Roman" w:hAnsi="Times New Roman"/>
        </w:rPr>
        <w:t xml:space="preserve"> </w:t>
      </w:r>
      <w:r>
        <w:rPr>
          <w:color w:val="auto"/>
          <w:sz w:val="24"/>
          <w:rFonts w:ascii="Times New Roman" w:hAnsi="Times New Roman"/>
        </w:rPr>
        <w:t xml:space="preserve">Fiksēts formāts.</w:t>
      </w:r>
    </w:p>
    <w:p w14:paraId="30591F3A" w14:textId="450864D5"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Iestādes piemēro turpmāk šajā pielikumā sniegtos norādījumus, lai aizpildītu EBI IT risinājumu XLI pielikumā ietverto veidni EU CVA1, piemērojot </w:t>
      </w:r>
      <w:r>
        <w:rPr>
          <w:sz w:val="24"/>
          <w:color w:val="000000"/>
          <w:color w:val="auto"/>
          <w:rFonts w:ascii="Times New Roman" w:hAnsi="Times New Roman"/>
        </w:rPr>
        <w:t xml:space="preserve">Regulas (ES) Nr. 575/2013</w:t>
      </w:r>
      <w:r>
        <w:rPr>
          <w:sz w:val="24"/>
          <w:color w:val="000000"/>
          <w:rFonts w:ascii="Times New Roman" w:hAnsi="Times New Roman"/>
        </w:rPr>
        <w:t xml:space="preserve"> 445.a panta 3. punkta a)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Atsauces uz tiesību aktiem un norādījumi</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 xml:space="preserve">1.</w:t>
            </w:r>
          </w:p>
        </w:tc>
        <w:tc>
          <w:tcPr>
            <w:tcW w:w="7655" w:type="dxa"/>
          </w:tcPr>
          <w:p w14:paraId="54484298"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i/>
                <w:rFonts w:ascii="Times New Roman" w:hAnsi="Times New Roman"/>
              </w:rPr>
              <w:t xml:space="preserve">CVA</w:t>
            </w:r>
            <w:r>
              <w:rPr>
                <w:b/>
                <w:sz w:val="24"/>
                <w:rFonts w:ascii="Times New Roman" w:hAnsi="Times New Roman"/>
              </w:rPr>
              <w:t xml:space="preserve"> riska sistemātisko komponentu apkopošana</w:t>
            </w:r>
            <w:r>
              <w:rPr>
                <w:b/>
                <w:sz w:val="24"/>
                <w:rFonts w:ascii="Times New Roman" w:hAnsi="Times New Roman"/>
              </w:rPr>
              <w:t xml:space="preserve"> </w:t>
            </w:r>
          </w:p>
          <w:p w14:paraId="732F93B6" w14:textId="4D694000"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Regulas (ES) Nr. 575/2013 384. panta 3. punkts.</w:t>
            </w:r>
            <w:r>
              <w:rPr>
                <w:sz w:val="24"/>
                <w:rFonts w:ascii="Times New Roman" w:hAnsi="Times New Roman"/>
              </w:rPr>
              <w:t xml:space="preserve"> </w:t>
            </w:r>
            <w:r>
              <w:rPr>
                <w:sz w:val="24"/>
                <w:rFonts w:ascii="Times New Roman" w:hAnsi="Times New Roman"/>
              </w:rPr>
              <w:t xml:space="preserve">Pašu kapitāla prasību komponents saskaņā ar perfektas korelācijas pieņēmumu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sz w:val="24"/>
                <w:vertAlign w:val="subscript"/>
                <w:rFonts w:ascii="Times New Roman" w:hAnsi="Times New Roman"/>
              </w:rPr>
              <w:t xml:space="preserve">).</w:t>
            </w:r>
            <w:r>
              <w:rPr>
                <w:sz w:val="24"/>
                <w:vertAlign w:val="subscript"/>
                <w:rFonts w:ascii="Times New Roman" w:hAnsi="Times New Roman"/>
              </w:rPr>
              <w:t xml:space="preserve"> </w:t>
            </w:r>
            <w:r>
              <w:rPr>
                <w:sz w:val="24"/>
                <w:rFonts w:ascii="Times New Roman" w:hAnsi="Times New Roman"/>
              </w:rPr>
              <w:t xml:space="preserve">Diskonta faktoru 0,65 nepiemēro.</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 xml:space="preserve">2.</w:t>
            </w:r>
          </w:p>
        </w:tc>
        <w:tc>
          <w:tcPr>
            <w:tcW w:w="7655" w:type="dxa"/>
          </w:tcPr>
          <w:p w14:paraId="196293CA"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i/>
                <w:rFonts w:ascii="Times New Roman" w:hAnsi="Times New Roman"/>
              </w:rPr>
              <w:t xml:space="preserve">CVA</w:t>
            </w:r>
            <w:r>
              <w:rPr>
                <w:b/>
                <w:sz w:val="24"/>
                <w:rFonts w:ascii="Times New Roman" w:hAnsi="Times New Roman"/>
              </w:rPr>
              <w:t xml:space="preserve"> riska idiosinkrātisko komponentu apkopošana</w:t>
            </w:r>
            <w:r>
              <w:rPr>
                <w:b/>
                <w:sz w:val="24"/>
                <w:rFonts w:ascii="Times New Roman" w:hAnsi="Times New Roman"/>
              </w:rPr>
              <w:t xml:space="preserve"> </w:t>
            </w:r>
          </w:p>
          <w:p w14:paraId="75CC615B" w14:textId="674604A6" w:rsidR="00942645" w:rsidRPr="00CA7700" w:rsidRDefault="00942645" w:rsidP="00962254">
            <w:pPr>
              <w:jc w:val="both"/>
              <w:rPr>
                <w:sz w:val="24"/>
                <w:rFonts w:ascii="Times New Roman" w:hAnsi="Times New Roman" w:cs="Times New Roman"/>
              </w:rPr>
            </w:pPr>
            <w:r>
              <w:rPr>
                <w:sz w:val="24"/>
                <w:rFonts w:ascii="Times New Roman" w:hAnsi="Times New Roman"/>
              </w:rPr>
              <w:t xml:space="preserve">Regulas (ES) Nr. 575/2013 384. panta 3. punkts.</w:t>
            </w:r>
            <w:r>
              <w:rPr>
                <w:sz w:val="24"/>
                <w:rFonts w:ascii="Times New Roman" w:hAnsi="Times New Roman"/>
              </w:rPr>
              <w:t xml:space="preserve"> </w:t>
            </w:r>
            <w:r>
              <w:rPr>
                <w:sz w:val="24"/>
                <w:rFonts w:ascii="Times New Roman" w:hAnsi="Times New Roman"/>
              </w:rPr>
              <w:t xml:space="preserve">Pašu kapitāla prasību komponents saskaņā ar nulles korelācijas pieņēmumu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Diskonta faktoru 0,65 nepiemēro.</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 xml:space="preserve">3.</w:t>
            </w:r>
          </w:p>
        </w:tc>
        <w:tc>
          <w:tcPr>
            <w:tcW w:w="7655" w:type="dxa"/>
          </w:tcPr>
          <w:p w14:paraId="625EFEB1"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Kopā</w:t>
            </w:r>
            <w:r>
              <w:rPr>
                <w:b/>
                <w:rFonts w:ascii="Times New Roman" w:hAnsi="Times New Roman"/>
              </w:rPr>
              <w:t xml:space="preserve"> </w:t>
            </w:r>
          </w:p>
          <w:p w14:paraId="715DBC77" w14:textId="042D3A66" w:rsidR="00942645" w:rsidRPr="00CA7700" w:rsidRDefault="00942645" w:rsidP="00962254">
            <w:pPr>
              <w:pStyle w:val="Default"/>
              <w:spacing w:after="120"/>
              <w:jc w:val="both"/>
              <w:rPr>
                <w:iCs/>
                <w:rFonts w:ascii="Times New Roman" w:hAnsi="Times New Roman" w:cs="Times New Roman"/>
              </w:rPr>
            </w:pPr>
            <w:r>
              <w:rPr>
                <w:i/>
                <w:rFonts w:ascii="Times New Roman" w:hAnsi="Times New Roman"/>
              </w:rPr>
              <w:t xml:space="preserve">CVA</w:t>
            </w:r>
            <w:r>
              <w:rPr>
                <w:rFonts w:ascii="Times New Roman" w:hAnsi="Times New Roman"/>
              </w:rPr>
              <w:t xml:space="preserve"> riska pašu kapitāla prasības saskaņā ar samazināto pamatpieeju.</w:t>
            </w:r>
            <w:r>
              <w:rPr>
                <w:rFonts w:ascii="Times New Roman" w:hAnsi="Times New Roman"/>
              </w:rPr>
              <w:t xml:space="preserve"> </w:t>
            </w:r>
            <w:r>
              <w:rPr>
                <w:rFonts w:ascii="Times New Roman" w:hAnsi="Times New Roman"/>
              </w:rPr>
              <w:t xml:space="preserve">Šī summa ir vienāda ar summu, kas atklāta veidnes EU OV1 EU 10.b rindas c) ailē, ja iestāde izmanto samazināto </w:t>
            </w:r>
            <w:r>
              <w:rPr>
                <w:i/>
                <w:rFonts w:ascii="Times New Roman" w:hAnsi="Times New Roman"/>
              </w:rPr>
              <w:t xml:space="preserve">BA-CVA</w:t>
            </w:r>
            <w:r>
              <w:rPr>
                <w:rFonts w:ascii="Times New Roman" w:hAnsi="Times New Roman"/>
              </w:rPr>
              <w:t xml:space="preserve">.</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b/>
                <w:bCs/>
                <w:rFonts w:ascii="Times New Roman" w:hAnsi="Times New Roman" w:cs="Times New Roman"/>
              </w:rPr>
            </w:pPr>
            <w:r>
              <w:rPr>
                <w:b/>
                <w:rFonts w:ascii="Times New Roman" w:hAnsi="Times New Roman"/>
              </w:rPr>
              <w:t xml:space="preserve">Pašu kapitāla prasību komponenti</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Pašu kapitāla prasību komponenti saskaņā ar Regulas (ES) Nr. 575/2013 384. panta 3. punktu iestādei, kas atbilst Regulas (ES) Nr. 575/2013 384. panta 1. punkta b) apakšpunktā noteiktajam nosacījumam.</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Veidne EU CVA2 – Kredīta vērtības korekcijas risks saskaņā ar pilnu pamatpieeju (</w:t>
      </w:r>
      <w:r>
        <w:rPr>
          <w:color w:val="auto"/>
          <w:sz w:val="24"/>
          <w:b/>
          <w:i/>
          <w:rFonts w:ascii="Times New Roman" w:hAnsi="Times New Roman"/>
        </w:rPr>
        <w:t xml:space="preserve">F-BA</w:t>
      </w:r>
      <w:r>
        <w:rPr>
          <w:color w:val="auto"/>
          <w:sz w:val="24"/>
          <w:b/>
          <w:rFonts w:ascii="Times New Roman" w:hAnsi="Times New Roman"/>
        </w:rPr>
        <w:t xml:space="preserve">).</w:t>
      </w:r>
      <w:r>
        <w:rPr>
          <w:color w:val="auto"/>
          <w:sz w:val="24"/>
          <w:b/>
          <w:rFonts w:ascii="Times New Roman" w:hAnsi="Times New Roman"/>
        </w:rPr>
        <w:t xml:space="preserve"> </w:t>
      </w:r>
      <w:r>
        <w:rPr>
          <w:color w:val="auto"/>
          <w:sz w:val="24"/>
          <w:rFonts w:ascii="Times New Roman" w:hAnsi="Times New Roman"/>
        </w:rPr>
        <w:t xml:space="preserve">Fiksēts formāts.</w:t>
      </w:r>
    </w:p>
    <w:p w14:paraId="1AC6C572" w14:textId="77777777" w:rsidR="00942645" w:rsidRPr="00CA7700" w:rsidRDefault="00942645" w:rsidP="00942645">
      <w:pPr>
        <w:pStyle w:val="Titlelevel2"/>
        <w:numPr>
          <w:ilvl w:val="0"/>
          <w:numId w:val="14"/>
        </w:numPr>
        <w:spacing w:before="120" w:after="120"/>
        <w:jc w:val="both"/>
        <w:rPr>
          <w:bCs w:val="0"/>
          <w:noProof/>
          <w:color w:val="000000"/>
          <w:sz w:val="24"/>
          <w:rFonts w:ascii="Times New Roman" w:eastAsiaTheme="minorEastAsia" w:hAnsi="Times New Roman" w:cs="Times New Roman"/>
        </w:rPr>
      </w:pPr>
      <w:r>
        <w:rPr>
          <w:sz w:val="24"/>
          <w:color w:val="000000"/>
          <w:rFonts w:ascii="Times New Roman" w:hAnsi="Times New Roman"/>
        </w:rPr>
        <w:t xml:space="preserve">Iestādes piemēro turpmāk šajā pielikumā sniegtos norādījumus, lai aizpildītu EBI IT risinājumu XLI pielikumā ietverto veidni EU CVA2, piemērojot </w:t>
      </w:r>
      <w:r>
        <w:rPr>
          <w:sz w:val="24"/>
          <w:color w:val="000000"/>
          <w:color w:val="auto"/>
          <w:rFonts w:ascii="Times New Roman" w:hAnsi="Times New Roman"/>
        </w:rPr>
        <w:t xml:space="preserve">Regulas (ES) Nr. 575/2013</w:t>
      </w:r>
      <w:r>
        <w:rPr>
          <w:sz w:val="24"/>
          <w:color w:val="000000"/>
          <w:rFonts w:ascii="Times New Roman" w:hAnsi="Times New Roman"/>
        </w:rPr>
        <w:t xml:space="preserve"> 445.a panta 3. punkta a) un b)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Atsauces uz tiesību aktiem un norādījumi</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 xml:space="preserve">1.</w:t>
            </w:r>
          </w:p>
        </w:tc>
        <w:tc>
          <w:tcPr>
            <w:tcW w:w="7655" w:type="dxa"/>
          </w:tcPr>
          <w:p w14:paraId="04421C27" w14:textId="77777777" w:rsidR="00942645" w:rsidRPr="00212EDF" w:rsidRDefault="00942645" w:rsidP="00962254">
            <w:pPr>
              <w:pStyle w:val="TableMainHeading"/>
              <w:spacing w:before="60"/>
              <w:jc w:val="both"/>
              <w:rPr>
                <w:b/>
                <w:bCs/>
                <w:iCs/>
                <w:sz w:val="24"/>
                <w:szCs w:val="24"/>
                <w:rFonts w:ascii="Times New Roman" w:hAnsi="Times New Roman"/>
              </w:rPr>
            </w:pPr>
            <w:r>
              <w:rPr>
                <w:b/>
                <w:sz w:val="24"/>
                <w:i/>
                <w:rFonts w:ascii="Times New Roman" w:hAnsi="Times New Roman"/>
              </w:rPr>
              <w:t xml:space="preserve">BACVA </w:t>
            </w:r>
            <w:r>
              <w:rPr>
                <w:b/>
                <w:sz w:val="24"/>
                <w:vertAlign w:val="superscript"/>
                <w:i/>
                <w:rFonts w:ascii="Times New Roman" w:hAnsi="Times New Roman"/>
              </w:rPr>
              <w:t xml:space="preserve">csr-unhedged</w:t>
            </w:r>
            <w:r>
              <w:rPr>
                <w:b/>
                <w:sz w:val="24"/>
                <w:rFonts w:ascii="Times New Roman" w:hAnsi="Times New Roman"/>
              </w:rPr>
              <w:t xml:space="preserve"> </w:t>
            </w:r>
          </w:p>
          <w:p w14:paraId="773EAD60" w14:textId="5EA45F2D" w:rsidR="00942645" w:rsidRPr="00CA7700" w:rsidRDefault="00942645" w:rsidP="00962254">
            <w:pPr>
              <w:pStyle w:val="TableMainHeading"/>
              <w:spacing w:before="60"/>
              <w:jc w:val="both"/>
              <w:rPr>
                <w:i/>
                <w:sz w:val="24"/>
                <w:szCs w:val="24"/>
                <w:rFonts w:ascii="Times New Roman" w:hAnsi="Times New Roman"/>
              </w:rPr>
            </w:pPr>
            <w:r>
              <w:rPr>
                <w:sz w:val="24"/>
                <w:rFonts w:ascii="Times New Roman" w:hAnsi="Times New Roman"/>
              </w:rPr>
              <w:t xml:space="preserve">Pašu kapitāla prasību komponents saskaņā ar 384. panta 3. punktu iestādei, kas atbilst Regulas (ES) Nr. 575/2013 384. panta 1. punkta b) apakšpunktā noteiktajam nosacījumam.</w:t>
            </w:r>
            <w:r>
              <w:rPr>
                <w:sz w:val="24"/>
                <w:rFonts w:ascii="Times New Roman" w:hAnsi="Times New Roman"/>
              </w:rPr>
              <w:t xml:space="preserv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 xml:space="preserve">2.</w:t>
            </w:r>
          </w:p>
        </w:tc>
        <w:tc>
          <w:tcPr>
            <w:tcW w:w="7655" w:type="dxa"/>
          </w:tcPr>
          <w:p w14:paraId="7F0AADE9" w14:textId="77777777" w:rsidR="00942645" w:rsidRPr="00212EDF" w:rsidRDefault="00942645" w:rsidP="00962254">
            <w:pPr>
              <w:pStyle w:val="TableMainHeading"/>
              <w:spacing w:before="60" w:after="60"/>
              <w:jc w:val="both"/>
              <w:rPr>
                <w:b/>
                <w:bCs/>
                <w:iCs/>
                <w:sz w:val="24"/>
                <w:szCs w:val="24"/>
                <w:rFonts w:ascii="Times New Roman" w:hAnsi="Times New Roman"/>
              </w:rPr>
            </w:pPr>
            <w:r>
              <w:rPr>
                <w:b/>
                <w:sz w:val="24"/>
                <w:i/>
                <w:rFonts w:ascii="Times New Roman" w:hAnsi="Times New Roman"/>
              </w:rPr>
              <w:t xml:space="preserve">BACVA </w:t>
            </w:r>
            <w:r>
              <w:rPr>
                <w:b/>
                <w:sz w:val="24"/>
                <w:vertAlign w:val="superscript"/>
                <w:i/>
                <w:rFonts w:ascii="Times New Roman" w:hAnsi="Times New Roman"/>
              </w:rPr>
              <w:t xml:space="preserve">csr-hedged</w:t>
            </w:r>
            <w:r>
              <w:rPr>
                <w:b/>
                <w:sz w:val="24"/>
                <w:rFonts w:ascii="Times New Roman" w:hAnsi="Times New Roman"/>
              </w:rPr>
              <w:t xml:space="preserve"> </w:t>
            </w:r>
          </w:p>
          <w:p w14:paraId="57BEC7BE" w14:textId="56260E01" w:rsidR="00942645" w:rsidRPr="00CA7700" w:rsidRDefault="00942645" w:rsidP="00962254">
            <w:pPr>
              <w:pStyle w:val="TableMainHeading"/>
              <w:spacing w:before="60"/>
              <w:jc w:val="both"/>
              <w:rPr>
                <w:sz w:val="24"/>
                <w:szCs w:val="24"/>
                <w:rFonts w:ascii="Times New Roman" w:hAnsi="Times New Roman"/>
              </w:rPr>
            </w:pPr>
            <w:r>
              <w:rPr>
                <w:sz w:val="24"/>
                <w:rFonts w:ascii="Times New Roman" w:hAnsi="Times New Roman"/>
              </w:rPr>
              <w:t xml:space="preserve">Pašu kapitāla prasību komponents saskaņā ar 384. panta 2. punktu iestādei, kas atbilst Regulas (ES) Nr. 575/2013 384. panta 1. punkta a) apakšpunktā noteiktajam nosacījumam.</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 xml:space="preserve">3.</w:t>
            </w:r>
          </w:p>
        </w:tc>
        <w:tc>
          <w:tcPr>
            <w:tcW w:w="7655" w:type="dxa"/>
          </w:tcPr>
          <w:p w14:paraId="478A4B46" w14:textId="77777777" w:rsidR="00942645" w:rsidRPr="00212EDF" w:rsidRDefault="00942645" w:rsidP="00962254">
            <w:pPr>
              <w:pStyle w:val="Default"/>
              <w:spacing w:after="120"/>
              <w:jc w:val="both"/>
              <w:rPr>
                <w:b/>
                <w:bCs/>
                <w:iCs/>
                <w:rFonts w:ascii="Times New Roman" w:hAnsi="Times New Roman" w:cs="Times New Roman"/>
              </w:rPr>
            </w:pPr>
            <w:r>
              <w:rPr>
                <w:b/>
                <w:rFonts w:ascii="Times New Roman" w:hAnsi="Times New Roman"/>
              </w:rPr>
              <w:t xml:space="preserve">Kopā</w:t>
            </w:r>
            <w:r>
              <w:rPr>
                <w:b/>
                <w:rFonts w:ascii="Times New Roman" w:hAnsi="Times New Roman"/>
              </w:rPr>
              <w:t xml:space="preserve"> </w:t>
            </w:r>
          </w:p>
          <w:p w14:paraId="1F769140" w14:textId="5695C89E"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Tādas kopējās pašu kapitāla prasības darījumiem, kuriem piemēro pilnu pamatpieeju, kas aprēķinātas saskaņā ar 384. panta 2. punktu, iestādei, kura atbilst Regulas (ES) Nr. 575/2013 384. panta 1. punkta a) apakšpunktā noteiktajam nosacījumam.</w:t>
            </w:r>
            <w:r>
              <w:rPr>
                <w:rFonts w:ascii="Times New Roman" w:hAnsi="Times New Roman"/>
              </w:rPr>
              <w:t xml:space="preserve"> </w:t>
            </w:r>
            <w:r>
              <w:rPr>
                <w:rFonts w:ascii="Times New Roman" w:hAnsi="Times New Roman"/>
              </w:rPr>
              <w:t xml:space="preserve">Šī summa ir vienāda ar summu, kas atklāta veidnes EU OV1 EU 10.b rindas c) ailē, ja iestāde izmanto pilnu </w:t>
            </w:r>
            <w:r>
              <w:rPr>
                <w:i/>
                <w:rFonts w:ascii="Times New Roman" w:hAnsi="Times New Roman"/>
              </w:rPr>
              <w:t xml:space="preserve">BA-CVA</w:t>
            </w:r>
            <w:r>
              <w:rPr>
                <w:rFonts w:ascii="Times New Roman" w:hAnsi="Times New Roman"/>
              </w:rPr>
              <w:t xml:space="preserve">.</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 xml:space="preserve">EU 4.–EU 6.</w:t>
            </w:r>
          </w:p>
        </w:tc>
        <w:tc>
          <w:tcPr>
            <w:tcW w:w="7655" w:type="dxa"/>
          </w:tcPr>
          <w:p w14:paraId="52CA155D" w14:textId="77777777" w:rsidR="00942645" w:rsidRPr="00212EDF" w:rsidRDefault="00942645" w:rsidP="00962254">
            <w:pPr>
              <w:pStyle w:val="Default"/>
              <w:spacing w:before="60" w:after="120"/>
              <w:jc w:val="both"/>
              <w:rPr>
                <w:b/>
                <w:bCs/>
                <w:iCs/>
                <w:rFonts w:ascii="Times New Roman" w:hAnsi="Times New Roman" w:cs="Times New Roman"/>
              </w:rPr>
            </w:pPr>
            <w:r>
              <w:rPr>
                <w:b/>
                <w:i/>
                <w:rFonts w:ascii="Times New Roman" w:hAnsi="Times New Roman"/>
              </w:rPr>
              <w:t xml:space="preserve">CVA</w:t>
            </w:r>
            <w:r>
              <w:rPr>
                <w:b/>
                <w:rFonts w:ascii="Times New Roman" w:hAnsi="Times New Roman"/>
              </w:rPr>
              <w:t xml:space="preserve"> riska ierobežošana</w:t>
            </w:r>
          </w:p>
          <w:p w14:paraId="2DA2624F" w14:textId="77777777" w:rsidR="00942645" w:rsidRPr="00CA7700" w:rsidRDefault="00942645" w:rsidP="00962254">
            <w:pPr>
              <w:pStyle w:val="Default"/>
              <w:spacing w:after="120"/>
              <w:jc w:val="both"/>
              <w:rPr>
                <w:i/>
                <w:rFonts w:ascii="Times New Roman" w:hAnsi="Times New Roman" w:cs="Times New Roman"/>
              </w:rPr>
            </w:pPr>
            <w:r>
              <w:rPr>
                <w:rFonts w:ascii="Times New Roman" w:hAnsi="Times New Roman"/>
              </w:rPr>
              <w:t xml:space="preserve">Regulas (ES) Nr. 575/2013 386. pants.</w:t>
            </w:r>
            <w:r>
              <w:rPr>
                <w:rFonts w:ascii="Times New Roman" w:hAnsi="Times New Roman"/>
              </w:rPr>
              <w:t xml:space="preserve">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b/>
                <w:bCs/>
                <w:iCs/>
                <w:rFonts w:ascii="Times New Roman" w:hAnsi="Times New Roman" w:cs="Times New Roman"/>
              </w:rPr>
            </w:pPr>
            <w:r>
              <w:rPr>
                <w:b/>
                <w:rFonts w:ascii="Times New Roman" w:hAnsi="Times New Roman"/>
              </w:rPr>
              <w:t xml:space="preserve">Pašu kapitāla prasības</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Regulas (ES) Nr. 575/2013 382. pants.</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 xml:space="preserve">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b/>
                <w:bCs/>
                <w:iCs/>
                <w:rFonts w:ascii="Times New Roman" w:hAnsi="Times New Roman" w:cs="Times New Roman"/>
              </w:rPr>
            </w:pPr>
            <w:r>
              <w:rPr>
                <w:b/>
                <w:i/>
                <w:rFonts w:ascii="Times New Roman" w:hAnsi="Times New Roman"/>
              </w:rPr>
              <w:t xml:space="preserve">CVA</w:t>
            </w:r>
            <w:r>
              <w:rPr>
                <w:b/>
                <w:rFonts w:ascii="Times New Roman" w:hAnsi="Times New Roman"/>
              </w:rPr>
              <w:t xml:space="preserve"> riska ierobežošanas nosacītā summa</w:t>
            </w:r>
          </w:p>
          <w:p w14:paraId="6971C72E" w14:textId="002E6959" w:rsidR="00942645" w:rsidRPr="00CA7700" w:rsidRDefault="00942645" w:rsidP="00962254">
            <w:pPr>
              <w:pStyle w:val="Default"/>
              <w:spacing w:after="120"/>
              <w:jc w:val="both"/>
              <w:rPr>
                <w:b/>
                <w:rFonts w:ascii="Times New Roman" w:hAnsi="Times New Roman" w:cs="Times New Roman"/>
              </w:rPr>
            </w:pPr>
            <w:r>
              <w:rPr>
                <w:rFonts w:ascii="Times New Roman" w:hAnsi="Times New Roman"/>
              </w:rPr>
              <w:t xml:space="preserve">Atbilstošu </w:t>
            </w:r>
            <w:r>
              <w:rPr>
                <w:i/>
                <w:rFonts w:ascii="Times New Roman" w:hAnsi="Times New Roman"/>
              </w:rPr>
              <w:t xml:space="preserve">CVA</w:t>
            </w:r>
            <w:r>
              <w:rPr>
                <w:rFonts w:ascii="Times New Roman" w:hAnsi="Times New Roman"/>
              </w:rPr>
              <w:t xml:space="preserve"> riska ierobežošanas pozīciju nosacītā summa (bruto summas), kas atzīta saskaņā ar Regulas (ES) Nr. 575/2013 386. pantu.</w:t>
            </w:r>
          </w:p>
        </w:tc>
      </w:tr>
    </w:tbl>
    <w:p w14:paraId="262650D7" w14:textId="77777777" w:rsidR="00942645" w:rsidRPr="00CA7700" w:rsidRDefault="00942645" w:rsidP="00942645">
      <w:pPr>
        <w:pStyle w:val="Titlelevel2"/>
        <w:spacing w:before="120" w:after="120"/>
        <w:rPr>
          <w:b/>
          <w:color w:val="auto"/>
          <w:sz w:val="24"/>
          <w:rFonts w:ascii="Times New Roman" w:hAnsi="Times New Roman" w:cs="Times New Roman"/>
        </w:rPr>
      </w:pPr>
      <w:r>
        <w:rPr>
          <w:b/>
          <w:color w:val="auto"/>
          <w:sz w:val="24"/>
          <w:rFonts w:ascii="Times New Roman" w:hAnsi="Times New Roman"/>
        </w:rPr>
        <w:t xml:space="preserve"> </w:t>
      </w:r>
    </w:p>
    <w:p w14:paraId="26F81090" w14:textId="2356F62C" w:rsidR="00942645" w:rsidRPr="00CA7700" w:rsidRDefault="00942645" w:rsidP="00942645">
      <w:pPr>
        <w:pStyle w:val="Titlelevel2"/>
        <w:spacing w:before="120" w:after="120"/>
        <w:rPr>
          <w:bCs w:val="0"/>
          <w:noProof/>
          <w:color w:val="000000"/>
          <w:sz w:val="24"/>
          <w:rFonts w:ascii="Times New Roman" w:eastAsiaTheme="minorEastAsia" w:hAnsi="Times New Roman" w:cs="Times New Roman"/>
        </w:rPr>
      </w:pPr>
      <w:r>
        <w:rPr>
          <w:sz w:val="24"/>
          <w:b/>
          <w:color w:val="auto"/>
          <w:rFonts w:ascii="Times New Roman" w:hAnsi="Times New Roman"/>
        </w:rPr>
        <w:t xml:space="preserve">Tabula EU CVAB –</w:t>
      </w:r>
      <w:r>
        <w:rPr>
          <w:sz w:val="24"/>
          <w:b/>
          <w:color w:val="auto"/>
          <w:rFonts w:ascii="Times New Roman" w:hAnsi="Times New Roman"/>
        </w:rPr>
        <w:t xml:space="preserve"> </w:t>
      </w:r>
      <w:r>
        <w:rPr>
          <w:sz w:val="24"/>
          <w:b/>
          <w:color w:val="auto"/>
          <w:rFonts w:ascii="Times New Roman" w:hAnsi="Times New Roman"/>
        </w:rPr>
        <w:t xml:space="preserve">Kvalitatīvās informācijas atklāšanas prasības saistībā ar </w:t>
      </w:r>
      <w:r>
        <w:rPr>
          <w:sz w:val="24"/>
          <w:b/>
          <w:color w:val="auto"/>
          <w:i/>
          <w:rFonts w:ascii="Times New Roman" w:hAnsi="Times New Roman"/>
        </w:rPr>
        <w:t xml:space="preserve">CVA</w:t>
      </w:r>
      <w:r>
        <w:rPr>
          <w:sz w:val="24"/>
          <w:b/>
          <w:color w:val="auto"/>
          <w:rFonts w:ascii="Times New Roman" w:hAnsi="Times New Roman"/>
        </w:rPr>
        <w:t xml:space="preserve"> risku iestādēm, kas izmanto standartizēto pieeju.</w:t>
      </w:r>
      <w:r>
        <w:rPr>
          <w:sz w:val="24"/>
          <w:rFonts w:ascii="Times New Roman" w:hAnsi="Times New Roman"/>
        </w:rPr>
        <w:t xml:space="preserve"> </w:t>
      </w:r>
      <w:r>
        <w:rPr>
          <w:sz w:val="24"/>
          <w:color w:val="000000"/>
          <w:rFonts w:ascii="Times New Roman" w:hAnsi="Times New Roman"/>
        </w:rPr>
        <w:t xml:space="preserve">Brīva formāta tekstlogi</w:t>
      </w:r>
      <w:r>
        <w:rPr>
          <w:sz w:val="24"/>
          <w:color w:val="000000"/>
          <w:rFonts w:ascii="Times New Roman" w:hAnsi="Times New Roman"/>
        </w:rPr>
        <w:t xml:space="preserve"> </w:t>
      </w:r>
    </w:p>
    <w:p w14:paraId="15A03098" w14:textId="5A4C11E9" w:rsidR="00942645" w:rsidRPr="00CA7700" w:rsidRDefault="00942645" w:rsidP="00942645">
      <w:pPr>
        <w:pStyle w:val="Titlelevel2"/>
        <w:numPr>
          <w:ilvl w:val="0"/>
          <w:numId w:val="14"/>
        </w:numPr>
        <w:spacing w:before="120"/>
        <w:jc w:val="both"/>
        <w:rPr>
          <w:sz w:val="24"/>
          <w:rFonts w:ascii="Times New Roman" w:hAnsi="Times New Roman" w:cs="Times New Roman"/>
        </w:rPr>
      </w:pPr>
      <w:r>
        <w:rPr>
          <w:sz w:val="24"/>
          <w:color w:val="000000"/>
          <w:rFonts w:ascii="Times New Roman" w:hAnsi="Times New Roman"/>
        </w:rPr>
        <w:t xml:space="preserve">Iestādes piemēro turpmāk šajā pielikumā sniegtos norādījumus, lai aizpildītu EBI IT risinājumu XLI pielikumā ietverto tabulu EU CVAB, piemērojot Regulas (ES) Nr. 575/2013 445.a panta 2. punkta a)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Atsauces uz tiesību aktiem un norādījumi</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 xml:space="preserve">a)</w:t>
            </w:r>
          </w:p>
        </w:tc>
        <w:tc>
          <w:tcPr>
            <w:tcW w:w="7655" w:type="dxa"/>
            <w:vAlign w:val="center"/>
          </w:tcPr>
          <w:p w14:paraId="5723498B" w14:textId="6623C4D9" w:rsidR="00942645" w:rsidRPr="00CA7700" w:rsidRDefault="00942645" w:rsidP="00C2380E">
            <w:pPr>
              <w:spacing w:before="60" w:after="120"/>
              <w:jc w:val="both"/>
              <w:rPr>
                <w:sz w:val="24"/>
                <w:rFonts w:ascii="Times New Roman" w:hAnsi="Times New Roman" w:cs="Times New Roman"/>
              </w:rPr>
            </w:pPr>
            <w:r>
              <w:rPr>
                <w:sz w:val="24"/>
                <w:rFonts w:ascii="Times New Roman" w:hAnsi="Times New Roman"/>
              </w:rPr>
              <w:t xml:space="preserve">Atklājot Regulas (ES) Nr. 575/2013 445.a panta 2. punkta a) apakšpunktā prasīto informāciju, iestādēm jāapraksta iekšējās </w:t>
            </w:r>
            <w:r>
              <w:rPr>
                <w:sz w:val="24"/>
                <w:i/>
                <w:rFonts w:ascii="Times New Roman" w:hAnsi="Times New Roman"/>
              </w:rPr>
              <w:t xml:space="preserve">CVA</w:t>
            </w:r>
            <w:r>
              <w:rPr>
                <w:sz w:val="24"/>
                <w:rFonts w:ascii="Times New Roman" w:hAnsi="Times New Roman"/>
              </w:rPr>
              <w:t xml:space="preserve"> riska pārvaldības funkcijas un pārvaldības struktūra un organizācija,</w:t>
            </w:r>
            <w:r>
              <w:rPr>
                <w:sz w:val="24"/>
                <w:rFonts w:ascii="Times New Roman" w:hAnsi="Times New Roman"/>
              </w:rPr>
              <w:t xml:space="preserve"> </w:t>
            </w:r>
            <w:r>
              <w:rPr>
                <w:sz w:val="24"/>
                <w:rFonts w:ascii="Times New Roman" w:hAnsi="Times New Roman"/>
              </w:rPr>
              <w:t xml:space="preserve">ietverot aprakstu par bankas </w:t>
            </w:r>
            <w:r>
              <w:rPr>
                <w:sz w:val="24"/>
                <w:i/>
                <w:rFonts w:ascii="Times New Roman" w:hAnsi="Times New Roman"/>
              </w:rPr>
              <w:t xml:space="preserve">CVA</w:t>
            </w:r>
            <w:r>
              <w:rPr>
                <w:sz w:val="24"/>
                <w:rFonts w:ascii="Times New Roman" w:hAnsi="Times New Roman"/>
              </w:rPr>
              <w:t xml:space="preserve"> riska pārvaldības sistēmu.</w:t>
            </w:r>
            <w:r>
              <w:rPr>
                <w:sz w:val="24"/>
                <w:rFonts w:ascii="Times New Roman" w:hAnsi="Times New Roman"/>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 xml:space="preserve">b)</w:t>
            </w:r>
          </w:p>
        </w:tc>
        <w:tc>
          <w:tcPr>
            <w:tcW w:w="7655" w:type="dxa"/>
            <w:vAlign w:val="center"/>
          </w:tcPr>
          <w:p w14:paraId="18D48591"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Apraksts par to, kā augstākā vadība ir iesaistīta </w:t>
            </w:r>
            <w:r>
              <w:rPr>
                <w:sz w:val="24"/>
                <w:i/>
                <w:rFonts w:ascii="Times New Roman" w:hAnsi="Times New Roman"/>
              </w:rPr>
              <w:t xml:space="preserve">CVA</w:t>
            </w:r>
            <w:r>
              <w:rPr>
                <w:sz w:val="24"/>
                <w:rFonts w:ascii="Times New Roman" w:hAnsi="Times New Roman"/>
              </w:rPr>
              <w:t xml:space="preserve"> riska pārvaldības sistēmā.</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 xml:space="preserve">c)</w:t>
            </w:r>
          </w:p>
        </w:tc>
        <w:tc>
          <w:tcPr>
            <w:tcW w:w="7655" w:type="dxa"/>
            <w:vAlign w:val="center"/>
          </w:tcPr>
          <w:p w14:paraId="4DDC9D3A" w14:textId="77777777" w:rsidR="00942645" w:rsidRPr="00CA7700" w:rsidRDefault="00942645" w:rsidP="00962254">
            <w:pPr>
              <w:spacing w:before="60" w:after="120"/>
              <w:jc w:val="both"/>
              <w:rPr>
                <w:noProof/>
                <w:sz w:val="24"/>
                <w:rFonts w:ascii="Times New Roman" w:hAnsi="Times New Roman" w:cs="Times New Roman"/>
              </w:rPr>
            </w:pPr>
            <w:r>
              <w:rPr>
                <w:sz w:val="24"/>
                <w:rFonts w:ascii="Times New Roman" w:hAnsi="Times New Roman"/>
              </w:rPr>
              <w:t xml:space="preserve">Pārskats par </w:t>
            </w:r>
            <w:r>
              <w:rPr>
                <w:sz w:val="24"/>
                <w:i/>
                <w:rFonts w:ascii="Times New Roman" w:hAnsi="Times New Roman"/>
              </w:rPr>
              <w:t xml:space="preserve">CVA</w:t>
            </w:r>
            <w:r>
              <w:rPr>
                <w:sz w:val="24"/>
                <w:rFonts w:ascii="Times New Roman" w:hAnsi="Times New Roman"/>
              </w:rPr>
              <w:t xml:space="preserve"> riska pārvaldības sistēmas pārvaldību (piemēram, dokumentācija, neatkarīga kontroles struktūrvienība, neatkarīga pārskatīšana, dati tiek iegūti neatkarīgi no darbības jomām).</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sz w:val="24"/>
          <w:rFonts w:ascii="Times New Roman" w:hAnsi="Times New Roman" w:cs="Times New Roman"/>
        </w:rPr>
      </w:pPr>
      <w:r>
        <w:rPr>
          <w:sz w:val="24"/>
          <w:b/>
          <w:rFonts w:ascii="Times New Roman" w:hAnsi="Times New Roman"/>
        </w:rPr>
        <w:t xml:space="preserve">Veidne EU CVA3 – Kredīta vērtības korekcijas risks saskaņā ar standartizēto pieeju (</w:t>
      </w:r>
      <w:r>
        <w:rPr>
          <w:sz w:val="24"/>
          <w:b/>
          <w:i/>
          <w:rFonts w:ascii="Times New Roman" w:hAnsi="Times New Roman"/>
        </w:rPr>
        <w:t xml:space="preserve">SA</w:t>
      </w:r>
      <w:r>
        <w:rPr>
          <w:sz w:val="24"/>
          <w:b/>
          <w:rFonts w:ascii="Times New Roman" w:hAnsi="Times New Roman"/>
        </w:rPr>
        <w:t xml:space="preserve">).</w:t>
      </w:r>
      <w:r>
        <w:rPr>
          <w:sz w:val="24"/>
          <w:b/>
          <w:rFonts w:ascii="Times New Roman" w:hAnsi="Times New Roman"/>
        </w:rPr>
        <w:t xml:space="preserve"> </w:t>
      </w:r>
      <w:r>
        <w:rPr>
          <w:sz w:val="24"/>
          <w:rFonts w:ascii="Times New Roman" w:hAnsi="Times New Roman"/>
        </w:rPr>
        <w:t xml:space="preserve">Fiksēts formāts.</w:t>
      </w:r>
    </w:p>
    <w:p w14:paraId="18ADC674" w14:textId="77777777" w:rsidR="00942645" w:rsidRPr="00CA7700" w:rsidRDefault="00942645" w:rsidP="00942645">
      <w:pPr>
        <w:pStyle w:val="Titlelevel2"/>
        <w:numPr>
          <w:ilvl w:val="0"/>
          <w:numId w:val="14"/>
        </w:numPr>
        <w:spacing w:before="120"/>
        <w:jc w:val="both"/>
        <w:rPr>
          <w:b/>
          <w:color w:val="auto"/>
          <w:sz w:val="24"/>
          <w:rFonts w:ascii="Times New Roman" w:hAnsi="Times New Roman" w:cs="Times New Roman"/>
        </w:rPr>
      </w:pPr>
      <w:r>
        <w:rPr>
          <w:sz w:val="24"/>
          <w:color w:val="000000"/>
          <w:rFonts w:ascii="Times New Roman" w:hAnsi="Times New Roman"/>
        </w:rPr>
        <w:t xml:space="preserve">Iestādes piemēro turpmāk šajā pielikumā sniegtos norādījumus, lai aizpildītu XLI pielikumā ietverto veidni EU CVA3, piemērojot </w:t>
      </w:r>
      <w:r>
        <w:rPr>
          <w:sz w:val="24"/>
          <w:color w:val="000000"/>
          <w:color w:val="auto"/>
          <w:rFonts w:ascii="Times New Roman" w:hAnsi="Times New Roman"/>
        </w:rPr>
        <w:t xml:space="preserve">Regulas (ES) Nr. 575/2013</w:t>
      </w:r>
      <w:r>
        <w:rPr>
          <w:sz w:val="24"/>
          <w:color w:val="000000"/>
          <w:rFonts w:ascii="Times New Roman" w:hAnsi="Times New Roman"/>
        </w:rPr>
        <w:t xml:space="preserve"> 445.a panta 1. punkta c) apakšpunktu un 445.a panta 2. punkta b) un c)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b/>
                <w:sz w:val="24"/>
                <w:rFonts w:ascii="Times New Roman" w:hAnsi="Times New Roman" w:cs="Times New Roman"/>
              </w:rPr>
            </w:pPr>
            <w:r>
              <w:rPr>
                <w:b/>
                <w:sz w:val="24"/>
                <w:rFonts w:ascii="Times New Roman" w:hAnsi="Times New Roman"/>
              </w:rPr>
              <w:t xml:space="preserve">Atsauces uz tiesību aktiem un norādījumi</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 xml:space="preserve">1.–6.</w:t>
            </w:r>
          </w:p>
        </w:tc>
        <w:tc>
          <w:tcPr>
            <w:tcW w:w="7655" w:type="dxa"/>
            <w:vAlign w:val="center"/>
          </w:tcPr>
          <w:p w14:paraId="78E0BB68" w14:textId="77777777" w:rsidR="00942645" w:rsidRPr="00212EDF" w:rsidRDefault="00942645" w:rsidP="00962254">
            <w:pPr>
              <w:pStyle w:val="TableNote"/>
              <w:rPr>
                <w:b/>
                <w:iCs/>
                <w:sz w:val="24"/>
                <w:szCs w:val="24"/>
                <w:rFonts w:ascii="Times New Roman" w:hAnsi="Times New Roman"/>
              </w:rPr>
            </w:pPr>
            <w:r>
              <w:rPr>
                <w:b/>
                <w:sz w:val="24"/>
                <w:rFonts w:ascii="Times New Roman" w:hAnsi="Times New Roman"/>
              </w:rPr>
              <w:t xml:space="preserve">Riska klases</w:t>
            </w:r>
          </w:p>
          <w:p w14:paraId="60828ECC" w14:textId="4B3E3F32"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Pašu kapitāla prasību komponenti saskaņā ar standartizēto pieeju (</w:t>
            </w:r>
            <w:r>
              <w:rPr>
                <w:sz w:val="24"/>
                <w:i/>
                <w:rFonts w:ascii="Times New Roman" w:hAnsi="Times New Roman"/>
              </w:rPr>
              <w:t xml:space="preserve">SA-CVA</w:t>
            </w:r>
            <w:r>
              <w:rPr>
                <w:sz w:val="24"/>
                <w:rFonts w:ascii="Times New Roman" w:hAnsi="Times New Roman"/>
              </w:rPr>
              <w:t xml:space="preserve"> risks) atbilstoši Regulas (ES) Nr. 575/2013 383. pantam, tajā skaitā sadalījums pa riska klasēm, kā noteikts Regulas (ES) Nr. 575/2013 383. panta 2. punkta 1. apakšpunktā.</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 xml:space="preserve">1.</w:t>
            </w:r>
          </w:p>
        </w:tc>
        <w:tc>
          <w:tcPr>
            <w:tcW w:w="7655" w:type="dxa"/>
            <w:vAlign w:val="center"/>
          </w:tcPr>
          <w:p w14:paraId="28EC92DE" w14:textId="02A0C77C"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Procentu likmju risks</w:t>
            </w:r>
          </w:p>
          <w:p w14:paraId="16CB1A2E" w14:textId="2B6C4833"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Regulas (ES) Nr. 575/2013 383.c, 383.i, 383.j, 383.k, 383.l, 383.m pants.</w:t>
            </w:r>
            <w:r>
              <w:rPr>
                <w:sz w:val="24"/>
                <w:rFonts w:ascii="Times New Roman" w:hAnsi="Times New Roman"/>
              </w:rPr>
              <w:t xml:space="preserve">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 xml:space="preserve">2.</w:t>
            </w:r>
          </w:p>
        </w:tc>
        <w:tc>
          <w:tcPr>
            <w:tcW w:w="7655" w:type="dxa"/>
            <w:vAlign w:val="center"/>
          </w:tcPr>
          <w:p w14:paraId="44DDD750"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Ārvalstu valūtas risks</w:t>
            </w:r>
            <w:r>
              <w:rPr>
                <w:b/>
                <w:sz w:val="24"/>
                <w:rFonts w:ascii="Times New Roman" w:hAnsi="Times New Roman"/>
              </w:rPr>
              <w:t xml:space="preserve"> </w:t>
            </w:r>
          </w:p>
          <w:p w14:paraId="0D99F846" w14:textId="21475511"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Regulas (ES) Nr. 575/2013 383.d, 383.i, 383.j, 383.n, 383.o pants.</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 xml:space="preserve">3.</w:t>
            </w:r>
          </w:p>
        </w:tc>
        <w:tc>
          <w:tcPr>
            <w:tcW w:w="7655" w:type="dxa"/>
            <w:vAlign w:val="center"/>
          </w:tcPr>
          <w:p w14:paraId="2CE70E59" w14:textId="77777777" w:rsidR="00942645" w:rsidRPr="00212EDF" w:rsidRDefault="00942645" w:rsidP="00962254">
            <w:pPr>
              <w:spacing w:after="120"/>
              <w:jc w:val="both"/>
              <w:rPr>
                <w:b/>
                <w:bCs/>
                <w:iCs/>
                <w:sz w:val="24"/>
                <w:rFonts w:ascii="Times New Roman" w:hAnsi="Times New Roman" w:cs="Times New Roman"/>
              </w:rPr>
            </w:pPr>
            <w:r>
              <w:rPr>
                <w:b/>
                <w:sz w:val="24"/>
                <w:rFonts w:ascii="Times New Roman" w:hAnsi="Times New Roman"/>
              </w:rPr>
              <w:t xml:space="preserve">Atsauces kredītriska starpības risks</w:t>
            </w:r>
          </w:p>
          <w:p w14:paraId="371E3FA7" w14:textId="67089DA8"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Regulas (ES) Nr. 575/2013 383.f, 383.i, 383.j, 383.s, 383.u pants.</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 xml:space="preserve">4.</w:t>
            </w:r>
          </w:p>
        </w:tc>
        <w:tc>
          <w:tcPr>
            <w:tcW w:w="7655" w:type="dxa"/>
            <w:vAlign w:val="center"/>
          </w:tcPr>
          <w:p w14:paraId="57EBB8D1"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Kapitāla vērtspapīru risks</w:t>
            </w:r>
          </w:p>
          <w:p w14:paraId="091E1B85" w14:textId="4452A32D"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Regulas (ES) Nr. 575/2013 383.g, 383.i, 383.j, 383.v, 383.w pants.</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 xml:space="preserve">5.</w:t>
            </w:r>
          </w:p>
        </w:tc>
        <w:tc>
          <w:tcPr>
            <w:tcW w:w="7655" w:type="dxa"/>
            <w:vAlign w:val="center"/>
          </w:tcPr>
          <w:p w14:paraId="56BFBEB4"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Preču risks</w:t>
            </w:r>
          </w:p>
          <w:p w14:paraId="1503EDB0" w14:textId="5095156A"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Regulas (ES) Nr. 575/2013 383.h, 383.i, 383.j, 383.x, 383.z pants.</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 xml:space="preserve">6.</w:t>
            </w:r>
          </w:p>
        </w:tc>
        <w:tc>
          <w:tcPr>
            <w:tcW w:w="7655" w:type="dxa"/>
            <w:vAlign w:val="center"/>
          </w:tcPr>
          <w:p w14:paraId="14F9191C"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Darījuma partnera kredītriska starpība risks</w:t>
            </w:r>
          </w:p>
          <w:p w14:paraId="3345109B" w14:textId="5DC9DECF" w:rsidR="00942645" w:rsidRPr="00CA7700" w:rsidRDefault="00942645" w:rsidP="00962254">
            <w:pPr>
              <w:pStyle w:val="TableNote"/>
              <w:rPr>
                <w:i/>
                <w:sz w:val="24"/>
                <w:szCs w:val="24"/>
                <w:rFonts w:ascii="Times New Roman" w:hAnsi="Times New Roman"/>
              </w:rPr>
            </w:pPr>
            <w:r>
              <w:rPr>
                <w:sz w:val="24"/>
                <w:rFonts w:ascii="Times New Roman" w:hAnsi="Times New Roman"/>
              </w:rPr>
              <w:t xml:space="preserve">Regulas (ES) Nr. 575/2013 383.e, 383.i, 383.j, 383.p 383.q, 383.r pants.</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 xml:space="preserve">7.</w:t>
            </w:r>
          </w:p>
        </w:tc>
        <w:tc>
          <w:tcPr>
            <w:tcW w:w="7655" w:type="dxa"/>
          </w:tcPr>
          <w:p w14:paraId="78C024D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Kopā</w:t>
            </w:r>
          </w:p>
          <w:p w14:paraId="7E51C6A2" w14:textId="0EF0E48B" w:rsidR="00942645" w:rsidRPr="00CA7700" w:rsidRDefault="00942645" w:rsidP="00962254">
            <w:pPr>
              <w:spacing w:before="60" w:after="120"/>
              <w:rPr>
                <w:b/>
                <w:iCs/>
                <w:sz w:val="24"/>
                <w:rFonts w:ascii="Times New Roman" w:hAnsi="Times New Roman" w:cs="Times New Roman"/>
              </w:rPr>
            </w:pPr>
            <w:r>
              <w:rPr>
                <w:sz w:val="24"/>
                <w:rFonts w:ascii="Times New Roman" w:hAnsi="Times New Roman"/>
              </w:rPr>
              <w:t xml:space="preserve">1.–6. rindas summa.</w:t>
            </w:r>
            <w:r>
              <w:rPr>
                <w:sz w:val="24"/>
                <w:rFonts w:ascii="Times New Roman" w:hAnsi="Times New Roman"/>
              </w:rPr>
              <w:t xml:space="preserve"> </w:t>
            </w:r>
            <w:r>
              <w:rPr>
                <w:sz w:val="24"/>
                <w:rFonts w:ascii="Times New Roman" w:hAnsi="Times New Roman"/>
              </w:rPr>
              <w:t xml:space="preserve">Šī summa ir vienāda ar summu, kas atklāta veidnes EU OV1 EU 10.a rindas c) ailē.</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 xml:space="preserve">EU 8.–EU 13.</w:t>
            </w:r>
          </w:p>
        </w:tc>
        <w:tc>
          <w:tcPr>
            <w:tcW w:w="7655" w:type="dxa"/>
          </w:tcPr>
          <w:p w14:paraId="24FDD12C"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Darījuma partneru darījumu veidi</w:t>
            </w:r>
            <w:r>
              <w:rPr>
                <w:b/>
                <w:sz w:val="24"/>
                <w:rFonts w:ascii="Times New Roman" w:hAnsi="Times New Roman"/>
              </w:rPr>
              <w:t xml:space="preserve"> </w:t>
            </w:r>
          </w:p>
          <w:p w14:paraId="384E4400" w14:textId="489739D4" w:rsidR="00942645" w:rsidRPr="00212EDF" w:rsidRDefault="00942645" w:rsidP="00E60D1B">
            <w:pPr>
              <w:spacing w:before="60" w:after="120"/>
              <w:rPr>
                <w:sz w:val="24"/>
                <w:rFonts w:ascii="Times New Roman" w:hAnsi="Times New Roman" w:cs="Times New Roman"/>
              </w:rPr>
            </w:pPr>
            <w:r>
              <w:rPr>
                <w:sz w:val="24"/>
                <w:rFonts w:ascii="Times New Roman" w:hAnsi="Times New Roman"/>
              </w:rPr>
              <w:t xml:space="preserve">Darījuma partneru skaits darījumos sadalījumā pa veidiem saskaņā ar norādījumiem EBI IT risinājuma “Ziņošana par finanšu informāciju saskaņā ar SFPS un vispārpieņemtiem grāmatvedības principiem atbilstoši 2024. gada 1. versijai” V pielikuma 1. daļas 6. sadaļas 42.–44. punktā [pieejams EBI tīmekļa vietnē].</w:t>
            </w:r>
            <w:r>
              <w:rPr>
                <w:sz w:val="24"/>
                <w:rFonts w:ascii="Times New Roman" w:hAnsi="Times New Roman"/>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 xml:space="preserve">EU 14.</w:t>
            </w:r>
          </w:p>
        </w:tc>
        <w:tc>
          <w:tcPr>
            <w:tcW w:w="7655" w:type="dxa"/>
          </w:tcPr>
          <w:p w14:paraId="18FAC522" w14:textId="77777777" w:rsidR="00942645" w:rsidRPr="00212EDF" w:rsidRDefault="00942645" w:rsidP="00962254">
            <w:pPr>
              <w:spacing w:before="60" w:after="120"/>
              <w:rPr>
                <w:b/>
                <w:bCs/>
                <w:iCs/>
                <w:sz w:val="24"/>
                <w:rFonts w:ascii="Times New Roman" w:hAnsi="Times New Roman" w:cs="Times New Roman"/>
              </w:rPr>
            </w:pPr>
            <w:r>
              <w:rPr>
                <w:b/>
                <w:sz w:val="24"/>
                <w:rFonts w:ascii="Times New Roman" w:hAnsi="Times New Roman"/>
              </w:rPr>
              <w:t xml:space="preserve">Kopā</w:t>
            </w:r>
          </w:p>
          <w:p w14:paraId="67696FDB" w14:textId="77777777" w:rsidR="00942645" w:rsidRPr="00CA7700" w:rsidRDefault="00942645" w:rsidP="00962254">
            <w:pPr>
              <w:spacing w:before="60" w:after="120"/>
              <w:rPr>
                <w:iCs/>
                <w:sz w:val="24"/>
                <w:rFonts w:ascii="Times New Roman" w:hAnsi="Times New Roman" w:cs="Times New Roman"/>
              </w:rPr>
            </w:pPr>
            <w:r>
              <w:rPr>
                <w:sz w:val="24"/>
                <w:rFonts w:ascii="Times New Roman" w:hAnsi="Times New Roman"/>
              </w:rPr>
              <w:t xml:space="preserve">Darījuma partneru kopējais skaits, summējot EU 8.–EU 13. rindu.</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 xml:space="preserve">EU 15.–EU 17.</w:t>
            </w:r>
          </w:p>
        </w:tc>
        <w:tc>
          <w:tcPr>
            <w:tcW w:w="7655" w:type="dxa"/>
          </w:tcPr>
          <w:p w14:paraId="64353F3E" w14:textId="77777777" w:rsidR="00942645" w:rsidRPr="00212EDF" w:rsidRDefault="00942645" w:rsidP="00962254">
            <w:pPr>
              <w:spacing w:before="60" w:after="120"/>
              <w:rPr>
                <w:b/>
                <w:iCs/>
                <w:sz w:val="24"/>
                <w:rFonts w:ascii="Times New Roman" w:hAnsi="Times New Roman" w:cs="Times New Roman"/>
              </w:rPr>
            </w:pPr>
            <w:r>
              <w:rPr>
                <w:b/>
                <w:sz w:val="24"/>
                <w:i/>
                <w:rFonts w:ascii="Times New Roman" w:hAnsi="Times New Roman"/>
              </w:rPr>
              <w:t xml:space="preserve">CVA</w:t>
            </w:r>
            <w:r>
              <w:rPr>
                <w:b/>
                <w:sz w:val="24"/>
                <w:rFonts w:ascii="Times New Roman" w:hAnsi="Times New Roman"/>
              </w:rPr>
              <w:t xml:space="preserve"> riska ierobežošana</w:t>
            </w:r>
          </w:p>
          <w:p w14:paraId="69C81380" w14:textId="77777777" w:rsidR="00942645" w:rsidRPr="00CA7700" w:rsidRDefault="00942645" w:rsidP="00962254">
            <w:pPr>
              <w:spacing w:before="60" w:after="120"/>
              <w:rPr>
                <w:i/>
                <w:sz w:val="24"/>
                <w:rFonts w:ascii="Times New Roman" w:hAnsi="Times New Roman" w:cs="Times New Roman"/>
              </w:rPr>
            </w:pPr>
            <w:r>
              <w:rPr>
                <w:sz w:val="24"/>
                <w:rFonts w:ascii="Times New Roman" w:hAnsi="Times New Roman"/>
              </w:rPr>
              <w:t xml:space="preserve">Regulas (ES) Nr. 575/2013 386. pants.</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 xml:space="preserve">EU 18.</w:t>
            </w:r>
          </w:p>
        </w:tc>
        <w:tc>
          <w:tcPr>
            <w:tcW w:w="7655" w:type="dxa"/>
          </w:tcPr>
          <w:p w14:paraId="30C7C944" w14:textId="77777777" w:rsidR="00942645" w:rsidRPr="00212EDF" w:rsidRDefault="00942645" w:rsidP="00962254">
            <w:pPr>
              <w:spacing w:before="60" w:after="120"/>
              <w:rPr>
                <w:b/>
                <w:iCs/>
                <w:sz w:val="24"/>
                <w:rFonts w:ascii="Times New Roman" w:hAnsi="Times New Roman" w:cs="Times New Roman"/>
              </w:rPr>
            </w:pPr>
            <w:r>
              <w:rPr>
                <w:b/>
                <w:sz w:val="24"/>
                <w:rFonts w:ascii="Times New Roman" w:hAnsi="Times New Roman"/>
              </w:rPr>
              <w:t xml:space="preserve">Kopā</w:t>
            </w:r>
          </w:p>
          <w:p w14:paraId="7B810666" w14:textId="77777777" w:rsidR="00942645" w:rsidRPr="00CA7700" w:rsidRDefault="00942645" w:rsidP="00962254">
            <w:pPr>
              <w:spacing w:before="60" w:after="120"/>
              <w:rPr>
                <w:bCs/>
                <w:iCs/>
                <w:sz w:val="24"/>
                <w:rFonts w:ascii="Times New Roman" w:hAnsi="Times New Roman" w:cs="Times New Roman"/>
              </w:rPr>
            </w:pPr>
            <w:r>
              <w:rPr>
                <w:sz w:val="24"/>
                <w:rFonts w:ascii="Times New Roman" w:hAnsi="Times New Roman"/>
              </w:rPr>
              <w:t xml:space="preserve">EU 15.–EU 17. rindas summa.</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 xml:space="preserve">a</w:t>
            </w:r>
          </w:p>
        </w:tc>
        <w:tc>
          <w:tcPr>
            <w:tcW w:w="7655" w:type="dxa"/>
            <w:vAlign w:val="center"/>
          </w:tcPr>
          <w:p w14:paraId="2B901479" w14:textId="77777777" w:rsidR="004D0F6F" w:rsidRPr="00212EDF" w:rsidRDefault="009B4C5B" w:rsidP="00962254">
            <w:pPr>
              <w:spacing w:after="120"/>
              <w:jc w:val="both"/>
              <w:rPr>
                <w:b/>
                <w:bCs/>
                <w:iCs/>
                <w:sz w:val="24"/>
                <w:szCs w:val="20"/>
                <w:rFonts w:ascii="Times New Roman" w:eastAsia="Times New Roman" w:hAnsi="Times New Roman" w:cs="Times New Roman"/>
              </w:rPr>
            </w:pPr>
            <w:r>
              <w:rPr>
                <w:sz w:val="24"/>
                <w:i/>
                <w:rFonts w:ascii="Times New Roman" w:hAnsi="Times New Roman"/>
              </w:rPr>
              <w:t xml:space="preserve"> </w:t>
            </w:r>
            <w:r>
              <w:rPr>
                <w:sz w:val="24"/>
                <w:b/>
                <w:rFonts w:ascii="Times New Roman" w:hAnsi="Times New Roman"/>
              </w:rPr>
              <w:t xml:space="preserve">Pašu kapitāla prasības</w:t>
            </w:r>
          </w:p>
          <w:p w14:paraId="1259F031" w14:textId="106FC974" w:rsidR="00942645" w:rsidRPr="00CA7700" w:rsidRDefault="00942645" w:rsidP="00962254">
            <w:pPr>
              <w:spacing w:after="120"/>
              <w:jc w:val="both"/>
              <w:rPr>
                <w:sz w:val="24"/>
                <w:rFonts w:ascii="Times New Roman" w:hAnsi="Times New Roman" w:cs="Times New Roman"/>
              </w:rPr>
            </w:pPr>
            <w:r>
              <w:rPr>
                <w:sz w:val="24"/>
                <w:rFonts w:ascii="Times New Roman" w:hAnsi="Times New Roman"/>
              </w:rPr>
              <w:t xml:space="preserve">Regulas (ES) Nr. 575/2013 382. pants.</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 xml:space="preserve">b</w:t>
            </w:r>
          </w:p>
        </w:tc>
        <w:tc>
          <w:tcPr>
            <w:tcW w:w="7655" w:type="dxa"/>
            <w:vAlign w:val="center"/>
          </w:tcPr>
          <w:p w14:paraId="6F633119" w14:textId="77777777" w:rsidR="00942645" w:rsidRPr="00212EDF" w:rsidRDefault="00942645" w:rsidP="00962254">
            <w:pPr>
              <w:pStyle w:val="TableNote"/>
              <w:rPr>
                <w:b/>
                <w:bCs/>
                <w:iCs/>
                <w:sz w:val="24"/>
                <w:szCs w:val="24"/>
                <w:rFonts w:ascii="Times New Roman" w:hAnsi="Times New Roman"/>
              </w:rPr>
            </w:pPr>
            <w:r>
              <w:rPr>
                <w:b/>
                <w:sz w:val="24"/>
                <w:rFonts w:ascii="Times New Roman" w:hAnsi="Times New Roman"/>
              </w:rPr>
              <w:t xml:space="preserve">Darījuma partneru skaits</w:t>
            </w:r>
          </w:p>
          <w:p w14:paraId="4B5F72BC" w14:textId="48FA7F47" w:rsidR="00942645" w:rsidRPr="00CA7700" w:rsidRDefault="00942645" w:rsidP="00962254">
            <w:pPr>
              <w:pStyle w:val="TableNote"/>
              <w:rPr>
                <w:sz w:val="24"/>
                <w:szCs w:val="24"/>
                <w:rFonts w:ascii="Times New Roman" w:hAnsi="Times New Roman"/>
              </w:rPr>
            </w:pPr>
            <w:r>
              <w:rPr>
                <w:sz w:val="24"/>
                <w:rFonts w:ascii="Times New Roman" w:hAnsi="Times New Roman"/>
              </w:rPr>
              <w:t xml:space="preserve">To darījuma partneru skaits, kā noteikts Regulas (ES) Nr. 575/2013 383. panta 1. punktā, kas iekļauti pašu kapitāla prasību aprēķinā attiecībā uz </w:t>
            </w:r>
            <w:r>
              <w:rPr>
                <w:sz w:val="24"/>
                <w:i/>
                <w:rFonts w:ascii="Times New Roman" w:hAnsi="Times New Roman"/>
              </w:rPr>
              <w:t xml:space="preserve">SA-CVA</w:t>
            </w:r>
            <w:r>
              <w:rPr>
                <w:sz w:val="24"/>
                <w:rFonts w:ascii="Times New Roman" w:hAnsi="Times New Roman"/>
              </w:rPr>
              <w:t xml:space="preserve"> risku.</w:t>
            </w:r>
            <w:r>
              <w:rPr>
                <w:sz w:val="24"/>
                <w:rFonts w:ascii="Times New Roman" w:hAnsi="Times New Roman"/>
              </w:rPr>
              <w:t xml:space="preserve">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 xml:space="preserve">EU c</w:t>
            </w:r>
          </w:p>
        </w:tc>
        <w:tc>
          <w:tcPr>
            <w:tcW w:w="7655" w:type="dxa"/>
            <w:vAlign w:val="center"/>
          </w:tcPr>
          <w:p w14:paraId="78B4FFA9" w14:textId="77777777" w:rsidR="00942645" w:rsidRPr="00212EDF" w:rsidRDefault="00942645" w:rsidP="00962254">
            <w:pPr>
              <w:pStyle w:val="TableNote"/>
              <w:rPr>
                <w:b/>
                <w:bCs/>
                <w:iCs/>
                <w:sz w:val="24"/>
                <w:szCs w:val="24"/>
                <w:rFonts w:ascii="Times New Roman" w:hAnsi="Times New Roman"/>
              </w:rPr>
            </w:pPr>
            <w:r>
              <w:rPr>
                <w:b/>
                <w:sz w:val="24"/>
                <w:i/>
                <w:rFonts w:ascii="Times New Roman" w:hAnsi="Times New Roman"/>
              </w:rPr>
              <w:t xml:space="preserve">CVA</w:t>
            </w:r>
            <w:r>
              <w:rPr>
                <w:b/>
                <w:sz w:val="24"/>
                <w:rFonts w:ascii="Times New Roman" w:hAnsi="Times New Roman"/>
              </w:rPr>
              <w:t xml:space="preserve"> riska ierobežošanas nosacītā summa</w:t>
            </w:r>
          </w:p>
          <w:p w14:paraId="52C0F4DF" w14:textId="77777777" w:rsidR="00942645" w:rsidRPr="00CA7700" w:rsidDel="000073FA" w:rsidRDefault="00942645" w:rsidP="00962254">
            <w:pPr>
              <w:pStyle w:val="TableNote"/>
              <w:rPr>
                <w:i/>
                <w:sz w:val="24"/>
                <w:szCs w:val="24"/>
                <w:rFonts w:ascii="Times New Roman" w:hAnsi="Times New Roman"/>
              </w:rPr>
            </w:pPr>
            <w:r>
              <w:rPr>
                <w:sz w:val="24"/>
                <w:rFonts w:ascii="Times New Roman" w:hAnsi="Times New Roman"/>
              </w:rPr>
              <w:t xml:space="preserve">Atbilstošu </w:t>
            </w:r>
            <w:r>
              <w:rPr>
                <w:sz w:val="24"/>
                <w:i/>
                <w:rFonts w:ascii="Times New Roman" w:hAnsi="Times New Roman"/>
              </w:rPr>
              <w:t xml:space="preserve">CVA</w:t>
            </w:r>
            <w:r>
              <w:rPr>
                <w:sz w:val="24"/>
                <w:rFonts w:ascii="Times New Roman" w:hAnsi="Times New Roman"/>
              </w:rPr>
              <w:t xml:space="preserve"> riska ierobežošanas pozīciju nosacītā summa, kas atzīta saskaņā ar Regulas (ES) Nr. 575/2013 386. pantu.</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color w:val="auto"/>
          <w:sz w:val="24"/>
          <w:rFonts w:ascii="Times New Roman" w:hAnsi="Times New Roman" w:cs="Times New Roman"/>
        </w:rPr>
      </w:pPr>
      <w:r>
        <w:rPr>
          <w:color w:val="auto"/>
          <w:sz w:val="24"/>
          <w:b/>
          <w:rFonts w:ascii="Times New Roman" w:hAnsi="Times New Roman"/>
        </w:rPr>
        <w:t xml:space="preserve">Veidne EU CVA4 – Kredīta vērtības korekcijas riska </w:t>
      </w:r>
      <w:r>
        <w:rPr>
          <w:color w:val="auto"/>
          <w:sz w:val="24"/>
          <w:b/>
          <w:i/>
          <w:rFonts w:ascii="Times New Roman" w:hAnsi="Times New Roman"/>
        </w:rPr>
        <w:t xml:space="preserve">RWEA</w:t>
      </w:r>
      <w:r>
        <w:rPr>
          <w:color w:val="auto"/>
          <w:sz w:val="24"/>
          <w:b/>
          <w:rFonts w:ascii="Times New Roman" w:hAnsi="Times New Roman"/>
        </w:rPr>
        <w:t xml:space="preserve"> plūsmas pārskati saskaņā ar standartizēto pieeju (</w:t>
      </w:r>
      <w:r>
        <w:rPr>
          <w:color w:val="auto"/>
          <w:sz w:val="24"/>
          <w:b/>
          <w:i/>
          <w:rFonts w:ascii="Times New Roman" w:hAnsi="Times New Roman"/>
        </w:rPr>
        <w:t xml:space="preserve">SA</w:t>
      </w:r>
      <w:r>
        <w:rPr>
          <w:color w:val="auto"/>
          <w:sz w:val="24"/>
          <w:b/>
          <w:rFonts w:ascii="Times New Roman" w:hAnsi="Times New Roman"/>
        </w:rPr>
        <w:t xml:space="preserve">).</w:t>
      </w:r>
      <w:r>
        <w:rPr>
          <w:color w:val="auto"/>
          <w:sz w:val="24"/>
          <w:b/>
          <w:rFonts w:ascii="Times New Roman" w:hAnsi="Times New Roman"/>
        </w:rPr>
        <w:t xml:space="preserve"> </w:t>
      </w:r>
      <w:r>
        <w:rPr>
          <w:color w:val="auto"/>
          <w:sz w:val="24"/>
          <w:rFonts w:ascii="Times New Roman" w:hAnsi="Times New Roman"/>
        </w:rPr>
        <w:t xml:space="preserve">Fiksēts formāts.</w:t>
      </w:r>
    </w:p>
    <w:p w14:paraId="22E699CE" w14:textId="5A78E63F"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Iestādes piemēro turpmāk sniegtos norādījumus, lai aizpildītu veidni EU CVA4, kas sniegta EBI IT risinājumu XLI pielikumā, piemērojot Regulas (ES) Nr. 575/2013 438. panta d) un h) punktu.</w:t>
      </w:r>
      <w:r>
        <w:rPr>
          <w:color w:val="000000"/>
          <w:sz w:val="24"/>
          <w:rFonts w:ascii="Times New Roman" w:hAnsi="Times New Roman"/>
        </w:rPr>
        <w:t xml:space="preserve"> </w:t>
      </w:r>
    </w:p>
    <w:p w14:paraId="03A729A3" w14:textId="77777777" w:rsidR="00942645" w:rsidRPr="00CA7700" w:rsidRDefault="00942645" w:rsidP="00942645">
      <w:pPr>
        <w:pStyle w:val="Titlelevel2"/>
        <w:numPr>
          <w:ilvl w:val="0"/>
          <w:numId w:val="14"/>
        </w:numPr>
        <w:spacing w:before="120"/>
        <w:jc w:val="both"/>
        <w:rPr>
          <w:bCs w:val="0"/>
          <w:noProof/>
          <w:color w:val="000000"/>
          <w:sz w:val="24"/>
          <w:rFonts w:ascii="Times New Roman" w:eastAsiaTheme="minorEastAsia" w:hAnsi="Times New Roman" w:cs="Times New Roman"/>
        </w:rPr>
      </w:pPr>
      <w:r>
        <w:rPr>
          <w:color w:val="000000"/>
          <w:sz w:val="24"/>
          <w:rFonts w:ascii="Times New Roman" w:hAnsi="Times New Roman"/>
        </w:rPr>
        <w:t xml:space="preserve">Iestādēm šī veidne jāpapildina ar paskaidrojošu piezīmi, kurā izklāstītas visas būtiskās izmaiņas pārskata periodā un norādīti šādu izmaiņu galvenie veicinātājfaktori.</w:t>
      </w:r>
      <w:r>
        <w:rPr>
          <w:color w:val="000000"/>
          <w:sz w:val="24"/>
          <w:rFonts w:ascii="Times New Roman" w:hAnsi="Times New Roman"/>
        </w:rPr>
        <w:t xml:space="preserve"> </w:t>
      </w:r>
      <w:r>
        <w:rPr>
          <w:color w:val="000000"/>
          <w:sz w:val="24"/>
          <w:rFonts w:ascii="Times New Roman" w:hAnsi="Times New Roman"/>
        </w:rPr>
        <w:t xml:space="preserve">Izmaiņu pamatā esošie faktori varētu būt riska līmeņu izmaiņas, tvēruma izmaiņas (piemēram, savstarpējo prasījumu ieskaita kopu pārvietošana starp </w:t>
      </w:r>
      <w:r>
        <w:rPr>
          <w:color w:val="000000"/>
          <w:sz w:val="24"/>
          <w:i/>
          <w:rFonts w:ascii="Times New Roman" w:hAnsi="Times New Roman"/>
        </w:rPr>
        <w:t xml:space="preserve">SA-CVA</w:t>
      </w:r>
      <w:r>
        <w:rPr>
          <w:color w:val="000000"/>
          <w:sz w:val="24"/>
          <w:rFonts w:ascii="Times New Roman" w:hAnsi="Times New Roman"/>
        </w:rPr>
        <w:t xml:space="preserve"> un </w:t>
      </w:r>
      <w:r>
        <w:rPr>
          <w:color w:val="000000"/>
          <w:sz w:val="24"/>
          <w:i/>
          <w:rFonts w:ascii="Times New Roman" w:hAnsi="Times New Roman"/>
        </w:rPr>
        <w:t xml:space="preserve">BA-CVA</w:t>
      </w:r>
      <w:r>
        <w:rPr>
          <w:color w:val="000000"/>
          <w:sz w:val="24"/>
          <w:rFonts w:ascii="Times New Roman" w:hAnsi="Times New Roman"/>
        </w:rPr>
        <w:t xml:space="preserve">), darbības/produktu līniju vai vienību iegāde un atsavināšana vai ārvalstu valūtas pārrēķina izmaiņas.</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b/>
                <w:color w:val="000000"/>
                <w:sz w:val="24"/>
                <w:rFonts w:ascii="Times New Roman" w:hAnsi="Times New Roman" w:cs="Times New Roman"/>
              </w:rPr>
            </w:pPr>
            <w:r>
              <w:rPr>
                <w:b/>
                <w:color w:val="000000"/>
                <w:sz w:val="24"/>
                <w:rFonts w:ascii="Times New Roman" w:hAnsi="Times New Roman"/>
              </w:rPr>
              <w:t xml:space="preserve">Atsauces uz tiesību aktiem un norādījumi</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b/>
                <w:sz w:val="24"/>
                <w:rFonts w:ascii="Times New Roman" w:hAnsi="Times New Roman" w:cs="Times New Roman"/>
              </w:rPr>
            </w:pPr>
            <w:r>
              <w:rPr>
                <w:b/>
                <w:sz w:val="24"/>
                <w:rFonts w:ascii="Times New Roman" w:hAnsi="Times New Roman"/>
              </w:rPr>
              <w:t xml:space="preserve">Rindas numurs</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Paskaidrojums</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 xml:space="preserve">1.</w:t>
            </w:r>
          </w:p>
        </w:tc>
        <w:tc>
          <w:tcPr>
            <w:tcW w:w="7655" w:type="dxa"/>
            <w:vAlign w:val="center"/>
          </w:tcPr>
          <w:p w14:paraId="1165D18C"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Riska darījumu riska svērtā vērtība iepriekšējā pārskata perioda beigās</w:t>
            </w:r>
            <w:r>
              <w:rPr>
                <w:b/>
                <w:sz w:val="24"/>
                <w:rFonts w:ascii="Times New Roman" w:hAnsi="Times New Roman"/>
              </w:rPr>
              <w:t xml:space="preserve"> </w:t>
            </w:r>
          </w:p>
          <w:p w14:paraId="0A24A95A"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Šī summa ir vienāda ar summu, kas atklāta veidnes EU OV1 EU 10.a rindas b) ailē.</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 xml:space="preserve">2.</w:t>
            </w:r>
          </w:p>
        </w:tc>
        <w:tc>
          <w:tcPr>
            <w:tcW w:w="7655" w:type="dxa"/>
            <w:vAlign w:val="center"/>
          </w:tcPr>
          <w:p w14:paraId="1AE00A33"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Riska darījumu riska svērtā vērtība pašreizējā pārskata perioda beigās</w:t>
            </w:r>
          </w:p>
          <w:p w14:paraId="1FF40BFD" w14:textId="77777777"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Šī summa ir vienāda ar summu, kas atklāta veidnes EU OV1 EU 10.a rindas a) ailē.</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 xml:space="preserve">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b/>
                <w:sz w:val="24"/>
                <w:szCs w:val="24"/>
                <w:rFonts w:ascii="Times New Roman" w:hAnsi="Times New Roman"/>
              </w:rPr>
            </w:pPr>
            <w:r>
              <w:rPr>
                <w:b/>
                <w:sz w:val="24"/>
                <w:rFonts w:ascii="Times New Roman" w:hAnsi="Times New Roman"/>
              </w:rPr>
              <w:t xml:space="preserve">Paskaidrojums</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 xml:space="preserve">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b/>
                <w:bCs/>
                <w:iCs/>
                <w:sz w:val="24"/>
                <w:rFonts w:ascii="Times New Roman" w:eastAsia="Times New Roman" w:hAnsi="Times New Roman" w:cs="Times New Roman"/>
              </w:rPr>
            </w:pPr>
            <w:r>
              <w:rPr>
                <w:b/>
                <w:sz w:val="24"/>
                <w:rFonts w:ascii="Times New Roman" w:hAnsi="Times New Roman"/>
              </w:rPr>
              <w:t xml:space="preserve">Riska darījumu riska svērtā vērtība</w:t>
            </w:r>
          </w:p>
          <w:p w14:paraId="10E360D0" w14:textId="4CD692C9" w:rsidR="00942645" w:rsidRPr="00CA7700"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Regulas (ES) Nr. 575/2013 92. panta 4. punkta e) apakšpunkts.</w:t>
            </w:r>
          </w:p>
          <w:p w14:paraId="7E05B452" w14:textId="77777777" w:rsidR="00942645" w:rsidRPr="00DD6E2F" w:rsidRDefault="00942645" w:rsidP="00962254">
            <w:pPr>
              <w:spacing w:before="60" w:after="120"/>
              <w:jc w:val="both"/>
              <w:rPr>
                <w:sz w:val="24"/>
                <w:rFonts w:ascii="Times New Roman" w:eastAsia="Times New Roman" w:hAnsi="Times New Roman" w:cs="Times New Roman"/>
              </w:rPr>
            </w:pPr>
            <w:r>
              <w:rPr>
                <w:sz w:val="24"/>
                <w:rFonts w:ascii="Times New Roman" w:hAnsi="Times New Roman"/>
              </w:rPr>
              <w:t xml:space="preserve">Pašu kapitāla prasības, kas reizinātas ar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I oficiālai lietošanai"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sdt>
      <w:sdtPr>
        <w:id w:val="-1905980668"/>
        <w:temporary/>
        <w:showingPlcHdr/>
      </w:sdtPr>
      <w:sdtEndPr/>
      <w:sdtContent>
        <w:r>
          <w:t xml:space="preserve">[Type text]</w:t>
        </w:r>
      </w:sdtContent>
    </w:sdt>
    <w:r>
      <w:ptab w:relativeTo="margin" w:alignment="center" w:leader="none"/>
    </w:r>
    <w:sdt>
      <w:sdtPr>
        <w:id w:val="-476227318"/>
        <w:temporary/>
        <w:showingPlcHdr/>
      </w:sdtPr>
      <w:sdtEndPr/>
      <w:sdtContent>
        <w:r>
          <w:t xml:space="preserve">[Type text]</w:t>
        </w:r>
      </w:sdtContent>
    </w:sdt>
    <w:r>
      <w:ptab w:relativeTo="margin" w:alignment="right" w:leader="none"/>
    </w:r>
    <w:sdt>
      <w:sdtPr>
        <w:id w:val="807362839"/>
        <w:temporary/>
        <w:showingPlcHdr/>
      </w:sdtPr>
      <w:sdtEndPr/>
      <w:sdtContent>
        <w:r>
          <w:t xml:space="preserve">[Type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 xml:space="preserve">Šajā pielikumā atsauces uz tiesību aktiem attiecas uz </w:t>
                          </w:r>
                          <w:r>
                            <w:rPr>
                              <w:i/>
                            </w:rPr>
                            <w:t xml:space="preserve">CRR</w:t>
                          </w:r>
                          <w:r>
                            <w:t xml:space="preserve"> 3 projektu.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Šajā pielikumā atsauces uz tiesību aktiem attiecas uz </w:t>
                    </w:r>
                    <w:r>
                      <w:rPr>
                        <w:i/>
                      </w:rPr>
                      <w:t xml:space="preserve">CRR</w:t>
                    </w:r>
                    <w:r>
                      <w:t xml:space="preserve"> 3 projektu.</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I oficiālai lietošanai"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r>
      <w:t xml:space="preserve">running title comes here in running title style</w:t>
    </w:r>
    <w: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lv-LV"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lv-LV"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lv-LV"/>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v-LV"/>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lv-LV"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lv-LV"/>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lv-LV"/>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lv-LV"/>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lv-LV"/>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lv-LV"/>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lv-LV"/>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lv-LV"/>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lv-LV"/>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lv-LV"/>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lv-LV"/>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lv-LV"/>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lv-LV"/>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lv-LV"/>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lv-LV"/>
    </w:rPr>
  </w:style>
  <w:style w:type="paragraph" w:styleId="ListParagraph">
    <w:name w:val="List Paragraph"/>
    <w:basedOn w:val="Normal"/>
    <w:uiPriority w:val="34"/>
    <w:qFormat/>
    <w:rsid w:val="009F12DA"/>
    <w:pPr>
      <w:ind w:left="720"/>
    </w:pPr>
    <w:rPr>
      <w:rFonts w:ascii="Calibri" w:eastAsia="Calibri" w:hAnsi="Calibri" w:cs="Times New Roman"/>
      <w:szCs w:val="22"/>
      <w:lang w:val="lv-LV"/>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lv-LV"/>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lv-LV"/>
    </w:rPr>
  </w:style>
  <w:style w:type="paragraph" w:customStyle="1" w:styleId="CM11">
    <w:name w:val="CM1+1"/>
    <w:basedOn w:val="Default"/>
    <w:next w:val="Default"/>
    <w:uiPriority w:val="99"/>
    <w:rsid w:val="008539BB"/>
    <w:rPr>
      <w:rFonts w:ascii="EUAlbertina" w:eastAsiaTheme="minorEastAsia" w:hAnsi="EUAlbertina" w:cstheme="minorBidi"/>
      <w:color w:val="auto"/>
      <w:lang w:val="lv-LV"/>
    </w:rPr>
  </w:style>
  <w:style w:type="paragraph" w:customStyle="1" w:styleId="CM31">
    <w:name w:val="CM3+1"/>
    <w:basedOn w:val="Default"/>
    <w:next w:val="Default"/>
    <w:uiPriority w:val="99"/>
    <w:rsid w:val="008539BB"/>
    <w:rPr>
      <w:rFonts w:ascii="EUAlbertina" w:eastAsiaTheme="minorEastAsia" w:hAnsi="EUAlbertina" w:cstheme="minorBidi"/>
      <w:color w:val="auto"/>
      <w:lang w:val="lv-LV"/>
    </w:rPr>
  </w:style>
  <w:style w:type="paragraph" w:customStyle="1" w:styleId="CM13">
    <w:name w:val="CM1+3"/>
    <w:basedOn w:val="Default"/>
    <w:next w:val="Default"/>
    <w:uiPriority w:val="99"/>
    <w:rsid w:val="004B3092"/>
    <w:rPr>
      <w:rFonts w:ascii="EUAlbertina" w:eastAsiaTheme="minorEastAsia" w:hAnsi="EUAlbertina" w:cstheme="minorBidi"/>
      <w:color w:val="auto"/>
      <w:lang w:val="lv-LV"/>
    </w:rPr>
  </w:style>
  <w:style w:type="paragraph" w:customStyle="1" w:styleId="CM33">
    <w:name w:val="CM3+3"/>
    <w:basedOn w:val="Default"/>
    <w:next w:val="Default"/>
    <w:uiPriority w:val="99"/>
    <w:rsid w:val="004B3092"/>
    <w:rPr>
      <w:rFonts w:ascii="EUAlbertina" w:eastAsiaTheme="minorEastAsia" w:hAnsi="EUAlbertina" w:cstheme="minorBidi"/>
      <w:color w:val="auto"/>
      <w:lang w:val="lv-LV"/>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CF5B2974-DB5F-4E4D-9EBA-7FA08BD33B55}"/>
</file>

<file path=customXml/itemProps3.xml><?xml version="1.0" encoding="utf-8"?>
<ds:datastoreItem xmlns:ds="http://schemas.openxmlformats.org/officeDocument/2006/customXml" ds:itemID="{6FA5290A-A54C-4B91-B5A4-1E39235211A7}"/>
</file>

<file path=customXml/itemProps4.xml><?xml version="1.0" encoding="utf-8"?>
<ds:datastoreItem xmlns:ds="http://schemas.openxmlformats.org/officeDocument/2006/customXml" ds:itemID="{D85B4B79-E2B6-4F1D-A347-5861E2E2485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8273</Characters>
  <Application>Microsoft Office Word</Application>
  <DocSecurity>0</DocSecurity>
  <Lines>250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