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47B8" w14:textId="080B76AD" w:rsidR="00931C32" w:rsidRPr="001F1865" w:rsidRDefault="3E2CC804" w:rsidP="06503780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BILAG XXX – Tabeller og skemaer til offentliggørelse af markedsrisiko efter standardmetoden og den interne metode: Instrukser </w:t>
      </w:r>
    </w:p>
    <w:p w14:paraId="30BCD097" w14:textId="4E7CD1C5" w:rsidR="00931C32" w:rsidRPr="001F1865" w:rsidRDefault="3E2CC804" w:rsidP="5DD19F35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Dette bilag omfatter instrukser til udfyldelse af de tabeller og skemaer til offentliggørelse af markedsrisiko, som findes i bilag XXIX til </w:t>
      </w:r>
      <w:proofErr w:type="spellStart"/>
      <w:r>
        <w:rPr>
          <w:rFonts w:ascii="Times New Roman" w:hAnsi="Times New Roman"/>
          <w:color w:val="auto"/>
          <w:sz w:val="24"/>
        </w:rPr>
        <w:t>EBA's</w:t>
      </w:r>
      <w:proofErr w:type="spellEnd"/>
      <w:r>
        <w:rPr>
          <w:rFonts w:ascii="Times New Roman" w:hAnsi="Times New Roman"/>
          <w:color w:val="auto"/>
          <w:sz w:val="24"/>
        </w:rPr>
        <w:t xml:space="preserve"> IT-løsninger, og som institutterne skal følge ved offentliggørelse af de oplysninger, som er omhandlet i artikel 435, 445 og 455 i forordning (EU) nr. 575/2013</w:t>
      </w:r>
      <w:r>
        <w:rPr>
          <w:rStyle w:val="FootnoteReference"/>
          <w:rFonts w:ascii="Times New Roman" w:hAnsi="Times New Roman" w:cs="Times New Roman"/>
          <w:color w:val="auto"/>
          <w:lang w:val="en-GB"/>
        </w:rPr>
        <w:footnoteReference w:id="2"/>
      </w:r>
      <w:r>
        <w:rPr>
          <w:rFonts w:ascii="Times New Roman" w:hAnsi="Times New Roman"/>
          <w:color w:val="auto"/>
          <w:sz w:val="24"/>
        </w:rPr>
        <w:t xml:space="preserve"> ("CRR"). </w:t>
      </w:r>
    </w:p>
    <w:p w14:paraId="69DA8DE0" w14:textId="77777777" w:rsidR="00931C32" w:rsidRPr="001F1865" w:rsidRDefault="00931C32" w:rsidP="00931C32">
      <w:pPr>
        <w:spacing w:after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Tabel EU MRA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- Kvalitative offentliggørelseskrav i forbindelse med markedsrisiko:</w:t>
      </w:r>
      <w:r>
        <w:rPr>
          <w:rFonts w:ascii="Times New Roman" w:hAnsi="Times New Roman"/>
          <w:sz w:val="24"/>
        </w:rPr>
        <w:t xml:space="preserve"> Fritekstbokse</w:t>
      </w:r>
    </w:p>
    <w:p w14:paraId="1B9BDBE7" w14:textId="621617DF" w:rsidR="00931C32" w:rsidRPr="001F1865" w:rsidRDefault="00931C32" w:rsidP="72461198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Institutterne offentliggør de oplysninger, som er omhandlet i artikel 435, stk. 1, litra </w:t>
      </w:r>
      <w:proofErr w:type="gramStart"/>
      <w:r>
        <w:rPr>
          <w:rFonts w:ascii="Times New Roman" w:hAnsi="Times New Roman"/>
          <w:color w:val="000000" w:themeColor="text1"/>
          <w:sz w:val="24"/>
        </w:rPr>
        <w:t>a)-</w:t>
      </w:r>
      <w:proofErr w:type="gramEnd"/>
      <w:r>
        <w:rPr>
          <w:rFonts w:ascii="Times New Roman" w:hAnsi="Times New Roman"/>
          <w:color w:val="000000" w:themeColor="text1"/>
          <w:sz w:val="24"/>
        </w:rPr>
        <w:t>d), i forordning (EU) nr. 575/2013, med hensyn til markedsrisiko, ved at følge instrukserne i dette bilag til udfyldelse af tabel EU MRA, som findes i bilag XXIX.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1C32" w:rsidRPr="001F1865" w14:paraId="4FA5DD43" w14:textId="77777777" w:rsidTr="72461198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79875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Henvisninger til retsakter og instrukser</w:t>
            </w:r>
          </w:p>
        </w:tc>
      </w:tr>
      <w:tr w:rsidR="00931C32" w:rsidRPr="001F1865" w14:paraId="0BB6A5B1" w14:textId="77777777" w:rsidTr="72461198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522B50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Række nr.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BF504D8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Forklaring</w:t>
            </w:r>
          </w:p>
        </w:tc>
      </w:tr>
      <w:tr w:rsidR="00931C32" w:rsidRPr="001F1865" w14:paraId="75D64070" w14:textId="77777777" w:rsidTr="72461198">
        <w:trPr>
          <w:trHeight w:val="680"/>
        </w:trPr>
        <w:tc>
          <w:tcPr>
            <w:tcW w:w="1384" w:type="dxa"/>
          </w:tcPr>
          <w:p w14:paraId="5CBE7772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>a)</w:t>
            </w:r>
          </w:p>
        </w:tc>
        <w:tc>
          <w:tcPr>
            <w:tcW w:w="7655" w:type="dxa"/>
            <w:vAlign w:val="center"/>
          </w:tcPr>
          <w:p w14:paraId="0ECBECD6" w14:textId="59A2C39A" w:rsidR="00931C32" w:rsidRPr="001F1865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Ved offentliggørelse af de oplysninger, som er omhandlet i artikel 435, stk. 1, litra a) og d), i forordning (EU) nr. 575/2013 om risikostyringsmålsætninger og -politikker til styring af markedsrisici, skal institutterne inkludere følgende:</w:t>
            </w:r>
          </w:p>
          <w:p w14:paraId="2954CCD3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en redegørelse for deres ledelsesmæssige strategiske mål i forbindelse med handelsaktiviteter </w:t>
            </w:r>
          </w:p>
          <w:p w14:paraId="28C8AA1E" w14:textId="2D7A10DE" w:rsidR="00DE4020" w:rsidRPr="001F1865" w:rsidRDefault="00EC10EF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en beskrivelse af de politikker, der er omhandlet i artikel 104, stk. 1, til bestemmelse af, hvilken position der skal indgå i handelsbeholdningen, herunder definitionen af statiske positioner og risikostyringspolitikker for overvågning af disse positioner. Institutterne skal desuden beskrive tilfælde, hvor instrumenter henføres til handelsbeholdningen eller anlægsbeholdningen i strid med de generelle formodninger for deres instrumentkategori, herunder deres markedsværdi og dagsværdi af sådanne tilfælde samt enhver </w:t>
            </w:r>
            <w:proofErr w:type="spellStart"/>
            <w:r>
              <w:rPr>
                <w:rFonts w:ascii="Times New Roman" w:hAnsi="Times New Roman"/>
                <w:sz w:val="24"/>
              </w:rPr>
              <w:t>omklassificering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fra den ene beholdning til den anden siden sidste indberetningsperiode, herunder dagsværdien af sådanne tilfælde og årsagen til </w:t>
            </w:r>
            <w:proofErr w:type="spellStart"/>
            <w:r>
              <w:rPr>
                <w:rFonts w:ascii="Times New Roman" w:hAnsi="Times New Roman"/>
                <w:sz w:val="24"/>
              </w:rPr>
              <w:t>omklassificeringen</w:t>
            </w:r>
            <w:proofErr w:type="spellEnd"/>
          </w:p>
          <w:p w14:paraId="20F3C237" w14:textId="77E3E75D" w:rsidR="00795618" w:rsidRPr="001F1865" w:rsidRDefault="002C5234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en beskrivelse af interne risikooverførselsaktiviteter, herunder typerne af interne risikooverførselsenheder</w:t>
            </w:r>
          </w:p>
          <w:p w14:paraId="17B1142E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de indførte procedurer med henblik på at identificere, måle, overvåge og kontrollere instituttets markedsrisici</w:t>
            </w:r>
          </w:p>
          <w:p w14:paraId="216165DD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politikkerne til risikoafdækning og -reduktion</w:t>
            </w:r>
          </w:p>
          <w:p w14:paraId="5B43C932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strategier og procedurer til overvågning af afdækningsmekanismernes løbende effektivitet.</w:t>
            </w:r>
          </w:p>
        </w:tc>
      </w:tr>
      <w:tr w:rsidR="00931C32" w:rsidRPr="001F1865" w14:paraId="2F078747" w14:textId="77777777" w:rsidTr="72461198">
        <w:trPr>
          <w:trHeight w:val="680"/>
        </w:trPr>
        <w:tc>
          <w:tcPr>
            <w:tcW w:w="1384" w:type="dxa"/>
          </w:tcPr>
          <w:p w14:paraId="3715BE68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lastRenderedPageBreak/>
              <w:t>b)</w:t>
            </w:r>
          </w:p>
        </w:tc>
        <w:tc>
          <w:tcPr>
            <w:tcW w:w="7655" w:type="dxa"/>
          </w:tcPr>
          <w:p w14:paraId="57B23AAF" w14:textId="53C0A959" w:rsidR="00931C32" w:rsidRPr="001F1865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Ved offentliggørelse af de oplysninger, som er omhandlet i artikel 435, stk. 1, litra b), i forordning (EU) nr. 575/2013 om strukturen i og tilrettelæggelsen af risikostyringsfunktionen, skal institutterne inkludere følgende:</w:t>
            </w:r>
          </w:p>
          <w:p w14:paraId="15341445" w14:textId="0D70F6B3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en beskrivelse af den etablerede styringsstruktur for markedsrisiko med henblik på gennemførelse af instituttets strategier og procedurer som nævnt i række a) ovenfor </w:t>
            </w:r>
          </w:p>
          <w:p w14:paraId="10C87729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en beskrivelse af forbindelserne og kommunikationsmekanismerne mellem de forskellige parter, som er involveret i markedsrisikostyring. </w:t>
            </w:r>
          </w:p>
        </w:tc>
      </w:tr>
      <w:tr w:rsidR="00931C32" w:rsidRPr="001F1865" w14:paraId="15179A4A" w14:textId="77777777" w:rsidTr="72461198">
        <w:trPr>
          <w:trHeight w:val="436"/>
        </w:trPr>
        <w:tc>
          <w:tcPr>
            <w:tcW w:w="1384" w:type="dxa"/>
          </w:tcPr>
          <w:p w14:paraId="0F95AF50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>c)</w:t>
            </w:r>
          </w:p>
          <w:p w14:paraId="672A6659" w14:textId="77777777" w:rsidR="00931C32" w:rsidRPr="001F1865" w:rsidRDefault="00931C32" w:rsidP="00DE090B">
            <w:pPr>
              <w:pStyle w:val="Fait"/>
              <w:spacing w:before="0" w:after="240"/>
            </w:pPr>
          </w:p>
        </w:tc>
        <w:tc>
          <w:tcPr>
            <w:tcW w:w="7655" w:type="dxa"/>
          </w:tcPr>
          <w:p w14:paraId="1ADA7F58" w14:textId="27D05688" w:rsidR="00931C32" w:rsidRPr="001F1865" w:rsidRDefault="3E2CC804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Ved offentliggørelse af de oplysninger, som er omhandlet i artikel 435, stk. 1, litra c), i forordning (EU) nr. 575/2013om omfanget og arten af systemer til indberetning og måling af markedsrisiko, skal institutterne redegøre for omfanget og arten af systemer til indberetning og måling af markedsrisiko. </w:t>
            </w:r>
          </w:p>
        </w:tc>
      </w:tr>
      <w:tr w:rsidR="06503780" w:rsidRPr="001F1865" w14:paraId="5B327CF1" w14:textId="77777777" w:rsidTr="72461198">
        <w:trPr>
          <w:trHeight w:val="43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48C11C" w14:textId="51A99A51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d)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42D3ED" w14:textId="19D1B8F3" w:rsidR="06503780" w:rsidRPr="001F1865" w:rsidRDefault="5B873F98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Ved offentliggørelse af de oplysninger, som er omhandlet i artikel 445, stk. 1, i forordning (EU) nr. 575/2013, om en generel oversigt over positioner i handelsbeholdningen, skal institutterne give en overordnet beskrivelse af deres positioner i handelsbeholdningen.</w:t>
            </w:r>
          </w:p>
        </w:tc>
      </w:tr>
    </w:tbl>
    <w:p w14:paraId="0A37501D" w14:textId="5B1DE2AB" w:rsidR="00931C32" w:rsidRPr="00D471B6" w:rsidRDefault="00931C32" w:rsidP="06503780">
      <w:pPr>
        <w:pStyle w:val="Titlelevel2"/>
        <w:spacing w:before="0"/>
        <w:rPr>
          <w:rFonts w:ascii="Times New Roman" w:hAnsi="Times New Roman" w:cs="Times New Roman"/>
          <w:b/>
          <w:sz w:val="24"/>
        </w:rPr>
      </w:pPr>
    </w:p>
    <w:p w14:paraId="6A05A809" w14:textId="77777777" w:rsidR="00931C32" w:rsidRPr="00D471B6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21FE8BB6" w14:textId="0765936F" w:rsidR="00931C32" w:rsidRPr="00DB0A49" w:rsidRDefault="4E51ABE0" w:rsidP="00DB0A49">
      <w:pPr>
        <w:spacing w:after="2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Skema EU MR1 – Markedsrisiko i henhold til den alternative standardmetode (ASA)</w:t>
      </w:r>
      <w:r>
        <w:rPr>
          <w:rFonts w:ascii="Times New Roman" w:hAnsi="Times New Roman"/>
          <w:sz w:val="24"/>
        </w:rPr>
        <w:t>: Fast format.</w:t>
      </w:r>
    </w:p>
    <w:p w14:paraId="328A3EAE" w14:textId="50FF69DE" w:rsidR="00931C32" w:rsidRPr="00DB0A49" w:rsidRDefault="4E51ABE0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Institutterne offentliggør de oplysninger, som er omhandlet i artikel 445 i forordning (EU) nr. 575/2013, ved at følge instrukserne i dette bilag til udfyldelse af skemaet EU MR1, som findes i bilag XXIX. </w:t>
      </w:r>
      <w:r>
        <w:rPr>
          <w:rFonts w:ascii="Times New Roman" w:hAnsi="Times New Roman"/>
          <w:color w:val="auto"/>
          <w:sz w:val="24"/>
        </w:rPr>
        <w:t>Institutterne må ikke medtage data om deres interne risikooverførselsenhed (IRT-enhed) i dette skema.</w:t>
      </w:r>
    </w:p>
    <w:tbl>
      <w:tblPr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170"/>
        <w:gridCol w:w="7245"/>
      </w:tblGrid>
      <w:tr w:rsidR="06503780" w:rsidRPr="001F1865" w14:paraId="369C907B" w14:textId="77777777" w:rsidTr="00DB0A49">
        <w:trPr>
          <w:trHeight w:val="300"/>
        </w:trPr>
        <w:tc>
          <w:tcPr>
            <w:tcW w:w="84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5856BA3" w14:textId="6D5ECF6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Henvisninger til retsakter og instrukser</w:t>
            </w:r>
          </w:p>
        </w:tc>
      </w:tr>
      <w:tr w:rsidR="06503780" w:rsidRPr="001F1865" w14:paraId="795949F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1A68A0C0" w14:textId="2354445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Række nr.</w:t>
            </w:r>
          </w:p>
        </w:tc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6505A62" w14:textId="1D45DAD9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Forklaring</w:t>
            </w:r>
          </w:p>
        </w:tc>
      </w:tr>
      <w:tr w:rsidR="06503780" w:rsidRPr="001F1865" w14:paraId="71E2347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7B57D3D" w14:textId="541004BD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5989EB1" w14:textId="332222EF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Følsomhedsbaseret metode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</w:t>
            </w:r>
          </w:p>
          <w:p w14:paraId="32BE5AB7" w14:textId="13D92956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overensstemmelse med tredje del, afsnit IV, kapitel 1a, afdeling 2, i forordning (EU) nr. 575/2013.</w:t>
            </w:r>
          </w:p>
        </w:tc>
      </w:tr>
      <w:tr w:rsidR="06503780" w:rsidRPr="001F1865" w14:paraId="2A5FB34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ACAA6" w14:textId="4438CD41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CA48DD" w14:textId="1A77007D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Generel renterisiko (GIRR)</w:t>
            </w:r>
          </w:p>
          <w:p w14:paraId="7CFD9A05" w14:textId="08877C85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overensstemmelse med artikel 325c, stk. 2, litra a), og artikel 325d, nr. 1), nr. i), i forordning (EU) nr. 575/2013.</w:t>
            </w:r>
          </w:p>
        </w:tc>
      </w:tr>
      <w:tr w:rsidR="006852CB" w:rsidRPr="001F1865" w14:paraId="69667920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C1D211" w14:textId="22B10623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623B38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Aktierisiko (EQU)</w:t>
            </w:r>
          </w:p>
          <w:p w14:paraId="7FA49EA1" w14:textId="72B40A8D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overensstemmelse med artikel 325c, stk. 2, litra a), og artikel 325d, nr. 1), nr. v), i forordning (EU) nr. 575/2013.</w:t>
            </w:r>
          </w:p>
        </w:tc>
      </w:tr>
      <w:tr w:rsidR="006852CB" w:rsidRPr="001F1865" w14:paraId="719DB443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6F2BD2" w14:textId="663EF07F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FF8925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Råvarerisiko (COM)</w:t>
            </w:r>
          </w:p>
          <w:p w14:paraId="2EF1141F" w14:textId="6573588B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overensstemmelse med artikel 325c, stk. 2, litra a), og artikel 325d, nr. 1), nr. vi), i forordning (EU) nr. 575/2013.</w:t>
            </w:r>
          </w:p>
        </w:tc>
      </w:tr>
      <w:tr w:rsidR="006852CB" w:rsidRPr="001F1865" w14:paraId="0F63097B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A0CA9C" w14:textId="3D6ACB22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21571B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Valutakursrisiko (FX)</w:t>
            </w:r>
          </w:p>
          <w:p w14:paraId="4E899697" w14:textId="1EDAE9C1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overensstemmelse med artikel 325c, stk. 2, litra a), og artikel 325d, nr. 1), nr. vii), i forordning (EU) nr. 575/2013.</w:t>
            </w:r>
          </w:p>
        </w:tc>
      </w:tr>
      <w:tr w:rsidR="06503780" w:rsidRPr="001F1865" w14:paraId="6069A77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1C4CC0" w14:textId="116256D7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ADD606" w14:textId="28FE3969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Kreditspændsrisiko for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ikkesecuritiseringer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(CSR)</w:t>
            </w:r>
          </w:p>
          <w:p w14:paraId="7FFBB47A" w14:textId="19FCC5B4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overensstemmelse med artikel 325c, stk. 2, litra a), og artikel 325d, nr. 1), nr. ii), i forordning (EU) nr. 575/2013.</w:t>
            </w:r>
          </w:p>
        </w:tc>
      </w:tr>
      <w:tr w:rsidR="06503780" w:rsidRPr="001F1865" w14:paraId="05E22EA0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6D099A" w14:textId="2AA85B66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E01FBC" w14:textId="0075C0D5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Kreditspændsrisiko for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securitiseringer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, der ikke indgår i den alternative korrelationshandelsportefølje (CSR uden for ACTP)</w:t>
            </w:r>
          </w:p>
          <w:p w14:paraId="7767EDBC" w14:textId="24BC8D91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overensstemmelse med artikel 325c, stk. 2, litra a), og artikel 325d, nr. 1), nr. iii), i forordning (EU) nr. 575/2013.</w:t>
            </w:r>
          </w:p>
        </w:tc>
      </w:tr>
      <w:tr w:rsidR="06503780" w:rsidRPr="001F1865" w14:paraId="14D767E3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20E610" w14:textId="7B3DAB47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A00A1D" w14:textId="07E0B969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Kreditspændsrisiko for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securitiseringer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, der indgår i den alternative korrelationshandelsportefølje (CSR i ACTP)</w:t>
            </w:r>
          </w:p>
          <w:p w14:paraId="3E4A8A35" w14:textId="160B9A80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overensstemmelse med artikel 325c, stk. 2, litra a), og artikel 325d, nr. 1), nr. iv), i forordning (EU) nr. 575/2013.</w:t>
            </w:r>
          </w:p>
        </w:tc>
      </w:tr>
      <w:tr w:rsidR="06503780" w:rsidRPr="001F1865" w14:paraId="5BB1038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22C0155" w14:textId="1C2CF576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AC462EA" w14:textId="24FC6AB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Misligholdelsesrisiko</w:t>
            </w:r>
          </w:p>
          <w:p w14:paraId="50AC8B96" w14:textId="24D7EC8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overensstemmelse med tredje del, afsnit IV, kapitel 1a, afdeling 5, i forordning (EU) nr. 575/2013.</w:t>
            </w:r>
          </w:p>
        </w:tc>
      </w:tr>
      <w:tr w:rsidR="06503780" w:rsidRPr="001F1865" w14:paraId="4CA77AC2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D9CDA3" w14:textId="20B6ABEB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D3825E" w14:textId="1E8FC60A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Ikkesecuritiseringer</w:t>
            </w:r>
            <w:proofErr w:type="spellEnd"/>
          </w:p>
          <w:p w14:paraId="6E07A74F" w14:textId="60055B48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i overensstemmelse med tredje del, afsnit IV, kapitel 1a, afdeling 5, underafdeling 1, artikel 325c, stk. 2, litra b), i forordning (EU) nr.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7297D5C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54CE0F" w14:textId="0108E6B7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034D48" w14:textId="567356EB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Securitiseringer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, der ikke indgår i den alternative korrelationshandelsportefølje (uden for ACTP)</w:t>
            </w:r>
          </w:p>
          <w:p w14:paraId="093A58C5" w14:textId="0BD66CFC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i overensstemmelse med tredje del, afsnit IV, kapitel 1a, afdeling 5, underafdeling 2, artikel 325c, stk. 2, litra b), i forordning (EU) nr.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7399949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60F427" w14:textId="2083466B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50980D" w14:textId="2B90AE8D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Securitiseringer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, der indgår i den alternative korrelationshandelsportefølje (ACTP)</w:t>
            </w:r>
          </w:p>
          <w:p w14:paraId="4F126C34" w14:textId="2E83A436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i overensstemmelse med tredje del, afsnit IV, kapitel 1a, afdeling 5, underafdeling 3, artikel 325c, stk. 2, litra b), i forordning (EU) nr.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1A1B823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8B14961" w14:textId="055D18A0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38DF7BF" w14:textId="7E1499C0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Restrisiko</w:t>
            </w:r>
          </w:p>
          <w:p w14:paraId="3E3A6F03" w14:textId="754D811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Tredje del, afsnit IV, kapitel 1a, afdeling 4, i forordning (EU) nr. 575/2013.</w:t>
            </w:r>
          </w:p>
        </w:tc>
      </w:tr>
      <w:tr w:rsidR="06503780" w:rsidRPr="001F1865" w14:paraId="179BEFF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D2F5C6" w14:textId="1E18CC3B" w:rsidR="06503780" w:rsidRPr="001F1865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EU 11a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885E79" w14:textId="10B5A147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Eksotiske underliggende instrumenter</w:t>
            </w:r>
          </w:p>
          <w:p w14:paraId="7ED02FAC" w14:textId="7DFCBC6E" w:rsidR="06503780" w:rsidRPr="001F1865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overensstemmelse med artikel 325c, stk. 2, litra c), og artikel 325u, stk. 2, litra a), i forordning (EU) nr. 575/2013.</w:t>
            </w:r>
          </w:p>
        </w:tc>
      </w:tr>
      <w:tr w:rsidR="06503780" w:rsidRPr="001F1865" w14:paraId="397A3B6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87ED4F" w14:textId="568A449C" w:rsidR="06503780" w:rsidRPr="001F1865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EU 11b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12FF09" w14:textId="69432A4B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Andre restrisici</w:t>
            </w:r>
          </w:p>
          <w:p w14:paraId="5E46032C" w14:textId="013FBB68" w:rsidR="06503780" w:rsidRPr="001F1865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overensstemmelse med artikel 325c, stk. 2, litra c), og artikel 325u, stk. 2, litra b), i forordning (EU) nr. 575/2013.</w:t>
            </w:r>
          </w:p>
        </w:tc>
      </w:tr>
      <w:tr w:rsidR="06503780" w:rsidRPr="001F1865" w14:paraId="106996A8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A57C66" w14:textId="56FC3416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F69C8C" w14:textId="2E5029F0" w:rsidR="224E1E9F" w:rsidRPr="001F1865" w:rsidRDefault="224E1E9F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Samlede kapitalgrundlagskrav (OFR)</w:t>
            </w:r>
          </w:p>
          <w:p w14:paraId="3AEB87FA" w14:textId="63F7CC8B" w:rsidR="06503780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Summen af række 1 til EU11b.</w:t>
            </w:r>
          </w:p>
          <w:p w14:paraId="65A75CAB" w14:textId="1D4354D4" w:rsidR="002A353C" w:rsidRPr="001F1865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6503780" w:rsidRPr="001F1865" w14:paraId="01D665D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6C2FE727" w14:textId="64C5B7A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Kolonnebogstav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370E68CC" w14:textId="5A5AF05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Forklaring</w:t>
            </w:r>
          </w:p>
        </w:tc>
      </w:tr>
      <w:tr w:rsidR="06503780" w:rsidRPr="001F1865" w14:paraId="57E6568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4DF7122" w14:textId="3D824940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77B88BE" w14:textId="5948A214" w:rsidR="01DFB7EB" w:rsidRPr="001F1865" w:rsidRDefault="01DFB7EB" w:rsidP="0650378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Samlede kapitalgrundlagskrav (OFR)</w:t>
            </w:r>
          </w:p>
        </w:tc>
      </w:tr>
      <w:tr w:rsidR="06503780" w:rsidRPr="001F1865" w14:paraId="37D30FC4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1C04F1" w14:textId="4F64D071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69159E" w14:textId="0505478C" w:rsidR="517DDA85" w:rsidRPr="001F1865" w:rsidRDefault="02A66E37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Offentliggørelse af kapitalgrundlagskrav omhandlet i artikel 438, litra d), i forordning (EU) nr. 575/2013, beregnet som den simple sum af beløbene ovenfor i række 1 til EU 11b.</w:t>
            </w:r>
          </w:p>
          <w:p w14:paraId="4E5B9771" w14:textId="40E878CC" w:rsidR="06503780" w:rsidRPr="001F1865" w:rsidRDefault="06503780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1C8F396" w14:textId="77777777" w:rsidR="00931C32" w:rsidRPr="001F1865" w:rsidRDefault="00931C32" w:rsidP="00931C32">
      <w:pPr>
        <w:spacing w:after="240"/>
        <w:rPr>
          <w:rFonts w:ascii="Times New Roman" w:hAnsi="Times New Roman" w:cs="Times New Roman"/>
          <w:b/>
          <w:sz w:val="24"/>
        </w:rPr>
      </w:pPr>
    </w:p>
    <w:p w14:paraId="49AD8C16" w14:textId="467238F4" w:rsidR="00931C32" w:rsidRPr="001F1865" w:rsidRDefault="00931C32" w:rsidP="48484374">
      <w:pPr>
        <w:spacing w:after="24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>Tabel EU MRB: Kvalitative offentliggørelseskrav for institutter, der anvender den alternative metode med interne modeller for markedsrisiko</w:t>
      </w:r>
      <w:r>
        <w:rPr>
          <w:rFonts w:ascii="Times New Roman" w:hAnsi="Times New Roman"/>
          <w:sz w:val="24"/>
        </w:rPr>
        <w:t>: fritekstformat</w:t>
      </w:r>
    </w:p>
    <w:p w14:paraId="32EDF34C" w14:textId="442D1C01" w:rsidR="00931C32" w:rsidRPr="001F1865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Institutterne offentliggør de oplysninger, som er omhandlet i artikel 455, litra a), b), c), d), e) og f), i forordning (EU) nr. 575/2013, ved at følge instrukserne i dette bilag til udfyldelse af skemaet EU MRB, som findes i bilag XXIX.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7184"/>
      </w:tblGrid>
      <w:tr w:rsidR="00931C32" w:rsidRPr="001F1865" w14:paraId="39C1942C" w14:textId="77777777" w:rsidTr="72461198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FE3064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Henvisninger til retsakter og instrukser</w:t>
            </w:r>
          </w:p>
        </w:tc>
      </w:tr>
      <w:tr w:rsidR="00931C32" w:rsidRPr="001F1865" w14:paraId="1B6F00FD" w14:textId="77777777" w:rsidTr="00DB0A49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4E9D0C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Række nr.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C9A014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Forklaring</w:t>
            </w:r>
          </w:p>
        </w:tc>
      </w:tr>
      <w:tr w:rsidR="3765CAC5" w:rsidRPr="001F1865" w14:paraId="0407979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F9E1B4" w14:textId="5201D106" w:rsidR="3765CAC5" w:rsidRPr="001F1865" w:rsidRDefault="3765CAC5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E12632" w14:textId="11982131" w:rsidR="7BC02D42" w:rsidRPr="001F1865" w:rsidRDefault="2716EDAD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Ved offentliggørelse af de oplysninger, som er omhandlet i artikel 455, stk. 1, litra a), i forordning (EU) nr. 575/2013 om de alternative interne modeller for markedsrisiko, skal institutterne inkludere følgende:</w:t>
            </w:r>
          </w:p>
        </w:tc>
      </w:tr>
      <w:tr w:rsidR="3765CAC5" w:rsidRPr="00AA772E" w14:paraId="6AB031E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29A411" w14:textId="55099BA3" w:rsidR="3C9E464D" w:rsidRPr="00DB0A49" w:rsidRDefault="00B02BFD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283DE8" w14:textId="143E0B94" w:rsidR="3C9E464D" w:rsidRPr="00445013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instituttets målsætninger i forbindelse med handelsaktiviteter og de procedurer, der er indført for at identificere, måle, overvåge og kontrollere instituttets markedsrisici. Disse oplysninger kan gives ved at krydshenvise til tabel EU MRA</w:t>
            </w:r>
          </w:p>
        </w:tc>
      </w:tr>
      <w:tr w:rsidR="3765CAC5" w:rsidRPr="00AA772E" w14:paraId="3EEEAC3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B7E23A" w14:textId="2C8F59E6" w:rsidR="3C9E464D" w:rsidRPr="00DB0A49" w:rsidRDefault="00671C85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EECC21" w14:textId="2B4ED7C7" w:rsidR="3C9E464D" w:rsidRPr="00DB0A49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de politikker, der er omhandlet i artikel 104, stk. 1, til fastlæggelse af, hvilken position der skal medtages i handelsbeholdningen. Disse oplysninger kan gives ved at krydshenvise til tabel EU MRA</w:t>
            </w:r>
          </w:p>
        </w:tc>
      </w:tr>
      <w:tr w:rsidR="00671C85" w:rsidRPr="00AA772E" w14:paraId="0D6ADAE7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C578F" w14:textId="7D03AC39" w:rsidR="00671C85" w:rsidRPr="00DB0A49" w:rsidRDefault="00C06844" w:rsidP="00DE090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c)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47B801" w14:textId="77777777" w:rsidR="00671C85" w:rsidRPr="00DB0A49" w:rsidRDefault="00671C85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strukturen og organiseringen af markedsrisikostyringsfunktionen og -ledelsen</w:t>
            </w:r>
          </w:p>
        </w:tc>
      </w:tr>
      <w:tr w:rsidR="00701D8F" w:rsidRPr="00AA772E" w14:paraId="2E7B7CF0" w14:textId="77777777" w:rsidTr="00DB0A49">
        <w:trPr>
          <w:trHeight w:val="1301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5068B" w14:textId="77777777" w:rsidR="00701D8F" w:rsidRPr="00DB0A49" w:rsidRDefault="00701D8F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14:paraId="3A0D6228" w14:textId="0AB8AAD0" w:rsidR="00701D8F" w:rsidRPr="00DB0A49" w:rsidRDefault="0D04DF7A" w:rsidP="140F9D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A) B) Generel beskrivelse af handelsenhedens struktur og typer af instrumenter, der indgår i AIMA-handelsenheden, jf. artikel 455, stk. 1, litra c) og d), i forordning (EU) nr. 575/2013. </w:t>
            </w:r>
          </w:p>
        </w:tc>
      </w:tr>
      <w:tr w:rsidR="001B4290" w:rsidRPr="00AA772E" w14:paraId="59395D4F" w14:textId="77777777" w:rsidTr="00DB0A49">
        <w:trPr>
          <w:trHeight w:val="300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5BC89" w14:textId="266872D2" w:rsidR="001B4290" w:rsidRPr="00DB0A49" w:rsidRDefault="001B4290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 a)</w:t>
            </w:r>
          </w:p>
          <w:p w14:paraId="6D2F2E9A" w14:textId="09BF2D11" w:rsidR="001B4290" w:rsidRPr="00445013" w:rsidRDefault="001B4290" w:rsidP="00DB0A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3361A9" w14:textId="697DA5E8" w:rsidR="001B4290" w:rsidRPr="00DB0A49" w:rsidRDefault="6FF6DD2C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Ved offentliggørelse af de oplysninger, som er omhandlet i artikel 455, stk. 1, litra c), i forordning (EU) nr. 575/2013, skal institutterne give en generel beskrivelse af strukturen i de handelsenheder, der er omfattet af de interne modeller, der er omhandlet i artikel 325az, herunder for hver enhed en bred beskrivelse af enhedens forretningsstrategi, de tilladte instrumenter deri og de vigtigste risikotyper i forbindelse med enheden</w:t>
            </w:r>
          </w:p>
        </w:tc>
      </w:tr>
      <w:tr w:rsidR="001B4290" w:rsidRPr="00AA772E" w14:paraId="50FBF6A8" w14:textId="77777777" w:rsidTr="00DB0A49">
        <w:trPr>
          <w:trHeight w:val="300"/>
        </w:trPr>
        <w:tc>
          <w:tcPr>
            <w:tcW w:w="1230" w:type="dxa"/>
            <w:vMerge/>
            <w:hideMark/>
          </w:tcPr>
          <w:p w14:paraId="79170C23" w14:textId="7B220C5D" w:rsidR="001B4290" w:rsidRPr="00445013" w:rsidRDefault="001B4290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D9458D" w14:textId="1452A5E7" w:rsidR="001B4290" w:rsidRPr="00DB0A49" w:rsidRDefault="00F5701F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Ved offentliggørelse af de oplysninger, som er omhandlet i artikel 455, stk. 1, litra d), i forordning (EU) nr. 575/2013, skal institutterne give en generel oversigt over positioner i handelsbeholdningen, der ikke er omfattet af de interne modeller, der er omhandlet i artikel 325az, herunder en generel beskrivelse af enhedsstrukturen og typen af instrumenter, der indgår i enhederne eller kategorierne af enheder, jf. artikel 104b</w:t>
            </w:r>
          </w:p>
        </w:tc>
      </w:tr>
      <w:tr w:rsidR="00090EA4" w:rsidRPr="00AA772E" w:rsidDel="00671C85" w14:paraId="0C8EF869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868DE" w14:textId="77777777" w:rsidR="00090EA4" w:rsidRPr="00DB0A49" w:rsidRDefault="00090E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B) C) E) Beskrivelse af de vigtigste karakteristika for de modeller, der anvendes på konsolideret niveau, herunder de metoder, der anvendes til validering af modellerne og modelleringsprocesserne.</w:t>
            </w:r>
          </w:p>
          <w:p w14:paraId="32D410A2" w14:textId="3D7C861F" w:rsidR="00DE5B78" w:rsidRPr="00DB0A49" w:rsidDel="00671C85" w:rsidRDefault="00DE5B78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A05A4" w:rsidRPr="00AA772E" w:rsidDel="00671C85" w14:paraId="2A2D75B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5B40F" w14:textId="09595E2A" w:rsidR="00A75779" w:rsidRPr="00DB0A49" w:rsidDel="00671C85" w:rsidRDefault="00A75779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 b) c) d) e)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955CD" w14:textId="150F8DFA" w:rsidR="007E7D7A" w:rsidRPr="00DB0A49" w:rsidDel="00671C85" w:rsidRDefault="001D2F6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Ved offentliggørelse af de oplysninger, der er omhandlet i artikel 455, stk. 1, litra f), nr. i), i forordning (EU) nr. 575/2013, skal institutterne oplyse om følgende:  anvendelsesområdet, de vigtigste karakteristika og vigtigste modelberegningskriterier for de forskellige interne modeller, jf. artikel 325az i forordning (EU) nr. 575/2013, som de anvender til at beregne risikoeksponeringsværdierne for de vigtigste modeller, som de anvender på konsolideret niveau, og en beskrivelse af, i hvilket omfang disse interne modeller repræsenterer alle de modeller, der anvendes på konsolideret niveau, herunder, hvis det er relevant: i) en bred beskrivelse af den modelmetode, der anvendes til at beregne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expected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shortfall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>, jf. artikel 325ba, stk. 1, litra a), i forordning (EU) nr. 575/2013, herunder hyppigheden af ajourføring af data</w:t>
            </w:r>
          </w:p>
        </w:tc>
      </w:tr>
      <w:tr w:rsidR="008A05A4" w:rsidRPr="00AA772E" w:rsidDel="00671C85" w14:paraId="45EADEA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93FED" w14:textId="77E5A12E" w:rsidR="008A05A4" w:rsidRPr="00DB0A49" w:rsidDel="00671C85" w:rsidRDefault="00C82CB4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 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01C58" w14:textId="29B0602F" w:rsidR="00D6625B" w:rsidRPr="00DB0A49" w:rsidRDefault="00A7577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Ved offentliggørelse af de oplysninger, der er omhandlet i artikel 455, stk. 1, litra f), nr. ii), i forordning (EU) nr. 575/2013, skal institutterne inkludere følgende, hvis relevant: en bred beskrivelse af den metode, der anvendes til at beregne det stressscenariebaserede risikomål, jf.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artikel 325ba, stk. 1, litra b), i forordning (EU) nr. 575/2013, bortset fra specifikationerne i artikel 325bk, stk. 3, i forordning (EU) nr. 575/2013.</w:t>
            </w:r>
          </w:p>
          <w:p w14:paraId="3E866C05" w14:textId="635C3FD9" w:rsidR="008A05A4" w:rsidRPr="00DB0A49" w:rsidDel="00671C85" w:rsidRDefault="008A05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3247D" w:rsidRPr="00AA772E" w:rsidDel="00671C85" w14:paraId="24E01ADC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4C901" w14:textId="4C917FDF" w:rsidR="00C3247D" w:rsidRPr="00DB0A49" w:rsidRDefault="00C3247D" w:rsidP="00D662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D) Beskrivelse af interne modeller til at beregne kapitalgrundlagskravet vedrørende misligholdelsesrisiko</w:t>
            </w:r>
          </w:p>
        </w:tc>
      </w:tr>
      <w:tr w:rsidR="3765CAC5" w:rsidRPr="00AA772E" w14:paraId="77D1514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5EB9A4" w14:textId="4C21A863" w:rsidR="3C9E464D" w:rsidRPr="00DB0A49" w:rsidRDefault="00827740" w:rsidP="00DB0A4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FC28FC" w14:textId="6E66AC42" w:rsidR="3C9E464D" w:rsidRPr="00DB0A49" w:rsidRDefault="00FF5D12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Ved offentliggørelse af de oplysninger, der er omhandlet i artikel 455, stk. 1, litra f), nr. iii), i forordning (EU) nr. 575/2013, skal institutterne inkludere følgende, hvis relevant: en bred beskrivelse af den modelmetode, der anvendes til at beregne kapitalgrundlagskravet vedrørende misligholdelsesrisiko, jf. artikel 325ba, stk. 2, i forordning (EU) nr. 575/2013, herunder hyppigheden af ajourføring af data.</w:t>
            </w:r>
          </w:p>
        </w:tc>
      </w:tr>
    </w:tbl>
    <w:p w14:paraId="116B518F" w14:textId="73EB613A" w:rsidR="3765CAC5" w:rsidRDefault="3765CAC5">
      <w:pPr>
        <w:rPr>
          <w:rFonts w:ascii="Times New Roman" w:hAnsi="Times New Roman" w:cs="Times New Roman"/>
        </w:rPr>
      </w:pPr>
    </w:p>
    <w:p w14:paraId="471DC03E" w14:textId="77777777" w:rsidR="00445013" w:rsidRPr="00DB0A49" w:rsidRDefault="00445013">
      <w:pPr>
        <w:rPr>
          <w:rFonts w:ascii="Times New Roman" w:hAnsi="Times New Roman" w:cs="Times New Roman"/>
        </w:rPr>
      </w:pPr>
    </w:p>
    <w:p w14:paraId="681251D5" w14:textId="0749B91A" w:rsidR="00931C32" w:rsidRPr="001F1865" w:rsidRDefault="00931C32" w:rsidP="3821DFBC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Skema EU MR2 – Markedsrisiko i henhold til den alternative metode med interne modeller (AIMA):</w:t>
      </w:r>
      <w:r>
        <w:rPr>
          <w:rFonts w:ascii="Times New Roman" w:hAnsi="Times New Roman"/>
          <w:color w:val="auto"/>
          <w:sz w:val="24"/>
        </w:rPr>
        <w:t xml:space="preserve"> Fast format.</w:t>
      </w:r>
    </w:p>
    <w:p w14:paraId="2D64DF36" w14:textId="6604692C" w:rsidR="00931C32" w:rsidRPr="00DB0A49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Institutterne offentliggør de oplysninger, som er omhandlet i artikel 455, stk. 2, i forordning (EU) nr. 575/2013, ved at følge instrukserne i dette bilag til udfyldelse af skemaet EU MR2, som findes i bilag XXIX. </w:t>
      </w:r>
      <w:r>
        <w:rPr>
          <w:rFonts w:ascii="Times New Roman" w:hAnsi="Times New Roman"/>
          <w:color w:val="auto"/>
          <w:sz w:val="24"/>
        </w:rPr>
        <w:t>Institutterne må ikke medtage data om deres interne risikooverførselsenhed (IRT-enhed) i dette skema.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6544"/>
      </w:tblGrid>
      <w:tr w:rsidR="00931C32" w:rsidRPr="001F1865" w14:paraId="454671C8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CF57C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Henvisninger til retsakter og instrukser</w:t>
            </w:r>
          </w:p>
        </w:tc>
      </w:tr>
      <w:tr w:rsidR="00931C32" w:rsidRPr="001F1865" w14:paraId="74EB4602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D9C09D3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Række nr.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527BB7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Forklaring</w:t>
            </w:r>
          </w:p>
        </w:tc>
      </w:tr>
      <w:tr w:rsidR="3765CAC5" w:rsidRPr="00DB0A49" w14:paraId="34D4196F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87A1073" w14:textId="03BB75EC" w:rsidR="3765CAC5" w:rsidRPr="00DB0A49" w:rsidRDefault="59A8805A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AF62FAF" w14:textId="54B9E90E" w:rsidR="02494BE7" w:rsidRPr="00D471B6" w:rsidRDefault="42390ABD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val="en-IE"/>
              </w:rPr>
            </w:pPr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Unconstrained expected shortfall measure (</w:t>
            </w:r>
            <w:proofErr w:type="spellStart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UESt</w:t>
            </w:r>
            <w:proofErr w:type="spellEnd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)</w:t>
            </w:r>
          </w:p>
          <w:p w14:paraId="1E53AB6F" w14:textId="2D37B3D8" w:rsidR="3E91330B" w:rsidRPr="00DB0A49" w:rsidRDefault="3BB31265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Den offentliggjorte værdi beregnes for den samlede portefølje og ikke for en bred risikokategori i henhold til artikel 325bb og 325bc i forordning (EU) nr. 575/2013.</w:t>
            </w:r>
          </w:p>
        </w:tc>
      </w:tr>
      <w:tr w:rsidR="4A0450B5" w:rsidRPr="00DB0A49" w14:paraId="2678203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01045CC" w14:textId="043660EE" w:rsidR="3B3426CC" w:rsidRPr="00DB0A49" w:rsidRDefault="3B3426CC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A1B0F63" w14:textId="348EF369" w:rsidR="3B3426CC" w:rsidRPr="00D471B6" w:rsidRDefault="3B3426CC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val="en-IE"/>
              </w:rPr>
            </w:pPr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 xml:space="preserve">Unconstrained expected shortfall measure for </w:t>
            </w:r>
            <w:proofErr w:type="spellStart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risikofaktorkategorien</w:t>
            </w:r>
            <w:proofErr w:type="spellEnd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 xml:space="preserve"> "</w:t>
            </w:r>
            <w:proofErr w:type="spellStart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rente</w:t>
            </w:r>
            <w:proofErr w:type="spellEnd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"</w:t>
            </w:r>
          </w:p>
          <w:p w14:paraId="39E48A15" w14:textId="5243BB2A" w:rsidR="40EE3118" w:rsidRPr="00DB0A49" w:rsidRDefault="749F8553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Den offentliggjorte værdi beregnes for risikofaktorerne i kategorien for renterisiko i henhold til artikel 325bb, 325bc og 325bd i forordning (EU) nr. 575/2013.</w:t>
            </w:r>
          </w:p>
        </w:tc>
      </w:tr>
      <w:tr w:rsidR="00234F41" w:rsidRPr="00DB0A49" w14:paraId="1583C76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5B8C21" w14:textId="1D60FC2A" w:rsidR="00234F41" w:rsidRPr="00DB0A49" w:rsidRDefault="002F3022" w:rsidP="00234F4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FEEC3A3" w14:textId="32D0F810" w:rsidR="00234F41" w:rsidRPr="00D471B6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val="en-IE"/>
              </w:rPr>
            </w:pPr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 xml:space="preserve">Unconstrained expected shortfall measure for </w:t>
            </w:r>
            <w:proofErr w:type="spellStart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risikofaktorkategorien</w:t>
            </w:r>
            <w:proofErr w:type="spellEnd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 xml:space="preserve"> "</w:t>
            </w:r>
            <w:proofErr w:type="spellStart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aktie</w:t>
            </w:r>
            <w:proofErr w:type="spellEnd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"</w:t>
            </w:r>
            <w:r w:rsidRPr="00D471B6">
              <w:rPr>
                <w:rFonts w:ascii="Times New Roman" w:hAnsi="Times New Roman"/>
                <w:sz w:val="24"/>
                <w:lang w:val="en-IE"/>
              </w:rPr>
              <w:t xml:space="preserve">  </w:t>
            </w:r>
          </w:p>
          <w:p w14:paraId="4E1BA488" w14:textId="705548F0" w:rsidR="00234F41" w:rsidRPr="00DB0A49" w:rsidRDefault="7A25B94F" w:rsidP="140F9DE1">
            <w:pP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Den offentliggjorte værdi beregnes for risikofaktorerne i kategorien for aktierisiko i henhold til artikel 325bb, 325bc og 325bd i forordning (EU) nr. 575/2013.</w:t>
            </w:r>
          </w:p>
        </w:tc>
      </w:tr>
      <w:tr w:rsidR="00B86E1A" w:rsidRPr="00DB0A49" w14:paraId="3E75A52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499A8B" w14:textId="729DAF1D" w:rsidR="00B86E1A" w:rsidRPr="00DB0A49" w:rsidRDefault="002F3022" w:rsidP="00B86E1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D6A90B" w14:textId="77777777" w:rsidR="00B86E1A" w:rsidRPr="00D471B6" w:rsidRDefault="00B86E1A" w:rsidP="00B86E1A">
            <w:pPr>
              <w:rPr>
                <w:rFonts w:ascii="Times New Roman" w:eastAsia="Times New Roman" w:hAnsi="Times New Roman" w:cs="Times New Roman"/>
                <w:sz w:val="24"/>
                <w:lang w:val="en-IE"/>
              </w:rPr>
            </w:pPr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 xml:space="preserve">Unconstrained expected shortfall measure for </w:t>
            </w:r>
            <w:proofErr w:type="spellStart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risikofaktorkategorien</w:t>
            </w:r>
            <w:proofErr w:type="spellEnd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 xml:space="preserve"> "</w:t>
            </w:r>
            <w:proofErr w:type="spellStart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råvare</w:t>
            </w:r>
            <w:proofErr w:type="spellEnd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"</w:t>
            </w:r>
            <w:r w:rsidRPr="00D471B6">
              <w:rPr>
                <w:rFonts w:ascii="Times New Roman" w:hAnsi="Times New Roman"/>
                <w:sz w:val="24"/>
                <w:lang w:val="en-IE"/>
              </w:rPr>
              <w:t xml:space="preserve"> </w:t>
            </w:r>
          </w:p>
          <w:p w14:paraId="70BA8462" w14:textId="47AECB7A" w:rsidR="00B86E1A" w:rsidRPr="00DB0A49" w:rsidRDefault="05EA5842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471B6">
              <w:rPr>
                <w:rFonts w:ascii="Times New Roman" w:hAnsi="Times New Roman"/>
                <w:sz w:val="24"/>
                <w:lang w:val="en-I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Den offentliggjorte værdi beregnes for risikofaktorerne i kategorien for råvarerisiko i henhold til artikel 325bb, 325bc og 325bd i forordning (EU) nr. 575/2013.</w:t>
            </w:r>
          </w:p>
        </w:tc>
      </w:tr>
      <w:tr w:rsidR="002F3022" w:rsidRPr="00DB0A49" w14:paraId="1C3E96A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3DAF73" w14:textId="5051FDEF" w:rsidR="002F3022" w:rsidRPr="00DB0A49" w:rsidRDefault="002F3022" w:rsidP="002F302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F42D096" w14:textId="4FA1AF42" w:rsidR="002F3022" w:rsidRPr="00D471B6" w:rsidRDefault="12ADB0E7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val="en-IE"/>
              </w:rPr>
            </w:pPr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 xml:space="preserve">Unconstrained expected shortfall measure for </w:t>
            </w:r>
            <w:proofErr w:type="spellStart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risikofaktorkategorien</w:t>
            </w:r>
            <w:proofErr w:type="spellEnd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 xml:space="preserve"> "</w:t>
            </w:r>
            <w:proofErr w:type="spellStart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valutakurs</w:t>
            </w:r>
            <w:proofErr w:type="spellEnd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"</w:t>
            </w:r>
          </w:p>
          <w:p w14:paraId="1880B223" w14:textId="34F16589" w:rsidR="002F3022" w:rsidRPr="00DB0A49" w:rsidRDefault="1F3BA536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471B6">
              <w:rPr>
                <w:rFonts w:ascii="Times New Roman" w:hAnsi="Times New Roman"/>
                <w:b/>
                <w:color w:val="444444"/>
                <w:sz w:val="24"/>
                <w:lang w:val="en-IE"/>
              </w:rPr>
              <w:t xml:space="preserve"> </w:t>
            </w:r>
            <w:r w:rsidRPr="00D471B6">
              <w:rPr>
                <w:rFonts w:ascii="Times New Roman" w:hAnsi="Times New Roman"/>
                <w:sz w:val="24"/>
                <w:lang w:val="en-I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Den offentliggjorte værdi beregnes for risikofaktorerne i kategorien for valutakursrisiko i henhold til artikel 325bb, 325bc og 325bd i forordning (EU) nr. 575/2013.</w:t>
            </w:r>
          </w:p>
        </w:tc>
      </w:tr>
      <w:tr w:rsidR="00234F41" w:rsidRPr="00DB0A49" w14:paraId="12D2798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B07D6BA" w14:textId="0E7E67E0" w:rsidR="00234F41" w:rsidRPr="00DB0A49" w:rsidRDefault="00572E3E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BE84B9" w14:textId="21B277FE" w:rsidR="00234F41" w:rsidRPr="00D471B6" w:rsidRDefault="00234F41" w:rsidP="00234F41">
            <w:pPr>
              <w:rPr>
                <w:rFonts w:ascii="Times New Roman" w:eastAsia="Times New Roman" w:hAnsi="Times New Roman" w:cs="Times New Roman"/>
                <w:sz w:val="24"/>
                <w:lang w:val="en-IE"/>
              </w:rPr>
            </w:pPr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 xml:space="preserve">Unconstrained expected shortfall measure for </w:t>
            </w:r>
            <w:proofErr w:type="spellStart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risikofaktorkategorien</w:t>
            </w:r>
            <w:proofErr w:type="spellEnd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 xml:space="preserve"> "</w:t>
            </w:r>
            <w:proofErr w:type="spellStart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kreditspænd</w:t>
            </w:r>
            <w:proofErr w:type="spellEnd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 xml:space="preserve">" </w:t>
            </w:r>
          </w:p>
          <w:p w14:paraId="5C567B92" w14:textId="2263B6AC" w:rsidR="00234F41" w:rsidRPr="00DB0A49" w:rsidRDefault="79641B5E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Den offentliggjorte værdi beregnes for risikofaktorerne i kategorien for kreditspændsrisiko i henhold til artikel 325bb, 325bc og 325bd i forordning (EU) nr. 575/2013.</w:t>
            </w:r>
          </w:p>
        </w:tc>
      </w:tr>
      <w:tr w:rsidR="00234F41" w:rsidRPr="00DB0A49" w14:paraId="4B55EABD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1FDAC90" w14:textId="59585282" w:rsidR="00234F41" w:rsidRPr="00DB0A49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DB2F1C1" w14:textId="77777777" w:rsidR="00AA44B0" w:rsidRPr="00D471B6" w:rsidRDefault="471075D0" w:rsidP="140F9DE1">
            <w:pPr>
              <w:rPr>
                <w:rFonts w:ascii="Times New Roman" w:eastAsia="Times New Roman" w:hAnsi="Times New Roman" w:cs="Times New Roman"/>
                <w:sz w:val="24"/>
                <w:lang w:val="en-IE"/>
              </w:rPr>
            </w:pPr>
            <w:proofErr w:type="spellStart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Summen</w:t>
            </w:r>
            <w:proofErr w:type="spellEnd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 xml:space="preserve"> </w:t>
            </w:r>
            <w:proofErr w:type="spellStart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af</w:t>
            </w:r>
            <w:proofErr w:type="spellEnd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 xml:space="preserve"> unconstrained expected shortfall measure for brede </w:t>
            </w:r>
            <w:proofErr w:type="spellStart"/>
            <w:r w:rsidRPr="00D471B6">
              <w:rPr>
                <w:rFonts w:ascii="Times New Roman" w:hAnsi="Times New Roman"/>
                <w:b/>
                <w:sz w:val="24"/>
                <w:lang w:val="en-IE"/>
              </w:rPr>
              <w:t>risikofaktorkategorier</w:t>
            </w:r>
            <w:proofErr w:type="spellEnd"/>
            <w:r w:rsidRPr="00D471B6">
              <w:rPr>
                <w:rFonts w:ascii="Times New Roman" w:hAnsi="Times New Roman"/>
                <w:sz w:val="24"/>
                <w:lang w:val="en-IE"/>
              </w:rPr>
              <w:t xml:space="preserve"> (∑</w:t>
            </w:r>
            <w:proofErr w:type="spellStart"/>
            <w:r w:rsidRPr="00D471B6">
              <w:rPr>
                <w:rFonts w:ascii="Times New Roman" w:hAnsi="Times New Roman"/>
                <w:sz w:val="24"/>
                <w:lang w:val="en-IE"/>
              </w:rPr>
              <w:t>UES</w:t>
            </w:r>
            <w:r w:rsidRPr="00D471B6">
              <w:rPr>
                <w:rFonts w:ascii="Times New Roman" w:hAnsi="Times New Roman"/>
                <w:sz w:val="24"/>
                <w:vertAlign w:val="superscript"/>
                <w:lang w:val="en-IE"/>
              </w:rPr>
              <w:t>i</w:t>
            </w:r>
            <w:r w:rsidRPr="00D471B6">
              <w:rPr>
                <w:rFonts w:ascii="Times New Roman" w:hAnsi="Times New Roman"/>
                <w:sz w:val="24"/>
                <w:vertAlign w:val="subscript"/>
                <w:lang w:val="en-IE"/>
              </w:rPr>
              <w:t>t</w:t>
            </w:r>
            <w:proofErr w:type="spellEnd"/>
            <w:r w:rsidRPr="00D471B6">
              <w:rPr>
                <w:rFonts w:ascii="Times New Roman" w:hAnsi="Times New Roman"/>
                <w:sz w:val="24"/>
                <w:lang w:val="en-IE"/>
              </w:rPr>
              <w:t xml:space="preserve">) </w:t>
            </w:r>
          </w:p>
          <w:p w14:paraId="014CC777" w14:textId="17C0E236" w:rsidR="00234F41" w:rsidRPr="00AA44B0" w:rsidRDefault="00F80764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Summen af række 2 til 6.</w:t>
            </w:r>
          </w:p>
          <w:p w14:paraId="0D4B3B7E" w14:textId="0C505591" w:rsidR="00234F41" w:rsidRPr="00DB0A49" w:rsidRDefault="00234F41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</w:p>
        </w:tc>
      </w:tr>
      <w:tr w:rsidR="00234F41" w:rsidRPr="00DB0A49" w14:paraId="329330E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256B5C8" w14:textId="228F99DD" w:rsidR="00234F41" w:rsidRPr="00DB0A49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988D5B" w14:textId="6487394C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Expected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shortfall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measure (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ES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3985A7B9" w14:textId="37C4DB19" w:rsidR="00234F41" w:rsidRPr="00DB0A49" w:rsidRDefault="5D2FC7FD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Risikomålet for </w:t>
            </w:r>
            <w:proofErr w:type="spellStart"/>
            <w:r>
              <w:rPr>
                <w:rFonts w:ascii="Times New Roman" w:hAnsi="Times New Roman"/>
                <w:sz w:val="24"/>
              </w:rPr>
              <w:t>expected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shortfall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beregnes i overensstemmelse med artikel 325ba, stk. 1, litra a), nr. i), i forordning (EU) nr. 575/2013.</w:t>
            </w:r>
          </w:p>
        </w:tc>
      </w:tr>
      <w:tr w:rsidR="00234F41" w:rsidRPr="00AA772E" w14:paraId="5C7A25A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0EB380" w14:textId="3CBA7B62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6CE40AF" w14:textId="0618CAD3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Stressscenariebaseret risikomål (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SS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1A984573" w14:textId="59113B26" w:rsidR="00234F41" w:rsidRPr="00DB0A49" w:rsidRDefault="060F6C17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Risikomålet for det stressscenariebaserede risikomål beregnes i overensstemmelse med artikel 325ba, stk. 1, litra a), nr. ii), i forordning (EU) nr. 575/2013.</w:t>
            </w:r>
          </w:p>
        </w:tc>
      </w:tr>
      <w:tr w:rsidR="00234F41" w:rsidRPr="00AA772E" w14:paraId="3AAE30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8C72FB" w14:textId="2E7D9982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9FBF8F2" w14:textId="1A7A8A4A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Misligholdelsesrisiko (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DRC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0AF5675B" w14:textId="1F8133B2" w:rsidR="00234F41" w:rsidRPr="00DB0A49" w:rsidRDefault="654BF7D8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Misligholdelsesrisikoen beregnes i overensstemmelse med artikel 325ba, stk. 2, litra a), i forordning (EU) nr. 575/2013.</w:t>
            </w:r>
          </w:p>
        </w:tc>
      </w:tr>
      <w:tr w:rsidR="00234F41" w:rsidRPr="00AA772E" w14:paraId="001F5A7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3795AF9" w14:textId="7BC27148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6C377DB" w14:textId="02406F87" w:rsidR="00234F41" w:rsidRPr="00AA44B0" w:rsidRDefault="1AC2462E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PLAaddon</w:t>
            </w:r>
            <w:proofErr w:type="spellEnd"/>
          </w:p>
          <w:p w14:paraId="72CEFFB9" w14:textId="21DFFB57" w:rsidR="00234F41" w:rsidRPr="00DB0A49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Denne værdi beregnes i overensstemmelse med artikel 325ba, stk. 3, i forordning (EU) nr. 575/2013 sammenholdt med artikel 10, stk. 1, i forordning (EU) 2022/2059.</w:t>
            </w:r>
          </w:p>
        </w:tc>
      </w:tr>
      <w:tr w:rsidR="00234F41" w:rsidRPr="00AA772E" w14:paraId="1E5CB73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8C254C1" w14:textId="74B26BA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675D025" w14:textId="6D4C388A" w:rsidR="00234F41" w:rsidRPr="00AA44B0" w:rsidRDefault="11A57A2D" w:rsidP="140F9DE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OFR for balanceførte og ikkebalanceførte aktiviteter plus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PLAaddon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(AIMA +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PLAaddon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595AB2F9" w14:textId="23FB87CE" w:rsidR="00234F41" w:rsidRPr="00DB0A49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Denne værdi beregnes i overensstemmelse med artikel 10, stk. 1, i forordning (EU) 2022/2059. Værdien i række 11 lægges til.</w:t>
            </w:r>
          </w:p>
        </w:tc>
      </w:tr>
      <w:tr w:rsidR="00234F41" w:rsidRPr="00AA772E" w14:paraId="4CFEF04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4323EEB1" w14:textId="3C3F701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4FCE8B3" w14:textId="20C19D22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ASA OFR i alt for handelsenheder, der ikke er anerkendt til at anvende AIMA (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ASAnon-aima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010A62FB" w14:textId="286F0BA2" w:rsidR="00234F41" w:rsidRPr="00DB0A49" w:rsidRDefault="11B9774E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Denne værdi beregnes i henhold til artikel 325ba, stk. 3, i forordning (EU) nr. 575/2013.</w:t>
            </w:r>
          </w:p>
        </w:tc>
      </w:tr>
      <w:tr w:rsidR="00234F41" w:rsidRPr="00AA772E" w14:paraId="2E80D7EC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32017943" w14:textId="29CFFEEE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7A4C34B" w14:textId="20DBF86B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Difference i OFR under AIMA og ASA for AIMA-handelsenheder (AIMA -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ASAaima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326E0483" w14:textId="73A09039" w:rsidR="00234F41" w:rsidRPr="00DB0A49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Denne værdi beregnes som forskellen mellem AIMA-kapitalgrundlagskravene for AIMA-enheder (artikel 10, stk. 1, i forordning (EU) 2022/2059) og værdien af AMA-kapitalgrundlagskravene for alle AIMA-enheder (porteføljeoversigt) (artikel 10, stk. 1, i forordning (EU) 2022/2059).</w:t>
            </w:r>
          </w:p>
        </w:tc>
      </w:tr>
      <w:tr w:rsidR="00234F41" w:rsidRPr="00AA772E" w14:paraId="04D8994F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E08381D" w14:textId="6243191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1DBA1AB" w14:textId="2D7FAA07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ASA OFR for alle handelsenheder (inkl. dem, der er omfattet af AIMA) (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ASAall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portfolio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7232E72B" w14:textId="0064FE14" w:rsidR="00234F41" w:rsidRPr="00DB0A49" w:rsidRDefault="3A829CD0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Denne værdi beregnes i henhold til artikel 325ba, stk. 3, i forordning (EU) nr. 575/2013.</w:t>
            </w:r>
          </w:p>
        </w:tc>
      </w:tr>
      <w:tr w:rsidR="00234F41" w:rsidRPr="00AA772E" w14:paraId="1AA0793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875442B" w14:textId="25353664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E1B75E7" w14:textId="2021ED29" w:rsidR="00234F41" w:rsidRPr="00FE3752" w:rsidRDefault="471075D0" w:rsidP="3821DFBC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Samlede kapitalgrundlagskrav for AIMA (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TotalAIMA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11A40A93" w14:textId="2A4DA65C" w:rsidR="00234F41" w:rsidRPr="00DB0A49" w:rsidRDefault="7D4B7A18" w:rsidP="3821DFBC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Denne værdi beregnes i henhold til artikel 325ba, stk. 3, i forordning (EU) nr. 575/2013. </w:t>
            </w:r>
          </w:p>
        </w:tc>
      </w:tr>
      <w:tr w:rsidR="00234F41" w:rsidRPr="001F1865" w14:paraId="6CF294F9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D7C567" w14:textId="77777777" w:rsidR="00234F41" w:rsidRPr="001F1865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Kolonnebogstav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0A2FF6" w14:textId="77777777" w:rsidR="00234F41" w:rsidRPr="001F1865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Forklaring</w:t>
            </w:r>
          </w:p>
        </w:tc>
      </w:tr>
      <w:tr w:rsidR="00234F41" w:rsidRPr="00AA772E" w14:paraId="691830EE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F2D892" w14:textId="13945D56" w:rsidR="00234F41" w:rsidRPr="00445013" w:rsidRDefault="00234F41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BC3495" w14:textId="6299B921" w:rsidR="00234F41" w:rsidRPr="00DB0A49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Offentliggørelse af det seneste risikomål [række 1-10] eller kapitalgrundlagskrav [række 11-16] i </w:t>
            </w:r>
            <w:proofErr w:type="gramStart"/>
            <w:r>
              <w:rPr>
                <w:rFonts w:ascii="Times New Roman" w:hAnsi="Times New Roman"/>
                <w:sz w:val="24"/>
              </w:rPr>
              <w:t>det indeværende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kvartal. </w:t>
            </w:r>
          </w:p>
        </w:tc>
      </w:tr>
      <w:tr w:rsidR="00825C6F" w:rsidRPr="00AA772E" w14:paraId="3E585EB2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1655A" w14:textId="6A209115" w:rsidR="00825C6F" w:rsidRPr="00445013" w:rsidRDefault="00825C6F" w:rsidP="00825C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9F853" w14:textId="5237A310" w:rsidR="00825C6F" w:rsidRPr="00445013" w:rsidRDefault="00825C6F" w:rsidP="3821D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Middelværdien af risikomålet [række 1-10] i de foregående 60 arbejdsdage [række 1-9] eller i løbet af de foregående 12 uger [række 10] i </w:t>
            </w:r>
            <w:proofErr w:type="gramStart"/>
            <w:r>
              <w:rPr>
                <w:rFonts w:ascii="Times New Roman" w:hAnsi="Times New Roman"/>
                <w:sz w:val="24"/>
              </w:rPr>
              <w:t>det indeværende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kvartal.</w:t>
            </w:r>
          </w:p>
        </w:tc>
      </w:tr>
      <w:tr w:rsidR="00234F41" w:rsidRPr="00AA772E" w14:paraId="541E044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9A3D63" w14:textId="38507D4F" w:rsidR="00234F41" w:rsidRPr="00445013" w:rsidRDefault="00825C6F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0E847" w14:textId="02E42442" w:rsidR="00234F41" w:rsidRPr="00445013" w:rsidRDefault="00234F41" w:rsidP="3821D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Højeste risikomål i de foregående 60 arbejdsdage [række 1-6] i </w:t>
            </w:r>
            <w:proofErr w:type="gramStart"/>
            <w:r>
              <w:rPr>
                <w:rFonts w:ascii="Times New Roman" w:hAnsi="Times New Roman"/>
                <w:sz w:val="24"/>
              </w:rPr>
              <w:t>det indeværende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kvartal.</w:t>
            </w:r>
          </w:p>
        </w:tc>
      </w:tr>
      <w:tr w:rsidR="00234F41" w:rsidRPr="00AA772E" w14:paraId="517652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185729" w14:textId="054FA251" w:rsidR="00234F41" w:rsidRPr="00445013" w:rsidRDefault="00825C6F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A32AC" w14:textId="30C74DA0" w:rsidR="00234F41" w:rsidRPr="00445013" w:rsidRDefault="00234F41" w:rsidP="3821D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Laveste risikomål i de foregående 60 arbejdsdage [række 1-6] i </w:t>
            </w:r>
            <w:proofErr w:type="gramStart"/>
            <w:r>
              <w:rPr>
                <w:rFonts w:ascii="Times New Roman" w:hAnsi="Times New Roman"/>
                <w:sz w:val="24"/>
              </w:rPr>
              <w:t>det indeværende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kvartal.</w:t>
            </w:r>
          </w:p>
        </w:tc>
      </w:tr>
      <w:tr w:rsidR="00234F41" w:rsidRPr="00AA772E" w14:paraId="41E2A894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FA296F" w14:textId="5510FEEB" w:rsidR="00234F41" w:rsidRPr="00445013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57FA4A" w14:textId="0166676A" w:rsidR="00234F41" w:rsidRPr="00445013" w:rsidRDefault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Antal </w:t>
            </w:r>
            <w:proofErr w:type="spellStart"/>
            <w:r>
              <w:rPr>
                <w:rFonts w:ascii="Times New Roman" w:hAnsi="Times New Roman"/>
                <w:sz w:val="24"/>
              </w:rPr>
              <w:t>backtestingoverskridelser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[række 1]</w:t>
            </w:r>
          </w:p>
          <w:p w14:paraId="486CF129" w14:textId="49048050" w:rsidR="00234F41" w:rsidRPr="00445013" w:rsidRDefault="51A69309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Antallet af overskridelser indberettet i denne celle er det antal, der er anvendt til bestemmelse af tillægget i overensstemmelse med tabel 3 i artikel 325bf, stk. 6, litra b), i forordning (EU) nr. 575/2013. Overskridelser, der er udelukket med den kompetente myndigheds tilladelse, inkluderes ikke.</w:t>
            </w:r>
          </w:p>
        </w:tc>
      </w:tr>
      <w:tr w:rsidR="00234F41" w:rsidRPr="00AA772E" w14:paraId="4299B6F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41333" w14:textId="19304036" w:rsidR="00234F41" w:rsidRPr="00445013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8BD1C0" w14:textId="66C9B10A" w:rsidR="00234F41" w:rsidRPr="00445013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Det seneste risikomål [række 1-10] eller kapitalgrundlagskrav [række 11-16] i det foregående kvartal. </w:t>
            </w:r>
          </w:p>
        </w:tc>
      </w:tr>
      <w:tr w:rsidR="00234F41" w:rsidRPr="001F1865" w14:paraId="2CC4031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83754D" w14:textId="4239198E" w:rsidR="00234F41" w:rsidRPr="001F1865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88BFF1" w14:textId="1DB2F358" w:rsidR="00234F41" w:rsidRPr="001F1865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Middelværdien af risikomålet [række 1-10] i de foregående 60 arbejdsdage [række 1-9] eller i løbet af de foregående 12 uger [række 10] i det foregående kvartal.</w:t>
            </w:r>
          </w:p>
        </w:tc>
      </w:tr>
    </w:tbl>
    <w:p w14:paraId="60061E4C" w14:textId="6CE0B0D3" w:rsidR="00AA4A0F" w:rsidRPr="00D471B6" w:rsidRDefault="00AA4A0F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7EADC0A6" w14:textId="5B12A297" w:rsidR="00AA4A0F" w:rsidRPr="001F1865" w:rsidRDefault="00AA4A0F" w:rsidP="140F9DE1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Skema EU MR3 - Markedsrisiko i henhold til den forenklede standardmetode (SSA)</w:t>
      </w:r>
      <w:r>
        <w:rPr>
          <w:rFonts w:ascii="Times New Roman" w:hAnsi="Times New Roman"/>
          <w:color w:val="auto"/>
          <w:sz w:val="24"/>
        </w:rPr>
        <w:t>: Fast format.</w:t>
      </w:r>
    </w:p>
    <w:p w14:paraId="6AC491D2" w14:textId="6E61C37E" w:rsidR="00AA4A0F" w:rsidRPr="001F1865" w:rsidRDefault="00AA4A0F" w:rsidP="00DB0A49">
      <w:pPr>
        <w:pStyle w:val="Titlelevel2"/>
        <w:numPr>
          <w:ilvl w:val="0"/>
          <w:numId w:val="5"/>
        </w:numPr>
        <w:spacing w:before="0"/>
        <w:ind w:left="284" w:hanging="284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Institutterne offentliggør de oplysninger, som er omhandlet i artikel 445 i forordning (EU) nr. 575/2013, ved at følge instrukserne i dette bilag til udfyldelse af skemaet EU MR3, som findes i bilag XXIX til IT-løsningerne.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6544"/>
      </w:tblGrid>
      <w:tr w:rsidR="00AA4A0F" w:rsidRPr="001F1865" w14:paraId="31CE5A52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1B0653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Henvisninger til retsakter og instrukser</w:t>
            </w:r>
          </w:p>
        </w:tc>
      </w:tr>
      <w:tr w:rsidR="00AA4A0F" w:rsidRPr="001F1865" w14:paraId="5141F34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46BD028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Række nr.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1D7C9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Forklaring</w:t>
            </w:r>
          </w:p>
        </w:tc>
      </w:tr>
      <w:tr w:rsidR="00AA4A0F" w:rsidRPr="001F1865" w14:paraId="2557E2E3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1E50F1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141434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eastAsia="ja-JP"/>
              </w:rPr>
            </w:pPr>
          </w:p>
        </w:tc>
      </w:tr>
      <w:tr w:rsidR="00AA4A0F" w:rsidRPr="001F1865" w14:paraId="739AED95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E9B2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33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Renterisiko (generel og specifik) </w:t>
            </w:r>
          </w:p>
          <w:p w14:paraId="53976F70" w14:textId="7239AE46" w:rsidR="00AA4A0F" w:rsidRPr="001F1865" w:rsidRDefault="00AA4A0F" w:rsidP="0BE40342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Generel og specifik risiko vedrørende positioner i handlede gældsinstrumenter i handelsbeholdningen i overensstemmelse med tredje del, afsnit IV, kapitel 2, i forordning (EU) nr. 575/2013, bortset fra specifik risiko vedrørende </w:t>
            </w:r>
            <w:proofErr w:type="spellStart"/>
            <w:r>
              <w:rPr>
                <w:rFonts w:ascii="Times New Roman" w:hAnsi="Times New Roman"/>
                <w:sz w:val="24"/>
              </w:rPr>
              <w:t>securitisering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1F1865" w14:paraId="3866E5CD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B6D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676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Aktierisiko (generel og specifik)</w:t>
            </w:r>
          </w:p>
          <w:p w14:paraId="7CB149BE" w14:textId="7EC2652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Generel og specifik risiko vedrørende positioner i aktier i handelsbeholdningen i overensstemmelse med tredje del, afsnit IV, kapitel 2, i forordning (EU) nr. 575/2013.</w:t>
            </w:r>
          </w:p>
        </w:tc>
      </w:tr>
      <w:tr w:rsidR="00AA4A0F" w:rsidRPr="001F1865" w14:paraId="036D3FF7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B2FA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1EE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Råvarerisiko</w:t>
            </w:r>
          </w:p>
          <w:p w14:paraId="63B3CA85" w14:textId="0B927E14" w:rsidR="00AA4A0F" w:rsidRPr="001F1865" w:rsidRDefault="00AA4A0F" w:rsidP="0BE40342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Risiko vedrørende positioner i råvarer i overensstemmelse med tredje del, afsnit IV, kapitel 4, i forordning (EU) nr. 575/2013.</w:t>
            </w:r>
          </w:p>
        </w:tc>
      </w:tr>
      <w:tr w:rsidR="00AA4A0F" w:rsidRPr="001F1865" w14:paraId="7A3EA1BB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8C9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8C77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Valutarisiko</w:t>
            </w:r>
          </w:p>
          <w:p w14:paraId="0EF57964" w14:textId="5BB6583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Risiko vedrørende positioner i valutaer i overensstemmelse med tredje del, afsnit IV, kapitel 3, i forordning (EU) nr. 575/2013.</w:t>
            </w:r>
          </w:p>
        </w:tc>
      </w:tr>
      <w:tr w:rsidR="00AA4A0F" w:rsidRPr="001F1865" w14:paraId="510BA8A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69CF" w14:textId="77777777" w:rsidR="00AA4A0F" w:rsidRPr="001F1865" w:rsidRDefault="00AA4A0F" w:rsidP="00DE09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132C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Securitisering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(specifik risiko)</w:t>
            </w:r>
          </w:p>
          <w:p w14:paraId="20BB6B2F" w14:textId="370CD600" w:rsidR="00AA4A0F" w:rsidRPr="00DE72D6" w:rsidRDefault="00AA4A0F" w:rsidP="00DE0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>Den specifikke risiko i forbindelse med securitiseringspositioner i handelsbeholdningen i overensstemmelse med artikel 337 og 338, i tredje del, afsnit IV, kapitel 2, i forordning (EU) nr. 575/2013.</w:t>
            </w:r>
          </w:p>
        </w:tc>
      </w:tr>
      <w:tr w:rsidR="00AA4A0F" w:rsidRPr="001F1865" w14:paraId="7C502C6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8C1" w14:textId="77777777" w:rsidR="00AA4A0F" w:rsidRPr="001F1865" w:rsidRDefault="00AA4A0F" w:rsidP="00DE09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9167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OFR S-SA i alt </w:t>
            </w:r>
          </w:p>
          <w:p w14:paraId="5DD2D55D" w14:textId="027A9E83" w:rsidR="00AA4A0F" w:rsidRPr="001F1865" w:rsidRDefault="00AA4A0F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Offentliggørelse af kapitalgrundlagskrav omhandlet i artikel 438, litra d), i forordning (EU) nr. 575/2013, beregnet som den simple sum af beløbene i række 1-5 ovenfor for kolonne a og beregnet som den simple sum af beløbene i række 1-4 for kolonne b, c og d.</w:t>
            </w:r>
          </w:p>
        </w:tc>
      </w:tr>
      <w:tr w:rsidR="00AA4A0F" w:rsidRPr="001F1865" w14:paraId="56185555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50AB2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Kolonnebogstav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381206" w14:textId="77777777" w:rsidR="00AA4A0F" w:rsidRPr="00DB0A49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Forklaring</w:t>
            </w:r>
          </w:p>
        </w:tc>
      </w:tr>
      <w:tr w:rsidR="00AA4A0F" w:rsidRPr="001F1865" w14:paraId="2E9CE45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E7FF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FD14A" w14:textId="77777777" w:rsidR="00AA4A0F" w:rsidRPr="00FE3752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Direkte produkter</w:t>
            </w:r>
          </w:p>
        </w:tc>
      </w:tr>
      <w:tr w:rsidR="00AA4A0F" w:rsidRPr="001F1865" w14:paraId="5A2CAA0E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87F" w14:textId="77777777" w:rsidR="00AA4A0F" w:rsidRPr="001F1865" w:rsidRDefault="00AA4A0F" w:rsidP="00DE090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E82" w14:textId="3E3EB933" w:rsidR="00AA4A0F" w:rsidRPr="00DB0A49" w:rsidRDefault="00AA4A0F" w:rsidP="00DE090B">
            <w:pPr>
              <w:rPr>
                <w:rFonts w:ascii="Times New Roman" w:eastAsia="Calibri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Positioner i produkter, der ikke er valgfrie og ikke er omfattet af metoderne i de reguleringsmæssige tekniske standarder vedrørende andre risici end deltarisiko ved optioner i den standardiserede markedsrisikometode</w:t>
            </w:r>
            <w:r>
              <w:rPr>
                <w:rFonts w:ascii="Times New Roman" w:eastAsia="Calibri" w:hAnsi="Times New Roman" w:cs="Times New Roman"/>
                <w:szCs w:val="22"/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1F1865" w14:paraId="198A0D0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4CA3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E150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Optioner</w:t>
            </w:r>
          </w:p>
        </w:tc>
      </w:tr>
      <w:tr w:rsidR="00AA4A0F" w:rsidRPr="001F1865" w14:paraId="4D311DFE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58E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FC3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Forenklet metode</w:t>
            </w:r>
          </w:p>
          <w:p w14:paraId="71365A3F" w14:textId="32ACEA9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Optioner eller warrants som defineret i artikel 329, stk. 3, i tredje del, afsnit IV, kapitel 2, i forordning (EU) nr. 575/2013, for hvilke institutterne beregner deres kapitalgrundlagskrav vedrørende andre risici end deltarisikoen ved hjælp af den forenklede metode</w:t>
            </w:r>
            <w:r>
              <w:rPr>
                <w:rStyle w:val="FootnoteReference"/>
                <w:rFonts w:ascii="Times New Roman" w:eastAsia="Times New Roman" w:hAnsi="Times New Roman" w:cs="Times New Roman"/>
              </w:rPr>
              <w:footnoteReference w:id="4"/>
            </w:r>
          </w:p>
        </w:tc>
      </w:tr>
      <w:tr w:rsidR="00AA4A0F" w:rsidRPr="001F1865" w14:paraId="4189105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83E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D43E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Delta plus-metode</w:t>
            </w:r>
          </w:p>
          <w:p w14:paraId="4982FF4D" w14:textId="11E24DA9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Optioner eller warrants i handelsbeholdningen som defineret i artikel 329, stk. 3, i tredje del, afsnit IV, kapitel 2, i forordning (EU) nr. 575/2013, for hvilke institutterne beregner deres </w:t>
            </w:r>
            <w:r>
              <w:rPr>
                <w:rFonts w:ascii="Times New Roman" w:hAnsi="Times New Roman"/>
                <w:sz w:val="24"/>
              </w:rPr>
              <w:lastRenderedPageBreak/>
              <w:t>kapitalgrundlagskrav vedrørende andre risici end deltarisikoen ved hjælp af delta plus-metoden</w:t>
            </w:r>
            <w:r>
              <w:rPr>
                <w:rStyle w:val="FootnoteReference"/>
                <w:rFonts w:ascii="Times New Roman" w:eastAsia="Times New Roman" w:hAnsi="Times New Roman" w:cs="Times New Roman"/>
              </w:rPr>
              <w:footnoteReference w:id="5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1F1865" w14:paraId="4EBB665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3ACF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E4D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Scenario-metode</w:t>
            </w:r>
          </w:p>
          <w:p w14:paraId="2B78A76A" w14:textId="583FBB66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Optioner eller warrants i handelsbeholdningen som defineret i artikel 329, stk. 3, i tredje del, afsnit IV, kapitel 2, i forordning (EU) nr. 575/2013, for hvilke institutterne beregner deres kapitalgrundlagskrav vedrørende andre risici end deltarisikoen ved hjælp af scenario-metoden</w:t>
            </w:r>
            <w:r>
              <w:rPr>
                <w:rStyle w:val="FootnoteReference"/>
                <w:rFonts w:ascii="Times New Roman" w:eastAsia="Times New Roman" w:hAnsi="Times New Roman" w:cs="Times New Roman"/>
              </w:rPr>
              <w:footnoteReference w:id="6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79592B57" w14:textId="77777777" w:rsidR="00931C32" w:rsidRPr="00D471B6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sectPr w:rsidR="00931C32" w:rsidRPr="00D471B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1A622" w14:textId="77777777" w:rsidR="00F2772C" w:rsidRDefault="00F2772C" w:rsidP="00931C32">
      <w:r>
        <w:separator/>
      </w:r>
    </w:p>
  </w:endnote>
  <w:endnote w:type="continuationSeparator" w:id="0">
    <w:p w14:paraId="5609A27D" w14:textId="77777777" w:rsidR="00F2772C" w:rsidRDefault="00F2772C" w:rsidP="00931C32">
      <w:r>
        <w:continuationSeparator/>
      </w:r>
    </w:p>
  </w:endnote>
  <w:endnote w:type="continuationNotice" w:id="1">
    <w:p w14:paraId="2EEBBAF9" w14:textId="77777777" w:rsidR="00677CBD" w:rsidRDefault="00677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29608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6A1F2" w14:textId="77777777" w:rsidR="001E400B" w:rsidRDefault="001E40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2946DB82" w14:textId="77777777" w:rsidR="001E400B" w:rsidRDefault="001E4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7FBD0" w14:textId="77777777" w:rsidR="00F2772C" w:rsidRDefault="00F2772C" w:rsidP="00931C32">
      <w:r>
        <w:separator/>
      </w:r>
    </w:p>
  </w:footnote>
  <w:footnote w:type="continuationSeparator" w:id="0">
    <w:p w14:paraId="012E5BFC" w14:textId="77777777" w:rsidR="00F2772C" w:rsidRDefault="00F2772C" w:rsidP="00931C32">
      <w:r>
        <w:continuationSeparator/>
      </w:r>
    </w:p>
  </w:footnote>
  <w:footnote w:type="continuationNotice" w:id="1">
    <w:p w14:paraId="05A445BA" w14:textId="77777777" w:rsidR="00677CBD" w:rsidRDefault="00677CBD"/>
  </w:footnote>
  <w:footnote w:id="2">
    <w:p w14:paraId="62EBF3C5" w14:textId="4E8F5FFE" w:rsidR="00931C32" w:rsidRPr="00222AAB" w:rsidRDefault="00931C32" w:rsidP="007F0B68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  <w:t>Europa-Parlamentets og Rådets forordning (EU) nr. 575/2013 af 26. juni 2013 om tilsynsmæssige krav til kreditinstitutter og om ændring af forordning (EU) nr. 648/2012, som ændret ved (EU) 2024/1623 (</w:t>
      </w:r>
      <w:hyperlink r:id="rId1" w:history="1">
        <w:r>
          <w:rPr>
            <w:rStyle w:val="Hyperlink"/>
            <w:color w:val="800080"/>
          </w:rPr>
          <w:t>EUT L 176 af 27.6.2013, s. 1</w:t>
        </w:r>
      </w:hyperlink>
      <w:r>
        <w:t>).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Forordning - EU - 2024/1623 - DA - EUR-Lex (europa.eu)</w:t>
        </w:r>
      </w:hyperlink>
      <w:r>
        <w:rPr>
          <w:color w:val="444444"/>
        </w:rPr>
        <w:t>)</w:t>
      </w:r>
      <w:r>
        <w:t>.</w:t>
      </w:r>
    </w:p>
  </w:footnote>
  <w:footnote w:id="3">
    <w:p w14:paraId="6651B5AC" w14:textId="77777777" w:rsidR="00AA4A0F" w:rsidRPr="008158FF" w:rsidRDefault="00AA4A0F" w:rsidP="00AA4A0F">
      <w:pPr>
        <w:pStyle w:val="FootnoteText"/>
      </w:pPr>
      <w:r>
        <w:footnoteRef/>
      </w:r>
      <w:r>
        <w:tab/>
        <w:t>Som defineret i Kommissionens delegerede forordning (EU) nr. 528/2014 af 12. marts 2014 om supplerende regler til Europa-Parlamentets og Rådets forordning (EU) nr. 575/2013 for så vidt angår reguleringsmæssige tekniske standarder vedrørende andre risici end deltarisiko ved optioner i den standardiserede markedsrisikometode (EUT L 148 af 20.5.2014, s. 29).</w:t>
      </w:r>
    </w:p>
  </w:footnote>
  <w:footnote w:id="4">
    <w:p w14:paraId="67B37F98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  <w:t>Som defineret i Kommissionens delegerede forordning (EU) nr. 528/2014 af 12. marts 2014 om supplerende regler til Europa-Parlamentets og Rådets forordning (EU) nr. 575/2013 for så vidt angår reguleringsmæssige tekniske standarder vedrørende andre risici end deltarisiko ved optioner i den standardiserede markedsrisikometode (EUT L 148 af 20.5.2014, s. 29).</w:t>
      </w:r>
    </w:p>
  </w:footnote>
  <w:footnote w:id="5">
    <w:p w14:paraId="6C32CA93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  <w:t>Som defineret i Kommissionens delegerede forordning (EU) nr. 528/2014 af 12. marts 2014 om supplerende regler til Europa-Parlamentets og Rådets forordning (EU) nr. 575/2013 for så vidt angår reguleringsmæssige tekniske standarder vedrørende andre risici end deltarisiko ved optioner i den standardiserede markedsrisikometode (EUT L 148 af 20.5.2014, s. 29).</w:t>
      </w:r>
    </w:p>
  </w:footnote>
  <w:footnote w:id="6">
    <w:p w14:paraId="739259DE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ab/>
        <w:t>Som defineret i Kommissionens delegerede forordning (EU) nr. 528/2014 af 12. marts 2014 om supplerende regler til Europa-Parlamentets og Rådets forordning (EU) nr. 575/2013 for så vidt angår reguleringsmæssige tekniske standarder vedrørende andre risici end deltarisiko ved optioner i den standardiserede markedsrisikometode (EUT L 148 af 20.5.2014, s. 29).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2FF13506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38BE4FF" wp14:editId="37B8D3A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56FCDE" w14:textId="162F82C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8BE4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A56FCDE" w14:textId="162F82C7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273E788A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7F8E82E" wp14:editId="22A30FA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1BB6A" w14:textId="11FFB45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F8E8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E81BB6A" w14:textId="11FFB457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9945" w14:textId="5EFD03C3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B864388" wp14:editId="43407DD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9E11F3" w14:textId="6F23960E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643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49E11F3" w14:textId="6F23960E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5914"/>
    <w:multiLevelType w:val="hybridMultilevel"/>
    <w:tmpl w:val="9A60C088"/>
    <w:lvl w:ilvl="0" w:tplc="858CAB9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B3313"/>
    <w:multiLevelType w:val="hybridMultilevel"/>
    <w:tmpl w:val="3FB20E04"/>
    <w:lvl w:ilvl="0" w:tplc="0804D116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  <w:lang w:val="en-GB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44831"/>
    <w:multiLevelType w:val="hybridMultilevel"/>
    <w:tmpl w:val="7B5E3790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D5598"/>
    <w:multiLevelType w:val="hybridMultilevel"/>
    <w:tmpl w:val="51C0BBEA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ECD9"/>
    <w:multiLevelType w:val="hybridMultilevel"/>
    <w:tmpl w:val="FFFFFFFF"/>
    <w:lvl w:ilvl="0" w:tplc="E932B00C">
      <w:start w:val="1"/>
      <w:numFmt w:val="decimal"/>
      <w:lvlText w:val="%1."/>
      <w:lvlJc w:val="left"/>
      <w:pPr>
        <w:ind w:left="720" w:hanging="360"/>
      </w:pPr>
    </w:lvl>
    <w:lvl w:ilvl="1" w:tplc="48C88220">
      <w:start w:val="1"/>
      <w:numFmt w:val="lowerLetter"/>
      <w:lvlText w:val="%2."/>
      <w:lvlJc w:val="left"/>
      <w:pPr>
        <w:ind w:left="1440" w:hanging="360"/>
      </w:pPr>
    </w:lvl>
    <w:lvl w:ilvl="2" w:tplc="7E166E12">
      <w:start w:val="1"/>
      <w:numFmt w:val="lowerRoman"/>
      <w:lvlText w:val="%3."/>
      <w:lvlJc w:val="right"/>
      <w:pPr>
        <w:ind w:left="2160" w:hanging="180"/>
      </w:pPr>
    </w:lvl>
    <w:lvl w:ilvl="3" w:tplc="10D641B0">
      <w:start w:val="1"/>
      <w:numFmt w:val="decimal"/>
      <w:lvlText w:val="%4."/>
      <w:lvlJc w:val="left"/>
      <w:pPr>
        <w:ind w:left="2880" w:hanging="360"/>
      </w:pPr>
    </w:lvl>
    <w:lvl w:ilvl="4" w:tplc="51DA6A34">
      <w:start w:val="1"/>
      <w:numFmt w:val="lowerLetter"/>
      <w:lvlText w:val="%5."/>
      <w:lvlJc w:val="left"/>
      <w:pPr>
        <w:ind w:left="3600" w:hanging="360"/>
      </w:pPr>
    </w:lvl>
    <w:lvl w:ilvl="5" w:tplc="B596B25E">
      <w:start w:val="1"/>
      <w:numFmt w:val="lowerRoman"/>
      <w:lvlText w:val="%6."/>
      <w:lvlJc w:val="right"/>
      <w:pPr>
        <w:ind w:left="4320" w:hanging="180"/>
      </w:pPr>
    </w:lvl>
    <w:lvl w:ilvl="6" w:tplc="5E96F650">
      <w:start w:val="1"/>
      <w:numFmt w:val="decimal"/>
      <w:lvlText w:val="%7."/>
      <w:lvlJc w:val="left"/>
      <w:pPr>
        <w:ind w:left="5040" w:hanging="360"/>
      </w:pPr>
    </w:lvl>
    <w:lvl w:ilvl="7" w:tplc="16062A40">
      <w:start w:val="1"/>
      <w:numFmt w:val="lowerLetter"/>
      <w:lvlText w:val="%8."/>
      <w:lvlJc w:val="left"/>
      <w:pPr>
        <w:ind w:left="5760" w:hanging="360"/>
      </w:pPr>
    </w:lvl>
    <w:lvl w:ilvl="8" w:tplc="20CE046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FB826"/>
    <w:multiLevelType w:val="hybridMultilevel"/>
    <w:tmpl w:val="FFFFFFFF"/>
    <w:lvl w:ilvl="0" w:tplc="916C4F7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2CE8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67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C03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48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E2C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72E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84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A0F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159B3"/>
    <w:multiLevelType w:val="hybridMultilevel"/>
    <w:tmpl w:val="01102932"/>
    <w:lvl w:ilvl="0" w:tplc="674E8D52">
      <w:start w:val="6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270715">
    <w:abstractNumId w:val="6"/>
  </w:num>
  <w:num w:numId="2" w16cid:durableId="1371295629">
    <w:abstractNumId w:val="5"/>
  </w:num>
  <w:num w:numId="3" w16cid:durableId="1245528726">
    <w:abstractNumId w:val="3"/>
  </w:num>
  <w:num w:numId="4" w16cid:durableId="164059399">
    <w:abstractNumId w:val="2"/>
  </w:num>
  <w:num w:numId="5" w16cid:durableId="1786731752">
    <w:abstractNumId w:val="7"/>
  </w:num>
  <w:num w:numId="6" w16cid:durableId="1612781493">
    <w:abstractNumId w:val="0"/>
  </w:num>
  <w:num w:numId="7" w16cid:durableId="1525171532">
    <w:abstractNumId w:val="4"/>
  </w:num>
  <w:num w:numId="8" w16cid:durableId="67476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a-DK" w:vendorID="64" w:dllVersion="0" w:nlCheck="1" w:checkStyle="0"/>
  <w:activeWritingStyle w:appName="MSWord" w:lang="en-IE" w:vendorID="64" w:dllVersion="0" w:nlCheck="1" w:checkStyle="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C2249"/>
    <w:rsid w:val="000336E7"/>
    <w:rsid w:val="0003639D"/>
    <w:rsid w:val="000370C1"/>
    <w:rsid w:val="00090EA4"/>
    <w:rsid w:val="000B08B4"/>
    <w:rsid w:val="000C11E2"/>
    <w:rsid w:val="000C7025"/>
    <w:rsid w:val="000D77D3"/>
    <w:rsid w:val="001018F4"/>
    <w:rsid w:val="001057C3"/>
    <w:rsid w:val="0011346D"/>
    <w:rsid w:val="00160583"/>
    <w:rsid w:val="001609D9"/>
    <w:rsid w:val="001737C7"/>
    <w:rsid w:val="00180294"/>
    <w:rsid w:val="001941CB"/>
    <w:rsid w:val="001B4290"/>
    <w:rsid w:val="001B6FDE"/>
    <w:rsid w:val="001D2F69"/>
    <w:rsid w:val="001E400B"/>
    <w:rsid w:val="001E5FF3"/>
    <w:rsid w:val="001F1865"/>
    <w:rsid w:val="00200AE2"/>
    <w:rsid w:val="00214362"/>
    <w:rsid w:val="002316A7"/>
    <w:rsid w:val="00234F41"/>
    <w:rsid w:val="00243650"/>
    <w:rsid w:val="00257A70"/>
    <w:rsid w:val="00260316"/>
    <w:rsid w:val="00264C63"/>
    <w:rsid w:val="00265D4A"/>
    <w:rsid w:val="00266BB6"/>
    <w:rsid w:val="002808D9"/>
    <w:rsid w:val="0028138E"/>
    <w:rsid w:val="002A353C"/>
    <w:rsid w:val="002C07D9"/>
    <w:rsid w:val="002C1404"/>
    <w:rsid w:val="002C44FE"/>
    <w:rsid w:val="002C5234"/>
    <w:rsid w:val="002F3022"/>
    <w:rsid w:val="002F7116"/>
    <w:rsid w:val="00313F1F"/>
    <w:rsid w:val="00347F3B"/>
    <w:rsid w:val="00350C8C"/>
    <w:rsid w:val="003711D5"/>
    <w:rsid w:val="003B4210"/>
    <w:rsid w:val="003B45C4"/>
    <w:rsid w:val="003C13EE"/>
    <w:rsid w:val="003E7DFC"/>
    <w:rsid w:val="003F26DE"/>
    <w:rsid w:val="00433034"/>
    <w:rsid w:val="0043C992"/>
    <w:rsid w:val="00445013"/>
    <w:rsid w:val="004832DE"/>
    <w:rsid w:val="00487226"/>
    <w:rsid w:val="00487DDA"/>
    <w:rsid w:val="00498A5B"/>
    <w:rsid w:val="0049D48D"/>
    <w:rsid w:val="004C112C"/>
    <w:rsid w:val="004D0D9E"/>
    <w:rsid w:val="00522E9A"/>
    <w:rsid w:val="00537B45"/>
    <w:rsid w:val="00572E3E"/>
    <w:rsid w:val="005938AD"/>
    <w:rsid w:val="005B429A"/>
    <w:rsid w:val="005C6FC8"/>
    <w:rsid w:val="005E135A"/>
    <w:rsid w:val="005E6E16"/>
    <w:rsid w:val="0060218B"/>
    <w:rsid w:val="00605F82"/>
    <w:rsid w:val="00621E9C"/>
    <w:rsid w:val="0065560D"/>
    <w:rsid w:val="00671C85"/>
    <w:rsid w:val="0067349D"/>
    <w:rsid w:val="00677CBD"/>
    <w:rsid w:val="0068248E"/>
    <w:rsid w:val="006852CB"/>
    <w:rsid w:val="006A5A7A"/>
    <w:rsid w:val="006B62CF"/>
    <w:rsid w:val="006BDE35"/>
    <w:rsid w:val="006D7761"/>
    <w:rsid w:val="006E3585"/>
    <w:rsid w:val="006E73FE"/>
    <w:rsid w:val="00701D8F"/>
    <w:rsid w:val="00714AE5"/>
    <w:rsid w:val="007336D9"/>
    <w:rsid w:val="007541E2"/>
    <w:rsid w:val="0079214C"/>
    <w:rsid w:val="00795618"/>
    <w:rsid w:val="007A4465"/>
    <w:rsid w:val="007D19BD"/>
    <w:rsid w:val="007D59E2"/>
    <w:rsid w:val="007E00FD"/>
    <w:rsid w:val="007E7D7A"/>
    <w:rsid w:val="007F0B68"/>
    <w:rsid w:val="007F14DD"/>
    <w:rsid w:val="007F2DC3"/>
    <w:rsid w:val="008158FF"/>
    <w:rsid w:val="00824BCF"/>
    <w:rsid w:val="00825C6F"/>
    <w:rsid w:val="00827740"/>
    <w:rsid w:val="00857EB9"/>
    <w:rsid w:val="00877F9B"/>
    <w:rsid w:val="008A05A4"/>
    <w:rsid w:val="008D03CB"/>
    <w:rsid w:val="009063C1"/>
    <w:rsid w:val="00911AB2"/>
    <w:rsid w:val="00931C32"/>
    <w:rsid w:val="00974577"/>
    <w:rsid w:val="0098272B"/>
    <w:rsid w:val="009874FB"/>
    <w:rsid w:val="009A6C30"/>
    <w:rsid w:val="009E38E4"/>
    <w:rsid w:val="00A50483"/>
    <w:rsid w:val="00A57E44"/>
    <w:rsid w:val="00A66CC7"/>
    <w:rsid w:val="00A71B45"/>
    <w:rsid w:val="00A75779"/>
    <w:rsid w:val="00A857E0"/>
    <w:rsid w:val="00A87CCE"/>
    <w:rsid w:val="00A93BC7"/>
    <w:rsid w:val="00A94820"/>
    <w:rsid w:val="00AA44B0"/>
    <w:rsid w:val="00AA4A0F"/>
    <w:rsid w:val="00AA772E"/>
    <w:rsid w:val="00AB6AC8"/>
    <w:rsid w:val="00AD6592"/>
    <w:rsid w:val="00AF5A1F"/>
    <w:rsid w:val="00B02BFD"/>
    <w:rsid w:val="00B17E7B"/>
    <w:rsid w:val="00B335DB"/>
    <w:rsid w:val="00B3658A"/>
    <w:rsid w:val="00B55C66"/>
    <w:rsid w:val="00B6384D"/>
    <w:rsid w:val="00B83EB1"/>
    <w:rsid w:val="00B86E1A"/>
    <w:rsid w:val="00B9598A"/>
    <w:rsid w:val="00BA0BDC"/>
    <w:rsid w:val="00BA2AA9"/>
    <w:rsid w:val="00BD6C00"/>
    <w:rsid w:val="00BE4793"/>
    <w:rsid w:val="00BE603F"/>
    <w:rsid w:val="00C06844"/>
    <w:rsid w:val="00C17F4F"/>
    <w:rsid w:val="00C213B7"/>
    <w:rsid w:val="00C225C5"/>
    <w:rsid w:val="00C3247D"/>
    <w:rsid w:val="00C45A99"/>
    <w:rsid w:val="00C53337"/>
    <w:rsid w:val="00C622B1"/>
    <w:rsid w:val="00C802F7"/>
    <w:rsid w:val="00C82CB4"/>
    <w:rsid w:val="00C84951"/>
    <w:rsid w:val="00CA0B40"/>
    <w:rsid w:val="00CD55C8"/>
    <w:rsid w:val="00CF112B"/>
    <w:rsid w:val="00CF17F8"/>
    <w:rsid w:val="00D0172B"/>
    <w:rsid w:val="00D45AA4"/>
    <w:rsid w:val="00D471B6"/>
    <w:rsid w:val="00D6625B"/>
    <w:rsid w:val="00D708CB"/>
    <w:rsid w:val="00D9145B"/>
    <w:rsid w:val="00D920BD"/>
    <w:rsid w:val="00DB0A49"/>
    <w:rsid w:val="00DE090B"/>
    <w:rsid w:val="00DE4020"/>
    <w:rsid w:val="00DE5B78"/>
    <w:rsid w:val="00DE72D6"/>
    <w:rsid w:val="00DF6C74"/>
    <w:rsid w:val="00DF7AF6"/>
    <w:rsid w:val="00E077AE"/>
    <w:rsid w:val="00E21B21"/>
    <w:rsid w:val="00E31B3A"/>
    <w:rsid w:val="00E33CFA"/>
    <w:rsid w:val="00E374FB"/>
    <w:rsid w:val="00E52C25"/>
    <w:rsid w:val="00E67450"/>
    <w:rsid w:val="00E7623F"/>
    <w:rsid w:val="00E8357D"/>
    <w:rsid w:val="00E9795A"/>
    <w:rsid w:val="00EA5911"/>
    <w:rsid w:val="00EB0DA2"/>
    <w:rsid w:val="00EC10EF"/>
    <w:rsid w:val="00EC2249"/>
    <w:rsid w:val="00F0799F"/>
    <w:rsid w:val="00F2772C"/>
    <w:rsid w:val="00F5701F"/>
    <w:rsid w:val="00F66685"/>
    <w:rsid w:val="00F806E6"/>
    <w:rsid w:val="00F80764"/>
    <w:rsid w:val="00F85A37"/>
    <w:rsid w:val="00F96CAA"/>
    <w:rsid w:val="00FB1DFD"/>
    <w:rsid w:val="00FC71A8"/>
    <w:rsid w:val="00FE3752"/>
    <w:rsid w:val="00FF5D12"/>
    <w:rsid w:val="013AE0EC"/>
    <w:rsid w:val="013E6BA9"/>
    <w:rsid w:val="01D445E4"/>
    <w:rsid w:val="01DD6D36"/>
    <w:rsid w:val="01DFB7EB"/>
    <w:rsid w:val="01E12F8D"/>
    <w:rsid w:val="01E55ABC"/>
    <w:rsid w:val="01E5A4EE"/>
    <w:rsid w:val="02494BE7"/>
    <w:rsid w:val="0266B904"/>
    <w:rsid w:val="02A66E37"/>
    <w:rsid w:val="02C4BBFE"/>
    <w:rsid w:val="02DA3C0A"/>
    <w:rsid w:val="02EBAE71"/>
    <w:rsid w:val="0309E604"/>
    <w:rsid w:val="035B3B5C"/>
    <w:rsid w:val="03793D97"/>
    <w:rsid w:val="03965670"/>
    <w:rsid w:val="03FE34DC"/>
    <w:rsid w:val="0406BB73"/>
    <w:rsid w:val="0419BD32"/>
    <w:rsid w:val="0424B465"/>
    <w:rsid w:val="0444CEFE"/>
    <w:rsid w:val="0465FC31"/>
    <w:rsid w:val="0478E1D1"/>
    <w:rsid w:val="04AAA319"/>
    <w:rsid w:val="04AF4EF7"/>
    <w:rsid w:val="04D070BB"/>
    <w:rsid w:val="04E38A17"/>
    <w:rsid w:val="04FA38B7"/>
    <w:rsid w:val="05EA5842"/>
    <w:rsid w:val="05F82D7D"/>
    <w:rsid w:val="060F6C17"/>
    <w:rsid w:val="0611DCCC"/>
    <w:rsid w:val="06503780"/>
    <w:rsid w:val="065E80CE"/>
    <w:rsid w:val="06A57226"/>
    <w:rsid w:val="06E4D96F"/>
    <w:rsid w:val="0715563F"/>
    <w:rsid w:val="07162E1C"/>
    <w:rsid w:val="0745D248"/>
    <w:rsid w:val="0761F1F8"/>
    <w:rsid w:val="0785B826"/>
    <w:rsid w:val="07922AD6"/>
    <w:rsid w:val="084CAEBA"/>
    <w:rsid w:val="08677D6F"/>
    <w:rsid w:val="0904027C"/>
    <w:rsid w:val="0922977E"/>
    <w:rsid w:val="09A3E23B"/>
    <w:rsid w:val="09FD1D50"/>
    <w:rsid w:val="0A14281A"/>
    <w:rsid w:val="0AC6FA36"/>
    <w:rsid w:val="0AEFC274"/>
    <w:rsid w:val="0B3FB29C"/>
    <w:rsid w:val="0BAA9654"/>
    <w:rsid w:val="0BB4E059"/>
    <w:rsid w:val="0BE40342"/>
    <w:rsid w:val="0BF1EAA1"/>
    <w:rsid w:val="0C680F01"/>
    <w:rsid w:val="0C75B420"/>
    <w:rsid w:val="0C79685A"/>
    <w:rsid w:val="0C7CF9AD"/>
    <w:rsid w:val="0CA68764"/>
    <w:rsid w:val="0CA716D1"/>
    <w:rsid w:val="0D04DF7A"/>
    <w:rsid w:val="0D275784"/>
    <w:rsid w:val="0D59D24B"/>
    <w:rsid w:val="0D7CF685"/>
    <w:rsid w:val="0DA56CFB"/>
    <w:rsid w:val="0E4C370B"/>
    <w:rsid w:val="0E7958B7"/>
    <w:rsid w:val="0E82FCE9"/>
    <w:rsid w:val="0E9810F5"/>
    <w:rsid w:val="0EBD9696"/>
    <w:rsid w:val="0F8C82AF"/>
    <w:rsid w:val="0FAD7BDF"/>
    <w:rsid w:val="0FDDE9F8"/>
    <w:rsid w:val="0FEA77C3"/>
    <w:rsid w:val="10332C22"/>
    <w:rsid w:val="1039BAA8"/>
    <w:rsid w:val="103CEB06"/>
    <w:rsid w:val="105966F7"/>
    <w:rsid w:val="105CD97D"/>
    <w:rsid w:val="105FAE25"/>
    <w:rsid w:val="1076596F"/>
    <w:rsid w:val="10BB7391"/>
    <w:rsid w:val="10DA8B40"/>
    <w:rsid w:val="110B538E"/>
    <w:rsid w:val="110BAC0F"/>
    <w:rsid w:val="11210FEE"/>
    <w:rsid w:val="118FDEEB"/>
    <w:rsid w:val="119A7C89"/>
    <w:rsid w:val="11A57A2D"/>
    <w:rsid w:val="11B9774E"/>
    <w:rsid w:val="11EB99D0"/>
    <w:rsid w:val="11FE2AC9"/>
    <w:rsid w:val="12599BAC"/>
    <w:rsid w:val="12679AD5"/>
    <w:rsid w:val="12894712"/>
    <w:rsid w:val="1290D411"/>
    <w:rsid w:val="12ADB0E7"/>
    <w:rsid w:val="12D9F196"/>
    <w:rsid w:val="1303875D"/>
    <w:rsid w:val="1383F52E"/>
    <w:rsid w:val="13974EE7"/>
    <w:rsid w:val="140F9DE1"/>
    <w:rsid w:val="14122C02"/>
    <w:rsid w:val="141290D0"/>
    <w:rsid w:val="142D883B"/>
    <w:rsid w:val="145659DD"/>
    <w:rsid w:val="145F55D9"/>
    <w:rsid w:val="14D2E2DE"/>
    <w:rsid w:val="14D86BD5"/>
    <w:rsid w:val="15402E32"/>
    <w:rsid w:val="15902733"/>
    <w:rsid w:val="1595FF36"/>
    <w:rsid w:val="159674C5"/>
    <w:rsid w:val="15A0274B"/>
    <w:rsid w:val="15ADFC63"/>
    <w:rsid w:val="15BABEB3"/>
    <w:rsid w:val="15BB7894"/>
    <w:rsid w:val="15D193E9"/>
    <w:rsid w:val="1616B043"/>
    <w:rsid w:val="163EE3A4"/>
    <w:rsid w:val="167ECDDF"/>
    <w:rsid w:val="16F55480"/>
    <w:rsid w:val="16F76100"/>
    <w:rsid w:val="17156926"/>
    <w:rsid w:val="173BDDB8"/>
    <w:rsid w:val="1796AF2F"/>
    <w:rsid w:val="1798CE14"/>
    <w:rsid w:val="17A74E34"/>
    <w:rsid w:val="181DB5E2"/>
    <w:rsid w:val="184D50B5"/>
    <w:rsid w:val="18548FBB"/>
    <w:rsid w:val="18F31956"/>
    <w:rsid w:val="1947A530"/>
    <w:rsid w:val="19A5E992"/>
    <w:rsid w:val="19A6EB79"/>
    <w:rsid w:val="19BD89BE"/>
    <w:rsid w:val="1A06906B"/>
    <w:rsid w:val="1A56DA11"/>
    <w:rsid w:val="1A816D86"/>
    <w:rsid w:val="1A8C08E2"/>
    <w:rsid w:val="1A9BC125"/>
    <w:rsid w:val="1AC2462E"/>
    <w:rsid w:val="1ADB6A38"/>
    <w:rsid w:val="1C553831"/>
    <w:rsid w:val="1CC88A43"/>
    <w:rsid w:val="1CD45785"/>
    <w:rsid w:val="1CDAB5BF"/>
    <w:rsid w:val="1D05CFA3"/>
    <w:rsid w:val="1D71DCB0"/>
    <w:rsid w:val="1D86C871"/>
    <w:rsid w:val="1DAFA5B4"/>
    <w:rsid w:val="1DF704CA"/>
    <w:rsid w:val="1E012910"/>
    <w:rsid w:val="1E1A8D65"/>
    <w:rsid w:val="1E2A4C2C"/>
    <w:rsid w:val="1E44D953"/>
    <w:rsid w:val="1E4B6898"/>
    <w:rsid w:val="1E689576"/>
    <w:rsid w:val="1E775069"/>
    <w:rsid w:val="1E7FF856"/>
    <w:rsid w:val="1EB702DA"/>
    <w:rsid w:val="1ED470E2"/>
    <w:rsid w:val="1F1BC5C4"/>
    <w:rsid w:val="1F256432"/>
    <w:rsid w:val="1F3BA536"/>
    <w:rsid w:val="1F64B9F6"/>
    <w:rsid w:val="1F7589B2"/>
    <w:rsid w:val="2048A19C"/>
    <w:rsid w:val="204B2419"/>
    <w:rsid w:val="2052D33B"/>
    <w:rsid w:val="20971A5B"/>
    <w:rsid w:val="20BAA939"/>
    <w:rsid w:val="2151C270"/>
    <w:rsid w:val="2177F6EC"/>
    <w:rsid w:val="22087F1A"/>
    <w:rsid w:val="22326B9B"/>
    <w:rsid w:val="223EDED0"/>
    <w:rsid w:val="22454DD3"/>
    <w:rsid w:val="224E1E9F"/>
    <w:rsid w:val="22B32477"/>
    <w:rsid w:val="230597CC"/>
    <w:rsid w:val="23097F10"/>
    <w:rsid w:val="2353290E"/>
    <w:rsid w:val="23797513"/>
    <w:rsid w:val="23F0E3A5"/>
    <w:rsid w:val="2404232F"/>
    <w:rsid w:val="243C9D54"/>
    <w:rsid w:val="2456F255"/>
    <w:rsid w:val="24621A9E"/>
    <w:rsid w:val="24896332"/>
    <w:rsid w:val="248B5059"/>
    <w:rsid w:val="24BC9442"/>
    <w:rsid w:val="24CAA7EB"/>
    <w:rsid w:val="24E39C7A"/>
    <w:rsid w:val="2513A64A"/>
    <w:rsid w:val="258B83A7"/>
    <w:rsid w:val="25D01BDE"/>
    <w:rsid w:val="25E2C28E"/>
    <w:rsid w:val="26618037"/>
    <w:rsid w:val="2686F3C8"/>
    <w:rsid w:val="26CC74D3"/>
    <w:rsid w:val="26E6B9CB"/>
    <w:rsid w:val="2716EDAD"/>
    <w:rsid w:val="2718BEF6"/>
    <w:rsid w:val="272C34AF"/>
    <w:rsid w:val="275945DB"/>
    <w:rsid w:val="277A49BD"/>
    <w:rsid w:val="27A218A6"/>
    <w:rsid w:val="27AC5450"/>
    <w:rsid w:val="27C3ED88"/>
    <w:rsid w:val="280248AD"/>
    <w:rsid w:val="284B470C"/>
    <w:rsid w:val="28525830"/>
    <w:rsid w:val="2888E6A1"/>
    <w:rsid w:val="288C200E"/>
    <w:rsid w:val="28B48F57"/>
    <w:rsid w:val="28F3D042"/>
    <w:rsid w:val="29112AA6"/>
    <w:rsid w:val="29519A63"/>
    <w:rsid w:val="29726F75"/>
    <w:rsid w:val="29F29B33"/>
    <w:rsid w:val="2A361900"/>
    <w:rsid w:val="2A44CE55"/>
    <w:rsid w:val="2A91DC01"/>
    <w:rsid w:val="2AE5C952"/>
    <w:rsid w:val="2AE7EE98"/>
    <w:rsid w:val="2B836C8D"/>
    <w:rsid w:val="2C9C033A"/>
    <w:rsid w:val="2C9D839C"/>
    <w:rsid w:val="2CD55D33"/>
    <w:rsid w:val="2D55B8CC"/>
    <w:rsid w:val="2D7FD1A3"/>
    <w:rsid w:val="2DAC2377"/>
    <w:rsid w:val="2DD4E655"/>
    <w:rsid w:val="2E262DBC"/>
    <w:rsid w:val="2E509B0B"/>
    <w:rsid w:val="2EB9C0BE"/>
    <w:rsid w:val="2F26FAA0"/>
    <w:rsid w:val="2F9537E2"/>
    <w:rsid w:val="2F9935B4"/>
    <w:rsid w:val="2FB2935D"/>
    <w:rsid w:val="2FC0E997"/>
    <w:rsid w:val="2FC34BD8"/>
    <w:rsid w:val="2FF17F43"/>
    <w:rsid w:val="309E130C"/>
    <w:rsid w:val="309F56BA"/>
    <w:rsid w:val="3138091C"/>
    <w:rsid w:val="31C6F8C8"/>
    <w:rsid w:val="32370E96"/>
    <w:rsid w:val="32530794"/>
    <w:rsid w:val="32BD1CA8"/>
    <w:rsid w:val="32F125D9"/>
    <w:rsid w:val="333A71EB"/>
    <w:rsid w:val="3354C78D"/>
    <w:rsid w:val="335A1535"/>
    <w:rsid w:val="335CF22B"/>
    <w:rsid w:val="33618848"/>
    <w:rsid w:val="343B0E60"/>
    <w:rsid w:val="3444B630"/>
    <w:rsid w:val="3458ED09"/>
    <w:rsid w:val="345C6F23"/>
    <w:rsid w:val="34A0388E"/>
    <w:rsid w:val="34B24874"/>
    <w:rsid w:val="34C450E8"/>
    <w:rsid w:val="34E8B93B"/>
    <w:rsid w:val="357C3DA5"/>
    <w:rsid w:val="35B1697F"/>
    <w:rsid w:val="35F689C6"/>
    <w:rsid w:val="360DB258"/>
    <w:rsid w:val="3620D915"/>
    <w:rsid w:val="3628C69B"/>
    <w:rsid w:val="3630BF65"/>
    <w:rsid w:val="36329550"/>
    <w:rsid w:val="3684899C"/>
    <w:rsid w:val="375736AC"/>
    <w:rsid w:val="3759DA62"/>
    <w:rsid w:val="375B6C0F"/>
    <w:rsid w:val="3765CAC5"/>
    <w:rsid w:val="37CDA40F"/>
    <w:rsid w:val="381B84D7"/>
    <w:rsid w:val="3821DFBC"/>
    <w:rsid w:val="386B0A6A"/>
    <w:rsid w:val="38AB8981"/>
    <w:rsid w:val="38FB720A"/>
    <w:rsid w:val="393F566D"/>
    <w:rsid w:val="3951EE12"/>
    <w:rsid w:val="39B332E1"/>
    <w:rsid w:val="39B75538"/>
    <w:rsid w:val="3A1F7E5A"/>
    <w:rsid w:val="3A452C4E"/>
    <w:rsid w:val="3A6E7108"/>
    <w:rsid w:val="3A76AB14"/>
    <w:rsid w:val="3A829CD0"/>
    <w:rsid w:val="3A84F2A5"/>
    <w:rsid w:val="3A858703"/>
    <w:rsid w:val="3A9012BA"/>
    <w:rsid w:val="3A9D2D50"/>
    <w:rsid w:val="3AC2C657"/>
    <w:rsid w:val="3B21E08E"/>
    <w:rsid w:val="3B3426CC"/>
    <w:rsid w:val="3BB31265"/>
    <w:rsid w:val="3C2AA7CF"/>
    <w:rsid w:val="3C7228A8"/>
    <w:rsid w:val="3C9E464D"/>
    <w:rsid w:val="3D0FF6D2"/>
    <w:rsid w:val="3E207EC7"/>
    <w:rsid w:val="3E2CC804"/>
    <w:rsid w:val="3E91330B"/>
    <w:rsid w:val="3EAC4B84"/>
    <w:rsid w:val="3EDECD12"/>
    <w:rsid w:val="3F04A19E"/>
    <w:rsid w:val="3F1E6A46"/>
    <w:rsid w:val="3F2103D8"/>
    <w:rsid w:val="3F28F1E0"/>
    <w:rsid w:val="3F3E3A05"/>
    <w:rsid w:val="3F645DFE"/>
    <w:rsid w:val="3FD57785"/>
    <w:rsid w:val="4010298B"/>
    <w:rsid w:val="404B81C6"/>
    <w:rsid w:val="4094CF28"/>
    <w:rsid w:val="40C48A2F"/>
    <w:rsid w:val="40E7EA50"/>
    <w:rsid w:val="40EE3118"/>
    <w:rsid w:val="40F9F09B"/>
    <w:rsid w:val="412A9867"/>
    <w:rsid w:val="418234B9"/>
    <w:rsid w:val="42390ABD"/>
    <w:rsid w:val="42B03F9A"/>
    <w:rsid w:val="42D8874E"/>
    <w:rsid w:val="42FF262F"/>
    <w:rsid w:val="431E3AAE"/>
    <w:rsid w:val="433A3EA3"/>
    <w:rsid w:val="4374D251"/>
    <w:rsid w:val="43810F13"/>
    <w:rsid w:val="444E1581"/>
    <w:rsid w:val="444EE6CF"/>
    <w:rsid w:val="44623929"/>
    <w:rsid w:val="44BF35F4"/>
    <w:rsid w:val="45371F7C"/>
    <w:rsid w:val="453EDF03"/>
    <w:rsid w:val="45F55FEC"/>
    <w:rsid w:val="462B8B89"/>
    <w:rsid w:val="4644B909"/>
    <w:rsid w:val="46581DAE"/>
    <w:rsid w:val="46AC7313"/>
    <w:rsid w:val="46ECAB22"/>
    <w:rsid w:val="471075D0"/>
    <w:rsid w:val="471984FB"/>
    <w:rsid w:val="473BD9A6"/>
    <w:rsid w:val="4775810C"/>
    <w:rsid w:val="482EC743"/>
    <w:rsid w:val="48484374"/>
    <w:rsid w:val="4857209D"/>
    <w:rsid w:val="48688054"/>
    <w:rsid w:val="4949147C"/>
    <w:rsid w:val="4968BF82"/>
    <w:rsid w:val="4A01280B"/>
    <w:rsid w:val="4A0450B5"/>
    <w:rsid w:val="4A30DCB3"/>
    <w:rsid w:val="4A6A4E1A"/>
    <w:rsid w:val="4A6C2180"/>
    <w:rsid w:val="4AC5B611"/>
    <w:rsid w:val="4AD057AA"/>
    <w:rsid w:val="4AD17AAD"/>
    <w:rsid w:val="4AD67064"/>
    <w:rsid w:val="4AF90071"/>
    <w:rsid w:val="4B144A9C"/>
    <w:rsid w:val="4B1E0054"/>
    <w:rsid w:val="4B8A22DD"/>
    <w:rsid w:val="4C26D47D"/>
    <w:rsid w:val="4CE18675"/>
    <w:rsid w:val="4D081AF5"/>
    <w:rsid w:val="4D3E0EC7"/>
    <w:rsid w:val="4D610E01"/>
    <w:rsid w:val="4D88C67F"/>
    <w:rsid w:val="4DA1EEDC"/>
    <w:rsid w:val="4E1F3559"/>
    <w:rsid w:val="4E2D94EE"/>
    <w:rsid w:val="4E3C7069"/>
    <w:rsid w:val="4E51ABE0"/>
    <w:rsid w:val="4ED4992E"/>
    <w:rsid w:val="4F2E289B"/>
    <w:rsid w:val="4F571A23"/>
    <w:rsid w:val="4FBE5092"/>
    <w:rsid w:val="4FD6A758"/>
    <w:rsid w:val="4FEAD79A"/>
    <w:rsid w:val="50492228"/>
    <w:rsid w:val="5052D778"/>
    <w:rsid w:val="509CC21A"/>
    <w:rsid w:val="50EE0EFC"/>
    <w:rsid w:val="517DDA85"/>
    <w:rsid w:val="5196DDA9"/>
    <w:rsid w:val="51A69309"/>
    <w:rsid w:val="51BF0249"/>
    <w:rsid w:val="51F52224"/>
    <w:rsid w:val="52052518"/>
    <w:rsid w:val="5215A594"/>
    <w:rsid w:val="5248ACDC"/>
    <w:rsid w:val="5270E00E"/>
    <w:rsid w:val="52A4808E"/>
    <w:rsid w:val="52B8D51D"/>
    <w:rsid w:val="53768E03"/>
    <w:rsid w:val="5453CB04"/>
    <w:rsid w:val="54715EEC"/>
    <w:rsid w:val="551C7B48"/>
    <w:rsid w:val="5552C3D9"/>
    <w:rsid w:val="55AD00C1"/>
    <w:rsid w:val="5627DDDC"/>
    <w:rsid w:val="56320F7B"/>
    <w:rsid w:val="5633172D"/>
    <w:rsid w:val="5669147C"/>
    <w:rsid w:val="56D9C6FC"/>
    <w:rsid w:val="56DB9496"/>
    <w:rsid w:val="56E894B8"/>
    <w:rsid w:val="56EB4201"/>
    <w:rsid w:val="5770AB32"/>
    <w:rsid w:val="57C71A90"/>
    <w:rsid w:val="57D731EF"/>
    <w:rsid w:val="580B83F8"/>
    <w:rsid w:val="5812FA68"/>
    <w:rsid w:val="5838B90A"/>
    <w:rsid w:val="58846519"/>
    <w:rsid w:val="588CE7D0"/>
    <w:rsid w:val="588FB03B"/>
    <w:rsid w:val="59A8805A"/>
    <w:rsid w:val="59DD2467"/>
    <w:rsid w:val="5A0C392B"/>
    <w:rsid w:val="5A4E6B5C"/>
    <w:rsid w:val="5A6F7853"/>
    <w:rsid w:val="5B2A25AA"/>
    <w:rsid w:val="5B5474DF"/>
    <w:rsid w:val="5B594D8B"/>
    <w:rsid w:val="5B73E1F6"/>
    <w:rsid w:val="5B81AA06"/>
    <w:rsid w:val="5B873F98"/>
    <w:rsid w:val="5BABE3D1"/>
    <w:rsid w:val="5C046FD3"/>
    <w:rsid w:val="5CD175D7"/>
    <w:rsid w:val="5CF04540"/>
    <w:rsid w:val="5D191279"/>
    <w:rsid w:val="5D2FC7FD"/>
    <w:rsid w:val="5D46A0EA"/>
    <w:rsid w:val="5D8D852E"/>
    <w:rsid w:val="5D9EEA49"/>
    <w:rsid w:val="5DA4B8ED"/>
    <w:rsid w:val="5DB016CF"/>
    <w:rsid w:val="5DD19F35"/>
    <w:rsid w:val="5DDF6946"/>
    <w:rsid w:val="5DE802A1"/>
    <w:rsid w:val="5DF9BC0F"/>
    <w:rsid w:val="5EBFBD17"/>
    <w:rsid w:val="5F0E0787"/>
    <w:rsid w:val="5F1562A5"/>
    <w:rsid w:val="5F15F480"/>
    <w:rsid w:val="5F7CF35B"/>
    <w:rsid w:val="5FC2F294"/>
    <w:rsid w:val="5FCB1D39"/>
    <w:rsid w:val="5FCDE374"/>
    <w:rsid w:val="5FE2C77D"/>
    <w:rsid w:val="60227BDF"/>
    <w:rsid w:val="60269017"/>
    <w:rsid w:val="6043BACB"/>
    <w:rsid w:val="6049A083"/>
    <w:rsid w:val="60B52EA8"/>
    <w:rsid w:val="60D04816"/>
    <w:rsid w:val="6131966D"/>
    <w:rsid w:val="616127EF"/>
    <w:rsid w:val="619577B7"/>
    <w:rsid w:val="619710C2"/>
    <w:rsid w:val="61B125A1"/>
    <w:rsid w:val="61E1B363"/>
    <w:rsid w:val="622179F0"/>
    <w:rsid w:val="62428427"/>
    <w:rsid w:val="628D2F48"/>
    <w:rsid w:val="62BEABAC"/>
    <w:rsid w:val="62E69824"/>
    <w:rsid w:val="63922BEF"/>
    <w:rsid w:val="639D3BBA"/>
    <w:rsid w:val="640C05E9"/>
    <w:rsid w:val="6413FA71"/>
    <w:rsid w:val="6451F41C"/>
    <w:rsid w:val="646D072E"/>
    <w:rsid w:val="649B0213"/>
    <w:rsid w:val="64B85C45"/>
    <w:rsid w:val="6506A36D"/>
    <w:rsid w:val="650FC355"/>
    <w:rsid w:val="6517C6A6"/>
    <w:rsid w:val="653DAA98"/>
    <w:rsid w:val="654BF7D8"/>
    <w:rsid w:val="65834D08"/>
    <w:rsid w:val="658D94D2"/>
    <w:rsid w:val="65F44FA7"/>
    <w:rsid w:val="660FF86B"/>
    <w:rsid w:val="662FC4E3"/>
    <w:rsid w:val="66349912"/>
    <w:rsid w:val="66505BFF"/>
    <w:rsid w:val="66B44710"/>
    <w:rsid w:val="66D918F0"/>
    <w:rsid w:val="673272D6"/>
    <w:rsid w:val="677C9114"/>
    <w:rsid w:val="67C46542"/>
    <w:rsid w:val="6851B66C"/>
    <w:rsid w:val="68A71830"/>
    <w:rsid w:val="6917E534"/>
    <w:rsid w:val="696C39D4"/>
    <w:rsid w:val="69BC3786"/>
    <w:rsid w:val="6A1D30E7"/>
    <w:rsid w:val="6A21B232"/>
    <w:rsid w:val="6AABC01B"/>
    <w:rsid w:val="6B72F021"/>
    <w:rsid w:val="6BBF51FC"/>
    <w:rsid w:val="6BE9A001"/>
    <w:rsid w:val="6BEF0970"/>
    <w:rsid w:val="6C05E3F9"/>
    <w:rsid w:val="6C1E44B5"/>
    <w:rsid w:val="6C795D2D"/>
    <w:rsid w:val="6C8840B6"/>
    <w:rsid w:val="6D1DE2D2"/>
    <w:rsid w:val="6D22FA9D"/>
    <w:rsid w:val="6D23F1B0"/>
    <w:rsid w:val="6D406AE0"/>
    <w:rsid w:val="6D6061AD"/>
    <w:rsid w:val="6DA1B45A"/>
    <w:rsid w:val="6DB50E13"/>
    <w:rsid w:val="6DB5A85C"/>
    <w:rsid w:val="6DCBCB4F"/>
    <w:rsid w:val="6EA0BFE5"/>
    <w:rsid w:val="6EAA26F1"/>
    <w:rsid w:val="6F073E45"/>
    <w:rsid w:val="6F457241"/>
    <w:rsid w:val="6F859EBA"/>
    <w:rsid w:val="6FDFAB55"/>
    <w:rsid w:val="6FF6DD2C"/>
    <w:rsid w:val="6FFE0D8A"/>
    <w:rsid w:val="7003C08C"/>
    <w:rsid w:val="702B790A"/>
    <w:rsid w:val="709C7A7B"/>
    <w:rsid w:val="70DA3D49"/>
    <w:rsid w:val="70E142A2"/>
    <w:rsid w:val="70ECAED5"/>
    <w:rsid w:val="7104D466"/>
    <w:rsid w:val="7122EB5B"/>
    <w:rsid w:val="71718F78"/>
    <w:rsid w:val="71AF0CE8"/>
    <w:rsid w:val="71E97DA9"/>
    <w:rsid w:val="71F92DDA"/>
    <w:rsid w:val="7214E0FE"/>
    <w:rsid w:val="72461198"/>
    <w:rsid w:val="727D1303"/>
    <w:rsid w:val="727F01A4"/>
    <w:rsid w:val="72D7A182"/>
    <w:rsid w:val="72DFF391"/>
    <w:rsid w:val="7332BCC3"/>
    <w:rsid w:val="736319CC"/>
    <w:rsid w:val="7380D2AA"/>
    <w:rsid w:val="738722B7"/>
    <w:rsid w:val="73D5B876"/>
    <w:rsid w:val="73DF7FA3"/>
    <w:rsid w:val="73F051F9"/>
    <w:rsid w:val="7418E364"/>
    <w:rsid w:val="742F8FBC"/>
    <w:rsid w:val="749F8553"/>
    <w:rsid w:val="74FEEA2D"/>
    <w:rsid w:val="751CA21E"/>
    <w:rsid w:val="75515E65"/>
    <w:rsid w:val="759F22D0"/>
    <w:rsid w:val="76471F00"/>
    <w:rsid w:val="76D11E5C"/>
    <w:rsid w:val="76DE3C77"/>
    <w:rsid w:val="76E999B5"/>
    <w:rsid w:val="77496F4A"/>
    <w:rsid w:val="77508426"/>
    <w:rsid w:val="775EA4DA"/>
    <w:rsid w:val="778E294B"/>
    <w:rsid w:val="77DD6371"/>
    <w:rsid w:val="77E13D77"/>
    <w:rsid w:val="7816FCD9"/>
    <w:rsid w:val="78238B4D"/>
    <w:rsid w:val="782A28DC"/>
    <w:rsid w:val="78368AEF"/>
    <w:rsid w:val="78CA9067"/>
    <w:rsid w:val="78F62356"/>
    <w:rsid w:val="79641B5E"/>
    <w:rsid w:val="79C1F05D"/>
    <w:rsid w:val="7A25B94F"/>
    <w:rsid w:val="7A34DAEB"/>
    <w:rsid w:val="7A369449"/>
    <w:rsid w:val="7A3EA2C7"/>
    <w:rsid w:val="7AA08895"/>
    <w:rsid w:val="7ACED647"/>
    <w:rsid w:val="7AD82AA8"/>
    <w:rsid w:val="7B4A673E"/>
    <w:rsid w:val="7B70FD51"/>
    <w:rsid w:val="7BBF82C1"/>
    <w:rsid w:val="7BC02D42"/>
    <w:rsid w:val="7C1350DD"/>
    <w:rsid w:val="7C6238D6"/>
    <w:rsid w:val="7C74C2F6"/>
    <w:rsid w:val="7CBE8C1F"/>
    <w:rsid w:val="7CE957D6"/>
    <w:rsid w:val="7D4B7A18"/>
    <w:rsid w:val="7D7D63FD"/>
    <w:rsid w:val="7DB6E073"/>
    <w:rsid w:val="7E0935AF"/>
    <w:rsid w:val="7E365CDD"/>
    <w:rsid w:val="7E3B1295"/>
    <w:rsid w:val="7E480FE0"/>
    <w:rsid w:val="7E5B78AF"/>
    <w:rsid w:val="7E7EDB83"/>
    <w:rsid w:val="7EBFBB7D"/>
    <w:rsid w:val="7EDF0406"/>
    <w:rsid w:val="7EEE0C78"/>
    <w:rsid w:val="7F06C5D4"/>
    <w:rsid w:val="7F0B3399"/>
    <w:rsid w:val="7FD22D3E"/>
    <w:rsid w:val="7FDBDDD3"/>
    <w:rsid w:val="7FF1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699F3E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C32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31C32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7F0B68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7F0B68"/>
    <w:rPr>
      <w:rFonts w:eastAsiaTheme="minorEastAsia"/>
      <w:sz w:val="18"/>
      <w:szCs w:val="18"/>
      <w:lang w:val="da-DK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31C32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31C32"/>
    <w:rPr>
      <w:color w:val="0563C1" w:themeColor="hyperlink"/>
      <w:u w:val="single"/>
    </w:rPr>
  </w:style>
  <w:style w:type="paragraph" w:customStyle="1" w:styleId="Default">
    <w:name w:val="Default"/>
    <w:rsid w:val="00931C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pplicationdirecte">
    <w:name w:val="Application directe"/>
    <w:basedOn w:val="Normal"/>
    <w:next w:val="Fait"/>
    <w:rsid w:val="00931C32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931C32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31C32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00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00B"/>
    <w:rPr>
      <w:rFonts w:eastAsiaTheme="minorEastAsia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B83EB1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A0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0BD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BD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DA/TXT/?uri=OJ:L_202401623" TargetMode="External"/><Relationship Id="rId1" Type="http://schemas.openxmlformats.org/officeDocument/2006/relationships/hyperlink" Target="https://eur-lex.europa.eu/legal-content/DA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438E7D-06DF-42E6-AB6F-B451A1CE4C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46E86B-3717-4B41-A977-8B5163DCFA52}"/>
</file>

<file path=customXml/itemProps3.xml><?xml version="1.0" encoding="utf-8"?>
<ds:datastoreItem xmlns:ds="http://schemas.openxmlformats.org/officeDocument/2006/customXml" ds:itemID="{4F442A9B-2767-4DCB-8456-975D4BA03265}"/>
</file>

<file path=customXml/itemProps4.xml><?xml version="1.0" encoding="utf-8"?>
<ds:datastoreItem xmlns:ds="http://schemas.openxmlformats.org/officeDocument/2006/customXml" ds:itemID="{51DD5D6E-52BA-4FDA-94B5-12332F8CB908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2716</Words>
  <Characters>16135</Characters>
  <Application>Microsoft Office Word</Application>
  <DocSecurity>0</DocSecurity>
  <Lines>436</Lines>
  <Paragraphs>244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18607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https://eur-lex.europa.eu/legal-content/EN/AUTO/?uri=OJ:L:2013:176:TOC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2024-06-07T07:11:00Z</dcterms:created>
  <dcterms:modified xsi:type="dcterms:W3CDTF">2024-09-30T06:06:00Z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2024-09-26T14:32:27Z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adac863f-55d7-42d3-9a6a-c1b74fd6180c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