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 xml:space="preserve">XXXIV PIELIKUMS – Norādījumi par atalgojuma politikas informācijas atklāšanas veidnēm</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Tabula EU REMA – Atalgojuma politika.</w:t>
      </w:r>
      <w:r>
        <w:rPr>
          <w:color w:val="auto"/>
          <w:sz w:val="24"/>
          <w:b/>
          <w:rFonts w:ascii="Times New Roman" w:hAnsi="Times New Roman"/>
        </w:rPr>
        <w:t xml:space="preserve"> </w:t>
      </w:r>
      <w:r>
        <w:rPr>
          <w:color w:val="auto"/>
          <w:sz w:val="24"/>
          <w:rFonts w:ascii="Times New Roman" w:hAnsi="Times New Roman"/>
        </w:rPr>
        <w:t xml:space="preserve">Elastīgs formāts.</w:t>
      </w:r>
    </w:p>
    <w:p w14:paraId="6ACFB470" w14:textId="1A85C375"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Iestādes atklāj </w:t>
      </w:r>
      <w:r>
        <w:rPr>
          <w:color w:val="auto"/>
          <w:sz w:val="24"/>
          <w:i/>
          <w:rFonts w:ascii="Times New Roman" w:hAnsi="Times New Roman"/>
        </w:rPr>
        <w:t xml:space="preserve">CRR</w:t>
      </w:r>
      <w:r w:rsidRPr="007F4CC8">
        <w:rPr>
          <w:rStyle w:val="FootnoteReference"/>
          <w:rFonts w:ascii="Times New Roman" w:eastAsiaTheme="minorEastAsia" w:hAnsi="Times New Roman" w:cs="Times New Roman"/>
          <w:bCs w:val="0"/>
          <w:color w:val="auto"/>
          <w:sz w:val="24"/>
          <w:lang w:val="en-GB"/>
        </w:rPr>
        <w:footnoteReference w:id="1"/>
      </w:r>
      <w:r>
        <w:rPr>
          <w:color w:val="auto"/>
          <w:sz w:val="24"/>
          <w:rFonts w:ascii="Times New Roman" w:hAnsi="Times New Roman"/>
        </w:rPr>
        <w:t xml:space="preserve"> 450. panta 1. punkta a), b), c), d), e), f), j) un k) apakšpunktā un 450. panta 2. punktā minēto informāciju, ievērojot turpmāk šajā pielikumā sniegtos norādījumus, lai aizpildītu EBI IT risinājumu XXXIII pielikumā ietverto tabulu EU-REMA.</w:t>
      </w:r>
    </w:p>
    <w:p w14:paraId="3D4A1A0C"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Šai tabulai ir elastīgs formāts.</w:t>
      </w:r>
      <w:r>
        <w:rPr>
          <w:color w:val="auto"/>
          <w:sz w:val="24"/>
          <w:rFonts w:ascii="Times New Roman" w:hAnsi="Times New Roman"/>
        </w:rPr>
        <w:t xml:space="preserve"> </w:t>
      </w:r>
      <w:r>
        <w:rPr>
          <w:color w:val="auto"/>
          <w:sz w:val="24"/>
          <w:rFonts w:ascii="Times New Roman" w:hAnsi="Times New Roman"/>
        </w:rPr>
        <w:t xml:space="preserve">Ja iestādes izmanto atšķirīgu formātu, tās sniedz informāciju, kas ir salīdzināma ar šajā tabulā prasīto informāciju, ar līdzīgu granularitātes līmeni un iekļaujot visu vajadzīgo informāciju pēc būtības.</w:t>
      </w:r>
    </w:p>
    <w:p w14:paraId="5ED60910"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Šīs tabulas un šajā pielikumā paskaidroto veidņu nolūkos “piešķiršana” nozīmē mainīga atalgojuma piešķiršanu par konkrētu uzkrāšanās periodu neatkarīgi no faktiskā laika brīža, kad piešķirtā summa tiek izmaksāta.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Informācija par struktūrām, kas pārrauga atalgojumu.</w:t>
            </w:r>
            <w:r>
              <w:rPr>
                <w:sz w:val="24"/>
                <w:rFonts w:ascii="Times New Roman" w:hAnsi="Times New Roman"/>
              </w:rPr>
              <w:t xml:space="preserve"> </w:t>
            </w:r>
            <w:r>
              <w:rPr>
                <w:sz w:val="24"/>
                <w:rFonts w:ascii="Times New Roman" w:hAnsi="Times New Roman"/>
              </w:rPr>
              <w:t xml:space="preserve">Atklāj šādu informāciju:</w:t>
            </w:r>
          </w:p>
          <w:p w14:paraId="1488B17D"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galvenās struktūras (pārvaldības struktūras un atalgojuma komitejas, ja tāda ir izveidota), kas pārrauga atalgojuma politiku, nosaukums, sastāvs un pilnvaras un šīs galvenās struktūras sanāksmju skaits finanšu gadā;</w:t>
            </w:r>
          </w:p>
          <w:p w14:paraId="5B0DD549"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ārējie konsultanti, kuriem prasīts padoms, struktūra, kura viņus nolīgusi, un kurās atalgojuma regulējuma jomās;</w:t>
            </w:r>
          </w:p>
          <w:p w14:paraId="3CBC394C"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apraksts par iestādes atalgojuma politikas darbības jomu (piemēram, sadalījumā pa reģioniem, darbības jomām), tajā skaitā ciktāl politika ir piemērojama tās meitasuzņēmumiem un filiālēm, kas atrodas trešās valstīs;</w:t>
            </w:r>
          </w:p>
          <w:p w14:paraId="1BEEE20B" w14:textId="77777777" w:rsidR="00965CEB" w:rsidRPr="007F4CC8" w:rsidRDefault="00965CEB" w:rsidP="00965CEB">
            <w:pPr>
              <w:pStyle w:val="ListParagraph"/>
              <w:numPr>
                <w:ilvl w:val="0"/>
                <w:numId w:val="2"/>
              </w:numPr>
              <w:spacing w:before="60" w:after="120"/>
              <w:jc w:val="both"/>
              <w:rPr>
                <w:sz w:val="24"/>
                <w:rFonts w:ascii="Times New Roman" w:hAnsi="Times New Roman"/>
              </w:rPr>
            </w:pPr>
            <w:r>
              <w:rPr>
                <w:sz w:val="24"/>
                <w:rFonts w:ascii="Times New Roman" w:hAnsi="Times New Roman"/>
              </w:rPr>
              <w:t xml:space="preserve">apraksts par darbiniekiem vai darbinieku kategorijām, kuru profesionālajai darbībai ir būtiska ietekme uz iestādes riska profilu (identificētie darbinieki).</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Informācija par identificēto darbinieku atalgojuma sistēmas plānojumu un struktūru.</w:t>
            </w:r>
            <w:r>
              <w:rPr>
                <w:sz w:val="24"/>
                <w:rFonts w:ascii="Times New Roman" w:hAnsi="Times New Roman"/>
              </w:rPr>
              <w:t xml:space="preserve"> </w:t>
            </w:r>
            <w:r>
              <w:rPr>
                <w:sz w:val="24"/>
                <w:rFonts w:ascii="Times New Roman" w:hAnsi="Times New Roman"/>
              </w:rPr>
              <w:t xml:space="preserve">Atklāj šādu informāciju:</w:t>
            </w:r>
          </w:p>
          <w:p w14:paraId="363C45D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pārskats par atalgojuma sistēmas galvenajām iezīmēm un mērķiem un informācija par lēmumu pieņemšanas procesu, ko izmanto, lai noteiktu atalgojuma politiku, un būtisko akcionāru lomu (piemēram, akcionāru sanāksme);</w:t>
            </w:r>
          </w:p>
          <w:p w14:paraId="415080E8"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informācija par kritērijiem, ko izmanto snieguma novērtēšanai un </w:t>
            </w:r>
            <w:r>
              <w:rPr>
                <w:sz w:val="24"/>
                <w:i/>
                <w:rFonts w:ascii="Times New Roman" w:hAnsi="Times New Roman"/>
              </w:rPr>
              <w:t xml:space="preserve">ex ante</w:t>
            </w:r>
            <w:r>
              <w:rPr>
                <w:sz w:val="24"/>
                <w:rFonts w:ascii="Times New Roman" w:hAnsi="Times New Roman"/>
              </w:rPr>
              <w:t xml:space="preserve"> un </w:t>
            </w:r>
            <w:r>
              <w:rPr>
                <w:sz w:val="24"/>
                <w:i/>
                <w:rFonts w:ascii="Times New Roman" w:hAnsi="Times New Roman"/>
              </w:rPr>
              <w:t xml:space="preserve">ex post</w:t>
            </w:r>
            <w:r>
              <w:rPr>
                <w:sz w:val="24"/>
                <w:rFonts w:ascii="Times New Roman" w:hAnsi="Times New Roman"/>
              </w:rPr>
              <w:t xml:space="preserve"> riska koriģēšanai;</w:t>
            </w:r>
          </w:p>
          <w:p w14:paraId="486E0D69"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vai pārvaldības struktūra un atalgojuma komiteja (ja tāda ir izveidota) ir pārskatījusi iestādes atalgojuma politiku iepriekšējā gadā, un, ja tā ir, pārskats par veiktajām izmaiņām, izmaiņu iemesliem un to ietekmi uz atalgojumu;</w:t>
            </w:r>
          </w:p>
          <w:p w14:paraId="410559C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informācija par to, kā iestāde nodrošina, ka darbinieki iekšējās kontroles funkcijās tiek atalgoti neatkarīgi no darījumiem, ko viņi pārrauga;</w:t>
            </w:r>
          </w:p>
          <w:p w14:paraId="0551D89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politika un kritēriji, ko piemēro garantētā mainīgā atalgojuma un atlaišanas pabalstu piešķiršanai.</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Apraksts par to, kā atalgojuma procesos tiek ņemti vērā pašreizējie un nākotnes riski</w:t>
            </w:r>
            <w:r>
              <w:rPr>
                <w:sz w:val="24"/>
                <w:rFonts w:ascii="Times New Roman" w:hAnsi="Times New Roman"/>
              </w:rPr>
              <w:t xml:space="preserve"> </w:t>
            </w:r>
          </w:p>
          <w:p w14:paraId="5A14C6D4"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Atklātajā informācijā iekļauj pārskatu par galvenajiem riskiem, to novērtēšanu un to, kā tie ietekmē atalgojumu.</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Attiecības starp atalgojuma fiksēto un mainīgo daļu saskaņā ar Direktīvas 2013/36/ES</w:t>
            </w:r>
            <w:r w:rsidRPr="007F4CC8">
              <w:rPr>
                <w:rStyle w:val="FootnoteReference"/>
                <w:rFonts w:ascii="Times New Roman" w:hAnsi="Times New Roman"/>
                <w:sz w:val="24"/>
              </w:rPr>
              <w:footnoteReference w:id="2"/>
            </w:r>
            <w:r>
              <w:rPr>
                <w:sz w:val="24"/>
                <w:rFonts w:ascii="Times New Roman" w:hAnsi="Times New Roman"/>
              </w:rPr>
              <w:t xml:space="preserve"> (“</w:t>
            </w:r>
            <w:r>
              <w:rPr>
                <w:sz w:val="24"/>
                <w:i/>
                <w:rFonts w:ascii="Times New Roman" w:hAnsi="Times New Roman"/>
              </w:rPr>
              <w:t xml:space="preserve">CRD</w:t>
            </w:r>
            <w:r>
              <w:rPr>
                <w:sz w:val="24"/>
                <w:rFonts w:ascii="Times New Roman" w:hAnsi="Times New Roman"/>
              </w:rPr>
              <w:t xml:space="preserve">”) 94. panta 1. punkta g) apakšpunktu</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Apraksts par to, kā iestāde cenšas sasaistīt sniegumu snieguma novērtēšanas periodā ar atalgojuma līmeņiem</w:t>
            </w:r>
          </w:p>
          <w:p w14:paraId="2C4FFE4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Atklāj šādu informāciju:</w:t>
            </w:r>
          </w:p>
          <w:p w14:paraId="13DAA83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pārskats par galvenajiem snieguma kritērijiem un rādītājiem attiecībā uz iestādi, darbības jomām un individuālām personām;</w:t>
            </w:r>
          </w:p>
          <w:p w14:paraId="4673DEDB"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pārskats par to, kā individuālā mainīgā atalgojuma summas tiek sasaistītas ar sniegumu iestādes mērogā un individuālā līmenī;</w:t>
            </w:r>
          </w:p>
          <w:p w14:paraId="66395D1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informācija par kritērijiem, ko izmanto, lai noteiktu līdzsvaru starp dažādiem piešķirto instrumentu veidiem, tajā skaitā līdzdalības daļām, līdzvērtīgām īpašumtiesību interesēm, iespēju līgumiem un citiem instrumentiem;</w:t>
            </w:r>
          </w:p>
          <w:p w14:paraId="41B4F38D" w14:textId="77777777" w:rsidR="00965CEB" w:rsidRPr="007F4CC8" w:rsidRDefault="00965CEB" w:rsidP="00965CEB">
            <w:pPr>
              <w:pStyle w:val="ListParagraph"/>
              <w:numPr>
                <w:ilvl w:val="0"/>
                <w:numId w:val="3"/>
              </w:numPr>
              <w:spacing w:before="60" w:after="120"/>
              <w:jc w:val="both"/>
              <w:rPr>
                <w:sz w:val="24"/>
                <w:rFonts w:ascii="Times New Roman" w:hAnsi="Times New Roman"/>
              </w:rPr>
            </w:pPr>
            <w:r>
              <w:rPr>
                <w:sz w:val="24"/>
                <w:rFonts w:ascii="Times New Roman" w:hAnsi="Times New Roman"/>
              </w:rPr>
              <w:t xml:space="preserve">informācija par pasākumiem, ko iestāde īstenos, lai pielāgotu mainīgo atalgojumu gadījumā, ja snieguma rādītāji ir vāji, tajā skaitā iestādes kritēriji snieguma rādītāju noteikšanai gadījumā, ja snieguma rādītāji tiek uzskatīti par “vājiem”.</w:t>
            </w:r>
            <w:r>
              <w:rPr>
                <w:sz w:val="24"/>
                <w:rFonts w:ascii="Times New Roman" w:hAnsi="Times New Roman"/>
              </w:rPr>
              <w:t xml:space="preserve"> </w:t>
            </w:r>
            <w:r>
              <w:rPr>
                <w:sz w:val="24"/>
                <w:rFonts w:ascii="Times New Roman" w:hAnsi="Times New Roman"/>
              </w:rPr>
              <w:t xml:space="preserve">Saskaņā ar </w:t>
            </w:r>
            <w:r>
              <w:rPr>
                <w:sz w:val="24"/>
                <w:i/>
                <w:rFonts w:ascii="Times New Roman" w:hAnsi="Times New Roman"/>
              </w:rPr>
              <w:t xml:space="preserve">CRD</w:t>
            </w:r>
            <w:r>
              <w:rPr>
                <w:sz w:val="24"/>
                <w:rFonts w:ascii="Times New Roman" w:hAnsi="Times New Roman"/>
              </w:rPr>
              <w:t xml:space="preserve"> 94. panta 1. punkta n) apakšpunktu, lai mainīgo atalgojumu varētu izmaksāt vai atvēlēt, tam jābūt pamatotam ar iestādes, darbības struktūrvienības un attiecīgā indivīda sniegumu.</w:t>
            </w:r>
            <w:r>
              <w:rPr>
                <w:sz w:val="24"/>
                <w:rFonts w:ascii="Times New Roman" w:hAnsi="Times New Roman"/>
              </w:rPr>
              <w:t xml:space="preserve"> </w:t>
            </w:r>
            <w:r>
              <w:rPr>
                <w:sz w:val="24"/>
                <w:rFonts w:ascii="Times New Roman" w:hAnsi="Times New Roman"/>
              </w:rPr>
              <w:t xml:space="preserve">Iestādes izskaidro kritērijus/sliekšņus, pēc kuriem nosaka, ka sniegums ir vājš un nepamato mainīgā atalgojuma izmaksu vai atvēlēšanu.</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Apraksts par to, kā iestāde cenšas pielāgot atalgojumu, lai ņemtu vērā ilgtermiņa sniegumu</w:t>
            </w:r>
          </w:p>
          <w:p w14:paraId="6FD7FDE9"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Atklāj šādu informāciju:</w:t>
            </w:r>
          </w:p>
          <w:p w14:paraId="4C34D32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pārskats par iestādes politiku attiecībā uz izmaksas atlikšanu, izmaksu instrumentu veidā, ieturēšanas periodiem un mainīgā atalgojuma atvēlēšanu, tajā skaitā par to, vai tā atšķiras starp darbiniekiem vai darbinieku kategorijām;</w:t>
            </w:r>
          </w:p>
          <w:p w14:paraId="21961ED2"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informācija par iestādes kritērijiem attiecībā uz </w:t>
            </w:r>
            <w:r>
              <w:rPr>
                <w:sz w:val="24"/>
                <w:i/>
                <w:rFonts w:ascii="Times New Roman" w:hAnsi="Times New Roman"/>
              </w:rPr>
              <w:t xml:space="preserve">ex post</w:t>
            </w:r>
            <w:r>
              <w:rPr>
                <w:sz w:val="24"/>
                <w:rFonts w:ascii="Times New Roman" w:hAnsi="Times New Roman"/>
              </w:rPr>
              <w:t xml:space="preserve"> pielāgojumiem (</w:t>
            </w:r>
            <w:r>
              <w:rPr>
                <w:sz w:val="24"/>
                <w:i/>
                <w:rFonts w:ascii="Times New Roman" w:hAnsi="Times New Roman"/>
              </w:rPr>
              <w:t xml:space="preserve">malus</w:t>
            </w:r>
            <w:r>
              <w:rPr>
                <w:sz w:val="24"/>
                <w:rFonts w:ascii="Times New Roman" w:hAnsi="Times New Roman"/>
              </w:rPr>
              <w:t xml:space="preserve"> izmaksas atlikšanas laikā un atgūšanu pēc atvēlēšanas, ja to atļauj valsts tiesību akti);</w:t>
            </w:r>
          </w:p>
          <w:p w14:paraId="17291DFB" w14:textId="77777777" w:rsidR="00965CEB" w:rsidRPr="007F4CC8" w:rsidRDefault="00965CEB" w:rsidP="00965CEB">
            <w:pPr>
              <w:pStyle w:val="ListParagraph"/>
              <w:numPr>
                <w:ilvl w:val="0"/>
                <w:numId w:val="3"/>
              </w:numPr>
              <w:spacing w:before="60" w:after="120"/>
              <w:jc w:val="both"/>
              <w:rPr>
                <w:b/>
                <w:sz w:val="24"/>
                <w:szCs w:val="24"/>
                <w:rFonts w:ascii="Times New Roman" w:hAnsi="Times New Roman"/>
              </w:rPr>
            </w:pPr>
            <w:r>
              <w:rPr>
                <w:sz w:val="24"/>
                <w:rFonts w:ascii="Times New Roman" w:hAnsi="Times New Roman"/>
              </w:rPr>
              <w:t xml:space="preserve">attiecīgā gadījumā – akciju turējuma prasības, ko var piemērot identificētajiem darbiniekiem.</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 xml:space="preserve">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Apraksts par galvenajiem parametriem un loģisko pamatojumu jebkādai atalgojuma mainīgās daļas shēmai un jebkādiem ar naudu nesaistītiem atalgojuma elementiem, kā minēts </w:t>
            </w:r>
            <w:r>
              <w:rPr>
                <w:sz w:val="24"/>
                <w:i/>
                <w:rFonts w:ascii="Times New Roman" w:hAnsi="Times New Roman"/>
              </w:rPr>
              <w:t xml:space="preserve">CRR</w:t>
            </w:r>
            <w:r>
              <w:rPr>
                <w:sz w:val="24"/>
                <w:rFonts w:ascii="Times New Roman" w:hAnsi="Times New Roman"/>
              </w:rPr>
              <w:t xml:space="preserve"> 450. panta 1. punkta f) apakšpunktā.</w:t>
            </w:r>
            <w:r>
              <w:rPr>
                <w:sz w:val="24"/>
                <w:rFonts w:ascii="Times New Roman" w:hAnsi="Times New Roman"/>
              </w:rPr>
              <w:t xml:space="preserve"> </w:t>
            </w:r>
            <w:r>
              <w:rPr>
                <w:sz w:val="24"/>
                <w:rFonts w:ascii="Times New Roman" w:hAnsi="Times New Roman"/>
              </w:rPr>
              <w:t xml:space="preserve">Atklāj šādu informāciju:</w:t>
            </w:r>
          </w:p>
          <w:p w14:paraId="41EACCD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informācija par īpašajiem riska/snieguma rādītājiem, ko izmanto, lai noteiktu atalgojuma mainīgās daļas lielumus, un kritērijiem, ko izmanto, lai noteiktu līdzsvaru starp dažādiem piešķirto instrumentu veidiem, tajā skaitā līdzdalības daļām, līdzvērtīgām īpašumtiesību interesēm, ar akcijām saistītiem instrumentiem, līdzvērtīgiem bezskaidras naudas instrumentiem, iespēju līgumiem un citiem instrumentiem.</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 xml:space="preserve">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Pēc attiecīgās dalībvalsts vai kompetentās iestādes pieprasījuma – katra vadības struktūras vai augstākās vadības locekļa kopējā atalgojuma summa, kā minēts </w:t>
            </w:r>
            <w:r>
              <w:rPr>
                <w:sz w:val="24"/>
                <w:i/>
                <w:rFonts w:ascii="Times New Roman" w:hAnsi="Times New Roman"/>
              </w:rPr>
              <w:t xml:space="preserve">CRR</w:t>
            </w:r>
            <w:r>
              <w:rPr>
                <w:sz w:val="24"/>
                <w:rFonts w:ascii="Times New Roman" w:hAnsi="Times New Roman"/>
              </w:rPr>
              <w:t xml:space="preserve"> 450. panta 1. punkta j) apakšpunktā</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 xml:space="preserve">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Informācija par to, vai iestāde izmanto </w:t>
            </w:r>
            <w:r>
              <w:rPr>
                <w:sz w:val="24"/>
                <w:i/>
                <w:rFonts w:ascii="Times New Roman" w:hAnsi="Times New Roman"/>
              </w:rPr>
              <w:t xml:space="preserve">CRD</w:t>
            </w:r>
            <w:r>
              <w:rPr>
                <w:sz w:val="24"/>
                <w:rFonts w:ascii="Times New Roman" w:hAnsi="Times New Roman"/>
              </w:rPr>
              <w:t xml:space="preserve"> 94. panta 3. punktā paredzēto atkāpi, kā noteikts </w:t>
            </w:r>
            <w:r>
              <w:rPr>
                <w:sz w:val="24"/>
                <w:i/>
                <w:rFonts w:ascii="Times New Roman" w:hAnsi="Times New Roman"/>
              </w:rPr>
              <w:t xml:space="preserve">CRR</w:t>
            </w:r>
            <w:r>
              <w:rPr>
                <w:sz w:val="24"/>
                <w:rFonts w:ascii="Times New Roman" w:hAnsi="Times New Roman"/>
              </w:rPr>
              <w:t xml:space="preserve"> 450. panta 1. punkta k) apakšpunktā</w:t>
            </w:r>
          </w:p>
          <w:p w14:paraId="43880B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Attiecībā uz šo punktu iestādes, kas izmanto šādu atkāpi, norāda, vai to veic, pamatojoties uz </w:t>
            </w:r>
            <w:r>
              <w:rPr>
                <w:sz w:val="24"/>
                <w:i/>
                <w:rFonts w:ascii="Times New Roman" w:hAnsi="Times New Roman"/>
              </w:rPr>
              <w:t xml:space="preserve">CRD</w:t>
            </w:r>
            <w:r>
              <w:rPr>
                <w:sz w:val="24"/>
                <w:rFonts w:ascii="Times New Roman" w:hAnsi="Times New Roman"/>
              </w:rPr>
              <w:t xml:space="preserve"> 94. panta 3. punkta a) un/vai b) apakšpunkta nosacījumiem.</w:t>
            </w:r>
            <w:r>
              <w:rPr>
                <w:sz w:val="24"/>
                <w:rFonts w:ascii="Times New Roman" w:hAnsi="Times New Roman"/>
              </w:rPr>
              <w:t xml:space="preserve"> </w:t>
            </w:r>
            <w:r>
              <w:rPr>
                <w:sz w:val="24"/>
                <w:rFonts w:ascii="Times New Roman" w:hAnsi="Times New Roman"/>
              </w:rPr>
              <w:t xml:space="preserve">Tās arī norāda, attiecībā uz kādām atalgojuma prasībām tās piemēro atkāpi(-es) (t. i., </w:t>
            </w:r>
            <w:r>
              <w:rPr>
                <w:sz w:val="24"/>
                <w:i/>
                <w:rFonts w:ascii="Times New Roman" w:hAnsi="Times New Roman"/>
              </w:rPr>
              <w:t xml:space="preserve">CRD</w:t>
            </w:r>
            <w:r>
              <w:rPr>
                <w:sz w:val="24"/>
                <w:rFonts w:ascii="Times New Roman" w:hAnsi="Times New Roman"/>
              </w:rPr>
              <w:t xml:space="preserve"> 94. panta 1. punkta l) un/vai m), un/vai o) apakšpunkts), darbinieku skaitu, kam atkāpe(-s) tiek piemērota(-s), un darbinieku kopējo atalgojumu, atsevišķi norādot mainīgo atalgojuma daļu un nemainīgo atalgojuma daļu.</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 xml:space="preserve">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Lielas iestādes atklāj kvantitatīvo informāciju par to vadības struktūras kolektīvo atalgojumu, atsevišķi nodalot informāciju par vadības struktūras locekļiem, kuriem ir izpildošas funkcijas un par tādiem locekļiem, kuriem nav izpildošas funkcijas, kā minēts </w:t>
            </w:r>
            <w:r>
              <w:rPr>
                <w:sz w:val="24"/>
                <w:i/>
                <w:rFonts w:ascii="Times New Roman" w:hAnsi="Times New Roman"/>
              </w:rPr>
              <w:t xml:space="preserve">CRR</w:t>
            </w:r>
            <w:r>
              <w:rPr>
                <w:sz w:val="24"/>
                <w:rFonts w:ascii="Times New Roman" w:hAnsi="Times New Roman"/>
              </w:rPr>
              <w:t xml:space="preserve"> 450. panta 2. punktā.</w:t>
            </w:r>
          </w:p>
        </w:tc>
      </w:tr>
    </w:tbl>
    <w:p w14:paraId="253E4D29"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222D5CA"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D70938D"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12D97B04"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3C51066B"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Veidne EU REM1 – Finanšu gada laikā piešķirtais atalgojums.</w:t>
      </w:r>
      <w:r>
        <w:rPr>
          <w:color w:val="auto"/>
          <w:sz w:val="24"/>
          <w:b/>
          <w:rFonts w:ascii="Times New Roman" w:hAnsi="Times New Roman"/>
        </w:rPr>
        <w:t xml:space="preserve"> </w:t>
      </w:r>
      <w:r>
        <w:rPr>
          <w:color w:val="auto"/>
          <w:sz w:val="24"/>
          <w:rFonts w:ascii="Times New Roman" w:hAnsi="Times New Roman"/>
        </w:rPr>
        <w:t xml:space="preserve">Fiksēts formāts.</w:t>
      </w:r>
    </w:p>
    <w:p w14:paraId="0B701908"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Iestādes ievēro turpmāk šajā pielikumā sniegtos norādījumus, lai aizpildītu šīs īstenošanas regulas XXXIII pielikumā ietverto veidni EU REM1, piemērojot </w:t>
      </w:r>
      <w:r>
        <w:rPr>
          <w:color w:val="auto"/>
          <w:sz w:val="24"/>
          <w:i/>
          <w:rFonts w:ascii="Times New Roman" w:hAnsi="Times New Roman"/>
        </w:rPr>
        <w:t xml:space="preserve">CRR</w:t>
      </w:r>
      <w:r>
        <w:rPr>
          <w:color w:val="auto"/>
          <w:sz w:val="24"/>
          <w:rFonts w:ascii="Times New Roman" w:hAnsi="Times New Roman"/>
        </w:rPr>
        <w:t xml:space="preserve"> 450. panta 1. punkta h) apakšpunkta i) un ii) punktu.</w:t>
      </w:r>
    </w:p>
    <w:p w14:paraId="667CF96F" w14:textId="77777777"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 un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Identificēto darbinieku skaits</w:t>
            </w:r>
          </w:p>
          <w:p w14:paraId="23AE8698"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To darbinieku skaits, kuru profesionālajai darbībai ir būtiska ietekme uz iestādes riska profilu saskaņā ar </w:t>
            </w:r>
            <w:r>
              <w:rPr>
                <w:sz w:val="24"/>
                <w:i/>
                <w:rFonts w:ascii="Times New Roman" w:hAnsi="Times New Roman"/>
              </w:rPr>
              <w:t xml:space="preserve">CRD</w:t>
            </w:r>
            <w:r>
              <w:rPr>
                <w:sz w:val="24"/>
                <w:rFonts w:ascii="Times New Roman" w:hAnsi="Times New Roman"/>
              </w:rPr>
              <w:t xml:space="preserve"> 92. pantu un Komisijas Deleģēto regulu par identificētajiem darbiniekiem</w:t>
            </w:r>
            <w:r w:rsidRPr="007F4CC8">
              <w:rPr>
                <w:rStyle w:val="FootnoteReference"/>
                <w:rFonts w:ascii="Times New Roman" w:hAnsi="Times New Roman" w:cs="Times New Roman"/>
                <w:sz w:val="24"/>
              </w:rPr>
              <w:footnoteReference w:id="3"/>
            </w:r>
            <w:r>
              <w:rPr>
                <w:sz w:val="24"/>
                <w:rFonts w:ascii="Times New Roman" w:hAnsi="Times New Roman"/>
              </w:rPr>
              <w:t xml:space="preserve">, ar ko īsteno </w:t>
            </w:r>
            <w:r>
              <w:rPr>
                <w:sz w:val="24"/>
                <w:i/>
                <w:rFonts w:ascii="Times New Roman" w:hAnsi="Times New Roman"/>
              </w:rPr>
              <w:t xml:space="preserve">CRD</w:t>
            </w:r>
            <w:r>
              <w:rPr>
                <w:sz w:val="24"/>
                <w:rFonts w:ascii="Times New Roman" w:hAnsi="Times New Roman"/>
              </w:rPr>
              <w:t xml:space="preserve"> 94. panta 2. punktu (identificētie darbinieki), un kuri saņem atalgojuma daļas, kā uzskaitīts šajā veidnē.</w:t>
            </w:r>
            <w:r>
              <w:rPr>
                <w:sz w:val="24"/>
                <w:rFonts w:ascii="Times New Roman" w:hAnsi="Times New Roman"/>
              </w:rPr>
              <w:t xml:space="preserve"> </w:t>
            </w:r>
            <w:r>
              <w:rPr>
                <w:sz w:val="24"/>
                <w:rFonts w:ascii="Times New Roman" w:hAnsi="Times New Roman"/>
              </w:rPr>
              <w:t xml:space="preserve">To aprēķina, izmantojot </w:t>
            </w:r>
            <w:r>
              <w:rPr>
                <w:sz w:val="24"/>
                <w:i/>
                <w:rFonts w:ascii="Times New Roman" w:hAnsi="Times New Roman"/>
              </w:rPr>
              <w:t xml:space="preserve">FTE</w:t>
            </w:r>
            <w:r>
              <w:rPr>
                <w:sz w:val="24"/>
                <w:rFonts w:ascii="Times New Roman" w:hAnsi="Times New Roman"/>
              </w:rPr>
              <w:t xml:space="preserve"> (pilnslodzes ekvivalenta) pieeju attiecībā uz identificētajiem darbiniekiem, kuri nav pārvaldības struktūras locekļi, šo vērtību atklājot kā darbinieku skaitu.</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Fiksētais atalgojums kopā</w:t>
            </w:r>
          </w:p>
          <w:p w14:paraId="03654C0F"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Šīs veidnes 3.–7. rindā norādīto vērtību summa.</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skaidrā naudā</w:t>
            </w:r>
          </w:p>
          <w:p w14:paraId="1A2351D8"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Atalgojums skaidrā naudā atalgojuma nemainīgajā daļā</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akcijas vai līdzvērtīgas īpašumtiesību daļas</w:t>
            </w:r>
          </w:p>
          <w:p w14:paraId="14E3789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Akciju vai līdzvērtīgu īpašumtiesību daļu summa atbilstoši attiecīgās iestādes juridiskajai struktūrai, kā minēts </w:t>
            </w:r>
            <w:r>
              <w:rPr>
                <w:sz w:val="24"/>
                <w:i/>
                <w:rFonts w:ascii="Times New Roman" w:hAnsi="Times New Roman"/>
              </w:rPr>
              <w:t xml:space="preserve">CRD</w:t>
            </w:r>
            <w:r>
              <w:rPr>
                <w:sz w:val="24"/>
                <w:rFonts w:ascii="Times New Roman" w:hAnsi="Times New Roman"/>
              </w:rPr>
              <w:t xml:space="preserve"> 94. panta 1. punkta l) apakšpunkta i) punktā, atalgojuma nemainīgajā daļā.</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ar akcijām saistīti instrumenti vai līdzvērtīgi bezskaidras naudas instrumenti</w:t>
            </w:r>
            <w:r>
              <w:rPr>
                <w:sz w:val="24"/>
                <w:rFonts w:ascii="Times New Roman" w:hAnsi="Times New Roman"/>
              </w:rPr>
              <w:t xml:space="preserve"> </w:t>
            </w:r>
          </w:p>
          <w:p w14:paraId="54EF89ED"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Ar akcijām saistītu instrumentu vai līdzvērtīgu bezskaidras naudas instrumentu vērtību summa, kā minēts </w:t>
            </w:r>
            <w:r>
              <w:rPr>
                <w:sz w:val="24"/>
                <w:i/>
                <w:rFonts w:ascii="Times New Roman" w:hAnsi="Times New Roman"/>
              </w:rPr>
              <w:t xml:space="preserve">CRD</w:t>
            </w:r>
            <w:r>
              <w:rPr>
                <w:sz w:val="24"/>
                <w:rFonts w:ascii="Times New Roman" w:hAnsi="Times New Roman"/>
              </w:rPr>
              <w:t xml:space="preserve"> 94. panta 1. punkta l) apakšpunkta i) punktā, atalgojuma nemainīgajā daļā.</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citi instrumenti</w:t>
            </w:r>
          </w:p>
          <w:p w14:paraId="06C24EE7"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i/>
                <w:rFonts w:ascii="Times New Roman" w:hAnsi="Times New Roman"/>
              </w:rPr>
              <w:t xml:space="preserve">CRD</w:t>
            </w:r>
            <w:r>
              <w:rPr>
                <w:sz w:val="24"/>
                <w:rFonts w:ascii="Times New Roman" w:hAnsi="Times New Roman"/>
              </w:rPr>
              <w:t xml:space="preserve"> 94. panta 1. punkta l) apakšpunkta ii) punktā minēto citu instrumentu summa atalgojuma nemainīgajā daļā</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citi veidi</w:t>
            </w:r>
          </w:p>
          <w:p w14:paraId="35C192C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Par finanšu gadu piešķirtās atalgojuma nemainīgās daļas, kas nav atklāta citās rindās pozīcijā “Kopējā atalgojuma nemainīgā daļa”, summa</w:t>
            </w:r>
          </w:p>
          <w:p w14:paraId="5E279F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Tā var ietvert proporcionālās regulārās pensiju iemaksas vai pabalstus (ja attiecībā uz šādiem pabalstiem neņem vērā snieguma kritērijus), kā minēts </w:t>
            </w:r>
            <w:r>
              <w:rPr>
                <w:sz w:val="24"/>
                <w:i/>
                <w:rFonts w:ascii="Times New Roman" w:hAnsi="Times New Roman"/>
              </w:rPr>
              <w:t xml:space="preserve">CRD</w:t>
            </w:r>
            <w:r>
              <w:rPr>
                <w:sz w:val="24"/>
                <w:rFonts w:ascii="Times New Roman" w:hAnsi="Times New Roman"/>
              </w:rPr>
              <w:t xml:space="preserve"> 64. apsvērumā, vai citus atalgojuma veidus, piemēram, automobiļu pabalstus.</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Atalgojuma mainīgā daļa kopā</w:t>
            </w:r>
          </w:p>
          <w:p w14:paraId="00FC93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Šīs veidnes 11., EU-13.a, EU-13.b, EU-14.x un 15. rindā norādīto vērtību kopsumma</w:t>
            </w:r>
          </w:p>
          <w:p w14:paraId="74BA85C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Visu atalgojuma komponentu, kas nav atalgojuma mainīgā daļa, summa, kas ir atklāta šīs veidnes 2. rindā, tajā skaitā gada laikā piešķirtie garantētie mainīgie maksājumi un atlaišanas pabalsti.</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skaidrā naudā</w:t>
            </w:r>
          </w:p>
          <w:p w14:paraId="2BEE787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Atalgojuma skaidrā naudā summa atalgojuma mainīgajā daļā</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12., EU-14.a, EU-14.b, EU-14.y un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atliktās summas</w:t>
            </w:r>
          </w:p>
          <w:p w14:paraId="151C1A05"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Atalgojuma mainīgās daļas summas sadalījumā pa dažādiem komponentu veidiem, kas ir atliktas, nosakot saskaņā ar </w:t>
            </w:r>
            <w:r>
              <w:rPr>
                <w:sz w:val="24"/>
                <w:i/>
                <w:rFonts w:ascii="Times New Roman" w:hAnsi="Times New Roman"/>
              </w:rPr>
              <w:t xml:space="preserve">CRD</w:t>
            </w:r>
            <w:r>
              <w:rPr>
                <w:sz w:val="24"/>
                <w:rFonts w:ascii="Times New Roman" w:hAnsi="Times New Roman"/>
              </w:rPr>
              <w:t xml:space="preserve"> 94. pantu.</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akcijas vai līdzvērtīgas īpašumtiesību daļas</w:t>
            </w:r>
          </w:p>
          <w:p w14:paraId="4498A7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Akciju vai līdzvērtīgu īpašumtiesību daļu summa atbilstoši attiecīgās iestādes juridiskajai struktūrai, kā minēts </w:t>
            </w:r>
            <w:r>
              <w:rPr>
                <w:sz w:val="24"/>
                <w:i/>
                <w:rFonts w:ascii="Times New Roman" w:hAnsi="Times New Roman"/>
              </w:rPr>
              <w:t xml:space="preserve">CRD</w:t>
            </w:r>
            <w:r>
              <w:rPr>
                <w:sz w:val="24"/>
                <w:rFonts w:ascii="Times New Roman" w:hAnsi="Times New Roman"/>
              </w:rPr>
              <w:t xml:space="preserve"> 94. panta 1. punkta l) apakšpunkta i) punktā, atalgojuma mainīgajā daļā</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ar akcijām saistīti instrumenti vai līdzvērtīgi bezskaidras naudas instrumenti</w:t>
            </w:r>
            <w:r>
              <w:rPr>
                <w:sz w:val="24"/>
                <w:rFonts w:ascii="Times New Roman" w:hAnsi="Times New Roman"/>
              </w:rPr>
              <w:t xml:space="preserve"> </w:t>
            </w:r>
          </w:p>
          <w:p w14:paraId="6FA62A3F"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Ar akcijām saistītu instrumentu vai līdzvērtīgu bezskaidras naudas instrumentu vērtību summa, kā minēts </w:t>
            </w:r>
            <w:r>
              <w:rPr>
                <w:sz w:val="24"/>
                <w:i/>
                <w:rFonts w:ascii="Times New Roman" w:hAnsi="Times New Roman"/>
              </w:rPr>
              <w:t xml:space="preserve">CRD</w:t>
            </w:r>
            <w:r>
              <w:rPr>
                <w:sz w:val="24"/>
                <w:rFonts w:ascii="Times New Roman" w:hAnsi="Times New Roman"/>
              </w:rPr>
              <w:t xml:space="preserve"> 94. panta 1. punkta l) apakšpunkta i) punktā, atalgojuma mainīgajā daļā</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citi instrumenti</w:t>
            </w:r>
          </w:p>
          <w:p w14:paraId="4D8E1D04" w14:textId="77777777" w:rsidR="00965CEB" w:rsidRPr="007F4CC8" w:rsidRDefault="00965CEB" w:rsidP="004F3087">
            <w:pPr>
              <w:autoSpaceDE w:val="0"/>
              <w:autoSpaceDN w:val="0"/>
              <w:adjustRightInd w:val="0"/>
              <w:spacing w:after="120"/>
              <w:jc w:val="both"/>
              <w:rPr>
                <w:b/>
                <w:sz w:val="24"/>
                <w:rFonts w:ascii="Times New Roman" w:hAnsi="Times New Roman"/>
              </w:rPr>
            </w:pPr>
            <w:r>
              <w:rPr>
                <w:sz w:val="24"/>
                <w:i/>
                <w:rFonts w:ascii="Times New Roman" w:hAnsi="Times New Roman"/>
              </w:rPr>
              <w:t xml:space="preserve">CRD</w:t>
            </w:r>
            <w:r>
              <w:rPr>
                <w:sz w:val="24"/>
                <w:rFonts w:ascii="Times New Roman" w:hAnsi="Times New Roman"/>
              </w:rPr>
              <w:t xml:space="preserve"> 94. panta 1. punkta l) apakšpunkta ii) punktā minēto citu instrumentu summa atalgojuma mainīgajā daļā</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T. sk.:</w:t>
            </w:r>
            <w:r>
              <w:rPr>
                <w:sz w:val="24"/>
                <w:rFonts w:ascii="Times New Roman" w:hAnsi="Times New Roman"/>
              </w:rPr>
              <w:t xml:space="preserve"> </w:t>
            </w:r>
            <w:r>
              <w:rPr>
                <w:sz w:val="24"/>
                <w:rFonts w:ascii="Times New Roman" w:hAnsi="Times New Roman"/>
              </w:rPr>
              <w:t xml:space="preserve">citi veidi</w:t>
            </w:r>
          </w:p>
          <w:p w14:paraId="236742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Par finanšu gadu piešķirtās atalgojuma mainīgās daļas, kas nav atklāta citās rindās pozīcijā “Kopējā atalgojuma mainīgā daļa”, summa</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Atalgojums kopā</w:t>
            </w:r>
          </w:p>
          <w:p w14:paraId="7D746BF1"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Šīs veidnes 2. un 10. rindā norādīto vērtību summa.</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Paskaidrojums</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Vadības struktūras uzraudzības funkcija</w:t>
            </w:r>
          </w:p>
          <w:p w14:paraId="5B08524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Vadības struktūra kā uzraudzības veicēja vadības lēmumu pieņemšanas pārraudzības un uzraudzības lomā, kā definēts </w:t>
            </w:r>
            <w:r>
              <w:rPr>
                <w:sz w:val="24"/>
                <w:i/>
                <w:rFonts w:ascii="Times New Roman" w:hAnsi="Times New Roman"/>
              </w:rPr>
              <w:t xml:space="preserve">CRD</w:t>
            </w:r>
            <w:r>
              <w:rPr>
                <w:sz w:val="24"/>
                <w:rFonts w:ascii="Times New Roman" w:hAnsi="Times New Roman"/>
              </w:rPr>
              <w:t xml:space="preserve"> 3. panta 1. punkta 8. apakšpunktā.</w:t>
            </w:r>
            <w:r>
              <w:rPr>
                <w:sz w:val="24"/>
                <w:rFonts w:ascii="Times New Roman" w:hAnsi="Times New Roman"/>
              </w:rPr>
              <w:t xml:space="preserve"> </w:t>
            </w:r>
          </w:p>
          <w:p w14:paraId="69498C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Iestādes atklāj informāciju, pamatojoties uz darbinieku skaitu.</w:t>
            </w:r>
            <w:r>
              <w:rPr>
                <w:sz w:val="24"/>
                <w:rFonts w:ascii="Times New Roman" w:hAnsi="Times New Roman"/>
              </w:rPr>
              <w:t xml:space="preserve"> </w:t>
            </w:r>
          </w:p>
          <w:p w14:paraId="45A26C8B"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Saskaņā ar </w:t>
            </w:r>
            <w:r>
              <w:rPr>
                <w:sz w:val="24"/>
                <w:i/>
                <w:rFonts w:ascii="Times New Roman" w:hAnsi="Times New Roman"/>
              </w:rPr>
              <w:t xml:space="preserve">CRR</w:t>
            </w:r>
            <w:r>
              <w:rPr>
                <w:sz w:val="24"/>
                <w:rFonts w:ascii="Times New Roman" w:hAnsi="Times New Roman"/>
              </w:rPr>
              <w:t xml:space="preserve"> 13. pantu ES mātes iestādes, kas atklāj šo informāciju, pamatojoties uz to konsolidēto situāciju, un ES mātes iestāžu lieli meitasuzņēmumi atklāj šo informāciju individuāli vai – ja piemērojams saskaņā ar šo regulu un </w:t>
            </w:r>
            <w:r>
              <w:rPr>
                <w:sz w:val="24"/>
                <w:i/>
                <w:rFonts w:ascii="Times New Roman" w:hAnsi="Times New Roman"/>
              </w:rPr>
              <w:t xml:space="preserve">CRD</w:t>
            </w:r>
            <w:r>
              <w:rPr>
                <w:sz w:val="24"/>
                <w:rFonts w:ascii="Times New Roman" w:hAnsi="Times New Roman"/>
              </w:rPr>
              <w:t xml:space="preserve"> – subkonsolidēti.</w:t>
            </w:r>
            <w:r>
              <w:rPr>
                <w:sz w:val="24"/>
                <w:rFonts w:ascii="Times New Roman" w:hAnsi="Times New Roman"/>
              </w:rPr>
              <w:t xml:space="preserve"> </w:t>
            </w:r>
            <w:r>
              <w:rPr>
                <w:sz w:val="24"/>
                <w:rFonts w:ascii="Times New Roman" w:hAnsi="Times New Roman"/>
              </w:rPr>
              <w:t xml:space="preserve">Vienība, kas atklāj informāciju, šajā ailē atspoguļo informāciju par savu vadības struktūru.</w:t>
            </w:r>
            <w:r>
              <w:rPr>
                <w:sz w:val="24"/>
                <w:rFonts w:ascii="Times New Roman" w:hAnsi="Times New Roman"/>
              </w:rPr>
              <w:t xml:space="preserve"> </w:t>
            </w:r>
            <w:r>
              <w:rPr>
                <w:sz w:val="24"/>
                <w:rFonts w:ascii="Times New Roman" w:hAnsi="Times New Roman"/>
              </w:rPr>
              <w:t xml:space="preserve">Ja, ievērojot </w:t>
            </w:r>
            <w:r>
              <w:rPr>
                <w:sz w:val="24"/>
                <w:i/>
                <w:rFonts w:ascii="Times New Roman" w:hAnsi="Times New Roman"/>
              </w:rPr>
              <w:t xml:space="preserve">CRR</w:t>
            </w:r>
            <w:r>
              <w:rPr>
                <w:sz w:val="24"/>
                <w:rFonts w:ascii="Times New Roman" w:hAnsi="Times New Roman"/>
              </w:rPr>
              <w:t xml:space="preserve"> 6. un 13. pantu, informāciju atklāj konsolidētā vai subkonsolidētā līmenī, informāciju par meitasuzņēmumu vadības struktūru identificētajiem darbiniekiem atklāj atbilstīgi attiecīgajai darbības jomai.</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Vadības struktūras pārvaldības funkcija</w:t>
            </w:r>
            <w:r>
              <w:rPr>
                <w:sz w:val="24"/>
                <w:rFonts w:ascii="Times New Roman" w:hAnsi="Times New Roman"/>
              </w:rPr>
              <w:t xml:space="preserve"> </w:t>
            </w:r>
          </w:p>
          <w:p w14:paraId="286AC6E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Vadības struktūras locekļi, kuri atbild par pārvaldības funkcijām</w:t>
            </w:r>
          </w:p>
          <w:p w14:paraId="235DAD7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Iestādes atklāj informāciju, pamatojoties uz darbinieku skaitu.</w:t>
            </w:r>
          </w:p>
          <w:p w14:paraId="5BD4796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Iestādes atklāj informāciju, pamatojoties uz darbinieku skaitu.</w:t>
            </w:r>
            <w:r>
              <w:rPr>
                <w:sz w:val="24"/>
                <w:rFonts w:ascii="Times New Roman" w:hAnsi="Times New Roman"/>
              </w:rPr>
              <w:t xml:space="preserve"> </w:t>
            </w:r>
            <w:r>
              <w:rPr>
                <w:sz w:val="24"/>
                <w:rFonts w:ascii="Times New Roman" w:hAnsi="Times New Roman"/>
              </w:rPr>
              <w:t xml:space="preserve">Saskaņā ar </w:t>
            </w:r>
            <w:r>
              <w:rPr>
                <w:sz w:val="24"/>
                <w:i/>
                <w:rFonts w:ascii="Times New Roman" w:hAnsi="Times New Roman"/>
              </w:rPr>
              <w:t xml:space="preserve">CRR</w:t>
            </w:r>
            <w:r>
              <w:rPr>
                <w:sz w:val="24"/>
                <w:rFonts w:ascii="Times New Roman" w:hAnsi="Times New Roman"/>
              </w:rPr>
              <w:t xml:space="preserve"> 13. pantu.</w:t>
            </w:r>
            <w:r>
              <w:rPr>
                <w:sz w:val="24"/>
                <w:rFonts w:ascii="Times New Roman" w:hAnsi="Times New Roman"/>
              </w:rPr>
              <w:t xml:space="preserve"> </w:t>
            </w:r>
            <w:r>
              <w:rPr>
                <w:sz w:val="24"/>
                <w:rFonts w:ascii="Times New Roman" w:hAnsi="Times New Roman"/>
              </w:rPr>
              <w:t xml:space="preserve">ES mātes iestādes atklāj šo informāciju, pamatojoties uz to konsolidēto situāciju, un ES mātes iestāžu lieli meitasuzņēmumi atklāj šo informāciju individuāli vai – ja piemērojams saskaņā ar šo regulu un </w:t>
            </w:r>
            <w:r>
              <w:rPr>
                <w:sz w:val="24"/>
                <w:i/>
                <w:rFonts w:ascii="Times New Roman" w:hAnsi="Times New Roman"/>
              </w:rPr>
              <w:t xml:space="preserve">CRD</w:t>
            </w:r>
            <w:r>
              <w:rPr>
                <w:sz w:val="24"/>
                <w:rFonts w:ascii="Times New Roman" w:hAnsi="Times New Roman"/>
              </w:rPr>
              <w:t xml:space="preserve"> – subkonsolidēti. Vienība, kas atklāj informāciju, šajā ailē atspoguļo informāciju par savu vadības struktūru.</w:t>
            </w:r>
            <w:r>
              <w:rPr>
                <w:sz w:val="24"/>
                <w:rFonts w:ascii="Times New Roman" w:hAnsi="Times New Roman"/>
              </w:rPr>
              <w:t xml:space="preserve"> </w:t>
            </w:r>
            <w:r>
              <w:rPr>
                <w:sz w:val="24"/>
                <w:rFonts w:ascii="Times New Roman" w:hAnsi="Times New Roman"/>
              </w:rPr>
              <w:t xml:space="preserve">Ja, ievērojot </w:t>
            </w:r>
            <w:r>
              <w:rPr>
                <w:sz w:val="24"/>
                <w:i/>
                <w:rFonts w:ascii="Times New Roman" w:hAnsi="Times New Roman"/>
              </w:rPr>
              <w:t xml:space="preserve">CRR</w:t>
            </w:r>
            <w:r>
              <w:rPr>
                <w:sz w:val="24"/>
                <w:rFonts w:ascii="Times New Roman" w:hAnsi="Times New Roman"/>
              </w:rPr>
              <w:t xml:space="preserve"> 6. un 13. pantu, informāciju atklāj konsolidētā vai subkonsolidētā līmenī, informāciju par meitasuzņēmumu vadības struktūru identificētajiem darbiniekiem atklāj atbilstīgi attiecīgajai darbības jomai.</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Cita augstākā vadība</w:t>
            </w:r>
          </w:p>
          <w:p w14:paraId="43B1CA8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Augstākā vadība, kā definēts </w:t>
            </w:r>
            <w:r>
              <w:rPr>
                <w:sz w:val="24"/>
                <w:i/>
                <w:rFonts w:ascii="Times New Roman" w:hAnsi="Times New Roman"/>
              </w:rPr>
              <w:t xml:space="preserve">CRD</w:t>
            </w:r>
            <w:r>
              <w:rPr>
                <w:sz w:val="24"/>
                <w:rFonts w:ascii="Times New Roman" w:hAnsi="Times New Roman"/>
              </w:rPr>
              <w:t xml:space="preserve"> 3. panta 1. punkta 9. apakšpunktā.</w:t>
            </w:r>
          </w:p>
          <w:p w14:paraId="16B3B8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Iestādes atklāj augstākās vadības locekļu skaitu, kuri nav norādīti pozīcijā “Vadības struktūra kā pārvaldības veicēja” un kā “Citi identificētie darbinieki”.</w:t>
            </w:r>
            <w:r>
              <w:rPr>
                <w:sz w:val="24"/>
                <w:rFonts w:ascii="Times New Roman" w:hAnsi="Times New Roman"/>
              </w:rPr>
              <w:t xml:space="preserve"> </w:t>
            </w:r>
            <w:r>
              <w:rPr>
                <w:sz w:val="24"/>
                <w:rFonts w:ascii="Times New Roman" w:hAnsi="Times New Roman"/>
              </w:rPr>
              <w:t xml:space="preserve">Iestādes atklāj informāciju, pamatojoties uz </w:t>
            </w:r>
            <w:r>
              <w:rPr>
                <w:sz w:val="24"/>
                <w:i/>
                <w:rFonts w:ascii="Times New Roman" w:hAnsi="Times New Roman"/>
              </w:rPr>
              <w:t xml:space="preserve">FTE</w:t>
            </w:r>
            <w:r>
              <w:rPr>
                <w:sz w:val="24"/>
                <w:rFonts w:ascii="Times New Roman" w:hAnsi="Times New Roman"/>
              </w:rPr>
              <w:t xml:space="preserve">.</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Citi identificētie darbinieki</w:t>
            </w:r>
          </w:p>
          <w:p w14:paraId="6ECAE4F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Citi darbinieki (izņemot vadības struktūru kā uzraudzības veicēju vai kā pārvaldības veicēju un izņemot augstāko vadību), kuru profesionālajai darbībai ir būtiska ietekme uz iestādes riska profilu, saskaņā ar kritērijiem, kas noteikti Komisijas Deleģētajā regulā par identificētajiem darbiniekiem, ar kuru īsteno </w:t>
            </w:r>
            <w:r>
              <w:rPr>
                <w:sz w:val="24"/>
                <w:i/>
                <w:rFonts w:ascii="Times New Roman" w:hAnsi="Times New Roman"/>
              </w:rPr>
              <w:t xml:space="preserve">CRD</w:t>
            </w:r>
            <w:r>
              <w:rPr>
                <w:sz w:val="24"/>
                <w:rFonts w:ascii="Times New Roman" w:hAnsi="Times New Roman"/>
              </w:rPr>
              <w:t xml:space="preserve"> 94. panta 2. punktu, un – attiecīgā gadījumā – arī pamatojoties uz iestāžu kritērijiem.</w:t>
            </w:r>
            <w:r>
              <w:rPr>
                <w:sz w:val="24"/>
                <w:rFonts w:ascii="Times New Roman" w:hAnsi="Times New Roman"/>
              </w:rPr>
              <w:t xml:space="preserve"> </w:t>
            </w:r>
          </w:p>
          <w:p w14:paraId="78BEE2A5"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Iestādes šajā veidnē var atklāt sadalījumu pa darbības jomām, kā ieteikts veidnē EU REM5.</w:t>
            </w:r>
            <w:r>
              <w:rPr>
                <w:sz w:val="24"/>
                <w:rFonts w:ascii="Times New Roman" w:hAnsi="Times New Roman"/>
              </w:rPr>
              <w:t xml:space="preserve"> </w:t>
            </w:r>
            <w:r>
              <w:rPr>
                <w:sz w:val="24"/>
                <w:rFonts w:ascii="Times New Roman" w:hAnsi="Times New Roman"/>
              </w:rPr>
              <w:t xml:space="preserve">Iestādes atklāj informāciju, pamatojoties uz </w:t>
            </w:r>
            <w:r>
              <w:rPr>
                <w:sz w:val="24"/>
                <w:i/>
                <w:rFonts w:ascii="Times New Roman" w:hAnsi="Times New Roman"/>
              </w:rPr>
              <w:t xml:space="preserve">FTE</w:t>
            </w:r>
            <w:r>
              <w:rPr>
                <w:sz w:val="24"/>
                <w:rFonts w:ascii="Times New Roman" w:hAnsi="Times New Roman"/>
              </w:rPr>
              <w:t xml:space="preserve">.</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Veidne EU REM2 – Īpaši maksājumi darbiniekiem, kuru profesionālā darbība būtiski ietekmē iestādes riska profilu (identificēti darbinieki).</w:t>
      </w:r>
      <w:r>
        <w:rPr>
          <w:color w:val="auto"/>
          <w:sz w:val="24"/>
          <w:b/>
          <w:rFonts w:ascii="Times New Roman" w:hAnsi="Times New Roman"/>
        </w:rPr>
        <w:t xml:space="preserve"> </w:t>
      </w:r>
      <w:r>
        <w:rPr>
          <w:color w:val="auto"/>
          <w:sz w:val="24"/>
          <w:rFonts w:ascii="Times New Roman" w:hAnsi="Times New Roman"/>
        </w:rPr>
        <w:t xml:space="preserve">Fiksēts formāts.</w:t>
      </w:r>
    </w:p>
    <w:p w14:paraId="031B19E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Iestādes atklāj </w:t>
      </w:r>
      <w:r>
        <w:rPr>
          <w:color w:val="auto"/>
          <w:sz w:val="24"/>
          <w:i/>
          <w:rFonts w:ascii="Times New Roman" w:hAnsi="Times New Roman"/>
        </w:rPr>
        <w:t xml:space="preserve">CRR</w:t>
      </w:r>
      <w:r>
        <w:rPr>
          <w:color w:val="auto"/>
          <w:sz w:val="24"/>
          <w:rFonts w:ascii="Times New Roman" w:hAnsi="Times New Roman"/>
        </w:rPr>
        <w:t xml:space="preserve"> 450. panta 1. punkta h) apakšpunkta v)–vii) punktā minēto informāciju, ievērojot turpmāk šajā pielikumā sniegtos norādījumus, lai aizpildītu šīs īstenošanas regulas XXXIII pielikumā ietverto veidni EU REM2.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 xml:space="preserve">1., 4. un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Identificēto darbinieku skaits</w:t>
            </w:r>
          </w:p>
          <w:p w14:paraId="50587A1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To identificēto darbinieku skaits, kuru profesionālajai darbībai ir būtiska ietekme uz iestāžu riska profilu saskaņā ar </w:t>
            </w:r>
            <w:r>
              <w:rPr>
                <w:sz w:val="24"/>
                <w:i/>
                <w:rFonts w:ascii="Times New Roman" w:hAnsi="Times New Roman"/>
              </w:rPr>
              <w:t xml:space="preserve">CRD</w:t>
            </w:r>
            <w:r>
              <w:rPr>
                <w:sz w:val="24"/>
                <w:rFonts w:ascii="Times New Roman" w:hAnsi="Times New Roman"/>
              </w:rPr>
              <w:t xml:space="preserve"> 92. pantu un Komisijas Deleģēto regulu par identificētajiem darbiniekiem, ar ko īsteno </w:t>
            </w:r>
            <w:r>
              <w:rPr>
                <w:sz w:val="24"/>
                <w:i/>
                <w:rFonts w:ascii="Times New Roman" w:hAnsi="Times New Roman"/>
              </w:rPr>
              <w:t xml:space="preserve">CRD</w:t>
            </w:r>
            <w:r>
              <w:rPr>
                <w:sz w:val="24"/>
                <w:rFonts w:ascii="Times New Roman" w:hAnsi="Times New Roman"/>
              </w:rPr>
              <w:t xml:space="preserve"> 94. panta 2. punktu, par katru no konkrētajiem atalgojuma komponentiem</w:t>
            </w:r>
          </w:p>
          <w:p w14:paraId="6D4FEBDD"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Šīs veidnes a un b ailē (vadības struktūra) norādītās vērtības pamatā ir darbinieku skaits.</w:t>
            </w:r>
            <w:r>
              <w:rPr>
                <w:sz w:val="24"/>
                <w:rFonts w:ascii="Times New Roman" w:hAnsi="Times New Roman"/>
              </w:rPr>
              <w:t xml:space="preserve"> </w:t>
            </w:r>
            <w:r>
              <w:rPr>
                <w:sz w:val="24"/>
                <w:rFonts w:ascii="Times New Roman" w:hAnsi="Times New Roman"/>
              </w:rPr>
              <w:t xml:space="preserve">Šīs veidnes c un d ailē norādīto vērtību aprēķina, izmantojot </w:t>
            </w:r>
            <w:r>
              <w:rPr>
                <w:sz w:val="24"/>
                <w:i/>
                <w:rFonts w:ascii="Times New Roman" w:hAnsi="Times New Roman"/>
              </w:rPr>
              <w:t xml:space="preserve">FTE</w:t>
            </w:r>
            <w:r>
              <w:rPr>
                <w:sz w:val="24"/>
                <w:rFonts w:ascii="Times New Roman" w:hAnsi="Times New Roman"/>
              </w:rPr>
              <w:t xml:space="preserve"> (pilnslodzes ekvivalenta) metodi.</w:t>
            </w:r>
          </w:p>
          <w:p w14:paraId="2E1869A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Šīs veidnes 4. rinda attiecas uz atlaišanas pabalstiem, kas piešķirti iepriekšējos periodos un izmaksāti finanšu gadā (pašreizējais gads), savukārt šīs veidnes 6. rinda attiecas uz maksājumiem, kuri piešķirti finanšu gadā (pašreizējais gads).</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Piešķirtās garantētās atalgojuma mainīgās daļas – kopsumma</w:t>
            </w:r>
          </w:p>
          <w:p w14:paraId="6D0F7C1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Piešķirto garantēto atalgojuma mainīgo daļu summa, kā minēts </w:t>
            </w:r>
            <w:r>
              <w:rPr>
                <w:sz w:val="24"/>
                <w:i/>
                <w:rFonts w:ascii="Times New Roman" w:hAnsi="Times New Roman"/>
              </w:rPr>
              <w:t xml:space="preserve">CRD</w:t>
            </w:r>
            <w:r>
              <w:rPr>
                <w:sz w:val="24"/>
                <w:rFonts w:ascii="Times New Roman" w:hAnsi="Times New Roman"/>
              </w:rPr>
              <w:t xml:space="preserve"> 94. panta 1. punkta e) apakšpunktā.</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T. sk. piešķirtās garantētās atalgojuma mainīgās daļas, kas izmaksātas finanšu gadā un nav ņemtas vērā piemaksas maksimālajā robežvērtībā</w:t>
            </w:r>
          </w:p>
          <w:p w14:paraId="35D0912A"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Piešķirtās garantētās atalgojuma mainīgās daļas summas atbilstoši </w:t>
            </w:r>
            <w:r>
              <w:rPr>
                <w:sz w:val="24"/>
                <w:i/>
                <w:rFonts w:ascii="Times New Roman" w:hAnsi="Times New Roman"/>
              </w:rPr>
              <w:t xml:space="preserve">CRD</w:t>
            </w:r>
            <w:r>
              <w:rPr>
                <w:sz w:val="24"/>
                <w:rFonts w:ascii="Times New Roman" w:hAnsi="Times New Roman"/>
              </w:rPr>
              <w:t xml:space="preserve"> 94. panta 1. punkta e) apakšpunktam, kas izmaksātas finanšu gadā (pašreizējais gads) un kas nav ņemtas vērā piemaksas maksimālajā robežvērtībā.</w:t>
            </w:r>
          </w:p>
          <w:p w14:paraId="1D5DC4D6"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Attiecībā uz atklāto informāciju, kas minēta </w:t>
            </w:r>
            <w:r>
              <w:rPr>
                <w:sz w:val="24"/>
                <w:i/>
                <w:rFonts w:ascii="Times New Roman" w:hAnsi="Times New Roman"/>
              </w:rPr>
              <w:t xml:space="preserve">CRR</w:t>
            </w:r>
            <w:r>
              <w:rPr>
                <w:sz w:val="24"/>
                <w:rFonts w:ascii="Times New Roman" w:hAnsi="Times New Roman"/>
              </w:rPr>
              <w:t xml:space="preserve"> 450. panta 1. punkta g) apakšpunktā un h) apakšpunkta v)–vi) punktā, iestādes skaidri norāda, vai agregētā kvantitatīvā informācija par atalgojumu sadalījumā pa darbības jomām atspoguļo piemaksas maksimālo robežvērtību, kad ir iesaistīti maksājumi par darba attiecību uzsākšanu un atlaišanas pabalsti.</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Atlaišanas pabalsti, kas piešķirti iepriekšējos periodos un izmaksāti finanšu gadā – kopsumma</w:t>
            </w:r>
          </w:p>
          <w:p w14:paraId="6BDFFBCB"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To atlaišanas pabalstu summa, kā minēts </w:t>
            </w:r>
            <w:r>
              <w:rPr>
                <w:sz w:val="24"/>
                <w:i/>
                <w:rFonts w:ascii="Times New Roman" w:hAnsi="Times New Roman"/>
              </w:rPr>
              <w:t xml:space="preserve">CRD</w:t>
            </w:r>
            <w:r>
              <w:rPr>
                <w:sz w:val="24"/>
                <w:rFonts w:ascii="Times New Roman" w:hAnsi="Times New Roman"/>
              </w:rPr>
              <w:t xml:space="preserve"> 94. panta 1. punkta h) apakšpunktā, kuri piešķirti iepriekšējos periodos un izmaksāti finanšu gadā (pašreizējais gads).</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Finanšu gadā piešķirtie atlaišanas pabalsti – kopsumma</w:t>
            </w:r>
          </w:p>
          <w:p w14:paraId="370D85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Finanšu gadā (pašreizējais gads) piešķirto atlaišanas pabalstu summa, kā minēts </w:t>
            </w:r>
            <w:r>
              <w:rPr>
                <w:sz w:val="24"/>
                <w:i/>
                <w:rFonts w:ascii="Times New Roman" w:hAnsi="Times New Roman"/>
              </w:rPr>
              <w:t xml:space="preserve">CRD</w:t>
            </w:r>
            <w:r>
              <w:rPr>
                <w:sz w:val="24"/>
                <w:rFonts w:ascii="Times New Roman" w:hAnsi="Times New Roman"/>
              </w:rPr>
              <w:t xml:space="preserve"> 94. panta 1. punkta h) apakšpunktā.</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T. sk. atlaišanas pabalsti, kas piešķirti finanšu gadā – izmaksāti finanšu gadā</w:t>
            </w:r>
          </w:p>
          <w:p w14:paraId="75DA4E0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To atlaišanas pabalstu summa, kā minēts </w:t>
            </w:r>
            <w:r>
              <w:rPr>
                <w:sz w:val="24"/>
                <w:i/>
                <w:rFonts w:ascii="Times New Roman" w:hAnsi="Times New Roman"/>
              </w:rPr>
              <w:t xml:space="preserve">CRD</w:t>
            </w:r>
            <w:r>
              <w:rPr>
                <w:sz w:val="24"/>
                <w:rFonts w:ascii="Times New Roman" w:hAnsi="Times New Roman"/>
              </w:rPr>
              <w:t xml:space="preserve"> 94. panta 1. punkta h) apakšpunktā, kuri piešķirti finanšu gadā un izmaksāti finanšu gadā.</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T. sk. atlaišanas pabalsti, kas piešķirti finanšu gadā – atliktie</w:t>
            </w:r>
          </w:p>
          <w:p w14:paraId="2B8A3E3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To atlaišanas pabalstu summas, kā minēts </w:t>
            </w:r>
            <w:r>
              <w:rPr>
                <w:sz w:val="24"/>
                <w:i/>
                <w:rFonts w:ascii="Times New Roman" w:hAnsi="Times New Roman"/>
              </w:rPr>
              <w:t xml:space="preserve">CRD</w:t>
            </w:r>
            <w:r>
              <w:rPr>
                <w:sz w:val="24"/>
                <w:rFonts w:ascii="Times New Roman" w:hAnsi="Times New Roman"/>
              </w:rPr>
              <w:t xml:space="preserve"> 94. panta 1. punkta h) apakšpunktā, kuri piešķirti finanšu gadā un atlikti un kuri aprēķināti saskaņā ar </w:t>
            </w:r>
            <w:r>
              <w:rPr>
                <w:sz w:val="24"/>
                <w:i/>
                <w:rFonts w:ascii="Times New Roman" w:hAnsi="Times New Roman"/>
              </w:rPr>
              <w:t xml:space="preserve">CRD</w:t>
            </w:r>
            <w:r>
              <w:rPr>
                <w:sz w:val="24"/>
                <w:rFonts w:ascii="Times New Roman" w:hAnsi="Times New Roman"/>
              </w:rPr>
              <w:t xml:space="preserve"> 94. pantu.</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 xml:space="preserve">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T. sk. atlaišanas pabalsti, kas izmaksāti finanšu gadā un nav ņemti vērā piemaksas maksimālajā robežvērtībā</w:t>
            </w:r>
          </w:p>
          <w:p w14:paraId="3020E32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To atlaišanas pabalstu summas, kā minēts </w:t>
            </w:r>
            <w:r>
              <w:rPr>
                <w:sz w:val="24"/>
                <w:i/>
                <w:rFonts w:ascii="Times New Roman" w:hAnsi="Times New Roman"/>
              </w:rPr>
              <w:t xml:space="preserve">CRD</w:t>
            </w:r>
            <w:r>
              <w:rPr>
                <w:sz w:val="24"/>
                <w:rFonts w:ascii="Times New Roman" w:hAnsi="Times New Roman"/>
              </w:rPr>
              <w:t xml:space="preserve"> 94. panta 1. punkta h) apakšpunktā, kas izmaksātas finanšu gadā un kas nav ņemtas vērā piemaksas maksimālajā robežvērtībā.</w:t>
            </w:r>
          </w:p>
          <w:p w14:paraId="78B7D63D"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Attiecībā uz atklāto informāciju, kas minēta </w:t>
            </w:r>
            <w:r>
              <w:rPr>
                <w:sz w:val="24"/>
                <w:i/>
                <w:rFonts w:ascii="Times New Roman" w:hAnsi="Times New Roman"/>
              </w:rPr>
              <w:t xml:space="preserve">CRR</w:t>
            </w:r>
            <w:r>
              <w:rPr>
                <w:sz w:val="24"/>
                <w:rFonts w:ascii="Times New Roman" w:hAnsi="Times New Roman"/>
              </w:rPr>
              <w:t xml:space="preserve"> 450. panta 1. punkta g) apakšpunktā un h) apakšpunkta v)–vi) punktā, iestādes skaidri norāda, vai agregētā kvantitatīvā informācija par atalgojumu sadalījumā pa darbības jomām atspoguļo piemaksas maksimālo robežvērtību, kad ir iesaistīti maksājumi par darba attiecību uzsākšanu un atlaišanas pabalsti.</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 xml:space="preserve">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T. sk. atlaišanas pabalsti, kas piešķirti finanšu gadā – lielākais maksājums, kas piešķirts vienai personai</w:t>
            </w:r>
          </w:p>
          <w:p w14:paraId="69C2783A"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Lielākais atlaišanas pabalsts, kā minēts </w:t>
            </w:r>
            <w:r>
              <w:rPr>
                <w:sz w:val="24"/>
                <w:i/>
                <w:rFonts w:ascii="Times New Roman" w:hAnsi="Times New Roman"/>
              </w:rPr>
              <w:t xml:space="preserve">CRD</w:t>
            </w:r>
            <w:r>
              <w:rPr>
                <w:sz w:val="24"/>
                <w:rFonts w:ascii="Times New Roman" w:hAnsi="Times New Roman"/>
              </w:rPr>
              <w:t xml:space="preserve"> 94. panta 1. punkta h) apakšpunktā, kas piešķirts vienai personai finanšu gadā.</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Paskaidrojums</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Vadības struktūras uzraudzības funkcija</w:t>
            </w:r>
          </w:p>
          <w:p w14:paraId="3734590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Vadības struktūra kā uzraudzības veicēja vadības lēmumu pieņemšanas pārraudzības un uzraudzības lomā, kā definēts </w:t>
            </w:r>
            <w:r>
              <w:rPr>
                <w:sz w:val="24"/>
                <w:i/>
                <w:rFonts w:ascii="Times New Roman" w:hAnsi="Times New Roman"/>
              </w:rPr>
              <w:t xml:space="preserve">CRD</w:t>
            </w:r>
            <w:r>
              <w:rPr>
                <w:sz w:val="24"/>
                <w:rFonts w:ascii="Times New Roman" w:hAnsi="Times New Roman"/>
              </w:rPr>
              <w:t xml:space="preserve"> 3. panta 1. punkta 8. apakšpunktā (darbinieku skaits).</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Vadības struktūras pārvaldības funkcija</w:t>
            </w:r>
          </w:p>
          <w:p w14:paraId="1A03D44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Vadības struktūras locekļi, kuri atbild par pārvaldības funkcijām (darbinieku skaits)</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Cita augstākā vadība</w:t>
            </w:r>
          </w:p>
          <w:p w14:paraId="1598A2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Augstākā vadība, kā definēts </w:t>
            </w:r>
            <w:r>
              <w:rPr>
                <w:sz w:val="24"/>
                <w:i/>
                <w:rFonts w:ascii="Times New Roman" w:hAnsi="Times New Roman"/>
              </w:rPr>
              <w:t xml:space="preserve">CRD</w:t>
            </w:r>
            <w:r>
              <w:rPr>
                <w:sz w:val="24"/>
                <w:rFonts w:ascii="Times New Roman" w:hAnsi="Times New Roman"/>
              </w:rPr>
              <w:t xml:space="preserve"> 3. panta 1. punkta 9. apakšpunktā.</w:t>
            </w:r>
          </w:p>
          <w:p w14:paraId="1B942BBE"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Iestādes atklāj augstākās vadības locekļu skaitu, kuri nav norādīti pozīcijā “Vadības struktūra kā pārvaldības veicēja” un kā “Citi identificētie darbinieki”. Iestādes atklāj informāciju, pamatojoties uz </w:t>
            </w:r>
            <w:r>
              <w:rPr>
                <w:sz w:val="24"/>
                <w:i/>
                <w:rFonts w:ascii="Times New Roman" w:hAnsi="Times New Roman"/>
              </w:rPr>
              <w:t xml:space="preserve">FTE</w:t>
            </w:r>
            <w:r>
              <w:rPr>
                <w:sz w:val="24"/>
                <w:rFonts w:ascii="Times New Roman" w:hAnsi="Times New Roman"/>
              </w:rPr>
              <w:t xml:space="preserve">.</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Citi identificētie darbinieki</w:t>
            </w:r>
          </w:p>
          <w:p w14:paraId="01528962"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Citi darbinieki (izņemot vadības struktūru kā uzraudzības veicēju vai kā pārvaldības veicēju un izņemot augstāko vadību), kuru profesionālajai darbībai ir būtiska ietekme uz iestādes riska profilu, saskaņā ar kritērijiem, kas noteikti Komisijas Deleģētajā regulā par identificētajiem darbiniekiem, ar kuru īsteno </w:t>
            </w:r>
            <w:r>
              <w:rPr>
                <w:sz w:val="24"/>
                <w:i/>
                <w:rFonts w:ascii="Times New Roman" w:hAnsi="Times New Roman"/>
              </w:rPr>
              <w:t xml:space="preserve">CRD</w:t>
            </w:r>
            <w:r>
              <w:rPr>
                <w:sz w:val="24"/>
                <w:rFonts w:ascii="Times New Roman" w:hAnsi="Times New Roman"/>
              </w:rPr>
              <w:t xml:space="preserve"> 94. panta 2. punktu, un – attiecīgā gadījumā – arī pamatojoties uz iestāžu kritērijiem.</w:t>
            </w:r>
          </w:p>
          <w:p w14:paraId="566D1319"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Iestādes šajā veidnē var atklāt sadalījumu pa darbības jomām, kā ieteikts veidnē EU REM5 (</w:t>
            </w:r>
            <w:r>
              <w:rPr>
                <w:sz w:val="24"/>
                <w:i/>
                <w:rFonts w:ascii="Times New Roman" w:hAnsi="Times New Roman"/>
              </w:rPr>
              <w:t xml:space="preserve">FTE</w:t>
            </w:r>
            <w:r>
              <w:rPr>
                <w:sz w:val="24"/>
                <w:rFonts w:ascii="Times New Roman" w:hAnsi="Times New Roman"/>
              </w:rPr>
              <w:t xml:space="preserve">).</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Veidne EU REM3 – atliktais atalgojums.</w:t>
      </w:r>
      <w:r>
        <w:rPr>
          <w:color w:val="auto"/>
          <w:sz w:val="24"/>
          <w:b/>
          <w:rFonts w:ascii="Times New Roman" w:hAnsi="Times New Roman"/>
        </w:rPr>
        <w:t xml:space="preserve"> </w:t>
      </w:r>
      <w:r>
        <w:rPr>
          <w:color w:val="auto"/>
          <w:sz w:val="24"/>
          <w:rFonts w:ascii="Times New Roman" w:hAnsi="Times New Roman"/>
        </w:rPr>
        <w:t xml:space="preserve">Fiksēts formāts.</w:t>
      </w:r>
    </w:p>
    <w:p w14:paraId="2F3BCD0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Iestādes atklāj </w:t>
      </w:r>
      <w:r>
        <w:rPr>
          <w:color w:val="auto"/>
          <w:sz w:val="24"/>
          <w:i/>
          <w:rFonts w:ascii="Times New Roman" w:hAnsi="Times New Roman"/>
        </w:rPr>
        <w:t xml:space="preserve">CRR</w:t>
      </w:r>
      <w:r>
        <w:rPr>
          <w:color w:val="auto"/>
          <w:sz w:val="24"/>
          <w:rFonts w:ascii="Times New Roman" w:hAnsi="Times New Roman"/>
        </w:rPr>
        <w:t xml:space="preserve"> 450. panta 1. punkta h) apakšpunkta iii)–iv) punktā minēto informāciju, ievērojot turpmāk šajā pielikumā sniegtos norādījumus, lai aizpildītu šīs īstenošanas regulas XXXIII pielikumā ietverto veidni EU REM3.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Vadības struktūras uzraudzības funkcija</w:t>
            </w:r>
          </w:p>
          <w:p w14:paraId="42F62B7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Vadības struktūra kā uzraudzības veicēja vadības lēmumu pieņemšanas pārraudzības un uzraudzības lomā, kā definēts </w:t>
            </w:r>
            <w:r>
              <w:rPr>
                <w:sz w:val="24"/>
                <w:i/>
                <w:rFonts w:ascii="Times New Roman" w:hAnsi="Times New Roman"/>
              </w:rPr>
              <w:t xml:space="preserve">CRD</w:t>
            </w:r>
            <w:r>
              <w:rPr>
                <w:sz w:val="24"/>
                <w:rFonts w:ascii="Times New Roman" w:hAnsi="Times New Roman"/>
              </w:rPr>
              <w:t xml:space="preserve"> 3. panta 1. punkta 8. apakšpunktā.</w:t>
            </w:r>
          </w:p>
          <w:p w14:paraId="78EE110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Šīs veidnes 2., 3., 4., 5. un 6. rindā norādīto vērtību kopsumma.</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 xml:space="preserve">2., 8., 14. un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Skaidrā naudā</w:t>
            </w:r>
          </w:p>
          <w:p w14:paraId="0BC40D8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Atalgojuma skaidrā naudā summa atalgojuma mainīgajā daļā</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 xml:space="preserve">3., 9., 15. un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Akcijas vai līdzvērtīgas īpašumtiesību daļas</w:t>
            </w:r>
            <w:r>
              <w:rPr>
                <w:b/>
                <w:sz w:val="24"/>
                <w:rFonts w:ascii="Times New Roman" w:hAnsi="Times New Roman"/>
              </w:rPr>
              <w:t xml:space="preserve"> </w:t>
            </w:r>
          </w:p>
          <w:p w14:paraId="4B63188A" w14:textId="77777777" w:rsidR="00965CEB" w:rsidRPr="007F4CC8" w:rsidRDefault="00965CEB" w:rsidP="004F3087">
            <w:pPr>
              <w:spacing w:before="60" w:after="120"/>
              <w:jc w:val="both"/>
              <w:rPr>
                <w:b/>
                <w:sz w:val="24"/>
                <w:rFonts w:ascii="Times New Roman" w:hAnsi="Times New Roman"/>
              </w:rPr>
            </w:pPr>
            <w:r>
              <w:rPr>
                <w:sz w:val="24"/>
                <w:rFonts w:ascii="Times New Roman" w:hAnsi="Times New Roman"/>
              </w:rPr>
              <w:t xml:space="preserve">Akciju vai līdzvērtīgu īpašumtiesību daļu summa atbilstoši attiecīgās iestādes juridiskajai struktūrai, kā minēts </w:t>
            </w:r>
            <w:r>
              <w:rPr>
                <w:sz w:val="24"/>
                <w:i/>
                <w:rFonts w:ascii="Times New Roman" w:hAnsi="Times New Roman"/>
              </w:rPr>
              <w:t xml:space="preserve">CRD</w:t>
            </w:r>
            <w:r>
              <w:rPr>
                <w:sz w:val="24"/>
                <w:rFonts w:ascii="Times New Roman" w:hAnsi="Times New Roman"/>
              </w:rPr>
              <w:t xml:space="preserve"> 94. panta 1. punkta l) apakšpunkta i) punktā, atalgojuma mainīgajā daļā</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 xml:space="preserve">4., 10., 16. un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Ar akcijām saistīti instrumenti vai līdzvērtīgi bezskaidras naudas instrumenti</w:t>
            </w:r>
            <w:r>
              <w:rPr>
                <w:b/>
                <w:sz w:val="24"/>
                <w:rFonts w:ascii="Times New Roman" w:hAnsi="Times New Roman"/>
              </w:rPr>
              <w:t xml:space="preserve"> </w:t>
            </w:r>
          </w:p>
          <w:p w14:paraId="362CEB2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Ar akcijām saistītu instrumentu vai līdzvērtīgu bezskaidras naudas instrumentu vērtību summa, kā minēts </w:t>
            </w:r>
            <w:r>
              <w:rPr>
                <w:sz w:val="24"/>
                <w:i/>
                <w:rFonts w:ascii="Times New Roman" w:hAnsi="Times New Roman"/>
              </w:rPr>
              <w:t xml:space="preserve">CRD</w:t>
            </w:r>
            <w:r>
              <w:rPr>
                <w:sz w:val="24"/>
                <w:rFonts w:ascii="Times New Roman" w:hAnsi="Times New Roman"/>
              </w:rPr>
              <w:t xml:space="preserve"> 94. panta 1. punkta l) apakšpunkta i) punktā, atalgojuma mainīgajā daļā</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 xml:space="preserve">5., 11., 17. un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Citi instrumenti</w:t>
            </w:r>
          </w:p>
          <w:p w14:paraId="4C0BEEE9" w14:textId="77777777" w:rsidR="00965CEB" w:rsidRPr="007F4CC8" w:rsidRDefault="00965CEB" w:rsidP="004F3087">
            <w:pPr>
              <w:spacing w:before="60" w:after="120"/>
              <w:jc w:val="both"/>
              <w:rPr>
                <w:sz w:val="24"/>
                <w:rFonts w:ascii="Times New Roman" w:hAnsi="Times New Roman"/>
              </w:rPr>
            </w:pPr>
            <w:r>
              <w:rPr>
                <w:sz w:val="24"/>
                <w:i/>
                <w:rFonts w:ascii="Times New Roman" w:hAnsi="Times New Roman"/>
              </w:rPr>
              <w:t xml:space="preserve">CRD</w:t>
            </w:r>
            <w:r>
              <w:rPr>
                <w:sz w:val="24"/>
                <w:rFonts w:ascii="Times New Roman" w:hAnsi="Times New Roman"/>
              </w:rPr>
              <w:t xml:space="preserve"> 94. panta 1. punkta l) apakšpunkta ii) punktā minēto citu instrumentu summa atalgojuma mainīgajā daļā</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 xml:space="preserve">6., 12., 18. un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Citi veidi</w:t>
            </w:r>
          </w:p>
          <w:p w14:paraId="05DE9AE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Atalgojuma mainīgās daļas summas, izņemot tās, kas atklātas rindās “Skaidra nauda”, “Akcijas vai līdzvērtīgas īpašumtiesību daļas atbilstoši attiecīgās iestādes juridiskajai struktūrai vai ar akcijām saistīti instrumenti vai līdzvērtīgi bezskaidras naudas instrumenti” un “Citi instrumenti”.</w:t>
            </w:r>
          </w:p>
          <w:p w14:paraId="47E931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Tās var ietvert proporcionālās regulārās pensiju iemaksas vai pabalstus (ja attiecībā uz šādiem pabalstiem neņem vērā snieguma kritērijus), kā minēts </w:t>
            </w:r>
            <w:r>
              <w:rPr>
                <w:sz w:val="24"/>
                <w:i/>
                <w:rFonts w:ascii="Times New Roman" w:hAnsi="Times New Roman"/>
              </w:rPr>
              <w:t xml:space="preserve">CRD</w:t>
            </w:r>
            <w:r>
              <w:rPr>
                <w:sz w:val="24"/>
                <w:rFonts w:ascii="Times New Roman" w:hAnsi="Times New Roman"/>
              </w:rPr>
              <w:t xml:space="preserve"> 64. apsvērumā, vai citus atalgojuma veidus, piemēram, automobiļu pabalstus.</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Vadības struktūras pārvaldības funkcija</w:t>
            </w:r>
            <w:r>
              <w:rPr>
                <w:b/>
                <w:sz w:val="24"/>
                <w:rFonts w:ascii="Times New Roman" w:hAnsi="Times New Roman"/>
              </w:rPr>
              <w:t xml:space="preserve"> </w:t>
            </w:r>
          </w:p>
          <w:p w14:paraId="7D897A2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Vadības struktūras locekļi, kuri atbild par pārvaldības funkcijām;</w:t>
            </w:r>
            <w:r>
              <w:rPr>
                <w:sz w:val="24"/>
                <w:rFonts w:ascii="Times New Roman" w:hAnsi="Times New Roman"/>
              </w:rPr>
              <w:t xml:space="preserve"> </w:t>
            </w:r>
            <w:r>
              <w:rPr>
                <w:sz w:val="24"/>
                <w:rFonts w:ascii="Times New Roman" w:hAnsi="Times New Roman"/>
              </w:rPr>
              <w:t xml:space="preserve">šīs veidnes 8., 9., 10., 11. un 12. rindā norādīto vērtību summa.</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 xml:space="preserve">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Cita augstākā vadība</w:t>
            </w:r>
          </w:p>
          <w:p w14:paraId="015BE95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Augstākā vadība, kā definēts </w:t>
            </w:r>
            <w:r>
              <w:rPr>
                <w:sz w:val="24"/>
                <w:i/>
                <w:rFonts w:ascii="Times New Roman" w:hAnsi="Times New Roman"/>
              </w:rPr>
              <w:t xml:space="preserve">CRD</w:t>
            </w:r>
            <w:r>
              <w:rPr>
                <w:sz w:val="24"/>
                <w:rFonts w:ascii="Times New Roman" w:hAnsi="Times New Roman"/>
              </w:rPr>
              <w:t xml:space="preserve"> 3. panta 1. punkta 9. apakšpunktā;</w:t>
            </w:r>
            <w:r>
              <w:rPr>
                <w:sz w:val="24"/>
                <w:rFonts w:ascii="Times New Roman" w:hAnsi="Times New Roman"/>
              </w:rPr>
              <w:t xml:space="preserve"> </w:t>
            </w:r>
            <w:r>
              <w:rPr>
                <w:sz w:val="24"/>
                <w:rFonts w:ascii="Times New Roman" w:hAnsi="Times New Roman"/>
              </w:rPr>
              <w:t xml:space="preserve">šīs veidnes 14., 15., 16., 17. un 18. rindā norādīto vērtību summa.</w:t>
            </w:r>
          </w:p>
          <w:p w14:paraId="3E12A111"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Iestādes atklāj augstākās vadības locekļu skaitu, kuri nav norādīti pozīcijā “Vadības struktūra kā pārvaldības veicēja” un kā “Citi identificētie darbinieki”.</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 xml:space="preserve">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Citi identificētie darbinieki</w:t>
            </w:r>
          </w:p>
          <w:p w14:paraId="1561B7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Citi darbinieki (izņemot vadības struktūru kā uzraudzības veicēju vai kā pārvaldības veicēju un izņemot augstāko vadību), kuru profesionālajai darbībai ir būtiska ietekme uz iestādes riska profilu, saskaņā ar kritērijiem, kas noteikti Komisijas Deleģētajā regulā par identificētajiem darbiniekiem, ar kuru īsteno </w:t>
            </w:r>
            <w:r>
              <w:rPr>
                <w:sz w:val="24"/>
                <w:i/>
                <w:rFonts w:ascii="Times New Roman" w:hAnsi="Times New Roman"/>
              </w:rPr>
              <w:t xml:space="preserve">CRD</w:t>
            </w:r>
            <w:r>
              <w:rPr>
                <w:sz w:val="24"/>
                <w:rFonts w:ascii="Times New Roman" w:hAnsi="Times New Roman"/>
              </w:rPr>
              <w:t xml:space="preserve"> 94. panta 2. punktu, un – attiecīgā gadījumā – arī pamatojoties uz iestāžu kritērijiem;</w:t>
            </w:r>
            <w:r>
              <w:rPr>
                <w:sz w:val="24"/>
                <w:rFonts w:ascii="Times New Roman" w:hAnsi="Times New Roman"/>
              </w:rPr>
              <w:t xml:space="preserve"> </w:t>
            </w:r>
            <w:r>
              <w:rPr>
                <w:sz w:val="24"/>
                <w:rFonts w:ascii="Times New Roman" w:hAnsi="Times New Roman"/>
              </w:rPr>
              <w:t xml:space="preserve">šīs veidnes 20., 21., 22., 23. un 24. rindā norādīto vērtību summa.</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 xml:space="preserve">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Kopējā summa</w:t>
            </w:r>
          </w:p>
          <w:p w14:paraId="70B531D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Šīs veidnes 1., 7., 13. un 19. rindā norādīto vērtību summa.</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Paskaidrojums</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b/>
                <w:color w:val="000000"/>
                <w:sz w:val="24"/>
                <w:rFonts w:ascii="Times New Roman" w:hAnsi="Times New Roman"/>
              </w:rPr>
            </w:pPr>
            <w:r>
              <w:rPr>
                <w:b/>
                <w:sz w:val="24"/>
                <w:rFonts w:ascii="Times New Roman" w:hAnsi="Times New Roman"/>
              </w:rPr>
              <w:t xml:space="preserve">Par iepriekšējiem darbības periodiem piešķirtā atliktā atalgojuma </w:t>
            </w:r>
            <w:r>
              <w:rPr>
                <w:b/>
                <w:sz w:val="24"/>
                <w:color w:val="000000"/>
                <w:rFonts w:ascii="Times New Roman" w:hAnsi="Times New Roman"/>
              </w:rPr>
              <w:t xml:space="preserve">kopsumma</w:t>
            </w:r>
          </w:p>
          <w:p w14:paraId="7D355FC1"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Atliktā atalgojuma kopsumma, kas noteikta saskaņā ar </w:t>
            </w:r>
            <w:r>
              <w:rPr>
                <w:sz w:val="24"/>
                <w:i/>
                <w:rFonts w:ascii="Times New Roman" w:hAnsi="Times New Roman"/>
              </w:rPr>
              <w:t xml:space="preserve">CRD</w:t>
            </w:r>
            <w:r>
              <w:rPr>
                <w:sz w:val="24"/>
                <w:rFonts w:ascii="Times New Roman" w:hAnsi="Times New Roman"/>
              </w:rPr>
              <w:t xml:space="preserve"> 94. pantu un piešķirta par iepriekšējiem darbības periodiem (šīs veidnes b un c ailē norādīto vērtību kopsumma)</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T. sk. kas jāatvēl finanšu gadā</w:t>
            </w:r>
          </w:p>
          <w:p w14:paraId="1877D636"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Par iepriekšējiem darbības periodiem piešķirtā atliktā atalgojuma summa, kas noteikta saskaņā ar </w:t>
            </w:r>
            <w:r>
              <w:rPr>
                <w:sz w:val="24"/>
                <w:i/>
                <w:rFonts w:ascii="Times New Roman" w:hAnsi="Times New Roman"/>
              </w:rPr>
              <w:t xml:space="preserve">CRD</w:t>
            </w:r>
            <w:r>
              <w:rPr>
                <w:sz w:val="24"/>
                <w:rFonts w:ascii="Times New Roman" w:hAnsi="Times New Roman"/>
              </w:rPr>
              <w:t xml:space="preserve"> 94. pantu un kas jāatvēl finanšu gadā</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T. sk. atvēlēti turpmākajos finanšu gados</w:t>
            </w:r>
          </w:p>
          <w:p w14:paraId="41D97AF8"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Par iepriekšējiem darbības periodiem piešķirtā atliktā atalgojuma summa, kas noteikta saskaņā ar </w:t>
            </w:r>
            <w:r>
              <w:rPr>
                <w:sz w:val="24"/>
                <w:i/>
                <w:rFonts w:ascii="Times New Roman" w:hAnsi="Times New Roman"/>
              </w:rPr>
              <w:t xml:space="preserve">CRD</w:t>
            </w:r>
            <w:r>
              <w:rPr>
                <w:sz w:val="24"/>
                <w:rFonts w:ascii="Times New Roman" w:hAnsi="Times New Roman"/>
              </w:rPr>
              <w:t xml:space="preserve"> 94. pantu un kas tiks atvēlēta turpmākajos finanšu gados</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Tās darbības korekcijas summa, kas veikta finanšu gadā atliktajam atalgojumam, kurš bija jāatvēl finanšu gadā</w:t>
            </w:r>
          </w:p>
          <w:p w14:paraId="1571AC97"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Atliktā atalgojuma darbības korekcijas summa, kas noteikta saskaņā ar </w:t>
            </w:r>
            <w:r>
              <w:rPr>
                <w:sz w:val="24"/>
                <w:i/>
                <w:rFonts w:ascii="Times New Roman" w:hAnsi="Times New Roman"/>
              </w:rPr>
              <w:t xml:space="preserve">CRD</w:t>
            </w:r>
            <w:r>
              <w:rPr>
                <w:sz w:val="24"/>
                <w:rFonts w:ascii="Times New Roman" w:hAnsi="Times New Roman"/>
              </w:rPr>
              <w:t xml:space="preserve"> 94. pantu, atalgojumam, kas bija jāatvēl finanšu gados</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Tās darbības korekcijas summa, kas veikta finanšu gadā atliktajam atalgojumam, kurš jāatvēl turpmākajos finanšu gados</w:t>
            </w:r>
          </w:p>
          <w:p w14:paraId="2D3814D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Atliktā atalgojuma darbības korekcijas summa, kas noteikta saskaņā ar </w:t>
            </w:r>
            <w:r>
              <w:rPr>
                <w:sz w:val="24"/>
                <w:i/>
                <w:rFonts w:ascii="Times New Roman" w:hAnsi="Times New Roman"/>
              </w:rPr>
              <w:t xml:space="preserve">CRD</w:t>
            </w:r>
            <w:r>
              <w:rPr>
                <w:sz w:val="24"/>
                <w:rFonts w:ascii="Times New Roman" w:hAnsi="Times New Roman"/>
              </w:rPr>
              <w:t xml:space="preserve"> 94. pantu, atalgojumam, kas jāatvēl turpmākajos darbības gados</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To korekciju kopsumma, kuras veiktas finanšu gadā saistībā ar netiešām </w:t>
            </w:r>
            <w:r>
              <w:rPr>
                <w:b/>
                <w:sz w:val="24"/>
                <w:i/>
                <w:rFonts w:ascii="Times New Roman" w:hAnsi="Times New Roman"/>
              </w:rPr>
              <w:t xml:space="preserve">ex post</w:t>
            </w:r>
            <w:r>
              <w:rPr>
                <w:b/>
                <w:sz w:val="24"/>
                <w:rFonts w:ascii="Times New Roman" w:hAnsi="Times New Roman"/>
              </w:rPr>
              <w:t xml:space="preserve"> korekcijām finanšu gadā (t. i., atliktā atalgojuma vērtības izmaiņas instrumentu cenu izmaiņu dēļ)</w:t>
            </w:r>
          </w:p>
          <w:p w14:paraId="6472C5F0"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Attiecīgā gadījumā – summa vērtības izmaiņām finanšu gadā, kuru iemesls bijušas netiešas </w:t>
            </w:r>
            <w:r>
              <w:rPr>
                <w:sz w:val="24"/>
                <w:i/>
                <w:rFonts w:ascii="Times New Roman" w:hAnsi="Times New Roman"/>
              </w:rPr>
              <w:t xml:space="preserve">ex post</w:t>
            </w:r>
            <w:r>
              <w:rPr>
                <w:sz w:val="24"/>
                <w:rFonts w:ascii="Times New Roman" w:hAnsi="Times New Roman"/>
              </w:rPr>
              <w:t xml:space="preserve"> korekcijas, piemēram, atliktā atalgojuma vērtības izmaiņas instrumentu cenu izmaiņu dēļ, kas aplēsta iespēju robežās.</w:t>
            </w:r>
            <w:r>
              <w:rPr>
                <w:sz w:val="24"/>
                <w:rFonts w:ascii="Times New Roman" w:hAnsi="Times New Roman"/>
              </w:rPr>
              <w:t xml:space="preserve">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 xml:space="preserve">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Atliktā atalgojuma, kas piešķirts pirms finanšu gada un faktiski izmaksāts finanšu gadā, kopsumma</w:t>
            </w:r>
          </w:p>
          <w:p w14:paraId="711625D8"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Atliktā atalgojuma summa, kā noteikts saskaņā ar </w:t>
            </w:r>
            <w:r>
              <w:rPr>
                <w:sz w:val="24"/>
                <w:i/>
                <w:rFonts w:ascii="Times New Roman" w:hAnsi="Times New Roman"/>
              </w:rPr>
              <w:t xml:space="preserve">CRD</w:t>
            </w:r>
            <w:r>
              <w:rPr>
                <w:sz w:val="24"/>
                <w:rFonts w:ascii="Times New Roman" w:hAnsi="Times New Roman"/>
              </w:rPr>
              <w:t xml:space="preserve"> 94. pantu, kura izmaksāta finanšu gadā</w:t>
            </w:r>
          </w:p>
          <w:p w14:paraId="79B6CE2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Tiklīdz atliktais atalgojums ir atvēlēts, to uzskata par izmaksātu.</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 xml:space="preserve">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b/>
                <w:sz w:val="24"/>
                <w:rFonts w:ascii="Times New Roman" w:hAnsi="Times New Roman"/>
              </w:rPr>
            </w:pPr>
            <w:r>
              <w:rPr>
                <w:b/>
                <w:sz w:val="24"/>
                <w:rFonts w:ascii="Times New Roman" w:hAnsi="Times New Roman"/>
              </w:rPr>
              <w:t xml:space="preserve">Atliktā atalgojuma, kas piešķirts par iepriekšējo darbības periodu un kas ir atvēlēts, bet kam piemēro ieturēšanas periodus, kopsumma</w:t>
            </w:r>
          </w:p>
          <w:p w14:paraId="64A6D4B4"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Atliktā atalgojuma summa, kas piešķirta par iepriekšējiem darbības periodiem un kas ir atvēlēta, bet kam piemēro ieturēšanas periodus, kā noteikts saskaņā ar </w:t>
            </w:r>
            <w:r>
              <w:rPr>
                <w:sz w:val="24"/>
                <w:i/>
                <w:rFonts w:ascii="Times New Roman" w:hAnsi="Times New Roman"/>
              </w:rPr>
              <w:t xml:space="preserve">CRD</w:t>
            </w:r>
            <w:r>
              <w:rPr>
                <w:sz w:val="24"/>
                <w:rFonts w:ascii="Times New Roman" w:hAnsi="Times New Roman"/>
              </w:rPr>
              <w:t xml:space="preserve"> 94. pantu</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Veidne EU REM4 – Atalgojums, kas sasniedz 1 miljonu EUR vai vairāk gadā.</w:t>
      </w:r>
      <w:r>
        <w:rPr>
          <w:color w:val="auto"/>
          <w:sz w:val="24"/>
          <w:b/>
          <w:rFonts w:ascii="Times New Roman" w:hAnsi="Times New Roman"/>
        </w:rPr>
        <w:t xml:space="preserve"> </w:t>
      </w:r>
      <w:r>
        <w:rPr>
          <w:color w:val="auto"/>
          <w:sz w:val="24"/>
          <w:rFonts w:ascii="Times New Roman" w:hAnsi="Times New Roman"/>
        </w:rPr>
        <w:t xml:space="preserve">Fiksēts formāts.</w:t>
      </w:r>
    </w:p>
    <w:p w14:paraId="6DEF9BC5"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Iestādes atklāj </w:t>
      </w:r>
      <w:r>
        <w:rPr>
          <w:color w:val="auto"/>
          <w:sz w:val="24"/>
          <w:i/>
          <w:rFonts w:ascii="Times New Roman" w:hAnsi="Times New Roman"/>
        </w:rPr>
        <w:t xml:space="preserve">CRR</w:t>
      </w:r>
      <w:r>
        <w:rPr>
          <w:color w:val="auto"/>
          <w:sz w:val="24"/>
          <w:rFonts w:ascii="Times New Roman" w:hAnsi="Times New Roman"/>
        </w:rPr>
        <w:t xml:space="preserve"> 450. panta 1. punkta i) apakšpunktā minēto informāciju, ievērojot turpmāk šajā pielikumā sniegtos norādījumus, lai aizpildītu šīs īstenošanas regulas XXXIII pielikumā ietverto veidni EU REM4.</w:t>
      </w:r>
    </w:p>
    <w:p w14:paraId="1C37B7B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Datus iesniedz, izmantojot grāmatvedības gada beigu skaitļus, izteiktus euro valūtā. Visas summas atklāj kā pilnas summas, nevis noapaļotas summas, euro valūtā (piemēram, 1 234 567 EUR, nevis 1,2 miljoni EUR).</w:t>
      </w:r>
      <w:r>
        <w:rPr>
          <w:color w:val="auto"/>
          <w:sz w:val="24"/>
          <w:rFonts w:ascii="Times New Roman" w:hAnsi="Times New Roman"/>
        </w:rPr>
        <w:t xml:space="preserve"> </w:t>
      </w:r>
      <w:r>
        <w:rPr>
          <w:color w:val="auto"/>
          <w:sz w:val="24"/>
          <w:rFonts w:ascii="Times New Roman" w:hAnsi="Times New Roman"/>
        </w:rPr>
        <w:t xml:space="preserve">Ja atalgojuma valūta nav EUR, atklājamo konsolidēto skaitļu pārrēķināšanai izmanto valūtas maiņas kursu, ko izmanto Komisija finanšu plānojumam un budžetam par pārskata gada decembri.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Atalgojums no 1 līdz 5 miljoniem EUR finanšu gadā, sadalījumā pa 500 000 EUR grupām</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Atalgojums, kas pārsniedz 5 miljonus EUR finanšu gadā, sadalījumā pa 1 miljona EUR grupām</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Paskaidrojums</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To identificēto darbinieku skaits, kuriem finanšu gadā piešķirts atalgojums 1 miljona EUR vai lielākā apmērā</w:t>
            </w:r>
          </w:p>
          <w:p w14:paraId="760880E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Iestādes atklāj informāciju, pamatojoties uz darbinieku skaitu.</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Veidne EU REM5 – Informācija par darbiniekiem, kuru profesionālajai darbībai ir būtiska ietekme uz iestāžu riska profilu (identificētie darbinieki).</w:t>
      </w:r>
      <w:r>
        <w:rPr>
          <w:color w:val="auto"/>
          <w:sz w:val="24"/>
          <w:b/>
          <w:rFonts w:ascii="Times New Roman" w:hAnsi="Times New Roman"/>
        </w:rPr>
        <w:t xml:space="preserve"> </w:t>
      </w:r>
      <w:r>
        <w:rPr>
          <w:color w:val="auto"/>
          <w:sz w:val="24"/>
          <w:rFonts w:ascii="Times New Roman" w:hAnsi="Times New Roman"/>
        </w:rPr>
        <w:t xml:space="preserve">Fiksēts formāts.</w:t>
      </w:r>
    </w:p>
    <w:p w14:paraId="247BF82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Iestādes atklāj </w:t>
      </w:r>
      <w:r>
        <w:rPr>
          <w:color w:val="auto"/>
          <w:sz w:val="24"/>
          <w:i/>
          <w:rFonts w:ascii="Times New Roman" w:hAnsi="Times New Roman"/>
        </w:rPr>
        <w:t xml:space="preserve">CRR</w:t>
      </w:r>
      <w:r>
        <w:rPr>
          <w:color w:val="auto"/>
          <w:sz w:val="24"/>
          <w:rFonts w:ascii="Times New Roman" w:hAnsi="Times New Roman"/>
        </w:rPr>
        <w:t xml:space="preserve"> 450. panta 1. punkta g) apakšpunktā minēto informāciju, ievērojot turpmāk šajā pielikumā sniegtos norādījumus, lai aizpildītu šīs īstenošanas regulas XXXIII pielikumā ietverto veidni EU REM5.</w:t>
      </w:r>
    </w:p>
    <w:p w14:paraId="42ECBD7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Attiecībā uz ailēm, kurās ir iedalījums pa darbības jomām, visus aizdevumus, tostarp korporatīvos aizdevumus, iekļauj aizdevumos privātpersonām vai MVU.</w:t>
      </w:r>
      <w:r>
        <w:rPr>
          <w:color w:val="auto"/>
          <w:sz w:val="24"/>
          <w:rFonts w:ascii="Times New Roman" w:hAnsi="Times New Roman"/>
        </w:rPr>
        <w:t xml:space="preserve"> </w:t>
      </w:r>
      <w:r>
        <w:rPr>
          <w:color w:val="auto"/>
          <w:sz w:val="24"/>
          <w:rFonts w:ascii="Times New Roman" w:hAnsi="Times New Roman"/>
        </w:rPr>
        <w:t xml:space="preserve">Attiecībā uz ieguldījumu banku pakalpojumiem tie ietver korporatīvo finansējumu tirdzniecībai un pārdošanai.</w:t>
      </w:r>
      <w:r>
        <w:rPr>
          <w:color w:val="auto"/>
          <w:sz w:val="24"/>
          <w:rFonts w:ascii="Times New Roman" w:hAnsi="Times New Roman"/>
        </w:rPr>
        <w:t xml:space="preserve"> </w:t>
      </w:r>
      <w:r>
        <w:rPr>
          <w:color w:val="auto"/>
          <w:sz w:val="24"/>
          <w:rFonts w:ascii="Times New Roman" w:hAnsi="Times New Roman"/>
        </w:rPr>
        <w:t xml:space="preserve">Plašāki norādījumi par darbībām, kas ietvertas minētajās darbības jomās, ir atrodami </w:t>
      </w:r>
      <w:r>
        <w:rPr>
          <w:color w:val="auto"/>
          <w:sz w:val="24"/>
          <w:i/>
          <w:rFonts w:ascii="Times New Roman" w:hAnsi="Times New Roman"/>
        </w:rPr>
        <w:t xml:space="preserve">CRR</w:t>
      </w:r>
      <w:r>
        <w:rPr>
          <w:color w:val="auto"/>
          <w:sz w:val="24"/>
          <w:rFonts w:ascii="Times New Roman" w:hAnsi="Times New Roman"/>
        </w:rPr>
        <w:t xml:space="preserve"> 317. pantā, tabulā, kurā noteiktas darbības jomas atbilstoši standartizētajai pieejai attiecībā uz operacionālo risku.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Atsauces uz tiesību aktiem un norādījumi</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Identificēto darbinieku kopējais skaits</w:t>
            </w:r>
          </w:p>
          <w:p w14:paraId="2278F4D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Darbinieki, kuru profesionālajai darbībai ir būtiska ietekme uz iestāžu riska profilu (identificētie darbinieki), iestādē un tās meitasuzņēmumos, t. sk. meitasuzņēmumos, uz kuriem neattiecas </w:t>
            </w:r>
            <w:r>
              <w:rPr>
                <w:sz w:val="24"/>
                <w:i/>
                <w:rFonts w:ascii="Times New Roman" w:hAnsi="Times New Roman"/>
              </w:rPr>
              <w:t xml:space="preserve">CRD</w:t>
            </w:r>
            <w:r>
              <w:rPr>
                <w:sz w:val="24"/>
                <w:rFonts w:ascii="Times New Roman" w:hAnsi="Times New Roman"/>
              </w:rPr>
              <w:t xml:space="preserve">, un visi to attiecīgo vadības struktūru locekļi.</w:t>
            </w:r>
          </w:p>
          <w:p w14:paraId="15553C4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Vērtību atklāj, pamatojoties uz </w:t>
            </w:r>
            <w:r>
              <w:rPr>
                <w:sz w:val="24"/>
                <w:i/>
                <w:rFonts w:ascii="Times New Roman" w:hAnsi="Times New Roman"/>
              </w:rPr>
              <w:t xml:space="preserve">FTE</w:t>
            </w:r>
            <w:r>
              <w:rPr>
                <w:sz w:val="24"/>
                <w:rFonts w:ascii="Times New Roman" w:hAnsi="Times New Roman"/>
              </w:rPr>
              <w:t xml:space="preserve">.</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vadības struktūras locekļi</w:t>
            </w:r>
          </w:p>
          <w:p w14:paraId="626C0F05"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Locekļu skaits attiecīgajā vadības struktūrā kā uzraudzības veicējā un kā pārvaldības veicējā, kā arī visā vadības struktūrā</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cita augstākā vadība</w:t>
            </w:r>
          </w:p>
          <w:p w14:paraId="1F28E03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citi darbinieki, kuri nav vadības struktūras locekļi un ir augstākās vadības locekļi, kā definēts </w:t>
            </w:r>
            <w:r>
              <w:rPr>
                <w:sz w:val="24"/>
                <w:i/>
                <w:rFonts w:ascii="Times New Roman" w:hAnsi="Times New Roman"/>
              </w:rPr>
              <w:t xml:space="preserve">CRD</w:t>
            </w:r>
            <w:r>
              <w:rPr>
                <w:sz w:val="24"/>
                <w:rFonts w:ascii="Times New Roman" w:hAnsi="Times New Roman"/>
              </w:rPr>
              <w:t xml:space="preserve"> 3. panta 1. punkta 9. apakšpunktā</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citi identificētie darbinieki</w:t>
            </w:r>
          </w:p>
          <w:p w14:paraId="110712E4" w14:textId="77777777" w:rsidR="00965CEB" w:rsidRPr="007F4CC8" w:rsidRDefault="00965CEB" w:rsidP="004F3087">
            <w:pPr>
              <w:autoSpaceDE w:val="0"/>
              <w:autoSpaceDN w:val="0"/>
              <w:adjustRightInd w:val="0"/>
              <w:spacing w:before="60" w:after="120"/>
              <w:jc w:val="both"/>
              <w:rPr>
                <w:sz w:val="24"/>
                <w:highlight w:val="yellow"/>
                <w:rFonts w:ascii="Times New Roman" w:hAnsi="Times New Roman"/>
              </w:rPr>
            </w:pPr>
            <w:r>
              <w:rPr>
                <w:sz w:val="24"/>
                <w:rFonts w:ascii="Times New Roman" w:hAnsi="Times New Roman"/>
              </w:rPr>
              <w:t xml:space="preserve">Citi darbinieki (izņemot vadības struktūras locekļus un augstākās vadības locekļus), kuru profesionālajai darbībai ir būtiska ietekme uz iestādes riska profilu saskaņā ar kritērijiem, kas noteikti Komisijas Deleģētajā regulā par identificētajiem darbiniekiem, ar kuru īsteno </w:t>
            </w:r>
            <w:r>
              <w:rPr>
                <w:sz w:val="24"/>
                <w:i/>
                <w:rFonts w:ascii="Times New Roman" w:hAnsi="Times New Roman"/>
              </w:rPr>
              <w:t xml:space="preserve">CRD</w:t>
            </w:r>
            <w:r>
              <w:rPr>
                <w:sz w:val="24"/>
                <w:rFonts w:ascii="Times New Roman" w:hAnsi="Times New Roman"/>
              </w:rPr>
              <w:t xml:space="preserve"> 94. panta 2. punktu, un – attiecīgā gadījumā – arī pamatojoties uz iestāžu kritērijiem.</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Identificēto darbinieku kopējais atalgojums</w:t>
            </w:r>
          </w:p>
          <w:p w14:paraId="393FC23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Atalgojuma kopsumma ir atalgojuma nemainīgās un mainīgās daļas visi veidi un ietver maksājumus un pabalstus (monetārus vai nemonetārus), ko iestādes tiešā veidā piešķīrušas vai kas piešķirti šo iestāžu uzdevumā apmaiņā pret profesionālajiem pakalpojumiem, kurus snieguši darbinieki, procentu maksājumus Direktīvas 2011/61/ES</w:t>
            </w:r>
            <w:r>
              <w:rPr>
                <w:rStyle w:val="FootnoteReference"/>
                <w:rFonts w:cs="Times New Roman"/>
              </w:rPr>
              <w:footnoteReference w:id="4"/>
            </w:r>
            <w:r>
              <w:rPr>
                <w:sz w:val="24"/>
                <w:rFonts w:ascii="Times New Roman" w:hAnsi="Times New Roman"/>
              </w:rPr>
              <w:t xml:space="preserve"> 4. panta 1. punkta d) apakšpunkta nozīmē un citus maksājumus, kas veikti, izmantojot metodes un līdzekļus, kuri, ja tos neuzskatītu par atalgojumu, izraisītu </w:t>
            </w:r>
            <w:r>
              <w:rPr>
                <w:sz w:val="24"/>
                <w:i/>
                <w:rFonts w:ascii="Times New Roman" w:hAnsi="Times New Roman"/>
              </w:rPr>
              <w:t xml:space="preserve">CRD</w:t>
            </w:r>
            <w:r>
              <w:rPr>
                <w:sz w:val="24"/>
                <w:rFonts w:ascii="Times New Roman" w:hAnsi="Times New Roman"/>
              </w:rPr>
              <w:t xml:space="preserve"> noteikto atalgojuma prasību apiešanu.</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atalgojuma mainīgā daļa</w:t>
            </w:r>
          </w:p>
          <w:p w14:paraId="4089EA4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Visu to atalgojuma komponentu summa, kas nav atalgojuma nemainīgā daļa un kas minēti šīs veidnes 7. rindā.</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T. sk.:</w:t>
            </w:r>
            <w:r>
              <w:rPr>
                <w:b/>
                <w:sz w:val="24"/>
                <w:rFonts w:ascii="Times New Roman" w:hAnsi="Times New Roman"/>
              </w:rPr>
              <w:t xml:space="preserve"> </w:t>
            </w:r>
            <w:r>
              <w:rPr>
                <w:b/>
                <w:sz w:val="24"/>
                <w:rFonts w:ascii="Times New Roman" w:hAnsi="Times New Roman"/>
              </w:rPr>
              <w:t xml:space="preserve">fiksētais atalgojums</w:t>
            </w:r>
          </w:p>
          <w:p w14:paraId="6D2B67C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Iestādes uzskata atalgojumu par atalgojuma nemainīgo daļu, ja nosacījumi tā piešķiršanai un tā summai:</w:t>
            </w:r>
            <w:r>
              <w:rPr>
                <w:sz w:val="24"/>
                <w:rFonts w:ascii="Times New Roman" w:hAnsi="Times New Roman"/>
              </w:rPr>
              <w:t xml:space="preserve">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ir balstīti uz iepriekš noteiktiem kritērijiem;</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ir nediskrecionāri, atspoguļojot darbinieku profesionālās pieredzes līmeni un amata stāžu;</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ir pārredzami attiecībā uz individuālo summu, ko piešķir individuālajam darbiniekam;</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ir pastāvīgi, t. i., tiek saglabāti periodā, kas saistīts ar konkrēto lomu un organizatoriskajiem pienākumiem;</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ir neatsaucami;</w:t>
            </w:r>
            <w:r>
              <w:rPr>
                <w:sz w:val="24"/>
                <w:rFonts w:ascii="Times New Roman" w:hAnsi="Times New Roman"/>
              </w:rPr>
              <w:t xml:space="preserve"> </w:t>
            </w:r>
            <w:r>
              <w:rPr>
                <w:sz w:val="24"/>
                <w:rFonts w:ascii="Times New Roman" w:hAnsi="Times New Roman"/>
              </w:rPr>
              <w:t xml:space="preserve">pastāvīgā summa tiek mainīta tikai darba koplīgumu slēgšanas sarunās vai pēc atkārtotām sarunām atbilstoši valstī pastāvošajiem algu noteikšanas kritērijiem;</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iestāde tos nevar samazināt, apturēt vai atcelt;</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neparedz stimulus, lai uzņemtos risku,</w:t>
            </w:r>
            <w:r>
              <w:rPr>
                <w:sz w:val="24"/>
                <w:rFonts w:ascii="Times New Roman" w:hAnsi="Times New Roman"/>
              </w:rPr>
              <w:t xml:space="preserve"> </w:t>
            </w:r>
            <w:r>
              <w:rPr>
                <w:sz w:val="24"/>
                <w:rFonts w:ascii="Times New Roman" w:hAnsi="Times New Roman"/>
              </w:rPr>
              <w:t xml:space="preserve">un</w:t>
            </w:r>
            <w:r>
              <w:rPr>
                <w:sz w:val="24"/>
                <w:rFonts w:ascii="Times New Roman" w:hAnsi="Times New Roman"/>
              </w:rPr>
              <w:t xml:space="preserve">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nav atkarīgi no snieguma.</w:t>
            </w:r>
            <w:r>
              <w:rPr>
                <w:sz w:val="24"/>
                <w:rFonts w:ascii="Times New Roman" w:hAnsi="Times New Roman"/>
              </w:rPr>
              <w:t xml:space="preserve">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Paskaidrojums</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a, b un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Vadības struktūra</w:t>
            </w:r>
          </w:p>
          <w:p w14:paraId="2D246C9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Iestādes vadības struktūras funkcija, atsevišķi nodalot uzraudzības funkciju un pārvaldības funkciju</w:t>
            </w:r>
          </w:p>
          <w:p w14:paraId="6966FBB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Iestādes atklāj informāciju, pamatojoties uz darbinieku skaitu.</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Darbības jomas</w:t>
            </w:r>
          </w:p>
          <w:p w14:paraId="3897E6F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Iestādes galvenās darbības jomas, piemēram, ieguldījumu pakalpojumi, privātpersonu vai MVU bankas pakalpojumi, aktīvu pārvaldība, korporatīvās funkcijas, neatkarīgas iekšējās kontroles funkcijas</w:t>
            </w:r>
            <w:r>
              <w:rPr>
                <w:sz w:val="24"/>
                <w:rFonts w:ascii="Times New Roman" w:hAnsi="Times New Roman"/>
              </w:rPr>
              <w:t xml:space="preserve"> </w:t>
            </w:r>
          </w:p>
          <w:p w14:paraId="3683649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Informāciju atklāj, pamatojoties uz </w:t>
            </w:r>
            <w:r>
              <w:rPr>
                <w:sz w:val="24"/>
                <w:i/>
                <w:rFonts w:ascii="Times New Roman" w:hAnsi="Times New Roman"/>
              </w:rPr>
              <w:t xml:space="preserve">FTE</w:t>
            </w:r>
            <w:r>
              <w:rPr>
                <w:sz w:val="24"/>
                <w:rFonts w:ascii="Times New Roman" w:hAnsi="Times New Roman"/>
              </w:rPr>
              <w:t xml:space="preserve">.</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Visas pārējās</w:t>
            </w:r>
          </w:p>
          <w:p w14:paraId="73AEF5B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Visas pārējās darbības jomas, kas nav atsevišķi iekļautas iepriekšējās ailēs</w:t>
            </w:r>
            <w:r>
              <w:rPr>
                <w:sz w:val="24"/>
                <w:rFonts w:ascii="Times New Roman" w:hAnsi="Times New Roman"/>
              </w:rPr>
              <w:t xml:space="preserve"> </w:t>
            </w:r>
          </w:p>
          <w:p w14:paraId="1A1569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Informāciju atklāj, pamatojoties uz </w:t>
            </w:r>
            <w:r>
              <w:rPr>
                <w:sz w:val="24"/>
                <w:i/>
                <w:rFonts w:ascii="Times New Roman" w:hAnsi="Times New Roman"/>
              </w:rPr>
              <w:t xml:space="preserve">FTE</w:t>
            </w:r>
            <w:r>
              <w:rPr>
                <w:sz w:val="24"/>
                <w:rFonts w:ascii="Times New Roman" w:hAnsi="Times New Roman"/>
              </w:rPr>
              <w:t xml:space="preserve">.</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 xml:space="preserve"> </w:t>
      </w:r>
      <w:r>
        <w:tab/>
      </w:r>
      <w:r>
        <w:t xml:space="preserve">Eiropas Parlamenta un Padomes Direktīva 2013/36/ES (2013. gada 26. jūnijs) par piekļuvi kredītiestāžu darbībai un kredītiestāžu prudenciālo uzraudzību, ar ko groza Direktīvu 2002/87/EK un atceļ Direktīvas 2006/48/EK un 2006/49/EK (OV L 176, 27.6.2013., 338. lpp.).</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r>
      <w:r>
        <w:t xml:space="preserve">KOMISIJAS DELEĢĒTĀ REGULA (ES) Nr. 604/2014 (2014. gada 4. marts), ar ko papildina Eiropas Parlamenta un Padomes Direktīvu 2013/36/ES attiecībā uz regulatīvajiem tehniskajiem standartiem par kvalitātes un attiecīgiem kvantitātes kritērijiem, kas vajadzīgi, lai noteiktu to darbinieku kategorijas, kuru profesionālajai darbībai ir būtiska ietekme uz iestādes riska profilu (OV L 167, 6.6.2014., 30. lpp.).</w:t>
      </w:r>
    </w:p>
  </w:footnote>
  <w:footnote w:id="4">
    <w:p w14:paraId="2890C799" w14:textId="77777777" w:rsidR="00965CEB" w:rsidRDefault="00965CEB" w:rsidP="00965CEB">
      <w:pPr>
        <w:pStyle w:val="FootnoteText"/>
      </w:pPr>
      <w:r>
        <w:rPr>
          <w:rStyle w:val="FootnoteReference"/>
        </w:rPr>
        <w:footnoteRef/>
      </w:r>
      <w:r>
        <w:t xml:space="preserve"> Eiropas Parlamenta un Padomes Direktīva 2011/61/ES (2011. gada 8. jūnijs) par alternatīvo ieguldījumu fondu pārvaldniekiem un par grozījumiem Direktīvā 2003/41/EK, Direktīvā 2009/65/EK, Regulā (EK) Nr. 1060/2009 un Regulā (ES) Nr. 1095/2010 (OV L 174, 1.7.2011.,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lang w:val="lv-LV"/>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lang w:val="lv-LV"/>
    </w:rPr>
  </w:style>
  <w:style w:type="character" w:customStyle="1" w:styleId="FootnoteTextChar">
    <w:name w:val="Footnote Text Char"/>
    <w:basedOn w:val="DefaultParagraphFont"/>
    <w:link w:val="FootnoteText"/>
    <w:rsid w:val="00965CEB"/>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2FC84F-5EB7-48DF-B571-0F950F09B9BF}"/>
</file>

<file path=customXml/itemProps2.xml><?xml version="1.0" encoding="utf-8"?>
<ds:datastoreItem xmlns:ds="http://schemas.openxmlformats.org/officeDocument/2006/customXml" ds:itemID="{E098B62A-8CF4-4F94-84C2-AFE28E4472B5}"/>
</file>

<file path=customXml/itemProps3.xml><?xml version="1.0" encoding="utf-8"?>
<ds:datastoreItem xmlns:ds="http://schemas.openxmlformats.org/officeDocument/2006/customXml" ds:itemID="{1D8C6566-D81B-420B-81E1-4AD603EF31B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4422</Words>
  <Characters>24415</Characters>
  <Application>Microsoft Office Word</Application>
  <DocSecurity>0</DocSecurity>
  <Lines>610</Lines>
  <Paragraphs>356</Paragraphs>
  <ScaleCrop>false</ScaleCrop>
  <Company>XXXXXXX</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XXXXXXX</cp:lastModifiedBy>
  <cp:revision>5</cp:revision>
  <dcterms:created xsi:type="dcterms:W3CDTF">2021-03-11T13:58:00Z</dcterms:created>
  <dcterms:modified xsi:type="dcterms:W3CDTF">2024-09-26T15:13:00Z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