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XXIV. melléklet – Speciális hitelezési és részvényjellegű kitettségek nyilvánosságra hozatala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EU CR10 tábla – Speciális hitelezési és részvényjellegű kitettségek.</w:t>
      </w:r>
      <w:r>
        <w:rPr>
          <w:rFonts w:ascii="Times New Roman" w:hAnsi="Times New Roman"/>
          <w:sz w:val="24"/>
        </w:rPr>
        <w:t xml:space="preserve"> Kötött formátumú tábla.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intézmények az EBH IT-megoldásainak XXIII. mellékletében található EU CR10 tábla e mellékletben foglalt útmutató szerinti kitöltésével hozzák nyilvánosságra az 575/2013/EU rendelet (CRR)</w:t>
      </w:r>
      <w:r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438. cikkének e) pontjában említett információkat. Az intézményeknek nyilvánosságra kell hozniuk a következőket: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 153. cikk (5) bekezdésének 1. táblázatában említett speciális hitelezési kitettségek következő típusaira vonatkozó adatok: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„Projektfinanszírozás” (az EU CR10.1 táblában);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„Jövedelemtermelő ingatlanok és magas volatilitású kereskedelmi ingatlanok” (az EU CR10.2 táblában);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„Tárgyieszköz-finanszírozás” (az EU CR10.3 táblában);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„Árufinanszírozás” (az EU CR10.4 táblában);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 részvényjellegű kitettségekre vonatkozó adatok (az EU CR10.5 táblában).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Oszlop jelölése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Jogszabályi hivatkozások és útmutató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Mérlegen belüli kitettség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intézményeknek fel kell tüntetniük a mérlegen belüli kitettségek kitettségértékét az 575/2013/EU rendelet 166. cikke (1)–(7) bekezdésének és 167. cikke (1) bekezdésének megfelelően.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Mérlegen kívüli kitettség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intézményeknek fel kell tüntetniük a mérlegen kívüli kitettségek kitettségértékét az 575/2013/EU rendelet 166. cikkének és 167. cikke (2) bekezdésének megfelelően, az 575/2013/EU rendelet 166. cikkének (8) vagy (9) bekezdésében meghatározott esetleges hitel-egyenértékesítési tényezők, illetve az 575/2013/EU rendelet 166. cikkének (10) bekezdésében meghatározott százalékos arányok figyelembevétele nélkül.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mérlegen kívüli kitettségek magukban foglalják az összes lekötött, de le nem hívott összeget és az összes mérlegen kívüli tételt, az 575/2013/EU rendelet I. mellékletében felsoroltak szerint.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Kockázati súly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Ez az EU CR 10.1–EU CR 10.4 táblák kötött formátumú oszlopa. Tartalma nem változtatható meg. </w:t>
            </w:r>
          </w:p>
          <w:p w14:paraId="2AF282A3" w14:textId="25CC622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Ez az oszlop az EU CR10.1–EU CR10.4 táblák esetében az 575/2013/EU rendelet 153. cikke (5) bekezdésének megfelelően került meghatározásra. Az </w:t>
            </w:r>
            <w:r>
              <w:rPr>
                <w:rFonts w:ascii="Times New Roman" w:hAnsi="Times New Roman"/>
                <w:sz w:val="24"/>
              </w:rPr>
              <w:lastRenderedPageBreak/>
              <w:t>EU CR 10.5 tábla esetében ez rugalmasan kitölthető oszlop. Az intézményeknek a releváns kockázati súlyokat az 575/2013/EU rendelet 133. cikkének (3)–(6) bekezdésével és 495a. cikkének (3) bekezdésével összhangban kell alkalmazniuk.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Kitettségérték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166. vagy 167. cikke szerinti kitettségérték.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Ez az oszlop a mérlegen belüli kitettségeknek és a mérlegen kívüli kitettségeknek az 575/2013/EU rendelet 166. cikkének (8)–(10) bekezdése szerinti hitel-egyenértékesítési tényezők és százalékos arányok utáni összegét tartalmazza.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(EU CR10.1–EU CR10.4 tábla)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Kockázattal súlyozott kitettségérték (Speciális hitelezés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slotting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módszer))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153. cikke (5) bekezdésének megfelelően számított, kockázattal súlyozott kitettségérték adott esetben az 575/2013/EU rendelet 501. és 501a. cikke szerinti szorzók alkalmazása után.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(EU CR10.1–EU CR10.4 tábla)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Várható veszteségérték (Speciális hitelezés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slotting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módszer))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158. cikke (6) bekezdésének megfelelően számított várható veszteségérték.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(EU-CR10.5 tábla)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Várható veszteségérték (Részvényjellegű kitettségek az egyszerű kockázati súlyozási módszer szerint)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Adott esetben az 575/2013/EU rendelet 158. cikke (7) bekezdésének megfelelően számított várható veszteségérték.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Sor jelölése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Jogszabályi hivatkozások és útmutató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Szabályozói kategória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EU CR10.1 – EU CR10.4 tábla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z w:val="24"/>
              </w:rPr>
              <w:t>slotting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módszer alá tartozó speciális hitelezésre alkalmazandó szabályozói kategóriák a speciális hitelezési kitettségek egyes osztályai esetében; az 575/2013/EU rendelet 153. cikkének (5) bekezdésében és a </w:t>
            </w:r>
            <w:proofErr w:type="spellStart"/>
            <w:r>
              <w:rPr>
                <w:rFonts w:ascii="Times New Roman" w:hAnsi="Times New Roman"/>
                <w:sz w:val="24"/>
              </w:rPr>
              <w:t>slotting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módszerrre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vonatkozó végleges szabályozástechnikai standardtervezetben meghatározottak szerint.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Kategóriák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EU CR10.5 tábla Rugalmasan kitölthető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intézményeknek fel kell tüntetniük az 575/2013/EU rendelet 133. cikkének (3)–(6) bekezdése és 495a. cikkének (3) bekezdése alapján a részvényekre alkalmazandó szabályozói kategóriákat.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59A9F" w14:textId="77777777" w:rsidR="00927BCB" w:rsidRDefault="00927BCB" w:rsidP="00A81FD5">
      <w:r>
        <w:separator/>
      </w:r>
    </w:p>
  </w:endnote>
  <w:endnote w:type="continuationSeparator" w:id="0">
    <w:p w14:paraId="5E4350A3" w14:textId="77777777" w:rsidR="00927BCB" w:rsidRDefault="00927BCB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AA8E8" w14:textId="77777777" w:rsidR="00927BCB" w:rsidRDefault="00927BCB" w:rsidP="00A81FD5">
      <w:r>
        <w:separator/>
      </w:r>
    </w:p>
  </w:footnote>
  <w:footnote w:type="continuationSeparator" w:id="0">
    <w:p w14:paraId="5F69744F" w14:textId="77777777" w:rsidR="00927BCB" w:rsidRDefault="00927BCB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Az (EU) 2024/1623 rendelettel módosított 575/2013/EU európai parlamenti és tanácsi rendelet (2013. június 26.) a hitelintézetekre vonatkozó </w:t>
      </w:r>
      <w:proofErr w:type="spellStart"/>
      <w:r>
        <w:t>prudenciális</w:t>
      </w:r>
      <w:proofErr w:type="spellEnd"/>
      <w:r>
        <w:t xml:space="preserve"> követelményekről és a 648/2012/EU rendelet módosításáról (</w:t>
      </w:r>
      <w:hyperlink r:id="rId1" w:history="1">
        <w:r>
          <w:rPr>
            <w:rStyle w:val="Hyperlink"/>
            <w:color w:val="800080"/>
          </w:rPr>
          <w:t>HL L 176., 2013.6.27., 1. o.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(EU) 2024/1623 rendelet – HU –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H – szokásos felhasználásra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H – szokásos felhasználásra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H – szokásos felhasználásr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D48A5B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hu-HU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46F51"/>
    <w:rsid w:val="002A29F0"/>
    <w:rsid w:val="00456335"/>
    <w:rsid w:val="005122C8"/>
    <w:rsid w:val="0053271E"/>
    <w:rsid w:val="006120BE"/>
    <w:rsid w:val="00703E80"/>
    <w:rsid w:val="0089557A"/>
    <w:rsid w:val="00927BCB"/>
    <w:rsid w:val="00964BDB"/>
    <w:rsid w:val="00993FC2"/>
    <w:rsid w:val="00A81FD5"/>
    <w:rsid w:val="00AF68CB"/>
    <w:rsid w:val="00C15CE4"/>
    <w:rsid w:val="00C91B2A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hu-HU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U/TXT/?uri=OJ:L_202401623" TargetMode="External"/><Relationship Id="rId1" Type="http://schemas.openxmlformats.org/officeDocument/2006/relationships/hyperlink" Target="https://eur-lex.europa.eu/legal-content/HU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9C354B-226E-46F0-BC1A-12834F64C812}"/>
</file>

<file path=customXml/itemProps3.xml><?xml version="1.0" encoding="utf-8"?>
<ds:datastoreItem xmlns:ds="http://schemas.openxmlformats.org/officeDocument/2006/customXml" ds:itemID="{DCD7052D-5441-4150-9376-5BF038EA95C2}"/>
</file>

<file path=customXml/itemProps4.xml><?xml version="1.0" encoding="utf-8"?>
<ds:datastoreItem xmlns:ds="http://schemas.openxmlformats.org/officeDocument/2006/customXml" ds:itemID="{357F6A97-DCA0-42F5-836B-664398DB428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520</Words>
  <Characters>3554</Characters>
  <Application>Microsoft Office Word</Application>
  <DocSecurity>0</DocSecurity>
  <Lines>101</Lines>
  <Paragraphs>51</Paragraphs>
  <ScaleCrop>false</ScaleCrop>
  <Company>European Banking Authority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BOROS Attila Peter (DGT)</cp:lastModifiedBy>
  <cp:revision>16</cp:revision>
  <dcterms:created xsi:type="dcterms:W3CDTF">2021-03-11T13:21:00Z</dcterms:created>
  <dcterms:modified xsi:type="dcterms:W3CDTF">2024-10-16T13:51:00Z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