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647B8" w14:textId="080B76AD" w:rsidR="00931C32" w:rsidRPr="001F1865" w:rsidRDefault="3E2CC804" w:rsidP="06503780">
      <w:pPr>
        <w:pStyle w:val="Titlelevel2"/>
        <w:spacing w:before="0"/>
        <w:rPr>
          <w:rFonts w:ascii="Times New Roman" w:hAnsi="Times New Roman" w:cs="Times New Roman"/>
          <w:b/>
          <w:color w:val="auto"/>
          <w:sz w:val="24"/>
        </w:rPr>
      </w:pPr>
      <w:r>
        <w:rPr>
          <w:rFonts w:ascii="Times New Roman" w:hAnsi="Times New Roman"/>
          <w:b/>
          <w:color w:val="auto"/>
          <w:sz w:val="24"/>
        </w:rPr>
        <w:t xml:space="preserve">BIJLAGE XXX - Openbaarmakingstabellen en -templates betreffende marktrisico volgens de standaardbenadering en volgens interne modellen: Instructies </w:t>
      </w:r>
    </w:p>
    <w:p w14:paraId="30BCD097" w14:textId="4E7CD1C5" w:rsidR="00931C32" w:rsidRPr="001F1865" w:rsidRDefault="3E2CC804" w:rsidP="5DD19F35">
      <w:pPr>
        <w:pStyle w:val="Titlelevel2"/>
        <w:numPr>
          <w:ilvl w:val="0"/>
          <w:numId w:val="4"/>
        </w:numPr>
        <w:spacing w:before="0"/>
        <w:jc w:val="both"/>
        <w:rPr>
          <w:rFonts w:ascii="Times New Roman" w:hAnsi="Times New Roman" w:cs="Times New Roman"/>
          <w:color w:val="auto"/>
          <w:sz w:val="24"/>
        </w:rPr>
      </w:pPr>
      <w:r>
        <w:rPr>
          <w:rFonts w:ascii="Times New Roman" w:hAnsi="Times New Roman"/>
          <w:color w:val="auto"/>
          <w:sz w:val="24"/>
        </w:rPr>
        <w:t>Deze bijlage bevat de instructies die instellingen bij de openbaarmaking van de in de artikelen 435, 445 en 455 van Verordening (EU) nr. 575/2013</w:t>
      </w:r>
      <w:r w:rsidR="00931C32" w:rsidRPr="00DB0A49">
        <w:rPr>
          <w:rStyle w:val="FootnoteReference"/>
          <w:rFonts w:ascii="Times New Roman" w:hAnsi="Times New Roman" w:cs="Times New Roman"/>
          <w:color w:val="auto"/>
          <w:lang w:val="en-GB"/>
        </w:rPr>
        <w:footnoteReference w:id="2"/>
      </w:r>
      <w:r>
        <w:rPr>
          <w:rFonts w:ascii="Times New Roman" w:hAnsi="Times New Roman"/>
          <w:color w:val="auto"/>
          <w:sz w:val="24"/>
        </w:rPr>
        <w:t xml:space="preserve"> bedoelde informatie volgen voor het invullen van de openbaarmakingstabellen en -templates betreffende marktrisico, die in bijlage XXIX bij de IT-oplossingen van de EBA zijn opgenomen. </w:t>
      </w:r>
    </w:p>
    <w:p w14:paraId="69DA8DE0" w14:textId="77777777" w:rsidR="00931C32" w:rsidRPr="001F1865" w:rsidRDefault="00931C32" w:rsidP="00931C32">
      <w:pPr>
        <w:spacing w:after="240"/>
        <w:jc w:val="both"/>
        <w:rPr>
          <w:rFonts w:ascii="Times New Roman" w:hAnsi="Times New Roman" w:cs="Times New Roman"/>
          <w:sz w:val="24"/>
        </w:rPr>
      </w:pPr>
      <w:r>
        <w:rPr>
          <w:rFonts w:ascii="Times New Roman" w:hAnsi="Times New Roman"/>
          <w:b/>
          <w:sz w:val="24"/>
        </w:rPr>
        <w:t>Tabel EU MRA -</w:t>
      </w:r>
      <w:r>
        <w:rPr>
          <w:rFonts w:ascii="Times New Roman" w:hAnsi="Times New Roman"/>
          <w:sz w:val="24"/>
        </w:rPr>
        <w:t xml:space="preserve"> Kwalitatieve openbaarmakingsvereisten met betrekking tot marktrisico: Vrijetekstvelden</w:t>
      </w:r>
    </w:p>
    <w:p w14:paraId="1B9BDBE7" w14:textId="621617DF" w:rsidR="00931C32" w:rsidRPr="001F1865" w:rsidRDefault="00931C32" w:rsidP="72461198">
      <w:pPr>
        <w:pStyle w:val="Titlelevel2"/>
        <w:numPr>
          <w:ilvl w:val="0"/>
          <w:numId w:val="4"/>
        </w:numPr>
        <w:spacing w:before="0"/>
        <w:jc w:val="both"/>
        <w:rPr>
          <w:rFonts w:ascii="Times New Roman" w:hAnsi="Times New Roman" w:cs="Times New Roman"/>
          <w:sz w:val="24"/>
        </w:rPr>
      </w:pPr>
      <w:r>
        <w:rPr>
          <w:rFonts w:ascii="Times New Roman" w:hAnsi="Times New Roman"/>
          <w:color w:val="000000" w:themeColor="text1"/>
          <w:sz w:val="24"/>
        </w:rPr>
        <w:t>Instellingen maken de in artikel 435, lid 1, punten a) tot en met d), van Verordening (EU) nr. 575/2013 bedoelde informatie met betrekking tot marktrisico openbaar volgens de onderstaande instructies in deze bijlage voor het invullen van tabel EU MRA, die in bijlage XXIX is opgenomen.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931C32" w:rsidRPr="001F1865" w14:paraId="4FA5DD43" w14:textId="77777777" w:rsidTr="72461198">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879875"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Verwijzingen naar wetgeving en instructies</w:t>
            </w:r>
          </w:p>
        </w:tc>
      </w:tr>
      <w:tr w:rsidR="00931C32" w:rsidRPr="001F1865" w14:paraId="0BB6A5B1" w14:textId="77777777" w:rsidTr="007C1D00">
        <w:trPr>
          <w:trHeight w:val="238"/>
        </w:trPr>
        <w:tc>
          <w:tcPr>
            <w:tcW w:w="1435" w:type="dxa"/>
            <w:shd w:val="clear" w:color="auto" w:fill="D9D9D9" w:themeFill="background1" w:themeFillShade="D9"/>
          </w:tcPr>
          <w:p w14:paraId="7A522B50" w14:textId="77777777" w:rsidR="00931C32" w:rsidRPr="001F1865" w:rsidRDefault="00931C32" w:rsidP="00DE090B">
            <w:pPr>
              <w:autoSpaceDE w:val="0"/>
              <w:autoSpaceDN w:val="0"/>
              <w:adjustRightInd w:val="0"/>
              <w:spacing w:after="240"/>
              <w:rPr>
                <w:rFonts w:ascii="Times New Roman" w:hAnsi="Times New Roman" w:cs="Times New Roman"/>
                <w:b/>
                <w:sz w:val="24"/>
              </w:rPr>
            </w:pPr>
            <w:r>
              <w:rPr>
                <w:rFonts w:ascii="Times New Roman" w:hAnsi="Times New Roman"/>
                <w:b/>
                <w:sz w:val="24"/>
              </w:rPr>
              <w:t>Rijnummer</w:t>
            </w:r>
          </w:p>
        </w:tc>
        <w:tc>
          <w:tcPr>
            <w:tcW w:w="7604" w:type="dxa"/>
            <w:shd w:val="clear" w:color="auto" w:fill="D9D9D9" w:themeFill="background1" w:themeFillShade="D9"/>
          </w:tcPr>
          <w:p w14:paraId="7BF504D8" w14:textId="77777777" w:rsidR="00931C32" w:rsidRPr="001F1865" w:rsidRDefault="00931C32" w:rsidP="00DE090B">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Toelichting</w:t>
            </w:r>
          </w:p>
        </w:tc>
      </w:tr>
      <w:tr w:rsidR="00931C32" w:rsidRPr="001F1865" w14:paraId="75D64070" w14:textId="77777777" w:rsidTr="007C1D00">
        <w:trPr>
          <w:trHeight w:val="680"/>
        </w:trPr>
        <w:tc>
          <w:tcPr>
            <w:tcW w:w="1435" w:type="dxa"/>
          </w:tcPr>
          <w:p w14:paraId="5CBE7772" w14:textId="77777777" w:rsidR="00931C32" w:rsidRPr="001F1865" w:rsidRDefault="00931C32" w:rsidP="00DE090B">
            <w:pPr>
              <w:pStyle w:val="Applicationdirecte"/>
              <w:spacing w:before="0" w:after="240"/>
              <w:jc w:val="center"/>
            </w:pPr>
            <w:r>
              <w:t>a)</w:t>
            </w:r>
          </w:p>
        </w:tc>
        <w:tc>
          <w:tcPr>
            <w:tcW w:w="7604" w:type="dxa"/>
            <w:vAlign w:val="center"/>
          </w:tcPr>
          <w:p w14:paraId="0ECBECD6" w14:textId="59A2C39A" w:rsidR="00931C32" w:rsidRPr="001F1865" w:rsidRDefault="00931C32" w:rsidP="72461198">
            <w:pPr>
              <w:spacing w:after="240"/>
              <w:jc w:val="both"/>
              <w:rPr>
                <w:rFonts w:ascii="Times New Roman" w:eastAsia="Times New Roman" w:hAnsi="Times New Roman" w:cs="Times New Roman"/>
                <w:sz w:val="24"/>
              </w:rPr>
            </w:pPr>
            <w:r>
              <w:rPr>
                <w:rFonts w:ascii="Times New Roman" w:hAnsi="Times New Roman"/>
                <w:sz w:val="24"/>
              </w:rPr>
              <w:t>Bij de openbaarmaking van de in artikel 435, lid 1, punten a) en d), van Verordening (EU) nr. 575/2013 bedoelde informatie over de doelstellingen en beleidslijnen inzake risicobeheer voor het beheren van marktrisico nemen instellingen het volgende op:</w:t>
            </w:r>
          </w:p>
          <w:p w14:paraId="2954CCD3" w14:textId="77777777" w:rsidR="00931C32" w:rsidRPr="001F1865" w:rsidRDefault="00931C32"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 xml:space="preserve">een toelichting van de strategische doelstellingen van hun leidinggevende orgaan bij het verrichten van handelsactiviteiten; </w:t>
            </w:r>
          </w:p>
          <w:p w14:paraId="28C8AA1E" w14:textId="2D7A10DE" w:rsidR="00DE4020" w:rsidRPr="001F1865" w:rsidRDefault="00EC10EF"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de in artikel 104, lid 1, bedoelde beleidslijnen om te bepalen welke posities in de handelsportefeuille moeten worden opgenomen, met inbegrip van de definitie van slapende posities en het risicobeheerbeleid voor het monitoren van die posities. Daarnaast beschrijven de instellingen de gevallen waarin instrumenten in strijd met de algemene aannamen voor hun instrumentencategorie aan de handels- of bankportefeuille worden toegewezen, met inbegrip van de markt- en reële waarde van dergelijke gevallen, alsmede herindelingen van de ene naar de andere portefeuille sinds de laatste verslagperiode, met inbegrip van de reële waarde van die gevallen en de reden voor de herindeling;</w:t>
            </w:r>
          </w:p>
          <w:p w14:paraId="20F3C237" w14:textId="77E3E75D" w:rsidR="00795618" w:rsidRPr="001F1865" w:rsidRDefault="002C5234"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een beschrijving van de activiteiten inzake interne risico-overdracht, met inbegrip van de soorten afdelingen voor interne risico-overdracht;</w:t>
            </w:r>
          </w:p>
          <w:p w14:paraId="17B1142E" w14:textId="77777777" w:rsidR="00931C32" w:rsidRPr="001F1865" w:rsidRDefault="00931C32"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de procedures die worden toegepast om de marktrisico’s van de instelling te onderkennen, te meten, te bewaken en te beheersen;</w:t>
            </w:r>
          </w:p>
          <w:p w14:paraId="216165DD" w14:textId="77777777" w:rsidR="00931C32" w:rsidRPr="001F1865" w:rsidRDefault="00931C32"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lastRenderedPageBreak/>
              <w:t>de beleidslijnen inzake het afdekken en limiteren van risico;</w:t>
            </w:r>
          </w:p>
          <w:p w14:paraId="5B43C932" w14:textId="77777777" w:rsidR="00931C32" w:rsidRPr="001F1865" w:rsidRDefault="00931C32"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strategieën en procedures voor het monitoren van de voortdurende effectiviteit van afdekkingen.</w:t>
            </w:r>
          </w:p>
        </w:tc>
      </w:tr>
      <w:tr w:rsidR="00931C32" w:rsidRPr="001F1865" w14:paraId="2F078747" w14:textId="77777777" w:rsidTr="007C1D00">
        <w:trPr>
          <w:trHeight w:val="680"/>
        </w:trPr>
        <w:tc>
          <w:tcPr>
            <w:tcW w:w="1435" w:type="dxa"/>
          </w:tcPr>
          <w:p w14:paraId="3715BE68" w14:textId="77777777" w:rsidR="00931C32" w:rsidRPr="001F1865" w:rsidRDefault="00931C32" w:rsidP="00DE090B">
            <w:pPr>
              <w:pStyle w:val="Applicationdirecte"/>
              <w:spacing w:before="0" w:after="240"/>
              <w:jc w:val="center"/>
            </w:pPr>
            <w:r>
              <w:lastRenderedPageBreak/>
              <w:t>b)</w:t>
            </w:r>
          </w:p>
        </w:tc>
        <w:tc>
          <w:tcPr>
            <w:tcW w:w="7604" w:type="dxa"/>
          </w:tcPr>
          <w:p w14:paraId="57B23AAF" w14:textId="53C0A959" w:rsidR="00931C32" w:rsidRPr="001F1865" w:rsidRDefault="00931C32" w:rsidP="72461198">
            <w:pPr>
              <w:spacing w:after="240"/>
              <w:jc w:val="both"/>
              <w:rPr>
                <w:rFonts w:ascii="Times New Roman" w:eastAsia="Times New Roman" w:hAnsi="Times New Roman" w:cs="Times New Roman"/>
                <w:sz w:val="24"/>
              </w:rPr>
            </w:pPr>
            <w:r>
              <w:rPr>
                <w:rFonts w:ascii="Times New Roman" w:hAnsi="Times New Roman"/>
                <w:sz w:val="24"/>
              </w:rPr>
              <w:t>Bij de openbaarmaking van de in artikel 435, lid 1, punt b), van Verordening (EU) nr. 575/2013 bedoelde informatie over de structuur en organisatie van de risicobeheerfunctie voor marktrisico nemen instellingen het volgende op:</w:t>
            </w:r>
          </w:p>
          <w:p w14:paraId="15341445" w14:textId="0D70F6B3" w:rsidR="00931C32" w:rsidRPr="001F1865" w:rsidRDefault="00931C32" w:rsidP="00931C32">
            <w:pPr>
              <w:pStyle w:val="ListParagraph"/>
              <w:numPr>
                <w:ilvl w:val="0"/>
                <w:numId w:val="3"/>
              </w:numPr>
              <w:spacing w:after="240"/>
              <w:jc w:val="both"/>
              <w:rPr>
                <w:rFonts w:ascii="Times New Roman" w:eastAsia="Times New Roman" w:hAnsi="Times New Roman"/>
                <w:sz w:val="24"/>
                <w:szCs w:val="24"/>
              </w:rPr>
            </w:pPr>
            <w:r>
              <w:rPr>
                <w:rFonts w:ascii="Times New Roman" w:hAnsi="Times New Roman"/>
                <w:sz w:val="24"/>
              </w:rPr>
              <w:t xml:space="preserve">een beschrijving van de structuur voor de governance van marktrisico die is opgezet om de in rij a) hierboven besproken strategieën en procedures van de instellingen toe te passen; </w:t>
            </w:r>
          </w:p>
          <w:p w14:paraId="10C87729" w14:textId="77777777" w:rsidR="00931C32" w:rsidRPr="001F1865" w:rsidRDefault="00931C32" w:rsidP="00931C32">
            <w:pPr>
              <w:pStyle w:val="ListParagraph"/>
              <w:numPr>
                <w:ilvl w:val="0"/>
                <w:numId w:val="3"/>
              </w:numPr>
              <w:spacing w:after="240"/>
              <w:jc w:val="both"/>
              <w:rPr>
                <w:rFonts w:ascii="Times New Roman" w:eastAsia="Times New Roman" w:hAnsi="Times New Roman"/>
                <w:sz w:val="24"/>
                <w:szCs w:val="24"/>
              </w:rPr>
            </w:pPr>
            <w:r>
              <w:rPr>
                <w:rFonts w:ascii="Times New Roman" w:hAnsi="Times New Roman"/>
                <w:sz w:val="24"/>
              </w:rPr>
              <w:t xml:space="preserve">een beschrijving van de betrekkingen en de communicatiemechanismen tussen de verschillende bij het beheer van marktrisico betrokken partijen. </w:t>
            </w:r>
          </w:p>
        </w:tc>
      </w:tr>
      <w:tr w:rsidR="00931C32" w:rsidRPr="001F1865" w14:paraId="15179A4A" w14:textId="77777777" w:rsidTr="007C1D00">
        <w:trPr>
          <w:trHeight w:val="436"/>
        </w:trPr>
        <w:tc>
          <w:tcPr>
            <w:tcW w:w="1435" w:type="dxa"/>
          </w:tcPr>
          <w:p w14:paraId="0F95AF50" w14:textId="77777777" w:rsidR="00931C32" w:rsidRPr="001F1865" w:rsidRDefault="00931C32" w:rsidP="00DE090B">
            <w:pPr>
              <w:pStyle w:val="Applicationdirecte"/>
              <w:spacing w:before="0" w:after="240"/>
              <w:jc w:val="center"/>
            </w:pPr>
            <w:r>
              <w:t>c)</w:t>
            </w:r>
          </w:p>
          <w:p w14:paraId="672A6659" w14:textId="77777777" w:rsidR="00931C32" w:rsidRPr="001F1865" w:rsidRDefault="00931C32" w:rsidP="00DE090B">
            <w:pPr>
              <w:pStyle w:val="Fait"/>
              <w:spacing w:before="0" w:after="240"/>
            </w:pPr>
          </w:p>
        </w:tc>
        <w:tc>
          <w:tcPr>
            <w:tcW w:w="7604" w:type="dxa"/>
          </w:tcPr>
          <w:p w14:paraId="1ADA7F58" w14:textId="27D05688" w:rsidR="00931C32" w:rsidRPr="001F1865" w:rsidRDefault="3E2CC804" w:rsidP="72461198">
            <w:pPr>
              <w:spacing w:after="240"/>
              <w:jc w:val="both"/>
              <w:rPr>
                <w:rFonts w:ascii="Times New Roman" w:eastAsia="Times New Roman" w:hAnsi="Times New Roman" w:cs="Times New Roman"/>
                <w:sz w:val="24"/>
              </w:rPr>
            </w:pPr>
            <w:r>
              <w:rPr>
                <w:rFonts w:ascii="Times New Roman" w:hAnsi="Times New Roman"/>
                <w:sz w:val="24"/>
              </w:rPr>
              <w:t xml:space="preserve">Bij de openbaarmaking van de in artikel 435, lid 1, punt c), van Verordening (EU) nr. 575/2013 bedoelde informatie over de reikwijdte en de aard van de risicorapporterings- en risicomeetsystemen voor marktrisico verstrekken instellingen een beschrijving van de reikwijdte en de aard van de rapporteringssystemen voor marktrisico en de meetsystemen. </w:t>
            </w:r>
          </w:p>
        </w:tc>
      </w:tr>
      <w:tr w:rsidR="06503780" w:rsidRPr="001F1865" w14:paraId="5B327CF1" w14:textId="77777777" w:rsidTr="007C1D00">
        <w:trPr>
          <w:trHeight w:val="435"/>
        </w:trPr>
        <w:tc>
          <w:tcPr>
            <w:tcW w:w="1435" w:type="dxa"/>
            <w:tcBorders>
              <w:top w:val="single" w:sz="8" w:space="0" w:color="auto"/>
              <w:left w:val="single" w:sz="8" w:space="0" w:color="auto"/>
              <w:bottom w:val="single" w:sz="8" w:space="0" w:color="auto"/>
              <w:right w:val="single" w:sz="8" w:space="0" w:color="auto"/>
            </w:tcBorders>
            <w:tcMar>
              <w:left w:w="108" w:type="dxa"/>
              <w:right w:w="108" w:type="dxa"/>
            </w:tcMar>
          </w:tcPr>
          <w:p w14:paraId="1B48C11C" w14:textId="4971874D" w:rsidR="06503780" w:rsidRPr="001F1865" w:rsidRDefault="06503780" w:rsidP="00DB0A49">
            <w:pPr>
              <w:spacing w:after="240"/>
              <w:jc w:val="center"/>
              <w:rPr>
                <w:rFonts w:ascii="Times New Roman" w:eastAsia="Times New Roman" w:hAnsi="Times New Roman" w:cs="Times New Roman"/>
                <w:sz w:val="24"/>
              </w:rPr>
            </w:pPr>
            <w:r>
              <w:rPr>
                <w:rFonts w:ascii="Times New Roman" w:hAnsi="Times New Roman"/>
                <w:sz w:val="24"/>
              </w:rPr>
              <w:t>EU d)</w:t>
            </w:r>
          </w:p>
        </w:tc>
        <w:tc>
          <w:tcPr>
            <w:tcW w:w="7604" w:type="dxa"/>
            <w:tcBorders>
              <w:top w:val="single" w:sz="8" w:space="0" w:color="auto"/>
              <w:left w:val="single" w:sz="8" w:space="0" w:color="auto"/>
              <w:bottom w:val="single" w:sz="8" w:space="0" w:color="auto"/>
              <w:right w:val="single" w:sz="8" w:space="0" w:color="auto"/>
            </w:tcBorders>
            <w:tcMar>
              <w:left w:w="108" w:type="dxa"/>
              <w:right w:w="108" w:type="dxa"/>
            </w:tcMar>
          </w:tcPr>
          <w:p w14:paraId="0E42D3ED" w14:textId="19D1B8F3" w:rsidR="06503780" w:rsidRPr="001F1865" w:rsidRDefault="5B873F98" w:rsidP="00DB0A49">
            <w:pPr>
              <w:spacing w:after="240"/>
              <w:jc w:val="both"/>
              <w:rPr>
                <w:rFonts w:ascii="Times New Roman" w:eastAsia="Times New Roman" w:hAnsi="Times New Roman" w:cs="Times New Roman"/>
                <w:sz w:val="24"/>
              </w:rPr>
            </w:pPr>
            <w:r>
              <w:rPr>
                <w:rFonts w:ascii="Times New Roman" w:hAnsi="Times New Roman"/>
                <w:sz w:val="24"/>
              </w:rPr>
              <w:t>Bij de openbaarmaking van de in artikel 445, lid 1, van Verordening (EU) nr. 575/2013 bedoelde informatie betreffende een algemeen overzicht van de posities in de handelsportefeuille verstrekken de instellingen een beschrijving op hoog niveau van hun posities in de handelsportefeuille.</w:t>
            </w:r>
          </w:p>
        </w:tc>
      </w:tr>
    </w:tbl>
    <w:p w14:paraId="0A37501D" w14:textId="5B1DE2AB" w:rsidR="00931C32" w:rsidRPr="007C1D00" w:rsidRDefault="00931C32" w:rsidP="06503780">
      <w:pPr>
        <w:pStyle w:val="Titlelevel2"/>
        <w:spacing w:before="0"/>
        <w:rPr>
          <w:rFonts w:ascii="Times New Roman" w:hAnsi="Times New Roman" w:cs="Times New Roman"/>
          <w:b/>
          <w:sz w:val="24"/>
        </w:rPr>
      </w:pPr>
    </w:p>
    <w:p w14:paraId="6A05A809" w14:textId="77777777" w:rsidR="00931C32" w:rsidRPr="007C1D00" w:rsidRDefault="00931C32" w:rsidP="00931C32">
      <w:pPr>
        <w:pStyle w:val="Titlelevel2"/>
        <w:spacing w:before="0"/>
        <w:rPr>
          <w:rFonts w:ascii="Times New Roman" w:hAnsi="Times New Roman" w:cs="Times New Roman"/>
          <w:b/>
          <w:color w:val="auto"/>
          <w:sz w:val="24"/>
        </w:rPr>
      </w:pPr>
    </w:p>
    <w:p w14:paraId="21FE8BB6" w14:textId="0765936F" w:rsidR="00931C32" w:rsidRPr="00DB0A49" w:rsidRDefault="4E51ABE0" w:rsidP="00DB0A49">
      <w:pPr>
        <w:spacing w:after="240"/>
        <w:rPr>
          <w:rFonts w:ascii="Times New Roman" w:eastAsia="Times New Roman" w:hAnsi="Times New Roman" w:cs="Times New Roman"/>
          <w:sz w:val="24"/>
        </w:rPr>
      </w:pPr>
      <w:r w:rsidRPr="007C1D00">
        <w:rPr>
          <w:rFonts w:ascii="Times New Roman" w:hAnsi="Times New Roman"/>
          <w:b/>
          <w:bCs/>
          <w:sz w:val="24"/>
        </w:rPr>
        <w:t>Template EU MR1 – Marktrisico volgens de alternatieve standaardbenadering (ASA)</w:t>
      </w:r>
      <w:r>
        <w:rPr>
          <w:rFonts w:ascii="Times New Roman" w:hAnsi="Times New Roman"/>
          <w:sz w:val="24"/>
        </w:rPr>
        <w:t>: Vaste opmaak.</w:t>
      </w:r>
    </w:p>
    <w:p w14:paraId="328A3EAE" w14:textId="50FF69DE" w:rsidR="00931C32" w:rsidRPr="00DB0A49" w:rsidRDefault="4E51ABE0" w:rsidP="00DB0A49">
      <w:pPr>
        <w:pStyle w:val="Titlelevel2"/>
        <w:numPr>
          <w:ilvl w:val="0"/>
          <w:numId w:val="4"/>
        </w:numPr>
        <w:spacing w:before="0"/>
        <w:ind w:left="284" w:hanging="284"/>
        <w:jc w:val="both"/>
        <w:rPr>
          <w:rFonts w:ascii="Times New Roman" w:eastAsiaTheme="minorEastAsia" w:hAnsi="Times New Roman" w:cs="Times New Roman"/>
          <w:color w:val="auto"/>
          <w:sz w:val="24"/>
        </w:rPr>
      </w:pPr>
      <w:r>
        <w:rPr>
          <w:rFonts w:ascii="Times New Roman" w:hAnsi="Times New Roman"/>
          <w:sz w:val="24"/>
        </w:rPr>
        <w:t>De instellingen maken de in artikel 445 van Verordening (EU) nr. 575/2013 bedoelde informatie openbaar overeenkomstig onderstaande instructies in deze bijlage voor het invullen van tabel EU MR1 die in bijlage XXIX is opgenomen.</w:t>
      </w:r>
      <w:r>
        <w:rPr>
          <w:rFonts w:ascii="Times New Roman" w:hAnsi="Times New Roman"/>
          <w:color w:val="000000" w:themeColor="text1"/>
          <w:sz w:val="24"/>
        </w:rPr>
        <w:t xml:space="preserve"> </w:t>
      </w:r>
      <w:r>
        <w:rPr>
          <w:rFonts w:ascii="Times New Roman" w:hAnsi="Times New Roman"/>
          <w:color w:val="auto"/>
          <w:sz w:val="24"/>
        </w:rPr>
        <w:t>De instellingen nemen in deze template geen gegevens op over hun afdeling interne risico-overdracht (IRT).</w:t>
      </w:r>
    </w:p>
    <w:tbl>
      <w:tblPr>
        <w:tblW w:w="0" w:type="auto"/>
        <w:tblInd w:w="105" w:type="dxa"/>
        <w:tblLayout w:type="fixed"/>
        <w:tblLook w:val="01E0" w:firstRow="1" w:lastRow="1" w:firstColumn="1" w:lastColumn="1" w:noHBand="0" w:noVBand="0"/>
      </w:tblPr>
      <w:tblGrid>
        <w:gridCol w:w="1445"/>
        <w:gridCol w:w="6970"/>
      </w:tblGrid>
      <w:tr w:rsidR="06503780" w:rsidRPr="001F1865" w14:paraId="369C907B" w14:textId="77777777" w:rsidTr="00DB0A49">
        <w:trPr>
          <w:trHeight w:val="300"/>
        </w:trPr>
        <w:tc>
          <w:tcPr>
            <w:tcW w:w="8415"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45856BA3" w14:textId="6D5ECF63"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Verwijzingen naar wetgeving en instructies</w:t>
            </w:r>
          </w:p>
        </w:tc>
      </w:tr>
      <w:tr w:rsidR="06503780" w:rsidRPr="001F1865" w14:paraId="795949FA" w14:textId="77777777" w:rsidTr="007C1D00">
        <w:trPr>
          <w:trHeight w:val="300"/>
        </w:trPr>
        <w:tc>
          <w:tcPr>
            <w:tcW w:w="1445"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1A68A0C0" w14:textId="23544452"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Rijnummer</w:t>
            </w:r>
          </w:p>
        </w:tc>
        <w:tc>
          <w:tcPr>
            <w:tcW w:w="6970" w:type="dxa"/>
            <w:tcBorders>
              <w:top w:val="nil"/>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46505A62" w14:textId="1D45DAD9"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Toelichting</w:t>
            </w:r>
          </w:p>
        </w:tc>
      </w:tr>
      <w:tr w:rsidR="06503780" w:rsidRPr="001F1865" w14:paraId="71E2347C" w14:textId="77777777" w:rsidTr="007C1D00">
        <w:trPr>
          <w:trHeight w:val="300"/>
        </w:trPr>
        <w:tc>
          <w:tcPr>
            <w:tcW w:w="1445"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47B57D3D" w14:textId="541004BD" w:rsidR="06503780" w:rsidRPr="001F1865" w:rsidRDefault="06503780" w:rsidP="00DB0A49">
            <w:pPr>
              <w:spacing w:after="240"/>
              <w:jc w:val="center"/>
              <w:rPr>
                <w:rFonts w:ascii="Times New Roman" w:eastAsia="Times New Roman" w:hAnsi="Times New Roman" w:cs="Times New Roman"/>
                <w:sz w:val="24"/>
              </w:rPr>
            </w:pPr>
            <w:r>
              <w:rPr>
                <w:rFonts w:ascii="Times New Roman" w:hAnsi="Times New Roman"/>
                <w:sz w:val="24"/>
              </w:rPr>
              <w:t xml:space="preserve"> </w:t>
            </w:r>
          </w:p>
        </w:tc>
        <w:tc>
          <w:tcPr>
            <w:tcW w:w="6970"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05989EB1" w14:textId="332222EF" w:rsidR="06503780" w:rsidRPr="001F1865" w:rsidRDefault="06503780" w:rsidP="00DB0A49">
            <w:pPr>
              <w:spacing w:after="240"/>
              <w:rPr>
                <w:rFonts w:ascii="Times New Roman" w:eastAsia="Times New Roman" w:hAnsi="Times New Roman" w:cs="Times New Roman"/>
                <w:sz w:val="24"/>
                <w:u w:val="single"/>
              </w:rPr>
            </w:pPr>
            <w:r>
              <w:rPr>
                <w:rFonts w:ascii="Times New Roman" w:hAnsi="Times New Roman"/>
                <w:b/>
                <w:sz w:val="24"/>
                <w:u w:val="single"/>
              </w:rPr>
              <w:t>Op gevoeligheden gebaseerde methode</w:t>
            </w:r>
            <w:r>
              <w:rPr>
                <w:rFonts w:ascii="Times New Roman" w:hAnsi="Times New Roman"/>
                <w:sz w:val="24"/>
                <w:u w:val="single"/>
              </w:rPr>
              <w:t xml:space="preserve"> </w:t>
            </w:r>
          </w:p>
          <w:p w14:paraId="32BE5AB7" w14:textId="13D92956" w:rsidR="06503780" w:rsidRPr="001F1865" w:rsidRDefault="06503780" w:rsidP="00DB0A49">
            <w:pPr>
              <w:spacing w:after="240"/>
              <w:rPr>
                <w:rFonts w:ascii="Times New Roman" w:eastAsia="Times New Roman" w:hAnsi="Times New Roman" w:cs="Times New Roman"/>
                <w:sz w:val="24"/>
              </w:rPr>
            </w:pPr>
            <w:r>
              <w:rPr>
                <w:rFonts w:ascii="Times New Roman" w:hAnsi="Times New Roman"/>
                <w:sz w:val="24"/>
              </w:rPr>
              <w:t>overeenkomstig deel drie, titel IV, hoofdstuk 1 bis, afdeling 2, van Verordening (EU) nr. 575/2013.</w:t>
            </w:r>
          </w:p>
        </w:tc>
      </w:tr>
      <w:tr w:rsidR="06503780" w:rsidRPr="001F1865" w14:paraId="2A5FB346" w14:textId="77777777" w:rsidTr="007C1D00">
        <w:trPr>
          <w:trHeight w:val="300"/>
        </w:trPr>
        <w:tc>
          <w:tcPr>
            <w:tcW w:w="1445" w:type="dxa"/>
            <w:tcBorders>
              <w:top w:val="single" w:sz="8" w:space="0" w:color="auto"/>
              <w:left w:val="single" w:sz="8" w:space="0" w:color="auto"/>
              <w:bottom w:val="single" w:sz="8" w:space="0" w:color="auto"/>
              <w:right w:val="single" w:sz="8" w:space="0" w:color="auto"/>
            </w:tcBorders>
            <w:tcMar>
              <w:left w:w="108" w:type="dxa"/>
              <w:right w:w="108" w:type="dxa"/>
            </w:tcMar>
          </w:tcPr>
          <w:p w14:paraId="74DACAA6" w14:textId="4438CD41"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1</w:t>
            </w:r>
          </w:p>
        </w:tc>
        <w:tc>
          <w:tcPr>
            <w:tcW w:w="6970" w:type="dxa"/>
            <w:tcBorders>
              <w:top w:val="single" w:sz="8" w:space="0" w:color="auto"/>
              <w:left w:val="single" w:sz="8" w:space="0" w:color="auto"/>
              <w:bottom w:val="single" w:sz="8" w:space="0" w:color="auto"/>
              <w:right w:val="single" w:sz="8" w:space="0" w:color="auto"/>
            </w:tcBorders>
            <w:tcMar>
              <w:left w:w="108" w:type="dxa"/>
              <w:right w:w="108" w:type="dxa"/>
            </w:tcMar>
          </w:tcPr>
          <w:p w14:paraId="65CA48DD" w14:textId="1A77007D"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Algemene-renterisico (GIRR)</w:t>
            </w:r>
          </w:p>
          <w:p w14:paraId="7CFD9A05" w14:textId="08877C85" w:rsidR="06503780" w:rsidRPr="001F1865" w:rsidRDefault="06503780" w:rsidP="00DB0A49">
            <w:pPr>
              <w:spacing w:after="240"/>
              <w:jc w:val="both"/>
              <w:rPr>
                <w:rFonts w:ascii="Times New Roman" w:eastAsia="Times New Roman" w:hAnsi="Times New Roman" w:cs="Times New Roman"/>
                <w:sz w:val="24"/>
              </w:rPr>
            </w:pPr>
            <w:r>
              <w:rPr>
                <w:rFonts w:ascii="Times New Roman" w:hAnsi="Times New Roman"/>
                <w:sz w:val="24"/>
              </w:rPr>
              <w:lastRenderedPageBreak/>
              <w:t>overeenkomstig artikel 325 quater, lid 2, punt a), en artikel 325 quinquies, lid 1, punt i), van Verordening (EU) nr. 575/2013.</w:t>
            </w:r>
          </w:p>
        </w:tc>
      </w:tr>
      <w:tr w:rsidR="006852CB" w:rsidRPr="001F1865" w14:paraId="69667920" w14:textId="77777777" w:rsidTr="007C1D00">
        <w:trPr>
          <w:trHeight w:val="300"/>
        </w:trPr>
        <w:tc>
          <w:tcPr>
            <w:tcW w:w="1445" w:type="dxa"/>
            <w:tcBorders>
              <w:top w:val="single" w:sz="8" w:space="0" w:color="auto"/>
              <w:left w:val="single" w:sz="8" w:space="0" w:color="auto"/>
              <w:bottom w:val="single" w:sz="8" w:space="0" w:color="auto"/>
              <w:right w:val="single" w:sz="8" w:space="0" w:color="auto"/>
            </w:tcBorders>
            <w:tcMar>
              <w:left w:w="108" w:type="dxa"/>
              <w:right w:w="108" w:type="dxa"/>
            </w:tcMar>
          </w:tcPr>
          <w:p w14:paraId="2DC1D211" w14:textId="22B10623" w:rsidR="006852CB" w:rsidRPr="001F1865" w:rsidRDefault="006852CB" w:rsidP="006852CB">
            <w:pPr>
              <w:spacing w:after="240"/>
              <w:jc w:val="center"/>
              <w:rPr>
                <w:rFonts w:ascii="Times New Roman" w:eastAsia="Times New Roman" w:hAnsi="Times New Roman" w:cs="Times New Roman"/>
                <w:szCs w:val="22"/>
              </w:rPr>
            </w:pPr>
            <w:r>
              <w:rPr>
                <w:rFonts w:ascii="Times New Roman" w:hAnsi="Times New Roman"/>
              </w:rPr>
              <w:lastRenderedPageBreak/>
              <w:t>2</w:t>
            </w:r>
          </w:p>
        </w:tc>
        <w:tc>
          <w:tcPr>
            <w:tcW w:w="6970" w:type="dxa"/>
            <w:tcBorders>
              <w:top w:val="single" w:sz="8" w:space="0" w:color="auto"/>
              <w:left w:val="single" w:sz="8" w:space="0" w:color="auto"/>
              <w:bottom w:val="single" w:sz="8" w:space="0" w:color="auto"/>
              <w:right w:val="single" w:sz="8" w:space="0" w:color="auto"/>
            </w:tcBorders>
            <w:tcMar>
              <w:left w:w="108" w:type="dxa"/>
              <w:right w:w="108" w:type="dxa"/>
            </w:tcMar>
          </w:tcPr>
          <w:p w14:paraId="39623B38" w14:textId="77777777"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b/>
                <w:sz w:val="24"/>
              </w:rPr>
              <w:t>Aandelenrisico (EQU)</w:t>
            </w:r>
          </w:p>
          <w:p w14:paraId="7FA49EA1" w14:textId="72B40A8D"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sz w:val="24"/>
              </w:rPr>
              <w:t>overeenkomstig artikel 325 quater, lid 2, punt a), en artikel 325 quinquies, lid 1, punt v), van Verordening (EU) nr. 575/2013.</w:t>
            </w:r>
          </w:p>
        </w:tc>
      </w:tr>
      <w:tr w:rsidR="006852CB" w:rsidRPr="001F1865" w14:paraId="719DB443" w14:textId="77777777" w:rsidTr="007C1D00">
        <w:trPr>
          <w:trHeight w:val="300"/>
        </w:trPr>
        <w:tc>
          <w:tcPr>
            <w:tcW w:w="1445" w:type="dxa"/>
            <w:tcBorders>
              <w:top w:val="single" w:sz="8" w:space="0" w:color="auto"/>
              <w:left w:val="single" w:sz="8" w:space="0" w:color="auto"/>
              <w:bottom w:val="single" w:sz="8" w:space="0" w:color="auto"/>
              <w:right w:val="single" w:sz="8" w:space="0" w:color="auto"/>
            </w:tcBorders>
            <w:tcMar>
              <w:left w:w="108" w:type="dxa"/>
              <w:right w:w="108" w:type="dxa"/>
            </w:tcMar>
          </w:tcPr>
          <w:p w14:paraId="676F2BD2" w14:textId="663EF07F" w:rsidR="006852CB" w:rsidRPr="001F1865" w:rsidRDefault="006852CB" w:rsidP="006852CB">
            <w:pPr>
              <w:spacing w:after="240"/>
              <w:jc w:val="center"/>
              <w:rPr>
                <w:rFonts w:ascii="Times New Roman" w:eastAsia="Times New Roman" w:hAnsi="Times New Roman" w:cs="Times New Roman"/>
                <w:szCs w:val="22"/>
              </w:rPr>
            </w:pPr>
            <w:r>
              <w:rPr>
                <w:rFonts w:ascii="Times New Roman" w:hAnsi="Times New Roman"/>
              </w:rPr>
              <w:t>3</w:t>
            </w:r>
          </w:p>
        </w:tc>
        <w:tc>
          <w:tcPr>
            <w:tcW w:w="6970" w:type="dxa"/>
            <w:tcBorders>
              <w:top w:val="single" w:sz="8" w:space="0" w:color="auto"/>
              <w:left w:val="single" w:sz="8" w:space="0" w:color="auto"/>
              <w:bottom w:val="single" w:sz="8" w:space="0" w:color="auto"/>
              <w:right w:val="single" w:sz="8" w:space="0" w:color="auto"/>
            </w:tcBorders>
            <w:tcMar>
              <w:left w:w="108" w:type="dxa"/>
              <w:right w:w="108" w:type="dxa"/>
            </w:tcMar>
          </w:tcPr>
          <w:p w14:paraId="2FFF8925" w14:textId="77777777"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b/>
                <w:sz w:val="24"/>
              </w:rPr>
              <w:t>Grondstoffenrisico (COM)</w:t>
            </w:r>
          </w:p>
          <w:p w14:paraId="2EF1141F" w14:textId="6573588B"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sz w:val="24"/>
              </w:rPr>
              <w:t>overeenkomstig artikel 325 quater, lid 2, punt a), en artikel 325 quinquies, lid 1, punt vi), van Verordening (EU) nr. 575/2013.</w:t>
            </w:r>
          </w:p>
        </w:tc>
      </w:tr>
      <w:tr w:rsidR="006852CB" w:rsidRPr="001F1865" w14:paraId="0F63097B" w14:textId="77777777" w:rsidTr="007C1D00">
        <w:trPr>
          <w:trHeight w:val="300"/>
        </w:trPr>
        <w:tc>
          <w:tcPr>
            <w:tcW w:w="1445" w:type="dxa"/>
            <w:tcBorders>
              <w:top w:val="single" w:sz="8" w:space="0" w:color="auto"/>
              <w:left w:val="single" w:sz="8" w:space="0" w:color="auto"/>
              <w:bottom w:val="single" w:sz="8" w:space="0" w:color="auto"/>
              <w:right w:val="single" w:sz="8" w:space="0" w:color="auto"/>
            </w:tcBorders>
            <w:tcMar>
              <w:left w:w="108" w:type="dxa"/>
              <w:right w:w="108" w:type="dxa"/>
            </w:tcMar>
          </w:tcPr>
          <w:p w14:paraId="57A0CA9C" w14:textId="3D6ACB22" w:rsidR="006852CB" w:rsidRPr="001F1865" w:rsidRDefault="006852CB" w:rsidP="006852CB">
            <w:pPr>
              <w:spacing w:after="240"/>
              <w:jc w:val="center"/>
              <w:rPr>
                <w:rFonts w:ascii="Times New Roman" w:eastAsia="Times New Roman" w:hAnsi="Times New Roman" w:cs="Times New Roman"/>
                <w:szCs w:val="22"/>
              </w:rPr>
            </w:pPr>
            <w:r>
              <w:rPr>
                <w:rFonts w:ascii="Times New Roman" w:hAnsi="Times New Roman"/>
              </w:rPr>
              <w:t>4</w:t>
            </w:r>
          </w:p>
        </w:tc>
        <w:tc>
          <w:tcPr>
            <w:tcW w:w="6970" w:type="dxa"/>
            <w:tcBorders>
              <w:top w:val="single" w:sz="8" w:space="0" w:color="auto"/>
              <w:left w:val="single" w:sz="8" w:space="0" w:color="auto"/>
              <w:bottom w:val="single" w:sz="8" w:space="0" w:color="auto"/>
              <w:right w:val="single" w:sz="8" w:space="0" w:color="auto"/>
            </w:tcBorders>
            <w:tcMar>
              <w:left w:w="108" w:type="dxa"/>
              <w:right w:w="108" w:type="dxa"/>
            </w:tcMar>
          </w:tcPr>
          <w:p w14:paraId="3B21571B" w14:textId="77777777"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b/>
                <w:sz w:val="24"/>
              </w:rPr>
              <w:t>Wisselkoersrisico (FX)</w:t>
            </w:r>
          </w:p>
          <w:p w14:paraId="4E899697" w14:textId="1EDAE9C1"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sz w:val="24"/>
              </w:rPr>
              <w:t>overeenkomstig artikel 325 quater, lid 2, punt a), en artikel 325 quinquies, lid 1, punt vii), van Verordening (EU) nr. 575/2013.</w:t>
            </w:r>
          </w:p>
        </w:tc>
      </w:tr>
      <w:tr w:rsidR="06503780" w:rsidRPr="001F1865" w14:paraId="6069A777" w14:textId="77777777" w:rsidTr="007C1D00">
        <w:trPr>
          <w:trHeight w:val="300"/>
        </w:trPr>
        <w:tc>
          <w:tcPr>
            <w:tcW w:w="1445" w:type="dxa"/>
            <w:tcBorders>
              <w:top w:val="single" w:sz="8" w:space="0" w:color="auto"/>
              <w:left w:val="single" w:sz="8" w:space="0" w:color="auto"/>
              <w:bottom w:val="single" w:sz="8" w:space="0" w:color="auto"/>
              <w:right w:val="single" w:sz="8" w:space="0" w:color="auto"/>
            </w:tcBorders>
            <w:tcMar>
              <w:left w:w="108" w:type="dxa"/>
              <w:right w:w="108" w:type="dxa"/>
            </w:tcMar>
          </w:tcPr>
          <w:p w14:paraId="371C4CC0" w14:textId="116256D7" w:rsidR="06503780" w:rsidRPr="001F1865" w:rsidRDefault="006852CB" w:rsidP="00DB0A49">
            <w:pPr>
              <w:spacing w:after="240"/>
              <w:jc w:val="center"/>
              <w:rPr>
                <w:rFonts w:ascii="Times New Roman" w:eastAsia="Times New Roman" w:hAnsi="Times New Roman" w:cs="Times New Roman"/>
                <w:szCs w:val="22"/>
              </w:rPr>
            </w:pPr>
            <w:r>
              <w:rPr>
                <w:rFonts w:ascii="Times New Roman" w:hAnsi="Times New Roman"/>
              </w:rPr>
              <w:t>5</w:t>
            </w:r>
          </w:p>
        </w:tc>
        <w:tc>
          <w:tcPr>
            <w:tcW w:w="6970" w:type="dxa"/>
            <w:tcBorders>
              <w:top w:val="single" w:sz="8" w:space="0" w:color="auto"/>
              <w:left w:val="single" w:sz="8" w:space="0" w:color="auto"/>
              <w:bottom w:val="single" w:sz="8" w:space="0" w:color="auto"/>
              <w:right w:val="single" w:sz="8" w:space="0" w:color="auto"/>
            </w:tcBorders>
            <w:tcMar>
              <w:left w:w="108" w:type="dxa"/>
              <w:right w:w="108" w:type="dxa"/>
            </w:tcMar>
          </w:tcPr>
          <w:p w14:paraId="75ADD606" w14:textId="28FE3969"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Creditspreadrisico voor niet-securitisaties (CSR)</w:t>
            </w:r>
          </w:p>
          <w:p w14:paraId="7FFBB47A" w14:textId="19FCC5B4" w:rsidR="06503780" w:rsidRPr="001F1865" w:rsidRDefault="06503780" w:rsidP="00DB0A49">
            <w:pPr>
              <w:spacing w:after="240"/>
              <w:jc w:val="both"/>
              <w:rPr>
                <w:rFonts w:ascii="Times New Roman" w:eastAsia="Times New Roman" w:hAnsi="Times New Roman" w:cs="Times New Roman"/>
                <w:sz w:val="24"/>
              </w:rPr>
            </w:pPr>
            <w:r>
              <w:rPr>
                <w:rFonts w:ascii="Times New Roman" w:hAnsi="Times New Roman"/>
                <w:sz w:val="24"/>
              </w:rPr>
              <w:t>overeenkomstig artikel 325 quater, lid 2, punt a), en artikel 325 quinquies, lid 1, punt ii), van Verordening (EU) nr. 575/2013.</w:t>
            </w:r>
          </w:p>
        </w:tc>
      </w:tr>
      <w:tr w:rsidR="06503780" w:rsidRPr="001F1865" w14:paraId="05E22EA0" w14:textId="77777777" w:rsidTr="007C1D00">
        <w:trPr>
          <w:trHeight w:val="300"/>
        </w:trPr>
        <w:tc>
          <w:tcPr>
            <w:tcW w:w="1445" w:type="dxa"/>
            <w:tcBorders>
              <w:top w:val="single" w:sz="8" w:space="0" w:color="auto"/>
              <w:left w:val="single" w:sz="8" w:space="0" w:color="auto"/>
              <w:bottom w:val="single" w:sz="8" w:space="0" w:color="auto"/>
              <w:right w:val="single" w:sz="8" w:space="0" w:color="auto"/>
            </w:tcBorders>
            <w:tcMar>
              <w:left w:w="108" w:type="dxa"/>
              <w:right w:w="108" w:type="dxa"/>
            </w:tcMar>
          </w:tcPr>
          <w:p w14:paraId="686D099A" w14:textId="2AA85B66" w:rsidR="06503780" w:rsidRPr="001F1865" w:rsidRDefault="006852CB" w:rsidP="00DB0A49">
            <w:pPr>
              <w:spacing w:after="240"/>
              <w:jc w:val="center"/>
              <w:rPr>
                <w:rFonts w:ascii="Times New Roman" w:eastAsia="Times New Roman" w:hAnsi="Times New Roman" w:cs="Times New Roman"/>
                <w:szCs w:val="22"/>
              </w:rPr>
            </w:pPr>
            <w:r>
              <w:rPr>
                <w:rFonts w:ascii="Times New Roman" w:hAnsi="Times New Roman"/>
              </w:rPr>
              <w:t>6</w:t>
            </w:r>
          </w:p>
        </w:tc>
        <w:tc>
          <w:tcPr>
            <w:tcW w:w="6970" w:type="dxa"/>
            <w:tcBorders>
              <w:top w:val="single" w:sz="8" w:space="0" w:color="auto"/>
              <w:left w:val="single" w:sz="8" w:space="0" w:color="auto"/>
              <w:bottom w:val="single" w:sz="8" w:space="0" w:color="auto"/>
              <w:right w:val="single" w:sz="8" w:space="0" w:color="auto"/>
            </w:tcBorders>
            <w:tcMar>
              <w:left w:w="108" w:type="dxa"/>
              <w:right w:w="108" w:type="dxa"/>
            </w:tcMar>
          </w:tcPr>
          <w:p w14:paraId="22E01FBC" w14:textId="0075C0D5"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Creditspreadrisico voor securitisatie niet opgenomen in de alternatieve correlatiehandelsportefeuille (niet-ACHP CSR)</w:t>
            </w:r>
          </w:p>
          <w:p w14:paraId="7767EDBC" w14:textId="24BC8D91" w:rsidR="06503780" w:rsidRPr="001F1865" w:rsidRDefault="06503780" w:rsidP="00DB0A49">
            <w:pPr>
              <w:spacing w:after="240"/>
              <w:jc w:val="both"/>
              <w:rPr>
                <w:rFonts w:ascii="Times New Roman" w:eastAsia="Times New Roman" w:hAnsi="Times New Roman" w:cs="Times New Roman"/>
                <w:sz w:val="24"/>
              </w:rPr>
            </w:pPr>
            <w:r>
              <w:rPr>
                <w:rFonts w:ascii="Times New Roman" w:hAnsi="Times New Roman"/>
                <w:sz w:val="24"/>
              </w:rPr>
              <w:t>overeenkomstig artikel 325 quater, lid 2, punt a), en artikel 325 quinquies, lid 1, punt iii), van Verordening (EU) nr. 575/2013.</w:t>
            </w:r>
          </w:p>
        </w:tc>
      </w:tr>
      <w:tr w:rsidR="06503780" w:rsidRPr="001F1865" w14:paraId="14D767E3" w14:textId="77777777" w:rsidTr="007C1D00">
        <w:trPr>
          <w:trHeight w:val="300"/>
        </w:trPr>
        <w:tc>
          <w:tcPr>
            <w:tcW w:w="1445" w:type="dxa"/>
            <w:tcBorders>
              <w:top w:val="single" w:sz="8" w:space="0" w:color="auto"/>
              <w:left w:val="single" w:sz="8" w:space="0" w:color="auto"/>
              <w:bottom w:val="single" w:sz="8" w:space="0" w:color="auto"/>
              <w:right w:val="single" w:sz="8" w:space="0" w:color="auto"/>
            </w:tcBorders>
            <w:tcMar>
              <w:left w:w="108" w:type="dxa"/>
              <w:right w:w="108" w:type="dxa"/>
            </w:tcMar>
          </w:tcPr>
          <w:p w14:paraId="0A20E610" w14:textId="7B3DAB47" w:rsidR="06503780" w:rsidRPr="001F1865" w:rsidRDefault="006852CB" w:rsidP="00DB0A49">
            <w:pPr>
              <w:spacing w:after="240"/>
              <w:jc w:val="center"/>
              <w:rPr>
                <w:rFonts w:ascii="Times New Roman" w:eastAsia="Times New Roman" w:hAnsi="Times New Roman" w:cs="Times New Roman"/>
                <w:szCs w:val="22"/>
              </w:rPr>
            </w:pPr>
            <w:r>
              <w:rPr>
                <w:rFonts w:ascii="Times New Roman" w:hAnsi="Times New Roman"/>
              </w:rPr>
              <w:t>7</w:t>
            </w:r>
          </w:p>
        </w:tc>
        <w:tc>
          <w:tcPr>
            <w:tcW w:w="6970" w:type="dxa"/>
            <w:tcBorders>
              <w:top w:val="single" w:sz="8" w:space="0" w:color="auto"/>
              <w:left w:val="single" w:sz="8" w:space="0" w:color="auto"/>
              <w:bottom w:val="single" w:sz="8" w:space="0" w:color="auto"/>
              <w:right w:val="single" w:sz="8" w:space="0" w:color="auto"/>
            </w:tcBorders>
            <w:tcMar>
              <w:left w:w="108" w:type="dxa"/>
              <w:right w:w="108" w:type="dxa"/>
            </w:tcMar>
          </w:tcPr>
          <w:p w14:paraId="40A00A1D" w14:textId="07E0B969"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Creditspreadrisico voor securitisatie opgenomen in de alternatieve correlatiehandelsportefeuille (ACHP CSR)</w:t>
            </w:r>
          </w:p>
          <w:p w14:paraId="3E4A8A35" w14:textId="160B9A80" w:rsidR="06503780" w:rsidRPr="001F1865" w:rsidRDefault="06503780" w:rsidP="00DB0A49">
            <w:pPr>
              <w:spacing w:after="240"/>
              <w:jc w:val="both"/>
              <w:rPr>
                <w:rFonts w:ascii="Times New Roman" w:eastAsia="Times New Roman" w:hAnsi="Times New Roman" w:cs="Times New Roman"/>
                <w:sz w:val="24"/>
              </w:rPr>
            </w:pPr>
            <w:r>
              <w:rPr>
                <w:rFonts w:ascii="Times New Roman" w:hAnsi="Times New Roman"/>
                <w:sz w:val="24"/>
              </w:rPr>
              <w:t>overeenkomstig artikel 325 quater, lid 2, punt a), en artikel 325 quinquies, lid 1, punt iv), van Verordening (EU) nr. 575/2013.</w:t>
            </w:r>
          </w:p>
        </w:tc>
      </w:tr>
      <w:tr w:rsidR="06503780" w:rsidRPr="001F1865" w14:paraId="5BB1038C" w14:textId="77777777" w:rsidTr="007C1D00">
        <w:trPr>
          <w:trHeight w:val="300"/>
        </w:trPr>
        <w:tc>
          <w:tcPr>
            <w:tcW w:w="1445"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322C0155" w14:textId="1C2CF576" w:rsidR="06503780" w:rsidRPr="001F1865" w:rsidRDefault="06503780" w:rsidP="00DB0A49">
            <w:pPr>
              <w:spacing w:after="240"/>
              <w:jc w:val="center"/>
              <w:rPr>
                <w:rFonts w:ascii="Times New Roman" w:eastAsia="Times New Roman" w:hAnsi="Times New Roman" w:cs="Times New Roman"/>
                <w:sz w:val="24"/>
              </w:rPr>
            </w:pPr>
            <w:r>
              <w:rPr>
                <w:rFonts w:ascii="Times New Roman" w:hAnsi="Times New Roman"/>
                <w:sz w:val="24"/>
              </w:rPr>
              <w:t xml:space="preserve"> </w:t>
            </w:r>
          </w:p>
        </w:tc>
        <w:tc>
          <w:tcPr>
            <w:tcW w:w="6970"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4AC462EA" w14:textId="24FC6AB3" w:rsidR="06503780" w:rsidRPr="001F1865" w:rsidRDefault="06503780" w:rsidP="00DB0A49">
            <w:pPr>
              <w:spacing w:after="240"/>
              <w:rPr>
                <w:rFonts w:ascii="Times New Roman" w:eastAsia="Times New Roman" w:hAnsi="Times New Roman" w:cs="Times New Roman"/>
                <w:b/>
                <w:bCs/>
                <w:sz w:val="24"/>
                <w:u w:val="single"/>
              </w:rPr>
            </w:pPr>
            <w:r>
              <w:rPr>
                <w:rFonts w:ascii="Times New Roman" w:hAnsi="Times New Roman"/>
                <w:b/>
                <w:sz w:val="24"/>
                <w:u w:val="single"/>
              </w:rPr>
              <w:t>Wanbetalingsrisico</w:t>
            </w:r>
          </w:p>
          <w:p w14:paraId="50AC8B96" w14:textId="24D7EC82" w:rsidR="06503780" w:rsidRPr="001F1865" w:rsidRDefault="06503780" w:rsidP="00DB0A49">
            <w:pPr>
              <w:spacing w:after="240"/>
              <w:rPr>
                <w:rFonts w:ascii="Times New Roman" w:eastAsia="Times New Roman" w:hAnsi="Times New Roman" w:cs="Times New Roman"/>
                <w:sz w:val="24"/>
              </w:rPr>
            </w:pPr>
            <w:r>
              <w:rPr>
                <w:rFonts w:ascii="Times New Roman" w:hAnsi="Times New Roman"/>
                <w:sz w:val="24"/>
              </w:rPr>
              <w:t>overeenkomstig deel drie, titel IV, hoofdstuk 1 bis, afdeling 5, van Verordening (EU) nr. 575/2013.</w:t>
            </w:r>
          </w:p>
        </w:tc>
      </w:tr>
      <w:tr w:rsidR="06503780" w:rsidRPr="001F1865" w14:paraId="4CA77AC2" w14:textId="77777777" w:rsidTr="007C1D00">
        <w:trPr>
          <w:trHeight w:val="300"/>
        </w:trPr>
        <w:tc>
          <w:tcPr>
            <w:tcW w:w="1445" w:type="dxa"/>
            <w:tcBorders>
              <w:top w:val="single" w:sz="8" w:space="0" w:color="auto"/>
              <w:left w:val="single" w:sz="8" w:space="0" w:color="auto"/>
              <w:bottom w:val="single" w:sz="8" w:space="0" w:color="auto"/>
              <w:right w:val="single" w:sz="8" w:space="0" w:color="auto"/>
            </w:tcBorders>
            <w:tcMar>
              <w:left w:w="108" w:type="dxa"/>
              <w:right w:w="108" w:type="dxa"/>
            </w:tcMar>
          </w:tcPr>
          <w:p w14:paraId="3CD9CDA3" w14:textId="20B6ABEB"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8</w:t>
            </w:r>
          </w:p>
        </w:tc>
        <w:tc>
          <w:tcPr>
            <w:tcW w:w="6970" w:type="dxa"/>
            <w:tcBorders>
              <w:top w:val="single" w:sz="8" w:space="0" w:color="auto"/>
              <w:left w:val="single" w:sz="8" w:space="0" w:color="auto"/>
              <w:bottom w:val="single" w:sz="8" w:space="0" w:color="auto"/>
              <w:right w:val="single" w:sz="8" w:space="0" w:color="auto"/>
            </w:tcBorders>
            <w:tcMar>
              <w:left w:w="108" w:type="dxa"/>
              <w:right w:w="108" w:type="dxa"/>
            </w:tcMar>
          </w:tcPr>
          <w:p w14:paraId="20D3825E" w14:textId="1E8FC60A"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Niet-securitisaties</w:t>
            </w:r>
          </w:p>
          <w:p w14:paraId="6E07A74F" w14:textId="60055B48" w:rsidR="06503780" w:rsidRPr="001F1865" w:rsidRDefault="06503780" w:rsidP="00DB0A49">
            <w:pPr>
              <w:spacing w:after="240"/>
              <w:jc w:val="both"/>
              <w:rPr>
                <w:rFonts w:ascii="Times New Roman" w:eastAsia="Times New Roman" w:hAnsi="Times New Roman" w:cs="Times New Roman"/>
                <w:szCs w:val="22"/>
              </w:rPr>
            </w:pPr>
            <w:r>
              <w:rPr>
                <w:rFonts w:ascii="Times New Roman" w:hAnsi="Times New Roman"/>
                <w:sz w:val="24"/>
              </w:rPr>
              <w:t>overeenkomstig artikel 325 quater, lid 2, punt b), en deel drie, titel IV, hoofdstuk 1 bis, afdeling 5, onderafdeling 1, van Verordening (EU) nr. 575/2013.</w:t>
            </w:r>
            <w:r>
              <w:rPr>
                <w:rFonts w:ascii="Times New Roman" w:hAnsi="Times New Roman"/>
              </w:rPr>
              <w:t xml:space="preserve"> </w:t>
            </w:r>
          </w:p>
        </w:tc>
      </w:tr>
      <w:tr w:rsidR="06503780" w:rsidRPr="001F1865" w14:paraId="7297D5CB" w14:textId="77777777" w:rsidTr="007C1D00">
        <w:trPr>
          <w:trHeight w:val="300"/>
        </w:trPr>
        <w:tc>
          <w:tcPr>
            <w:tcW w:w="1445" w:type="dxa"/>
            <w:tcBorders>
              <w:top w:val="single" w:sz="8" w:space="0" w:color="auto"/>
              <w:left w:val="single" w:sz="8" w:space="0" w:color="auto"/>
              <w:bottom w:val="single" w:sz="8" w:space="0" w:color="auto"/>
              <w:right w:val="single" w:sz="8" w:space="0" w:color="auto"/>
            </w:tcBorders>
            <w:tcMar>
              <w:left w:w="108" w:type="dxa"/>
              <w:right w:w="108" w:type="dxa"/>
            </w:tcMar>
          </w:tcPr>
          <w:p w14:paraId="7554CE0F" w14:textId="0108E6B7"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9</w:t>
            </w:r>
          </w:p>
        </w:tc>
        <w:tc>
          <w:tcPr>
            <w:tcW w:w="6970" w:type="dxa"/>
            <w:tcBorders>
              <w:top w:val="single" w:sz="8" w:space="0" w:color="auto"/>
              <w:left w:val="single" w:sz="8" w:space="0" w:color="auto"/>
              <w:bottom w:val="single" w:sz="8" w:space="0" w:color="auto"/>
              <w:right w:val="single" w:sz="8" w:space="0" w:color="auto"/>
            </w:tcBorders>
            <w:tcMar>
              <w:left w:w="108" w:type="dxa"/>
              <w:right w:w="108" w:type="dxa"/>
            </w:tcMar>
          </w:tcPr>
          <w:p w14:paraId="43034D48" w14:textId="567356EB"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Securitisatie niet opgenomen in de alternatieve correlatiehandelsportefeuille (niet-ACHP)</w:t>
            </w:r>
          </w:p>
          <w:p w14:paraId="093A58C5" w14:textId="0BD66CFC" w:rsidR="06503780" w:rsidRPr="001F1865" w:rsidRDefault="06503780" w:rsidP="00DB0A49">
            <w:pPr>
              <w:spacing w:after="240"/>
              <w:jc w:val="both"/>
              <w:rPr>
                <w:rFonts w:ascii="Times New Roman" w:eastAsia="Times New Roman" w:hAnsi="Times New Roman" w:cs="Times New Roman"/>
                <w:szCs w:val="22"/>
              </w:rPr>
            </w:pPr>
            <w:r>
              <w:rPr>
                <w:rFonts w:ascii="Times New Roman" w:hAnsi="Times New Roman"/>
                <w:sz w:val="24"/>
              </w:rPr>
              <w:lastRenderedPageBreak/>
              <w:t>overeenkomstig artikel 325 quater, lid 2, punt b), en deel drie, titel IV, hoofdstuk 2 bis, afdeling 5, onderafdeling 1, van Verordening (EU) nr. 575/2013.</w:t>
            </w:r>
            <w:r>
              <w:rPr>
                <w:rFonts w:ascii="Times New Roman" w:hAnsi="Times New Roman"/>
              </w:rPr>
              <w:t xml:space="preserve"> </w:t>
            </w:r>
          </w:p>
        </w:tc>
      </w:tr>
      <w:tr w:rsidR="06503780" w:rsidRPr="001F1865" w14:paraId="7399949B" w14:textId="77777777" w:rsidTr="007C1D00">
        <w:trPr>
          <w:trHeight w:val="300"/>
        </w:trPr>
        <w:tc>
          <w:tcPr>
            <w:tcW w:w="1445" w:type="dxa"/>
            <w:tcBorders>
              <w:top w:val="single" w:sz="8" w:space="0" w:color="auto"/>
              <w:left w:val="single" w:sz="8" w:space="0" w:color="auto"/>
              <w:bottom w:val="single" w:sz="8" w:space="0" w:color="auto"/>
              <w:right w:val="single" w:sz="8" w:space="0" w:color="auto"/>
            </w:tcBorders>
            <w:tcMar>
              <w:left w:w="108" w:type="dxa"/>
              <w:right w:w="108" w:type="dxa"/>
            </w:tcMar>
          </w:tcPr>
          <w:p w14:paraId="3C60F427" w14:textId="2083466B"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lastRenderedPageBreak/>
              <w:t>10</w:t>
            </w:r>
          </w:p>
        </w:tc>
        <w:tc>
          <w:tcPr>
            <w:tcW w:w="6970" w:type="dxa"/>
            <w:tcBorders>
              <w:top w:val="single" w:sz="8" w:space="0" w:color="auto"/>
              <w:left w:val="single" w:sz="8" w:space="0" w:color="auto"/>
              <w:bottom w:val="single" w:sz="8" w:space="0" w:color="auto"/>
              <w:right w:val="single" w:sz="8" w:space="0" w:color="auto"/>
            </w:tcBorders>
            <w:tcMar>
              <w:left w:w="108" w:type="dxa"/>
              <w:right w:w="108" w:type="dxa"/>
            </w:tcMar>
          </w:tcPr>
          <w:p w14:paraId="4150980D" w14:textId="2B90AE8D"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Securitisatie opgenomen in de alternatieve correlatiehandelsportefeuille (ACHP)</w:t>
            </w:r>
          </w:p>
          <w:p w14:paraId="4F126C34" w14:textId="2E83A436" w:rsidR="06503780" w:rsidRPr="001F1865" w:rsidRDefault="06503780" w:rsidP="00DB0A49">
            <w:pPr>
              <w:spacing w:after="240"/>
              <w:jc w:val="both"/>
              <w:rPr>
                <w:rFonts w:ascii="Times New Roman" w:eastAsia="Times New Roman" w:hAnsi="Times New Roman" w:cs="Times New Roman"/>
                <w:szCs w:val="22"/>
              </w:rPr>
            </w:pPr>
            <w:r>
              <w:rPr>
                <w:rFonts w:ascii="Times New Roman" w:hAnsi="Times New Roman"/>
                <w:sz w:val="24"/>
              </w:rPr>
              <w:t>overeenkomstig artikel 325 quater, lid 2, punt b), en deel drie, titel IV, hoofdstuk 3 bis, afdeling 5, onderafdeling 1, van Verordening (EU) nr. 575/2013.</w:t>
            </w:r>
            <w:r>
              <w:rPr>
                <w:rFonts w:ascii="Times New Roman" w:hAnsi="Times New Roman"/>
              </w:rPr>
              <w:t xml:space="preserve"> </w:t>
            </w:r>
          </w:p>
        </w:tc>
      </w:tr>
      <w:tr w:rsidR="06503780" w:rsidRPr="001F1865" w14:paraId="1A1B8236" w14:textId="77777777" w:rsidTr="007C1D00">
        <w:trPr>
          <w:trHeight w:val="300"/>
        </w:trPr>
        <w:tc>
          <w:tcPr>
            <w:tcW w:w="1445"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38B14961" w14:textId="055D18A0" w:rsidR="06503780" w:rsidRPr="001F1865" w:rsidRDefault="06503780" w:rsidP="00DB0A49">
            <w:pPr>
              <w:spacing w:after="240"/>
              <w:jc w:val="center"/>
              <w:rPr>
                <w:rFonts w:ascii="Times New Roman" w:eastAsia="Times New Roman" w:hAnsi="Times New Roman" w:cs="Times New Roman"/>
                <w:sz w:val="24"/>
              </w:rPr>
            </w:pPr>
            <w:r>
              <w:rPr>
                <w:rFonts w:ascii="Times New Roman" w:hAnsi="Times New Roman"/>
                <w:sz w:val="24"/>
              </w:rPr>
              <w:t xml:space="preserve"> </w:t>
            </w:r>
          </w:p>
        </w:tc>
        <w:tc>
          <w:tcPr>
            <w:tcW w:w="6970"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538DF7BF" w14:textId="7E1499C0" w:rsidR="06503780" w:rsidRPr="001F1865" w:rsidRDefault="06503780" w:rsidP="00DB0A49">
            <w:pPr>
              <w:spacing w:after="240"/>
              <w:rPr>
                <w:rFonts w:ascii="Times New Roman" w:eastAsia="Times New Roman" w:hAnsi="Times New Roman" w:cs="Times New Roman"/>
                <w:b/>
                <w:bCs/>
                <w:sz w:val="24"/>
                <w:u w:val="single"/>
              </w:rPr>
            </w:pPr>
            <w:r>
              <w:rPr>
                <w:rFonts w:ascii="Times New Roman" w:hAnsi="Times New Roman"/>
                <w:b/>
                <w:sz w:val="24"/>
                <w:u w:val="single"/>
              </w:rPr>
              <w:t>Restrisico</w:t>
            </w:r>
          </w:p>
          <w:p w14:paraId="3E3A6F03" w14:textId="754D8113" w:rsidR="06503780" w:rsidRPr="001F1865" w:rsidRDefault="06503780" w:rsidP="00DB0A49">
            <w:pPr>
              <w:spacing w:after="240"/>
              <w:rPr>
                <w:rFonts w:ascii="Times New Roman" w:eastAsia="Times New Roman" w:hAnsi="Times New Roman" w:cs="Times New Roman"/>
                <w:sz w:val="24"/>
              </w:rPr>
            </w:pPr>
            <w:r>
              <w:rPr>
                <w:rFonts w:ascii="Times New Roman" w:hAnsi="Times New Roman"/>
                <w:sz w:val="24"/>
              </w:rPr>
              <w:t>Deel drie, titel IV, hoofdstuk 1 bis, afdeling 4, van Verordening (EU) nr. 575/2013.</w:t>
            </w:r>
          </w:p>
        </w:tc>
      </w:tr>
      <w:tr w:rsidR="06503780" w:rsidRPr="001F1865" w14:paraId="179BEFFD" w14:textId="77777777" w:rsidTr="007C1D00">
        <w:trPr>
          <w:trHeight w:val="300"/>
        </w:trPr>
        <w:tc>
          <w:tcPr>
            <w:tcW w:w="1445" w:type="dxa"/>
            <w:tcBorders>
              <w:top w:val="single" w:sz="8" w:space="0" w:color="auto"/>
              <w:left w:val="single" w:sz="8" w:space="0" w:color="auto"/>
              <w:bottom w:val="single" w:sz="8" w:space="0" w:color="auto"/>
              <w:right w:val="single" w:sz="8" w:space="0" w:color="auto"/>
            </w:tcBorders>
            <w:tcMar>
              <w:left w:w="108" w:type="dxa"/>
              <w:right w:w="108" w:type="dxa"/>
            </w:tcMar>
          </w:tcPr>
          <w:p w14:paraId="0FD2F5C6" w14:textId="1E18CC3B" w:rsidR="06503780" w:rsidRPr="001F1865" w:rsidRDefault="007E00FD" w:rsidP="00DB0A49">
            <w:pPr>
              <w:spacing w:after="240"/>
              <w:jc w:val="center"/>
              <w:rPr>
                <w:rFonts w:ascii="Times New Roman" w:eastAsia="Times New Roman" w:hAnsi="Times New Roman" w:cs="Times New Roman"/>
                <w:szCs w:val="22"/>
              </w:rPr>
            </w:pPr>
            <w:r>
              <w:rPr>
                <w:rFonts w:ascii="Times New Roman" w:hAnsi="Times New Roman"/>
              </w:rPr>
              <w:t>EU 11a</w:t>
            </w:r>
          </w:p>
        </w:tc>
        <w:tc>
          <w:tcPr>
            <w:tcW w:w="6970" w:type="dxa"/>
            <w:tcBorders>
              <w:top w:val="single" w:sz="8" w:space="0" w:color="auto"/>
              <w:left w:val="single" w:sz="8" w:space="0" w:color="auto"/>
              <w:bottom w:val="single" w:sz="8" w:space="0" w:color="auto"/>
              <w:right w:val="single" w:sz="8" w:space="0" w:color="auto"/>
            </w:tcBorders>
            <w:tcMar>
              <w:left w:w="108" w:type="dxa"/>
              <w:right w:w="108" w:type="dxa"/>
            </w:tcMar>
          </w:tcPr>
          <w:p w14:paraId="26885E79" w14:textId="10B5A147"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Exotische onderliggende waarden</w:t>
            </w:r>
          </w:p>
          <w:p w14:paraId="7ED02FAC" w14:textId="7DFCBC6E" w:rsidR="06503780" w:rsidRPr="001F1865" w:rsidRDefault="06503780" w:rsidP="00DB0A49">
            <w:pPr>
              <w:spacing w:before="120" w:after="120"/>
              <w:rPr>
                <w:rFonts w:ascii="Times New Roman" w:eastAsia="Times New Roman" w:hAnsi="Times New Roman" w:cs="Times New Roman"/>
                <w:sz w:val="24"/>
              </w:rPr>
            </w:pPr>
            <w:r>
              <w:rPr>
                <w:rFonts w:ascii="Times New Roman" w:hAnsi="Times New Roman"/>
                <w:sz w:val="24"/>
              </w:rPr>
              <w:t>overeenkomstig artikel 325 quater, lid 2, punt c), en artikel 325 duovicies, lid 2, punt a), van Verordening (EU) nr. 575/2013.</w:t>
            </w:r>
          </w:p>
        </w:tc>
      </w:tr>
      <w:tr w:rsidR="06503780" w:rsidRPr="001F1865" w14:paraId="397A3B6A" w14:textId="77777777" w:rsidTr="007C1D00">
        <w:trPr>
          <w:trHeight w:val="300"/>
        </w:trPr>
        <w:tc>
          <w:tcPr>
            <w:tcW w:w="1445" w:type="dxa"/>
            <w:tcBorders>
              <w:top w:val="single" w:sz="8" w:space="0" w:color="auto"/>
              <w:left w:val="single" w:sz="8" w:space="0" w:color="auto"/>
              <w:bottom w:val="single" w:sz="8" w:space="0" w:color="auto"/>
              <w:right w:val="single" w:sz="8" w:space="0" w:color="auto"/>
            </w:tcBorders>
            <w:tcMar>
              <w:left w:w="108" w:type="dxa"/>
              <w:right w:w="108" w:type="dxa"/>
            </w:tcMar>
          </w:tcPr>
          <w:p w14:paraId="4387ED4F" w14:textId="568A449C" w:rsidR="06503780" w:rsidRPr="001F1865" w:rsidRDefault="007E00FD" w:rsidP="00DB0A49">
            <w:pPr>
              <w:spacing w:after="240"/>
              <w:jc w:val="center"/>
              <w:rPr>
                <w:rFonts w:ascii="Times New Roman" w:eastAsia="Times New Roman" w:hAnsi="Times New Roman" w:cs="Times New Roman"/>
                <w:szCs w:val="22"/>
              </w:rPr>
            </w:pPr>
            <w:r>
              <w:rPr>
                <w:rFonts w:ascii="Times New Roman" w:hAnsi="Times New Roman"/>
              </w:rPr>
              <w:t>EU 11b</w:t>
            </w:r>
          </w:p>
        </w:tc>
        <w:tc>
          <w:tcPr>
            <w:tcW w:w="6970" w:type="dxa"/>
            <w:tcBorders>
              <w:top w:val="single" w:sz="8" w:space="0" w:color="auto"/>
              <w:left w:val="single" w:sz="8" w:space="0" w:color="auto"/>
              <w:bottom w:val="single" w:sz="8" w:space="0" w:color="auto"/>
              <w:right w:val="single" w:sz="8" w:space="0" w:color="auto"/>
            </w:tcBorders>
            <w:tcMar>
              <w:left w:w="108" w:type="dxa"/>
              <w:right w:w="108" w:type="dxa"/>
            </w:tcMar>
          </w:tcPr>
          <w:p w14:paraId="3F12FF09" w14:textId="69432A4B"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Overige restrisico’s</w:t>
            </w:r>
          </w:p>
          <w:p w14:paraId="5E46032C" w14:textId="013FBB68" w:rsidR="06503780" w:rsidRPr="001F1865" w:rsidRDefault="06503780" w:rsidP="00DB0A49">
            <w:pPr>
              <w:spacing w:before="120" w:after="120"/>
              <w:rPr>
                <w:rFonts w:ascii="Times New Roman" w:eastAsia="Times New Roman" w:hAnsi="Times New Roman" w:cs="Times New Roman"/>
                <w:sz w:val="24"/>
              </w:rPr>
            </w:pPr>
            <w:r>
              <w:rPr>
                <w:rFonts w:ascii="Times New Roman" w:hAnsi="Times New Roman"/>
                <w:sz w:val="24"/>
              </w:rPr>
              <w:t>overeenkomstig artikel 325 quater, lid 2, punt c), en artikel 325 duovicies, lid 2, punt b), van Verordening (EU) nr. 575/2013.</w:t>
            </w:r>
          </w:p>
        </w:tc>
      </w:tr>
      <w:tr w:rsidR="06503780" w:rsidRPr="001F1865" w14:paraId="106996A8" w14:textId="77777777" w:rsidTr="007C1D00">
        <w:trPr>
          <w:trHeight w:val="300"/>
        </w:trPr>
        <w:tc>
          <w:tcPr>
            <w:tcW w:w="1445" w:type="dxa"/>
            <w:tcBorders>
              <w:top w:val="single" w:sz="8" w:space="0" w:color="auto"/>
              <w:left w:val="single" w:sz="8" w:space="0" w:color="auto"/>
              <w:bottom w:val="single" w:sz="8" w:space="0" w:color="auto"/>
              <w:right w:val="single" w:sz="8" w:space="0" w:color="auto"/>
            </w:tcBorders>
            <w:tcMar>
              <w:left w:w="108" w:type="dxa"/>
              <w:right w:w="108" w:type="dxa"/>
            </w:tcMar>
          </w:tcPr>
          <w:p w14:paraId="34A57C66" w14:textId="56FC3416"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12</w:t>
            </w:r>
          </w:p>
        </w:tc>
        <w:tc>
          <w:tcPr>
            <w:tcW w:w="6970" w:type="dxa"/>
            <w:tcBorders>
              <w:top w:val="single" w:sz="8" w:space="0" w:color="auto"/>
              <w:left w:val="single" w:sz="8" w:space="0" w:color="auto"/>
              <w:bottom w:val="single" w:sz="8" w:space="0" w:color="auto"/>
              <w:right w:val="single" w:sz="8" w:space="0" w:color="auto"/>
            </w:tcBorders>
            <w:tcMar>
              <w:left w:w="108" w:type="dxa"/>
              <w:right w:w="108" w:type="dxa"/>
            </w:tcMar>
          </w:tcPr>
          <w:p w14:paraId="39F69C8C" w14:textId="2E5029F0" w:rsidR="224E1E9F" w:rsidRPr="001F1865" w:rsidRDefault="224E1E9F" w:rsidP="00DB0A49">
            <w:pPr>
              <w:spacing w:after="240"/>
              <w:rPr>
                <w:rFonts w:ascii="Times New Roman" w:eastAsia="Times New Roman" w:hAnsi="Times New Roman" w:cs="Times New Roman"/>
                <w:b/>
                <w:bCs/>
                <w:sz w:val="24"/>
                <w:u w:val="single"/>
              </w:rPr>
            </w:pPr>
            <w:r>
              <w:rPr>
                <w:rFonts w:ascii="Times New Roman" w:hAnsi="Times New Roman"/>
                <w:b/>
                <w:sz w:val="24"/>
                <w:u w:val="single"/>
              </w:rPr>
              <w:t>Totale eigenvermogensvereisten (OFR)</w:t>
            </w:r>
          </w:p>
          <w:p w14:paraId="3AEB87FA" w14:textId="63F7CC8B" w:rsidR="06503780" w:rsidRDefault="002A353C" w:rsidP="06503780">
            <w:pPr>
              <w:spacing w:after="120" w:line="257" w:lineRule="auto"/>
              <w:rPr>
                <w:rFonts w:ascii="Times New Roman" w:eastAsia="Times New Roman" w:hAnsi="Times New Roman" w:cs="Times New Roman"/>
                <w:sz w:val="24"/>
              </w:rPr>
            </w:pPr>
            <w:r>
              <w:rPr>
                <w:rFonts w:ascii="Times New Roman" w:hAnsi="Times New Roman"/>
                <w:sz w:val="24"/>
              </w:rPr>
              <w:t>Som van de rijen 1 tot en met EU 11b.</w:t>
            </w:r>
          </w:p>
          <w:p w14:paraId="65A75CAB" w14:textId="1D4354D4" w:rsidR="002A353C" w:rsidRPr="001F1865" w:rsidRDefault="002A353C" w:rsidP="06503780">
            <w:pPr>
              <w:spacing w:after="120" w:line="257" w:lineRule="auto"/>
              <w:rPr>
                <w:rFonts w:ascii="Times New Roman" w:eastAsia="Times New Roman" w:hAnsi="Times New Roman" w:cs="Times New Roman"/>
                <w:sz w:val="24"/>
              </w:rPr>
            </w:pPr>
          </w:p>
        </w:tc>
      </w:tr>
      <w:tr w:rsidR="06503780" w:rsidRPr="001F1865" w14:paraId="01D665D7" w14:textId="77777777" w:rsidTr="007C1D00">
        <w:trPr>
          <w:trHeight w:val="300"/>
        </w:trPr>
        <w:tc>
          <w:tcPr>
            <w:tcW w:w="1445"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6C2FE727" w14:textId="64C5B7A3"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Kolom</w:t>
            </w:r>
          </w:p>
        </w:tc>
        <w:tc>
          <w:tcPr>
            <w:tcW w:w="697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370E68CC" w14:textId="5A5AF052"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Toelichting</w:t>
            </w:r>
          </w:p>
        </w:tc>
      </w:tr>
      <w:tr w:rsidR="06503780" w:rsidRPr="001F1865" w14:paraId="57E6568D" w14:textId="77777777" w:rsidTr="007C1D00">
        <w:trPr>
          <w:trHeight w:val="300"/>
        </w:trPr>
        <w:tc>
          <w:tcPr>
            <w:tcW w:w="1445"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34DF7122" w14:textId="3D824940"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 xml:space="preserve"> </w:t>
            </w:r>
          </w:p>
        </w:tc>
        <w:tc>
          <w:tcPr>
            <w:tcW w:w="6970"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277B88BE" w14:textId="5948A214" w:rsidR="01DFB7EB" w:rsidRPr="001F1865" w:rsidRDefault="01DFB7EB" w:rsidP="06503780">
            <w:pPr>
              <w:spacing w:after="240"/>
              <w:rPr>
                <w:rFonts w:ascii="Times New Roman" w:eastAsia="Times New Roman" w:hAnsi="Times New Roman" w:cs="Times New Roman"/>
                <w:b/>
                <w:bCs/>
                <w:sz w:val="24"/>
                <w:u w:val="single"/>
              </w:rPr>
            </w:pPr>
            <w:r>
              <w:rPr>
                <w:rFonts w:ascii="Times New Roman" w:hAnsi="Times New Roman"/>
                <w:b/>
                <w:sz w:val="24"/>
                <w:u w:val="single"/>
              </w:rPr>
              <w:t>Totale eigenvermogensvereisten (OFR)</w:t>
            </w:r>
          </w:p>
        </w:tc>
      </w:tr>
      <w:tr w:rsidR="06503780" w:rsidRPr="001F1865" w14:paraId="37D30FC4" w14:textId="77777777" w:rsidTr="007C1D00">
        <w:trPr>
          <w:trHeight w:val="300"/>
        </w:trPr>
        <w:tc>
          <w:tcPr>
            <w:tcW w:w="1445"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601C04F1" w14:textId="4F64D071"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a</w:t>
            </w:r>
          </w:p>
        </w:tc>
        <w:tc>
          <w:tcPr>
            <w:tcW w:w="6970"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5669159E" w14:textId="0505478C" w:rsidR="517DDA85" w:rsidRPr="001F1865" w:rsidRDefault="02A66E37" w:rsidP="72461198">
            <w:pPr>
              <w:rPr>
                <w:rFonts w:ascii="Times New Roman" w:eastAsia="Times New Roman" w:hAnsi="Times New Roman" w:cs="Times New Roman"/>
                <w:sz w:val="24"/>
              </w:rPr>
            </w:pPr>
            <w:r>
              <w:rPr>
                <w:rFonts w:ascii="Times New Roman" w:hAnsi="Times New Roman"/>
                <w:sz w:val="24"/>
              </w:rPr>
              <w:t>Openbaarmaking van eigenvermogensvereisten in de zin van artikel 438, punt d), van Verordening (EU) nr. 575/2013, berekend als de eenvoudige som van de bovenstaande posten in de rijen 1 tot en met EU 11b.</w:t>
            </w:r>
          </w:p>
          <w:p w14:paraId="4E5B9771" w14:textId="40E878CC" w:rsidR="06503780" w:rsidRPr="001F1865" w:rsidRDefault="06503780" w:rsidP="06503780">
            <w:pPr>
              <w:spacing w:after="120" w:line="257" w:lineRule="auto"/>
              <w:rPr>
                <w:rFonts w:ascii="Times New Roman" w:eastAsia="Times New Roman" w:hAnsi="Times New Roman" w:cs="Times New Roman"/>
                <w:sz w:val="24"/>
              </w:rPr>
            </w:pPr>
          </w:p>
        </w:tc>
      </w:tr>
    </w:tbl>
    <w:p w14:paraId="41C8F396" w14:textId="77777777" w:rsidR="00931C32" w:rsidRPr="001F1865" w:rsidRDefault="00931C32" w:rsidP="00931C32">
      <w:pPr>
        <w:spacing w:after="240"/>
        <w:rPr>
          <w:rFonts w:ascii="Times New Roman" w:hAnsi="Times New Roman" w:cs="Times New Roman"/>
          <w:b/>
          <w:sz w:val="24"/>
        </w:rPr>
      </w:pPr>
    </w:p>
    <w:p w14:paraId="49AD8C16" w14:textId="467238F4" w:rsidR="00931C32" w:rsidRPr="001F1865" w:rsidRDefault="00931C32" w:rsidP="48484374">
      <w:pPr>
        <w:spacing w:after="240"/>
        <w:rPr>
          <w:rFonts w:ascii="Times New Roman" w:hAnsi="Times New Roman" w:cs="Times New Roman"/>
          <w:b/>
          <w:bCs/>
          <w:sz w:val="24"/>
        </w:rPr>
      </w:pPr>
      <w:r>
        <w:rPr>
          <w:rFonts w:ascii="Times New Roman" w:hAnsi="Times New Roman"/>
          <w:b/>
          <w:sz w:val="24"/>
        </w:rPr>
        <w:t>Tabel EU-MRB: Kwalitatieve openbaarmakingsvereisten voor instellingen die de alternatieve internemodellenbenadering gebruiken:</w:t>
      </w:r>
      <w:r>
        <w:rPr>
          <w:rFonts w:ascii="Times New Roman" w:hAnsi="Times New Roman"/>
          <w:sz w:val="24"/>
        </w:rPr>
        <w:t xml:space="preserve"> Tekst met vrije opmaak.</w:t>
      </w:r>
    </w:p>
    <w:p w14:paraId="32EDF34C" w14:textId="442D1C01" w:rsidR="00931C32" w:rsidRPr="001F1865" w:rsidRDefault="00931C32" w:rsidP="00DB0A49">
      <w:pPr>
        <w:pStyle w:val="Titlelevel2"/>
        <w:numPr>
          <w:ilvl w:val="0"/>
          <w:numId w:val="4"/>
        </w:numPr>
        <w:spacing w:before="0"/>
        <w:ind w:left="284" w:hanging="284"/>
        <w:jc w:val="both"/>
        <w:rPr>
          <w:rFonts w:ascii="Times New Roman" w:hAnsi="Times New Roman" w:cs="Times New Roman"/>
          <w:b/>
          <w:sz w:val="24"/>
        </w:rPr>
      </w:pPr>
      <w:r>
        <w:rPr>
          <w:rFonts w:ascii="Times New Roman" w:hAnsi="Times New Roman"/>
          <w:color w:val="000000" w:themeColor="text1"/>
          <w:sz w:val="24"/>
        </w:rPr>
        <w:t>De instellingen maken de in artikel 455, punten a), b), c), d), e) en f),van Verordening (EU) nr. 575/2013 bedoelde informatie openbaar overeenkomstig onderstaande instructies in deze bijlage voor het invullen van tabel EU MRB die in bijlage XXIX is opgenomen.</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6998"/>
      </w:tblGrid>
      <w:tr w:rsidR="00931C32" w:rsidRPr="001F1865" w14:paraId="39C1942C" w14:textId="77777777" w:rsidTr="72461198">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FE3064" w14:textId="77777777" w:rsidR="00931C32" w:rsidRPr="001F1865" w:rsidRDefault="00931C32" w:rsidP="007C1D00">
            <w:pPr>
              <w:pageBreakBefore/>
              <w:spacing w:after="240"/>
              <w:rPr>
                <w:rFonts w:ascii="Times New Roman" w:hAnsi="Times New Roman" w:cs="Times New Roman"/>
                <w:b/>
                <w:sz w:val="24"/>
              </w:rPr>
            </w:pPr>
            <w:r>
              <w:rPr>
                <w:rFonts w:ascii="Times New Roman" w:hAnsi="Times New Roman"/>
                <w:b/>
                <w:sz w:val="24"/>
              </w:rPr>
              <w:lastRenderedPageBreak/>
              <w:t>Verwijzingen naar wetgeving en instructies</w:t>
            </w:r>
          </w:p>
        </w:tc>
      </w:tr>
      <w:tr w:rsidR="00931C32" w:rsidRPr="001F1865" w14:paraId="1B6F00FD" w14:textId="77777777" w:rsidTr="00DB0A49">
        <w:tc>
          <w:tcPr>
            <w:tcW w:w="123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C4E9D0C"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Rijnummer</w:t>
            </w:r>
          </w:p>
        </w:tc>
        <w:tc>
          <w:tcPr>
            <w:tcW w:w="718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0C9A014"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Toelichting</w:t>
            </w:r>
          </w:p>
        </w:tc>
      </w:tr>
      <w:tr w:rsidR="3765CAC5" w:rsidRPr="001F1865" w14:paraId="0407979F"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4F9E1B4" w14:textId="5201D106" w:rsidR="3765CAC5" w:rsidRPr="001F1865" w:rsidRDefault="3765CAC5" w:rsidP="3765CAC5">
            <w:pPr>
              <w:rPr>
                <w:rFonts w:ascii="Times New Roman" w:hAnsi="Times New Roman" w:cs="Times New Roman"/>
                <w:b/>
                <w:bCs/>
                <w:sz w:val="24"/>
                <w:lang w:eastAsia="ja-JP"/>
              </w:rPr>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FE12632" w14:textId="11982131" w:rsidR="7BC02D42" w:rsidRPr="001F1865" w:rsidRDefault="2716EDAD" w:rsidP="72461198">
            <w:pPr>
              <w:rPr>
                <w:rFonts w:ascii="Times New Roman" w:eastAsia="Times New Roman" w:hAnsi="Times New Roman" w:cs="Times New Roman"/>
                <w:sz w:val="24"/>
              </w:rPr>
            </w:pPr>
            <w:r>
              <w:rPr>
                <w:rFonts w:ascii="Times New Roman" w:hAnsi="Times New Roman"/>
                <w:sz w:val="24"/>
              </w:rPr>
              <w:t>Bij de openbaarmaking van de in artikel 455, punt 1 bis), van Verordening (EU) nr. 575/2013 bedoelde informatie over de alternatieve interne modellen voor marktrisico nemen instellingen het volgende op:</w:t>
            </w:r>
          </w:p>
        </w:tc>
      </w:tr>
      <w:tr w:rsidR="3765CAC5" w:rsidRPr="00AA772E" w14:paraId="6AB031EF"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729A411" w14:textId="55099BA3" w:rsidR="3C9E464D" w:rsidRPr="00DB0A49" w:rsidRDefault="00B02BFD" w:rsidP="3765CAC5">
            <w:pPr>
              <w:rPr>
                <w:rFonts w:ascii="Times New Roman" w:hAnsi="Times New Roman" w:cs="Times New Roman"/>
                <w:sz w:val="24"/>
              </w:rPr>
            </w:pPr>
            <w:r>
              <w:rPr>
                <w:rFonts w:ascii="Times New Roman" w:hAnsi="Times New Roman"/>
                <w:sz w:val="24"/>
              </w:rPr>
              <w:t>EU (a)</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B283DE8" w14:textId="143E0B94" w:rsidR="3C9E464D" w:rsidRPr="00445013" w:rsidRDefault="3C9E464D" w:rsidP="3765CAC5">
            <w:pPr>
              <w:rPr>
                <w:rFonts w:ascii="Times New Roman" w:eastAsia="Times New Roman" w:hAnsi="Times New Roman" w:cs="Times New Roman"/>
                <w:sz w:val="24"/>
              </w:rPr>
            </w:pPr>
            <w:r>
              <w:rPr>
                <w:rFonts w:ascii="Times New Roman" w:hAnsi="Times New Roman"/>
                <w:color w:val="000000" w:themeColor="text1"/>
                <w:sz w:val="24"/>
              </w:rPr>
              <w:t>de doelstellingen van de instelling bij het verrichten van handelsactiviteiten en de processen die worden geïmplementeerd om de marktrisico’s van de instelling te identificeren, te meten, te monitoren en te beheersen. Deze informatie kan worden verstrekt middels een kruisverwijzing naar tabel EU MRA.</w:t>
            </w:r>
          </w:p>
        </w:tc>
      </w:tr>
      <w:tr w:rsidR="3765CAC5" w:rsidRPr="00AA772E" w14:paraId="3EEEAC3B"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FB7E23A" w14:textId="2C8F59E6" w:rsidR="3C9E464D" w:rsidRPr="00DB0A49" w:rsidRDefault="00671C85" w:rsidP="3765CAC5">
            <w:pPr>
              <w:rPr>
                <w:rFonts w:ascii="Times New Roman" w:hAnsi="Times New Roman" w:cs="Times New Roman"/>
                <w:sz w:val="24"/>
              </w:rPr>
            </w:pPr>
            <w:r>
              <w:rPr>
                <w:rFonts w:ascii="Times New Roman" w:hAnsi="Times New Roman"/>
                <w:sz w:val="24"/>
              </w:rPr>
              <w:t>EU (b)</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DEECC21" w14:textId="2B4ED7C7" w:rsidR="3C9E464D" w:rsidRPr="00DB0A49" w:rsidRDefault="3C9E464D" w:rsidP="3765CAC5">
            <w:pPr>
              <w:rPr>
                <w:rFonts w:ascii="Times New Roman" w:eastAsia="Times New Roman" w:hAnsi="Times New Roman" w:cs="Times New Roman"/>
                <w:sz w:val="24"/>
              </w:rPr>
            </w:pPr>
            <w:r>
              <w:rPr>
                <w:rFonts w:ascii="Times New Roman" w:hAnsi="Times New Roman"/>
                <w:color w:val="000000" w:themeColor="text1"/>
                <w:sz w:val="24"/>
              </w:rPr>
              <w:t>de in artikel 104, lid 1, bedoelde beleidslijnen om te bepalen welke posities in de handelsportefeuille moeten worden opgenomen. Deze informatie kan worden verstrekt middels een kruisverwijzing naar tabel EU MRA;</w:t>
            </w:r>
          </w:p>
        </w:tc>
      </w:tr>
      <w:tr w:rsidR="00671C85" w:rsidRPr="00AA772E" w14:paraId="0D6ADAE7"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9CC578F" w14:textId="7D03AC39" w:rsidR="00671C85" w:rsidRPr="00DB0A49" w:rsidRDefault="00C06844" w:rsidP="00DE090B">
            <w:pPr>
              <w:rPr>
                <w:rFonts w:ascii="Times New Roman" w:hAnsi="Times New Roman" w:cs="Times New Roman"/>
                <w:sz w:val="24"/>
              </w:rPr>
            </w:pPr>
            <w:r>
              <w:rPr>
                <w:rFonts w:ascii="Times New Roman" w:hAnsi="Times New Roman"/>
                <w:sz w:val="24"/>
              </w:rPr>
              <w:t>EU (c)</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F47B801" w14:textId="77777777" w:rsidR="00671C85" w:rsidRPr="00DB0A49" w:rsidRDefault="00671C85" w:rsidP="00DE090B">
            <w:pPr>
              <w:rPr>
                <w:rFonts w:ascii="Times New Roman" w:eastAsia="Times New Roman" w:hAnsi="Times New Roman" w:cs="Times New Roman"/>
                <w:sz w:val="24"/>
              </w:rPr>
            </w:pPr>
            <w:r>
              <w:rPr>
                <w:rFonts w:ascii="Times New Roman" w:hAnsi="Times New Roman"/>
                <w:color w:val="000000" w:themeColor="text1"/>
                <w:sz w:val="24"/>
              </w:rPr>
              <w:t>de structuur en organisatie van de marktrisicobeheerfunctie en governance;</w:t>
            </w:r>
          </w:p>
        </w:tc>
      </w:tr>
      <w:tr w:rsidR="00701D8F" w:rsidRPr="00AA772E" w14:paraId="2E7B7CF0" w14:textId="77777777" w:rsidTr="00DB0A49">
        <w:trPr>
          <w:trHeight w:val="1301"/>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525068B" w14:textId="77777777" w:rsidR="00701D8F" w:rsidRPr="00DB0A49" w:rsidRDefault="00701D8F" w:rsidP="3765CAC5">
            <w:pPr>
              <w:rPr>
                <w:rFonts w:ascii="Times New Roman" w:eastAsia="Times New Roman" w:hAnsi="Times New Roman" w:cs="Times New Roman"/>
                <w:color w:val="000000" w:themeColor="text1"/>
                <w:sz w:val="24"/>
              </w:rPr>
            </w:pPr>
          </w:p>
          <w:p w14:paraId="3A0D6228" w14:textId="0AB8AAD0" w:rsidR="00701D8F" w:rsidRPr="00DB0A49" w:rsidRDefault="0D04DF7A" w:rsidP="140F9DE1">
            <w:pPr>
              <w:rPr>
                <w:rFonts w:ascii="Times New Roman" w:eastAsia="Times New Roman" w:hAnsi="Times New Roman" w:cs="Times New Roman"/>
                <w:color w:val="000000" w:themeColor="text1"/>
                <w:sz w:val="24"/>
              </w:rPr>
            </w:pPr>
            <w:r>
              <w:rPr>
                <w:rFonts w:ascii="Times New Roman" w:hAnsi="Times New Roman"/>
                <w:color w:val="000000" w:themeColor="text1"/>
                <w:sz w:val="24"/>
              </w:rPr>
              <w:t xml:space="preserve">(A) B) Algemene beschrijving van de structuur van de tradingafdeling en de soorten instrumenten die in de AIMA-tradingafdeling zijn opgenomen overeenkomstig artikel 455, lid 1, punten c) en d), van Verordening (EU) nr. 575/2013. </w:t>
            </w:r>
          </w:p>
        </w:tc>
      </w:tr>
      <w:tr w:rsidR="001B4290" w:rsidRPr="00AA772E" w14:paraId="59395D4F" w14:textId="77777777" w:rsidTr="00DB0A49">
        <w:trPr>
          <w:trHeight w:val="300"/>
        </w:trPr>
        <w:tc>
          <w:tcPr>
            <w:tcW w:w="1230" w:type="dxa"/>
            <w:vMerge w:val="restart"/>
            <w:tcBorders>
              <w:top w:val="single" w:sz="4" w:space="0" w:color="auto"/>
              <w:left w:val="single" w:sz="4" w:space="0" w:color="auto"/>
              <w:right w:val="single" w:sz="4" w:space="0" w:color="auto"/>
            </w:tcBorders>
            <w:shd w:val="clear" w:color="auto" w:fill="FFFFFF" w:themeFill="background1"/>
            <w:hideMark/>
          </w:tcPr>
          <w:p w14:paraId="51B5BC89" w14:textId="266872D2" w:rsidR="001B4290" w:rsidRPr="00DB0A49" w:rsidRDefault="001B4290" w:rsidP="00DB0A49">
            <w:pPr>
              <w:jc w:val="center"/>
              <w:rPr>
                <w:rFonts w:ascii="Times New Roman" w:hAnsi="Times New Roman" w:cs="Times New Roman"/>
                <w:sz w:val="24"/>
              </w:rPr>
            </w:pPr>
            <w:r>
              <w:rPr>
                <w:rFonts w:ascii="Times New Roman" w:hAnsi="Times New Roman"/>
                <w:sz w:val="24"/>
              </w:rPr>
              <w:t>B (a)</w:t>
            </w:r>
          </w:p>
          <w:p w14:paraId="6D2F2E9A" w14:textId="09BF2D11" w:rsidR="001B4290" w:rsidRPr="00445013" w:rsidRDefault="001B4290" w:rsidP="00DB0A49">
            <w:pPr>
              <w:jc w:val="center"/>
              <w:rPr>
                <w:rFonts w:ascii="Times New Roman" w:hAnsi="Times New Roman" w:cs="Times New Roman"/>
                <w:b/>
                <w:bCs/>
                <w:sz w:val="24"/>
                <w:lang w:eastAsia="ja-JP"/>
              </w:rPr>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F3361A9" w14:textId="697DA5E8" w:rsidR="001B4290" w:rsidRPr="00DB0A49" w:rsidRDefault="6FF6DD2C" w:rsidP="0BE40342">
            <w:pPr>
              <w:rPr>
                <w:rFonts w:ascii="Times New Roman" w:eastAsia="Times New Roman" w:hAnsi="Times New Roman" w:cs="Times New Roman"/>
                <w:sz w:val="24"/>
              </w:rPr>
            </w:pPr>
            <w:r>
              <w:rPr>
                <w:rFonts w:ascii="Times New Roman" w:hAnsi="Times New Roman"/>
                <w:color w:val="000000" w:themeColor="text1"/>
                <w:sz w:val="24"/>
              </w:rPr>
              <w:t>Bij de openbaarmaking van de in artikel 455, lid 1, punt c), van Verordening (EU) nr. 575/2013 bedoelde informatie verstrekken de instellingen een algemene beschrijving van de structuur van de tradingafdelingen die onder de in artikel 325 terquinquagies bedoelde interne modellen vallen, met inbegrip van een brede beschrijving van de bedrijfsstrategie per afdeling, de daarin toegestane instrumenten en de belangrijkste soorten risico’s met betrekking tot die afdeling;</w:t>
            </w:r>
          </w:p>
        </w:tc>
      </w:tr>
      <w:tr w:rsidR="001B4290" w:rsidRPr="00AA772E" w14:paraId="50FBF6A8" w14:textId="77777777" w:rsidTr="00DB0A49">
        <w:trPr>
          <w:trHeight w:val="300"/>
        </w:trPr>
        <w:tc>
          <w:tcPr>
            <w:tcW w:w="1230" w:type="dxa"/>
            <w:vMerge/>
            <w:hideMark/>
          </w:tcPr>
          <w:p w14:paraId="79170C23" w14:textId="7B220C5D" w:rsidR="001B4290" w:rsidRPr="00445013" w:rsidRDefault="001B4290" w:rsidP="3765CAC5">
            <w:pPr>
              <w:rPr>
                <w:rFonts w:ascii="Times New Roman" w:hAnsi="Times New Roman" w:cs="Times New Roman"/>
                <w:b/>
                <w:bCs/>
                <w:sz w:val="24"/>
                <w:lang w:eastAsia="ja-JP"/>
              </w:rPr>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DD9458D" w14:textId="1452A5E7" w:rsidR="001B4290" w:rsidRPr="00DB0A49" w:rsidRDefault="00F5701F" w:rsidP="0BE40342">
            <w:pPr>
              <w:rPr>
                <w:rFonts w:ascii="Times New Roman" w:eastAsia="Times New Roman" w:hAnsi="Times New Roman" w:cs="Times New Roman"/>
                <w:sz w:val="24"/>
              </w:rPr>
            </w:pPr>
            <w:r>
              <w:rPr>
                <w:rFonts w:ascii="Times New Roman" w:hAnsi="Times New Roman"/>
                <w:color w:val="000000" w:themeColor="text1"/>
                <w:sz w:val="24"/>
              </w:rPr>
              <w:t>Bij de openbaarmaking van de in artikel 455, lid 1, punt d), van Verordening (EU) nr. 575/2013 bedoelde informatie verstrekken de instellingen een algemeen overzicht van de posities in de handelsportefeuille die niet onder de in artikel 325 terquinquagies bedoelde interne modellen vallen, met inbegrip van een algemene beschrijving van de afdelingsstructuur en het soort instrumenten dat overeenkomstig artikel 104 ter in de afdelingen of in de afdelingscategorieën is opgenomen;</w:t>
            </w:r>
          </w:p>
        </w:tc>
      </w:tr>
      <w:tr w:rsidR="00090EA4" w:rsidRPr="00AA772E" w:rsidDel="00671C85" w14:paraId="0C8EF869" w14:textId="77777777" w:rsidTr="72461198">
        <w:trPr>
          <w:trHeight w:val="300"/>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AC868DE" w14:textId="77777777" w:rsidR="00090EA4" w:rsidRPr="00DB0A49" w:rsidRDefault="00090EA4" w:rsidP="3765CAC5">
            <w:pPr>
              <w:rPr>
                <w:rFonts w:ascii="Times New Roman" w:eastAsia="Times New Roman" w:hAnsi="Times New Roman" w:cs="Times New Roman"/>
                <w:color w:val="000000" w:themeColor="text1"/>
                <w:sz w:val="24"/>
              </w:rPr>
            </w:pPr>
            <w:r>
              <w:rPr>
                <w:rFonts w:ascii="Times New Roman" w:hAnsi="Times New Roman"/>
                <w:color w:val="000000" w:themeColor="text1"/>
                <w:sz w:val="24"/>
              </w:rPr>
              <w:t>B) C) E) Beschrijving van de belangrijkste kenmerken van de op geconsolideerd niveau gebruikte modellen, met inbegrip van de benaderingen die worden gebruikt bij de validering van de modellen en modelleringsprocessen.</w:t>
            </w:r>
          </w:p>
          <w:p w14:paraId="32D410A2" w14:textId="3D7C861F" w:rsidR="00DE5B78" w:rsidRPr="00DB0A49" w:rsidDel="00671C85" w:rsidRDefault="00DE5B78" w:rsidP="3765CAC5">
            <w:pPr>
              <w:rPr>
                <w:rFonts w:ascii="Times New Roman" w:eastAsia="Times New Roman" w:hAnsi="Times New Roman" w:cs="Times New Roman"/>
                <w:color w:val="000000" w:themeColor="text1"/>
                <w:sz w:val="24"/>
              </w:rPr>
            </w:pPr>
          </w:p>
        </w:tc>
      </w:tr>
      <w:tr w:rsidR="008A05A4" w:rsidRPr="00AA772E" w:rsidDel="00671C85" w14:paraId="2A2D75B6"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tcPr>
          <w:p w14:paraId="10F5B40F" w14:textId="09595E2A" w:rsidR="00A75779" w:rsidRPr="00DB0A49" w:rsidDel="00671C85" w:rsidRDefault="00A75779" w:rsidP="3765CAC5">
            <w:pPr>
              <w:rPr>
                <w:rFonts w:ascii="Times New Roman" w:hAnsi="Times New Roman" w:cs="Times New Roman"/>
                <w:sz w:val="24"/>
              </w:rPr>
            </w:pPr>
            <w:r>
              <w:rPr>
                <w:rFonts w:ascii="Times New Roman" w:hAnsi="Times New Roman"/>
                <w:sz w:val="24"/>
              </w:rPr>
              <w:t>B (b) (c) (d) (e)</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tcPr>
          <w:p w14:paraId="3D0955CD" w14:textId="150F8DFA" w:rsidR="007E7D7A" w:rsidRPr="00DB0A49" w:rsidDel="00671C85" w:rsidRDefault="001D2F69" w:rsidP="0BE40342">
            <w:pPr>
              <w:rPr>
                <w:rFonts w:ascii="Times New Roman" w:eastAsia="Times New Roman" w:hAnsi="Times New Roman" w:cs="Times New Roman"/>
                <w:color w:val="000000" w:themeColor="text1"/>
                <w:sz w:val="24"/>
              </w:rPr>
            </w:pPr>
            <w:r>
              <w:rPr>
                <w:rFonts w:ascii="Times New Roman" w:hAnsi="Times New Roman"/>
                <w:color w:val="000000" w:themeColor="text1"/>
                <w:sz w:val="24"/>
              </w:rPr>
              <w:t xml:space="preserve">Bij de openbaarmaking van de in artikel 455, lid 1, punt f), i), van Verordening (EU) nr. 575/2013 bedoelde informatie verstrekken de instellingen:  het toepassingsgebied, de hoofdkenmerken en de centrale modelleringskeuzes van de verschillende in artikel 325 terquinquagies van Verordening (EU) nr. 575/2013 bedoelde interne modellen die worden gebruikt voor het berekenen van de risicoposten voor de op geconsolideerd niveau gebruikte belangrijkste </w:t>
            </w:r>
            <w:r>
              <w:rPr>
                <w:rFonts w:ascii="Times New Roman" w:hAnsi="Times New Roman"/>
                <w:color w:val="000000" w:themeColor="text1"/>
                <w:sz w:val="24"/>
              </w:rPr>
              <w:lastRenderedPageBreak/>
              <w:t>modellen en een beschrijving van de mate waarin die interne modellen alle op het geconsolideerde niveau gebruikte modellen vertegenwoordigen, indien van toepassing met inbegrip van: i) een algemene beschrijving van de in de modelleringsbenadering voor het berekenen van de in artikel 325 quinquinquagies, lid 1, punt a), van de CTT bedoelde “expected shortfall”, met inbegrip van de frequentie waarmee data worden bijgewerkt.</w:t>
            </w:r>
          </w:p>
        </w:tc>
      </w:tr>
      <w:tr w:rsidR="008A05A4" w:rsidRPr="00AA772E" w:rsidDel="00671C85" w14:paraId="45EADEA6"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tcPr>
          <w:p w14:paraId="79293FED" w14:textId="77E5A12E" w:rsidR="008A05A4" w:rsidRPr="00DB0A49" w:rsidDel="00671C85" w:rsidRDefault="00C82CB4" w:rsidP="3765CAC5">
            <w:pPr>
              <w:rPr>
                <w:rFonts w:ascii="Times New Roman" w:hAnsi="Times New Roman" w:cs="Times New Roman"/>
                <w:sz w:val="24"/>
              </w:rPr>
            </w:pPr>
            <w:r>
              <w:rPr>
                <w:rFonts w:ascii="Times New Roman" w:hAnsi="Times New Roman"/>
                <w:sz w:val="24"/>
              </w:rPr>
              <w:lastRenderedPageBreak/>
              <w:t>C (a)</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tcPr>
          <w:p w14:paraId="73501C58" w14:textId="29B0602F" w:rsidR="00D6625B" w:rsidRPr="00DB0A49" w:rsidRDefault="00A75779" w:rsidP="0BE40342">
            <w:pPr>
              <w:rPr>
                <w:rFonts w:ascii="Times New Roman" w:eastAsia="Times New Roman" w:hAnsi="Times New Roman" w:cs="Times New Roman"/>
                <w:color w:val="000000" w:themeColor="text1"/>
                <w:sz w:val="24"/>
              </w:rPr>
            </w:pPr>
            <w:r>
              <w:rPr>
                <w:rFonts w:ascii="Times New Roman" w:hAnsi="Times New Roman"/>
                <w:color w:val="000000" w:themeColor="text1"/>
                <w:sz w:val="24"/>
              </w:rPr>
              <w:t>Bij de openbaarmaking van de in artikel 455, lid 1, punt f), ii), van Verordening (EU) nr. 575/2013 bedoelde informatie verstrekken de instellingen, indien van toepassing: een algemene beschrijving van de methode die wordt gebruikt om de in artikel 325 quinquinquagies, lid1, punt b), van Verordening (EU) nr. 575/2013 bedoelde stressscenariorisicomaatstaf te berekenen, niet zijnde de in artikel 325 quatersexagies, lid 3, van Verordening (EU) nr. 575/2013 bedoelde specificaties.</w:t>
            </w:r>
          </w:p>
          <w:p w14:paraId="3E866C05" w14:textId="635C3FD9" w:rsidR="008A05A4" w:rsidRPr="00DB0A49" w:rsidDel="00671C85" w:rsidRDefault="008A05A4" w:rsidP="3765CAC5">
            <w:pPr>
              <w:rPr>
                <w:rFonts w:ascii="Times New Roman" w:eastAsia="Times New Roman" w:hAnsi="Times New Roman" w:cs="Times New Roman"/>
                <w:color w:val="000000" w:themeColor="text1"/>
                <w:sz w:val="24"/>
              </w:rPr>
            </w:pPr>
          </w:p>
        </w:tc>
      </w:tr>
      <w:tr w:rsidR="00C3247D" w:rsidRPr="00AA772E" w:rsidDel="00671C85" w14:paraId="24E01ADC" w14:textId="77777777" w:rsidTr="72461198">
        <w:trPr>
          <w:trHeight w:val="300"/>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744C901" w14:textId="4C917FDF" w:rsidR="00C3247D" w:rsidRPr="00DB0A49" w:rsidRDefault="00C3247D" w:rsidP="00D6625B">
            <w:pPr>
              <w:rPr>
                <w:rFonts w:ascii="Times New Roman" w:eastAsia="Times New Roman" w:hAnsi="Times New Roman" w:cs="Times New Roman"/>
                <w:color w:val="000000" w:themeColor="text1"/>
                <w:sz w:val="24"/>
              </w:rPr>
            </w:pPr>
            <w:r>
              <w:rPr>
                <w:rFonts w:ascii="Times New Roman" w:hAnsi="Times New Roman"/>
                <w:color w:val="000000" w:themeColor="text1"/>
                <w:sz w:val="24"/>
              </w:rPr>
              <w:t>D) Beschrijving van interne modellen voor de berekening van het wanbetalingsrisico</w:t>
            </w:r>
          </w:p>
        </w:tc>
      </w:tr>
      <w:tr w:rsidR="3765CAC5" w:rsidRPr="00AA772E" w14:paraId="77D1514B"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75EB9A4" w14:textId="4C21A863" w:rsidR="3C9E464D" w:rsidRPr="00DB0A49" w:rsidRDefault="00827740" w:rsidP="00DB0A49">
            <w:pPr>
              <w:pStyle w:val="ListParagraph"/>
              <w:numPr>
                <w:ilvl w:val="0"/>
                <w:numId w:val="7"/>
              </w:numPr>
              <w:rPr>
                <w:rFonts w:ascii="Times New Roman" w:hAnsi="Times New Roman"/>
                <w:sz w:val="24"/>
              </w:rPr>
            </w:pPr>
            <w:r>
              <w:rPr>
                <w:rFonts w:ascii="Times New Roman" w:hAnsi="Times New Roman"/>
                <w:sz w:val="24"/>
              </w:rPr>
              <w:t>b)</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FFC28FC" w14:textId="6E66AC42" w:rsidR="3C9E464D" w:rsidRPr="00DB0A49" w:rsidRDefault="00FF5D12" w:rsidP="0BE40342">
            <w:pPr>
              <w:rPr>
                <w:rFonts w:ascii="Times New Roman" w:eastAsia="Times New Roman" w:hAnsi="Times New Roman" w:cs="Times New Roman"/>
                <w:color w:val="000000" w:themeColor="text1"/>
                <w:sz w:val="24"/>
              </w:rPr>
            </w:pPr>
            <w:r>
              <w:rPr>
                <w:rFonts w:ascii="Times New Roman" w:hAnsi="Times New Roman"/>
                <w:color w:val="000000" w:themeColor="text1"/>
                <w:sz w:val="24"/>
              </w:rPr>
              <w:t>Bij de openbaarmaking van de in artikel 455, lid 1, punt f), iii), van Verordening (EU) nr. 575/2013 bedoelde informatie verstrekken de instellingen, indien van toepassing: een algemene beschrijving van het in de modelleringsbenadering voor het berekenen van de in artikel 325 quinquinquagies, lid 2, van Verordening (EU) nr. 575/2013 bedoelde wanbetalingsrisico, met inbegrip van de frequentie waarmee data worden bijgewerkt;</w:t>
            </w:r>
          </w:p>
        </w:tc>
      </w:tr>
    </w:tbl>
    <w:p w14:paraId="116B518F" w14:textId="73EB613A" w:rsidR="3765CAC5" w:rsidRDefault="3765CAC5">
      <w:pPr>
        <w:rPr>
          <w:rFonts w:ascii="Times New Roman" w:hAnsi="Times New Roman" w:cs="Times New Roman"/>
        </w:rPr>
      </w:pPr>
    </w:p>
    <w:p w14:paraId="471DC03E" w14:textId="77777777" w:rsidR="00445013" w:rsidRPr="00DB0A49" w:rsidRDefault="00445013">
      <w:pPr>
        <w:rPr>
          <w:rFonts w:ascii="Times New Roman" w:hAnsi="Times New Roman" w:cs="Times New Roman"/>
        </w:rPr>
      </w:pPr>
    </w:p>
    <w:p w14:paraId="681251D5" w14:textId="0749B91A" w:rsidR="00931C32" w:rsidRPr="001F1865" w:rsidRDefault="00931C32" w:rsidP="3821DFBC">
      <w:pPr>
        <w:pStyle w:val="Titlelevel2"/>
        <w:spacing w:before="0"/>
        <w:rPr>
          <w:rFonts w:ascii="Times New Roman" w:hAnsi="Times New Roman" w:cs="Times New Roman"/>
          <w:color w:val="auto"/>
          <w:sz w:val="24"/>
        </w:rPr>
      </w:pPr>
      <w:r>
        <w:rPr>
          <w:rFonts w:ascii="Times New Roman" w:hAnsi="Times New Roman"/>
          <w:b/>
          <w:color w:val="auto"/>
          <w:sz w:val="24"/>
        </w:rPr>
        <w:t>Template EU MR2 – Marktrisico volgens de alternatieve internemodellenbenadering (AIMA):</w:t>
      </w:r>
      <w:r>
        <w:rPr>
          <w:rFonts w:ascii="Times New Roman" w:hAnsi="Times New Roman"/>
          <w:color w:val="auto"/>
          <w:sz w:val="24"/>
        </w:rPr>
        <w:t xml:space="preserve"> Vaste opmaak.</w:t>
      </w:r>
    </w:p>
    <w:p w14:paraId="2D64DF36" w14:textId="6604692C" w:rsidR="00931C32" w:rsidRPr="00DB0A49" w:rsidRDefault="00931C32" w:rsidP="00DB0A49">
      <w:pPr>
        <w:pStyle w:val="Titlelevel2"/>
        <w:numPr>
          <w:ilvl w:val="0"/>
          <w:numId w:val="4"/>
        </w:numPr>
        <w:spacing w:before="0"/>
        <w:ind w:left="284" w:hanging="284"/>
        <w:jc w:val="both"/>
        <w:rPr>
          <w:rFonts w:ascii="Times New Roman" w:eastAsiaTheme="minorEastAsia" w:hAnsi="Times New Roman" w:cs="Times New Roman"/>
          <w:color w:val="auto"/>
          <w:sz w:val="24"/>
        </w:rPr>
      </w:pPr>
      <w:r>
        <w:rPr>
          <w:rFonts w:ascii="Times New Roman" w:hAnsi="Times New Roman"/>
          <w:color w:val="000000" w:themeColor="text1"/>
          <w:sz w:val="24"/>
        </w:rPr>
        <w:t xml:space="preserve">De instellingen maken de in artikel 455, punt 2, van Verordening (EU) nr. 575/2013 bedoelde informatie openbaar overeenkomstig onderstaande instructies in deze bijlage voor het invullen van tabel EU MR2 die in bijlage XXIX is opgenomen. </w:t>
      </w:r>
      <w:r>
        <w:rPr>
          <w:rFonts w:ascii="Times New Roman" w:hAnsi="Times New Roman"/>
          <w:color w:val="auto"/>
          <w:sz w:val="24"/>
        </w:rPr>
        <w:t>De instellingen nemen in deze template geen gegevens op over hun afdeling interne risico-overdracht (IRT).</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6998"/>
      </w:tblGrid>
      <w:tr w:rsidR="00931C32" w:rsidRPr="001F1865" w14:paraId="454671C8" w14:textId="77777777" w:rsidTr="0BE40342">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ECF57C"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Verwijzingen naar wetgeving en instructies</w:t>
            </w:r>
          </w:p>
        </w:tc>
      </w:tr>
      <w:tr w:rsidR="00931C32" w:rsidRPr="001F1865" w14:paraId="74EB4602" w14:textId="77777777" w:rsidTr="0BE40342">
        <w:tc>
          <w:tcPr>
            <w:tcW w:w="1172"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14:paraId="2D9C09D3"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Rijnummer</w:t>
            </w:r>
          </w:p>
        </w:tc>
        <w:tc>
          <w:tcPr>
            <w:tcW w:w="7242"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14:paraId="55527BB7"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Toelichting</w:t>
            </w:r>
          </w:p>
        </w:tc>
      </w:tr>
      <w:tr w:rsidR="3765CAC5" w:rsidRPr="00DB0A49" w14:paraId="34D4196F" w14:textId="77777777" w:rsidTr="00DB0A49">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87A1073" w14:textId="03BB75EC" w:rsidR="3765CAC5" w:rsidRPr="00DB0A49" w:rsidRDefault="59A8805A" w:rsidP="00DB0A49">
            <w:pPr>
              <w:jc w:val="center"/>
              <w:rPr>
                <w:rFonts w:ascii="Times New Roman" w:eastAsia="Times New Roman" w:hAnsi="Times New Roman" w:cs="Times New Roman"/>
                <w:sz w:val="24"/>
              </w:rPr>
            </w:pPr>
            <w:r>
              <w:rPr>
                <w:rFonts w:ascii="Times New Roman" w:hAnsi="Times New Roman"/>
                <w:sz w:val="24"/>
              </w:rPr>
              <w:t>1</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AF62FAF" w14:textId="54B9E90E" w:rsidR="02494BE7" w:rsidRPr="00AA44B0" w:rsidRDefault="42390ABD" w:rsidP="4A0450B5">
            <w:pPr>
              <w:rPr>
                <w:rFonts w:ascii="Times New Roman" w:eastAsia="Times New Roman" w:hAnsi="Times New Roman" w:cs="Times New Roman"/>
                <w:b/>
                <w:bCs/>
                <w:sz w:val="24"/>
              </w:rPr>
            </w:pPr>
            <w:r>
              <w:rPr>
                <w:rFonts w:ascii="Times New Roman" w:hAnsi="Times New Roman"/>
                <w:b/>
                <w:sz w:val="24"/>
              </w:rPr>
              <w:t>"Unconstrained expected shortfall"-maatstaf</w:t>
            </w:r>
          </w:p>
          <w:p w14:paraId="1E53AB6F" w14:textId="2D37B3D8" w:rsidR="3E91330B" w:rsidRPr="00DB0A49" w:rsidRDefault="3BB31265" w:rsidP="140F9DE1">
            <w:pPr>
              <w:rPr>
                <w:rFonts w:ascii="Times New Roman" w:eastAsia="Times New Roman" w:hAnsi="Times New Roman" w:cs="Times New Roman"/>
                <w:sz w:val="24"/>
              </w:rPr>
            </w:pPr>
            <w:r>
              <w:rPr>
                <w:rFonts w:ascii="Times New Roman" w:hAnsi="Times New Roman"/>
                <w:sz w:val="24"/>
              </w:rPr>
              <w:t>De openbaargemaakte waarde wordt berekend op het niveau van de totale portefeuille en niet op het niveau van een brede risicocategorie overeenkomstig de artikelen 325 quinquinquagies en 325 sexquinquagies van Verordening (EU) nr. 575/2013.</w:t>
            </w:r>
          </w:p>
        </w:tc>
      </w:tr>
      <w:tr w:rsidR="4A0450B5" w:rsidRPr="00DB0A49" w14:paraId="26782036"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01045CC" w14:textId="043660EE" w:rsidR="3B3426CC" w:rsidRPr="00DB0A49" w:rsidRDefault="3B3426CC" w:rsidP="00DB0A49">
            <w:pPr>
              <w:jc w:val="center"/>
              <w:rPr>
                <w:rFonts w:ascii="Times New Roman" w:eastAsia="Times New Roman" w:hAnsi="Times New Roman" w:cs="Times New Roman"/>
                <w:sz w:val="24"/>
              </w:rPr>
            </w:pPr>
            <w:r>
              <w:rPr>
                <w:rFonts w:ascii="Times New Roman" w:hAnsi="Times New Roman"/>
                <w:sz w:val="24"/>
              </w:rPr>
              <w:t>2</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A1B0F63" w14:textId="348EF369" w:rsidR="3B3426CC" w:rsidRPr="00AA44B0" w:rsidRDefault="3B3426CC" w:rsidP="4A0450B5">
            <w:pPr>
              <w:rPr>
                <w:rFonts w:ascii="Times New Roman" w:eastAsia="Times New Roman" w:hAnsi="Times New Roman" w:cs="Times New Roman"/>
                <w:b/>
                <w:bCs/>
                <w:sz w:val="24"/>
              </w:rPr>
            </w:pPr>
            <w:r>
              <w:rPr>
                <w:rFonts w:ascii="Times New Roman" w:hAnsi="Times New Roman"/>
                <w:b/>
                <w:sz w:val="24"/>
              </w:rPr>
              <w:t>“Unconstrained expected shortfall” -maatstaf voor de renterisicofactorcategorie</w:t>
            </w:r>
          </w:p>
          <w:p w14:paraId="39E48A15" w14:textId="5243BB2A" w:rsidR="40EE3118" w:rsidRPr="00DB0A49" w:rsidRDefault="749F8553" w:rsidP="0BE40342">
            <w:pPr>
              <w:rPr>
                <w:rFonts w:ascii="Times New Roman" w:eastAsia="Times New Roman" w:hAnsi="Times New Roman" w:cs="Times New Roman"/>
                <w:sz w:val="24"/>
              </w:rPr>
            </w:pPr>
            <w:r>
              <w:rPr>
                <w:rFonts w:ascii="Times New Roman" w:hAnsi="Times New Roman"/>
                <w:sz w:val="24"/>
              </w:rPr>
              <w:t>De openbaargemaakte waarde wordt berekend voor de renterisicofactorcategorie overeenkomstig de artikelen 325 quinquinquagies, 325 sexquinquagies en 325 septquinquagies van Verordening (EU) nr. 575/2013.</w:t>
            </w:r>
          </w:p>
        </w:tc>
      </w:tr>
      <w:tr w:rsidR="00234F41" w:rsidRPr="00DB0A49" w14:paraId="1583C761"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5B8C21" w14:textId="1D60FC2A" w:rsidR="00234F41" w:rsidRPr="00DB0A49" w:rsidRDefault="002F3022" w:rsidP="00234F41">
            <w:pPr>
              <w:jc w:val="center"/>
              <w:rPr>
                <w:rFonts w:ascii="Times New Roman" w:eastAsia="Times New Roman" w:hAnsi="Times New Roman" w:cs="Times New Roman"/>
                <w:sz w:val="24"/>
              </w:rPr>
            </w:pPr>
            <w:r>
              <w:rPr>
                <w:rFonts w:ascii="Times New Roman" w:hAnsi="Times New Roman"/>
                <w:sz w:val="24"/>
              </w:rPr>
              <w:lastRenderedPageBreak/>
              <w:t>3</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EEC3A3" w14:textId="32D0F810" w:rsidR="00234F41" w:rsidRPr="00AA44B0" w:rsidRDefault="471075D0" w:rsidP="140F9DE1">
            <w:pPr>
              <w:rPr>
                <w:rFonts w:ascii="Times New Roman" w:eastAsia="Times New Roman" w:hAnsi="Times New Roman" w:cs="Times New Roman"/>
                <w:b/>
                <w:bCs/>
                <w:sz w:val="24"/>
              </w:rPr>
            </w:pPr>
            <w:r>
              <w:rPr>
                <w:rFonts w:ascii="Times New Roman" w:hAnsi="Times New Roman"/>
                <w:b/>
                <w:sz w:val="24"/>
              </w:rPr>
              <w:t>“Unconstrained expected shortfall” -maatstaf voor de aandelenrisicofactorcategorie</w:t>
            </w:r>
            <w:r>
              <w:rPr>
                <w:rFonts w:ascii="Times New Roman" w:hAnsi="Times New Roman"/>
                <w:sz w:val="24"/>
              </w:rPr>
              <w:t xml:space="preserve">  </w:t>
            </w:r>
          </w:p>
          <w:p w14:paraId="4E1BA488" w14:textId="705548F0" w:rsidR="00234F41" w:rsidRPr="00DB0A49" w:rsidRDefault="7A25B94F" w:rsidP="140F9DE1">
            <w:pPr>
              <w:rPr>
                <w:rFonts w:ascii="Times New Roman" w:eastAsia="Times New Roman" w:hAnsi="Times New Roman" w:cs="Times New Roman"/>
                <w:b/>
                <w:bCs/>
                <w:color w:val="444444"/>
                <w:sz w:val="24"/>
              </w:rPr>
            </w:pPr>
            <w:r>
              <w:rPr>
                <w:rFonts w:ascii="Times New Roman" w:hAnsi="Times New Roman"/>
                <w:sz w:val="24"/>
              </w:rPr>
              <w:t>De openbaargemaakte waarde wordt berekend voor de aandelenrisicofactorcategorie overeenkomstig de artikelen 325 quinquinquagies, 325 sexquinquagies en 325 septquinquagies van Verordening (EU) nr. 575/2013.</w:t>
            </w:r>
          </w:p>
        </w:tc>
      </w:tr>
      <w:tr w:rsidR="00B86E1A" w:rsidRPr="00DB0A49" w14:paraId="3E75A527"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6499A8B" w14:textId="729DAF1D" w:rsidR="00B86E1A" w:rsidRPr="00DB0A49" w:rsidRDefault="002F3022" w:rsidP="00B86E1A">
            <w:pPr>
              <w:jc w:val="center"/>
              <w:rPr>
                <w:rFonts w:ascii="Times New Roman" w:eastAsia="Times New Roman" w:hAnsi="Times New Roman" w:cs="Times New Roman"/>
                <w:sz w:val="24"/>
              </w:rPr>
            </w:pPr>
            <w:r>
              <w:rPr>
                <w:rFonts w:ascii="Times New Roman" w:hAnsi="Times New Roman"/>
                <w:sz w:val="24"/>
              </w:rPr>
              <w:t>4</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1D6A90B" w14:textId="77777777" w:rsidR="00B86E1A" w:rsidRPr="00AA44B0" w:rsidRDefault="00B86E1A" w:rsidP="00B86E1A">
            <w:pPr>
              <w:rPr>
                <w:rFonts w:ascii="Times New Roman" w:eastAsia="Times New Roman" w:hAnsi="Times New Roman" w:cs="Times New Roman"/>
                <w:sz w:val="24"/>
              </w:rPr>
            </w:pPr>
            <w:r>
              <w:rPr>
                <w:rFonts w:ascii="Times New Roman" w:hAnsi="Times New Roman"/>
                <w:b/>
                <w:sz w:val="24"/>
              </w:rPr>
              <w:t>“Unconstrained expected shortfall” -maatstaf voor de grondstoffenrisicofactorcategorie</w:t>
            </w:r>
            <w:r>
              <w:rPr>
                <w:rFonts w:ascii="Times New Roman" w:hAnsi="Times New Roman"/>
                <w:sz w:val="24"/>
              </w:rPr>
              <w:t xml:space="preserve"> </w:t>
            </w:r>
          </w:p>
          <w:p w14:paraId="70BA8462" w14:textId="47AECB7A" w:rsidR="00B86E1A" w:rsidRPr="00DB0A49" w:rsidRDefault="05EA5842" w:rsidP="140F9DE1">
            <w:pPr>
              <w:rPr>
                <w:rFonts w:ascii="Times New Roman" w:eastAsia="Times New Roman" w:hAnsi="Times New Roman" w:cs="Times New Roman"/>
                <w:sz w:val="24"/>
              </w:rPr>
            </w:pPr>
            <w:r>
              <w:rPr>
                <w:rFonts w:ascii="Times New Roman" w:hAnsi="Times New Roman"/>
                <w:sz w:val="24"/>
              </w:rPr>
              <w:t xml:space="preserve"> De openbaargemaakte waarde wordt berekend voor de grondstoffenrisicofactorcategorie overeenkomstig de artikelen 325 quinquinquagies, 325 sexquinquagies en 325 septquinquagies van Verordening (EU) nr. 575/2013.</w:t>
            </w:r>
          </w:p>
        </w:tc>
      </w:tr>
      <w:tr w:rsidR="002F3022" w:rsidRPr="00DB0A49" w14:paraId="1C3E96A6"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B3DAF73" w14:textId="5051FDEF" w:rsidR="002F3022" w:rsidRPr="00DB0A49" w:rsidRDefault="002F3022" w:rsidP="002F3022">
            <w:pPr>
              <w:jc w:val="center"/>
              <w:rPr>
                <w:rFonts w:ascii="Times New Roman" w:eastAsia="Times New Roman" w:hAnsi="Times New Roman" w:cs="Times New Roman"/>
                <w:sz w:val="24"/>
              </w:rPr>
            </w:pPr>
            <w:r>
              <w:rPr>
                <w:rFonts w:ascii="Times New Roman" w:hAnsi="Times New Roman"/>
                <w:sz w:val="24"/>
              </w:rPr>
              <w:t>5</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F42D096" w14:textId="4FA1AF42" w:rsidR="002F3022" w:rsidRPr="00AA44B0" w:rsidRDefault="12ADB0E7" w:rsidP="140F9DE1">
            <w:pPr>
              <w:rPr>
                <w:rFonts w:ascii="Times New Roman" w:eastAsia="Times New Roman" w:hAnsi="Times New Roman" w:cs="Times New Roman"/>
                <w:b/>
                <w:bCs/>
                <w:sz w:val="24"/>
              </w:rPr>
            </w:pPr>
            <w:r>
              <w:rPr>
                <w:rFonts w:ascii="Times New Roman" w:hAnsi="Times New Roman"/>
                <w:b/>
                <w:sz w:val="24"/>
              </w:rPr>
              <w:t>“Unconstrained expected shortfall” -maatstaf voor de wisselkoersrisicofactorcategorie</w:t>
            </w:r>
          </w:p>
          <w:p w14:paraId="1880B223" w14:textId="34F16589" w:rsidR="002F3022" w:rsidRPr="00DB0A49" w:rsidRDefault="1F3BA536" w:rsidP="140F9DE1">
            <w:pPr>
              <w:rPr>
                <w:rFonts w:ascii="Times New Roman" w:eastAsia="Times New Roman" w:hAnsi="Times New Roman" w:cs="Times New Roman"/>
                <w:sz w:val="24"/>
              </w:rPr>
            </w:pPr>
            <w:r>
              <w:rPr>
                <w:rFonts w:ascii="Times New Roman" w:hAnsi="Times New Roman"/>
                <w:b/>
                <w:color w:val="444444"/>
                <w:sz w:val="24"/>
              </w:rPr>
              <w:t xml:space="preserve"> </w:t>
            </w:r>
            <w:r>
              <w:rPr>
                <w:rFonts w:ascii="Times New Roman" w:hAnsi="Times New Roman"/>
                <w:sz w:val="24"/>
              </w:rPr>
              <w:t xml:space="preserve"> De openbaargemaakte waarde wordt berekend voor de wisselkoersrisicofactorcategorie overeenkomstig de artikelen 325 quinquinquagies, 325 sexquinquagies en 325 septquinquagies van Verordening (EU) nr. 575/2013.</w:t>
            </w:r>
          </w:p>
        </w:tc>
      </w:tr>
      <w:tr w:rsidR="00234F41" w:rsidRPr="00DB0A49" w14:paraId="12D27988"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B07D6BA" w14:textId="0E7E67E0" w:rsidR="00234F41" w:rsidRPr="00DB0A49" w:rsidRDefault="00572E3E" w:rsidP="00DB0A49">
            <w:pPr>
              <w:jc w:val="center"/>
              <w:rPr>
                <w:rFonts w:ascii="Times New Roman" w:eastAsia="Times New Roman" w:hAnsi="Times New Roman" w:cs="Times New Roman"/>
                <w:sz w:val="24"/>
              </w:rPr>
            </w:pPr>
            <w:r>
              <w:rPr>
                <w:rFonts w:ascii="Times New Roman" w:hAnsi="Times New Roman"/>
                <w:sz w:val="24"/>
              </w:rPr>
              <w:t>6</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8BE84B9" w14:textId="21B277FE" w:rsidR="00234F41" w:rsidRPr="007C1D00" w:rsidRDefault="00234F41" w:rsidP="00234F41">
            <w:pPr>
              <w:rPr>
                <w:rFonts w:ascii="Times New Roman" w:eastAsia="Times New Roman" w:hAnsi="Times New Roman" w:cs="Times New Roman"/>
                <w:sz w:val="24"/>
                <w:lang w:val="en-IE"/>
              </w:rPr>
            </w:pPr>
            <w:r w:rsidRPr="007C1D00">
              <w:rPr>
                <w:rFonts w:ascii="Times New Roman" w:hAnsi="Times New Roman"/>
                <w:b/>
                <w:sz w:val="24"/>
                <w:lang w:val="en-IE"/>
              </w:rPr>
              <w:t xml:space="preserve">“Unconstrained expected shortfall” -maatstaf voor de creditspreadrisicofactorcategorie </w:t>
            </w:r>
          </w:p>
          <w:p w14:paraId="5C567B92" w14:textId="2263B6AC" w:rsidR="00234F41" w:rsidRPr="00DB0A49" w:rsidRDefault="79641B5E" w:rsidP="140F9DE1">
            <w:pPr>
              <w:rPr>
                <w:rFonts w:ascii="Times New Roman" w:eastAsia="Times New Roman" w:hAnsi="Times New Roman" w:cs="Times New Roman"/>
                <w:sz w:val="24"/>
              </w:rPr>
            </w:pPr>
            <w:r>
              <w:rPr>
                <w:rFonts w:ascii="Times New Roman" w:hAnsi="Times New Roman"/>
                <w:sz w:val="24"/>
              </w:rPr>
              <w:t>De openbaargemaakte waarde wordt berekend voor de creditspreadrisicofactorcategorie overeenkomstig de artikelen 325 quinquinquagies, 325 sexquinquagies en 325 septquinquagies van Verordening (EU) nr. 575/2013.</w:t>
            </w:r>
          </w:p>
        </w:tc>
      </w:tr>
      <w:tr w:rsidR="00234F41" w:rsidRPr="00DB0A49" w14:paraId="4B55EABD"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1FDAC90" w14:textId="59585282" w:rsidR="00234F41" w:rsidRPr="00DB0A49" w:rsidRDefault="00234F41" w:rsidP="00DB0A49">
            <w:pPr>
              <w:jc w:val="center"/>
              <w:rPr>
                <w:rFonts w:ascii="Times New Roman" w:eastAsia="Times New Roman" w:hAnsi="Times New Roman" w:cs="Times New Roman"/>
                <w:sz w:val="24"/>
              </w:rPr>
            </w:pPr>
            <w:r>
              <w:rPr>
                <w:rFonts w:ascii="Times New Roman" w:hAnsi="Times New Roman"/>
                <w:sz w:val="24"/>
              </w:rPr>
              <w:t>7</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DB2F1C1" w14:textId="77777777" w:rsidR="00AA44B0" w:rsidRPr="00AA44B0" w:rsidRDefault="471075D0" w:rsidP="140F9DE1">
            <w:pPr>
              <w:rPr>
                <w:rFonts w:ascii="Times New Roman" w:eastAsia="Times New Roman" w:hAnsi="Times New Roman" w:cs="Times New Roman"/>
                <w:sz w:val="24"/>
              </w:rPr>
            </w:pPr>
            <w:r>
              <w:rPr>
                <w:rFonts w:ascii="Times New Roman" w:hAnsi="Times New Roman"/>
                <w:b/>
                <w:sz w:val="24"/>
              </w:rPr>
              <w:t xml:space="preserve">Som van de “unconstrained expected shortfall”-maatstaven voor de brede risicofactorcategorieën </w:t>
            </w:r>
            <w:r>
              <w:rPr>
                <w:rFonts w:ascii="Times New Roman" w:hAnsi="Times New Roman"/>
                <w:sz w:val="24"/>
              </w:rPr>
              <w:t>(∑UES</w:t>
            </w:r>
            <w:r>
              <w:rPr>
                <w:rFonts w:ascii="Times New Roman" w:hAnsi="Times New Roman"/>
                <w:sz w:val="24"/>
                <w:vertAlign w:val="superscript"/>
              </w:rPr>
              <w:t>i</w:t>
            </w:r>
            <w:r>
              <w:rPr>
                <w:rFonts w:ascii="Times New Roman" w:hAnsi="Times New Roman"/>
                <w:sz w:val="24"/>
                <w:vertAlign w:val="subscript"/>
              </w:rPr>
              <w:t>t</w:t>
            </w:r>
            <w:r>
              <w:rPr>
                <w:rFonts w:ascii="Times New Roman" w:hAnsi="Times New Roman"/>
                <w:sz w:val="24"/>
              </w:rPr>
              <w:t xml:space="preserve">) </w:t>
            </w:r>
          </w:p>
          <w:p w14:paraId="014CC777" w14:textId="17C0E236" w:rsidR="00234F41" w:rsidRPr="00AA44B0" w:rsidRDefault="00F80764" w:rsidP="140F9DE1">
            <w:pPr>
              <w:rPr>
                <w:rFonts w:ascii="Times New Roman" w:eastAsia="Times New Roman" w:hAnsi="Times New Roman" w:cs="Times New Roman"/>
                <w:sz w:val="24"/>
              </w:rPr>
            </w:pPr>
            <w:r>
              <w:rPr>
                <w:rFonts w:ascii="Times New Roman" w:hAnsi="Times New Roman"/>
                <w:sz w:val="24"/>
              </w:rPr>
              <w:t>Som van de rijen 2 tot en met 6.</w:t>
            </w:r>
          </w:p>
          <w:p w14:paraId="0D4B3B7E" w14:textId="0C505591" w:rsidR="00234F41" w:rsidRPr="00DB0A49" w:rsidRDefault="00234F41" w:rsidP="140F9DE1">
            <w:pPr>
              <w:rPr>
                <w:rFonts w:ascii="Times New Roman" w:eastAsia="Times New Roman" w:hAnsi="Times New Roman" w:cs="Times New Roman"/>
                <w:color w:val="444444"/>
                <w:sz w:val="24"/>
              </w:rPr>
            </w:pPr>
          </w:p>
        </w:tc>
      </w:tr>
      <w:tr w:rsidR="00234F41" w:rsidRPr="00DB0A49" w14:paraId="329330EB"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256B5C8" w14:textId="228F99DD" w:rsidR="00234F41" w:rsidRPr="00DB0A49" w:rsidRDefault="00234F41" w:rsidP="00DB0A49">
            <w:pPr>
              <w:jc w:val="center"/>
              <w:rPr>
                <w:rFonts w:ascii="Times New Roman" w:eastAsia="Times New Roman" w:hAnsi="Times New Roman" w:cs="Times New Roman"/>
                <w:sz w:val="24"/>
              </w:rPr>
            </w:pPr>
            <w:r>
              <w:rPr>
                <w:rFonts w:ascii="Times New Roman" w:hAnsi="Times New Roman"/>
                <w:sz w:val="24"/>
              </w:rPr>
              <w:t>8</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E988D5B" w14:textId="6487394C" w:rsidR="00234F41" w:rsidRPr="00AA44B0" w:rsidRDefault="00234F41" w:rsidP="00234F41">
            <w:pPr>
              <w:rPr>
                <w:rFonts w:ascii="Times New Roman" w:eastAsia="Times New Roman" w:hAnsi="Times New Roman" w:cs="Times New Roman"/>
                <w:b/>
                <w:bCs/>
                <w:sz w:val="24"/>
              </w:rPr>
            </w:pPr>
            <w:r>
              <w:rPr>
                <w:rFonts w:ascii="Times New Roman" w:hAnsi="Times New Roman"/>
                <w:b/>
                <w:sz w:val="24"/>
              </w:rPr>
              <w:t>Expected shortfall-maatstaf (ES</w:t>
            </w:r>
            <w:r>
              <w:rPr>
                <w:rFonts w:ascii="Times New Roman" w:hAnsi="Times New Roman"/>
                <w:b/>
                <w:sz w:val="24"/>
                <w:vertAlign w:val="subscript"/>
              </w:rPr>
              <w:t>t</w:t>
            </w:r>
            <w:r>
              <w:rPr>
                <w:rFonts w:ascii="Times New Roman" w:hAnsi="Times New Roman"/>
                <w:b/>
                <w:sz w:val="24"/>
              </w:rPr>
              <w:t>)</w:t>
            </w:r>
          </w:p>
          <w:p w14:paraId="3985A7B9" w14:textId="37C4DB19" w:rsidR="00234F41" w:rsidRPr="00DB0A49" w:rsidRDefault="5D2FC7FD" w:rsidP="140F9DE1">
            <w:pPr>
              <w:rPr>
                <w:rFonts w:ascii="Times New Roman" w:eastAsia="Times New Roman" w:hAnsi="Times New Roman" w:cs="Times New Roman"/>
                <w:sz w:val="24"/>
              </w:rPr>
            </w:pPr>
            <w:r>
              <w:rPr>
                <w:rFonts w:ascii="Times New Roman" w:hAnsi="Times New Roman"/>
                <w:sz w:val="24"/>
              </w:rPr>
              <w:t>De “expected shortfall”-risicomaatstaf wordt berekend overeenkomstig artikel 325 quinquinquagies, lid 1), punt a), i), van Verordening (EU) nr. 575/2013.</w:t>
            </w:r>
          </w:p>
        </w:tc>
      </w:tr>
      <w:tr w:rsidR="00234F41" w:rsidRPr="00AA772E" w14:paraId="5C7A25A8"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80EB380" w14:textId="3CBA7B62"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9</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6CE40AF" w14:textId="0618CAD3" w:rsidR="00234F41" w:rsidRPr="00AA44B0" w:rsidRDefault="00234F41" w:rsidP="00234F41">
            <w:pPr>
              <w:rPr>
                <w:rFonts w:ascii="Times New Roman" w:eastAsia="Times New Roman" w:hAnsi="Times New Roman" w:cs="Times New Roman"/>
                <w:b/>
                <w:bCs/>
                <w:sz w:val="24"/>
              </w:rPr>
            </w:pPr>
            <w:r>
              <w:rPr>
                <w:rFonts w:ascii="Times New Roman" w:hAnsi="Times New Roman"/>
                <w:b/>
                <w:sz w:val="24"/>
              </w:rPr>
              <w:t>Stressscenariorisicomaatstaf (SS</w:t>
            </w:r>
            <w:r>
              <w:rPr>
                <w:rFonts w:ascii="Times New Roman" w:hAnsi="Times New Roman"/>
                <w:b/>
                <w:sz w:val="24"/>
                <w:vertAlign w:val="subscript"/>
              </w:rPr>
              <w:t>t</w:t>
            </w:r>
            <w:r>
              <w:rPr>
                <w:rFonts w:ascii="Times New Roman" w:hAnsi="Times New Roman"/>
                <w:b/>
                <w:sz w:val="24"/>
              </w:rPr>
              <w:t>)</w:t>
            </w:r>
          </w:p>
          <w:p w14:paraId="1A984573" w14:textId="59113B26" w:rsidR="00234F41" w:rsidRPr="00DB0A49" w:rsidRDefault="060F6C17" w:rsidP="140F9DE1">
            <w:pPr>
              <w:rPr>
                <w:rFonts w:ascii="Times New Roman" w:eastAsia="Times New Roman" w:hAnsi="Times New Roman" w:cs="Times New Roman"/>
                <w:sz w:val="24"/>
              </w:rPr>
            </w:pPr>
            <w:r>
              <w:rPr>
                <w:rFonts w:ascii="Times New Roman" w:hAnsi="Times New Roman"/>
                <w:sz w:val="24"/>
              </w:rPr>
              <w:t>De stressscenariorisicomaatstaf wordt berekend overeenkomstig artikel 325 quinquinquagies, lid 1), punt a), ii), van Verordening (EU) nr. 575/2013.</w:t>
            </w:r>
          </w:p>
        </w:tc>
      </w:tr>
      <w:tr w:rsidR="00234F41" w:rsidRPr="00AA772E" w14:paraId="3AAE30D9"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E8C72FB" w14:textId="2E7D9982"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10</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9FBF8F2" w14:textId="1A7A8A4A" w:rsidR="00234F41" w:rsidRPr="00AA44B0" w:rsidRDefault="00234F41" w:rsidP="00234F41">
            <w:pPr>
              <w:rPr>
                <w:rFonts w:ascii="Times New Roman" w:eastAsia="Times New Roman" w:hAnsi="Times New Roman" w:cs="Times New Roman"/>
                <w:b/>
                <w:bCs/>
                <w:sz w:val="24"/>
              </w:rPr>
            </w:pPr>
            <w:r>
              <w:rPr>
                <w:rFonts w:ascii="Times New Roman" w:hAnsi="Times New Roman"/>
                <w:b/>
                <w:sz w:val="24"/>
              </w:rPr>
              <w:t>Wanbetalingsrisico (DRC</w:t>
            </w:r>
            <w:r>
              <w:rPr>
                <w:rFonts w:ascii="Times New Roman" w:hAnsi="Times New Roman"/>
                <w:b/>
                <w:sz w:val="24"/>
                <w:vertAlign w:val="subscript"/>
              </w:rPr>
              <w:t>t</w:t>
            </w:r>
            <w:r>
              <w:rPr>
                <w:rFonts w:ascii="Times New Roman" w:hAnsi="Times New Roman"/>
                <w:b/>
                <w:sz w:val="24"/>
              </w:rPr>
              <w:t>)</w:t>
            </w:r>
          </w:p>
          <w:p w14:paraId="0AF5675B" w14:textId="1F8133B2" w:rsidR="00234F41" w:rsidRPr="00DB0A49" w:rsidRDefault="654BF7D8" w:rsidP="140F9DE1">
            <w:pPr>
              <w:rPr>
                <w:rFonts w:ascii="Times New Roman" w:eastAsia="Times New Roman" w:hAnsi="Times New Roman" w:cs="Times New Roman"/>
                <w:sz w:val="24"/>
              </w:rPr>
            </w:pPr>
            <w:r>
              <w:rPr>
                <w:rFonts w:ascii="Times New Roman" w:hAnsi="Times New Roman"/>
                <w:sz w:val="24"/>
              </w:rPr>
              <w:t>Het wanbetalingsrisico wordt berekend overeenkomstig artikel 325 quinquinquagies, lid 2), punt a), van Verordening (EU) nr. 575/2013.</w:t>
            </w:r>
          </w:p>
        </w:tc>
      </w:tr>
      <w:tr w:rsidR="00234F41" w:rsidRPr="00AA772E" w14:paraId="001F5A7A"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3795AF9" w14:textId="7BC27148"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11</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6C377DB" w14:textId="02406F87" w:rsidR="00234F41" w:rsidRPr="00AA44B0" w:rsidRDefault="1AC2462E">
            <w:pPr>
              <w:rPr>
                <w:rFonts w:ascii="Times New Roman" w:eastAsia="Times New Roman" w:hAnsi="Times New Roman" w:cs="Times New Roman"/>
                <w:b/>
                <w:bCs/>
                <w:sz w:val="24"/>
              </w:rPr>
            </w:pPr>
            <w:r>
              <w:rPr>
                <w:rFonts w:ascii="Times New Roman" w:hAnsi="Times New Roman"/>
                <w:b/>
                <w:sz w:val="24"/>
              </w:rPr>
              <w:t>PLAaddon</w:t>
            </w:r>
          </w:p>
          <w:p w14:paraId="72CEFFB9" w14:textId="21DFFB57" w:rsidR="00234F41" w:rsidRPr="00DB0A49" w:rsidRDefault="471075D0" w:rsidP="140F9DE1">
            <w:pPr>
              <w:rPr>
                <w:rFonts w:ascii="Times New Roman" w:eastAsia="Times New Roman" w:hAnsi="Times New Roman" w:cs="Times New Roman"/>
                <w:sz w:val="24"/>
              </w:rPr>
            </w:pPr>
            <w:r>
              <w:rPr>
                <w:rFonts w:ascii="Times New Roman" w:hAnsi="Times New Roman"/>
                <w:sz w:val="24"/>
              </w:rPr>
              <w:t>Deze waarde wordt berekend overeenkomstig artikel 325 quinquinquagies, lid 3, van Verordening (EU) nr. 575/2013 juncto artikel 10, lid 1, van Verordening (EU) 2022/2059.</w:t>
            </w:r>
          </w:p>
        </w:tc>
      </w:tr>
      <w:tr w:rsidR="00234F41" w:rsidRPr="00AA772E" w14:paraId="1E5CB73A"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8C254C1" w14:textId="74B26BAD"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12</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675D025" w14:textId="6D4C388A" w:rsidR="00234F41" w:rsidRPr="00AA44B0" w:rsidRDefault="11A57A2D" w:rsidP="140F9DE1">
            <w:pPr>
              <w:rPr>
                <w:rFonts w:ascii="Times New Roman" w:hAnsi="Times New Roman" w:cs="Times New Roman"/>
                <w:b/>
                <w:bCs/>
                <w:sz w:val="24"/>
              </w:rPr>
            </w:pPr>
            <w:r>
              <w:rPr>
                <w:rFonts w:ascii="Times New Roman" w:hAnsi="Times New Roman"/>
                <w:b/>
                <w:sz w:val="24"/>
              </w:rPr>
              <w:t>OFR voor activiteiten binnen en buiten de balanstelling plus PLAaddon (AIMA + PLAaddon)</w:t>
            </w:r>
          </w:p>
          <w:p w14:paraId="595AB2F9" w14:textId="23FB87CE" w:rsidR="00234F41" w:rsidRPr="00DB0A49" w:rsidRDefault="00234F41" w:rsidP="00234F41">
            <w:pPr>
              <w:rPr>
                <w:rFonts w:ascii="Times New Roman" w:eastAsia="Times New Roman" w:hAnsi="Times New Roman" w:cs="Times New Roman"/>
                <w:sz w:val="24"/>
              </w:rPr>
            </w:pPr>
            <w:r>
              <w:rPr>
                <w:rFonts w:ascii="Times New Roman" w:hAnsi="Times New Roman"/>
                <w:sz w:val="24"/>
              </w:rPr>
              <w:t>Deze waarde wordt berekend overeenkomstig artikel 10, lid 1, van Verordening (EU) 2022/2059. De waarde van rij 11 wordt toegevoegd.</w:t>
            </w:r>
          </w:p>
        </w:tc>
      </w:tr>
      <w:tr w:rsidR="00234F41" w:rsidRPr="00AA772E" w14:paraId="4CFEF046"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4323EEB1" w14:textId="3C3F701D"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13</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4FCE8B3" w14:textId="20C19D22" w:rsidR="00234F41" w:rsidRPr="00AA44B0" w:rsidRDefault="471075D0" w:rsidP="140F9DE1">
            <w:pPr>
              <w:rPr>
                <w:rFonts w:ascii="Times New Roman" w:eastAsia="Times New Roman" w:hAnsi="Times New Roman" w:cs="Times New Roman"/>
                <w:sz w:val="24"/>
              </w:rPr>
            </w:pPr>
            <w:r>
              <w:rPr>
                <w:rFonts w:ascii="Times New Roman" w:hAnsi="Times New Roman"/>
                <w:b/>
                <w:sz w:val="24"/>
              </w:rPr>
              <w:t>Totaal ASA-OFR voor tradingdesks die niet in aanmerking komen voor gebruik van de AIMA (ASAnon-aima)</w:t>
            </w:r>
          </w:p>
          <w:p w14:paraId="010A62FB" w14:textId="286F0BA2" w:rsidR="00234F41" w:rsidRPr="00DB0A49" w:rsidRDefault="11B9774E" w:rsidP="140F9DE1">
            <w:pPr>
              <w:rPr>
                <w:rFonts w:ascii="Times New Roman" w:eastAsia="Times New Roman" w:hAnsi="Times New Roman" w:cs="Times New Roman"/>
                <w:color w:val="444444"/>
                <w:sz w:val="24"/>
              </w:rPr>
            </w:pPr>
            <w:r>
              <w:rPr>
                <w:rFonts w:ascii="Times New Roman" w:hAnsi="Times New Roman"/>
                <w:sz w:val="24"/>
              </w:rPr>
              <w:lastRenderedPageBreak/>
              <w:t>Deze waarde wordt berekend overeenkomstig artikel 325 quinquinquagies, lid 3, van Verordening (EU) nr. 575/2013.</w:t>
            </w:r>
          </w:p>
        </w:tc>
      </w:tr>
      <w:tr w:rsidR="00234F41" w:rsidRPr="00AA772E" w14:paraId="2E80D7EC"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32017943" w14:textId="29CFFEEE"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lastRenderedPageBreak/>
              <w:t>14</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7A4C34B" w14:textId="20DBF86B" w:rsidR="00234F41" w:rsidRPr="00AA44B0" w:rsidRDefault="471075D0" w:rsidP="140F9DE1">
            <w:pPr>
              <w:rPr>
                <w:rFonts w:ascii="Times New Roman" w:eastAsia="Times New Roman" w:hAnsi="Times New Roman" w:cs="Times New Roman"/>
                <w:b/>
                <w:bCs/>
                <w:sz w:val="24"/>
              </w:rPr>
            </w:pPr>
            <w:r>
              <w:rPr>
                <w:rFonts w:ascii="Times New Roman" w:hAnsi="Times New Roman"/>
                <w:b/>
                <w:sz w:val="24"/>
              </w:rPr>
              <w:t>Verschil in OFR in het kader van de AIMA en de ASA voor AIMA tradingdesks (AIMA-ASAaima)</w:t>
            </w:r>
          </w:p>
          <w:p w14:paraId="326E0483" w14:textId="73A09039" w:rsidR="00234F41" w:rsidRPr="00DB0A49" w:rsidRDefault="471075D0" w:rsidP="140F9DE1">
            <w:pPr>
              <w:rPr>
                <w:rFonts w:ascii="Times New Roman" w:eastAsia="Times New Roman" w:hAnsi="Times New Roman" w:cs="Times New Roman"/>
                <w:sz w:val="24"/>
              </w:rPr>
            </w:pPr>
            <w:r>
              <w:rPr>
                <w:rFonts w:ascii="Times New Roman" w:hAnsi="Times New Roman"/>
                <w:sz w:val="24"/>
              </w:rPr>
              <w:t>Deze waarde wordt berekend als het verschil tussen de AIMA-eigenvermogensvereisten voor AIMA-afdelingen (artikel 10, lid 1, van Verordening (EU) 2022/2059) en de waarde van de ASA-eigenvermogensvereisten voor alle AIMA-afdelingen (portefeuilleoverzicht) (artikel 10, lid 1, van Verordening (EU) 2022/2059).</w:t>
            </w:r>
          </w:p>
        </w:tc>
      </w:tr>
      <w:tr w:rsidR="00234F41" w:rsidRPr="00AA772E" w14:paraId="04D8994F"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E08381D" w14:textId="6243191D"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15</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1DBA1AB" w14:textId="2D7FAA07" w:rsidR="00234F41" w:rsidRPr="00AA44B0" w:rsidRDefault="471075D0" w:rsidP="140F9DE1">
            <w:pPr>
              <w:rPr>
                <w:rFonts w:ascii="Times New Roman" w:eastAsia="Times New Roman" w:hAnsi="Times New Roman" w:cs="Times New Roman"/>
                <w:sz w:val="24"/>
              </w:rPr>
            </w:pPr>
            <w:r>
              <w:rPr>
                <w:rFonts w:ascii="Times New Roman" w:hAnsi="Times New Roman"/>
                <w:b/>
                <w:sz w:val="24"/>
              </w:rPr>
              <w:t>ASA-OFR voor alle tradingafdelingen (met inbegrip van die welke onder AIMA vallen) (ASAall-portefeuille)</w:t>
            </w:r>
          </w:p>
          <w:p w14:paraId="7232E72B" w14:textId="0064FE14" w:rsidR="00234F41" w:rsidRPr="00DB0A49" w:rsidRDefault="3A829CD0" w:rsidP="140F9DE1">
            <w:pPr>
              <w:rPr>
                <w:rFonts w:ascii="Times New Roman" w:eastAsia="Times New Roman" w:hAnsi="Times New Roman" w:cs="Times New Roman"/>
                <w:color w:val="444444"/>
                <w:sz w:val="24"/>
              </w:rPr>
            </w:pPr>
            <w:r>
              <w:rPr>
                <w:rFonts w:ascii="Times New Roman" w:hAnsi="Times New Roman"/>
                <w:sz w:val="24"/>
              </w:rPr>
              <w:t>Deze waarde wordt berekend overeenkomstig artikel 325 quinquinquagies, lid 3, van Verordening (EU) nr. 575/2013.</w:t>
            </w:r>
          </w:p>
        </w:tc>
      </w:tr>
      <w:tr w:rsidR="00234F41" w:rsidRPr="00AA772E" w14:paraId="1AA0793B"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875442B" w14:textId="25353664"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16</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E1B75E7" w14:textId="2021ED29" w:rsidR="00234F41" w:rsidRPr="00FE3752" w:rsidRDefault="471075D0" w:rsidP="3821DFBC">
            <w:pPr>
              <w:rPr>
                <w:rFonts w:ascii="Times New Roman" w:eastAsia="Times New Roman" w:hAnsi="Times New Roman" w:cs="Times New Roman"/>
                <w:b/>
                <w:bCs/>
                <w:sz w:val="24"/>
              </w:rPr>
            </w:pPr>
            <w:r>
              <w:rPr>
                <w:rFonts w:ascii="Times New Roman" w:hAnsi="Times New Roman"/>
                <w:b/>
                <w:sz w:val="24"/>
              </w:rPr>
              <w:t>Totale eigenvermogensvereisten voor AIMA (TotalAIMA)</w:t>
            </w:r>
          </w:p>
          <w:p w14:paraId="11A40A93" w14:textId="2A4DA65C" w:rsidR="00234F41" w:rsidRPr="00DB0A49" w:rsidRDefault="7D4B7A18" w:rsidP="3821DFBC">
            <w:pPr>
              <w:rPr>
                <w:rFonts w:ascii="Times New Roman" w:eastAsia="Times New Roman" w:hAnsi="Times New Roman" w:cs="Times New Roman"/>
                <w:color w:val="444444"/>
                <w:sz w:val="24"/>
              </w:rPr>
            </w:pPr>
            <w:r>
              <w:rPr>
                <w:rFonts w:ascii="Times New Roman" w:hAnsi="Times New Roman"/>
                <w:sz w:val="24"/>
              </w:rPr>
              <w:t xml:space="preserve">Deze waarde wordt berekend overeenkomstig artikel 325 quinquinquagies, lid 3, van Verordening (EU) nr. 575/2013. </w:t>
            </w:r>
          </w:p>
        </w:tc>
      </w:tr>
      <w:tr w:rsidR="00234F41" w:rsidRPr="001F1865" w14:paraId="6CF294F9" w14:textId="77777777" w:rsidTr="0BE40342">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5D7C567" w14:textId="77777777" w:rsidR="00234F41" w:rsidRPr="001F1865" w:rsidRDefault="00234F41" w:rsidP="00234F41">
            <w:pPr>
              <w:spacing w:after="240"/>
              <w:rPr>
                <w:rFonts w:ascii="Times New Roman" w:hAnsi="Times New Roman" w:cs="Times New Roman"/>
                <w:b/>
                <w:sz w:val="24"/>
              </w:rPr>
            </w:pPr>
            <w:r>
              <w:rPr>
                <w:rFonts w:ascii="Times New Roman" w:hAnsi="Times New Roman"/>
                <w:b/>
                <w:sz w:val="24"/>
              </w:rPr>
              <w:t>Kolom</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B0A2FF6" w14:textId="77777777" w:rsidR="00234F41" w:rsidRPr="001F1865" w:rsidRDefault="00234F41" w:rsidP="00234F41">
            <w:pPr>
              <w:spacing w:after="240"/>
              <w:rPr>
                <w:rFonts w:ascii="Times New Roman" w:hAnsi="Times New Roman" w:cs="Times New Roman"/>
                <w:b/>
                <w:sz w:val="24"/>
              </w:rPr>
            </w:pPr>
            <w:r>
              <w:rPr>
                <w:rFonts w:ascii="Times New Roman" w:hAnsi="Times New Roman"/>
                <w:b/>
                <w:sz w:val="24"/>
              </w:rPr>
              <w:t>Toelichting</w:t>
            </w:r>
          </w:p>
        </w:tc>
      </w:tr>
      <w:tr w:rsidR="00234F41" w:rsidRPr="00AA772E" w14:paraId="691830EE" w14:textId="77777777" w:rsidTr="00DB0A49">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CF2D892" w14:textId="13945D56" w:rsidR="00234F41" w:rsidRPr="00445013" w:rsidRDefault="00234F41" w:rsidP="00DB0A49">
            <w:pPr>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5BC3495" w14:textId="6299B921" w:rsidR="00234F41" w:rsidRPr="00DB0A49" w:rsidRDefault="00234F41" w:rsidP="00234F41">
            <w:pPr>
              <w:rPr>
                <w:rFonts w:ascii="Times New Roman" w:hAnsi="Times New Roman" w:cs="Times New Roman"/>
                <w:sz w:val="24"/>
              </w:rPr>
            </w:pPr>
            <w:r>
              <w:rPr>
                <w:rFonts w:ascii="Times New Roman" w:hAnsi="Times New Roman"/>
                <w:sz w:val="24"/>
              </w:rPr>
              <w:t xml:space="preserve">Openbaarmaking van de recentste risicomaatstaf [rij 1 tot en met 10] of eigenvermogensvereisten [rij 11 tot en met 16] in het lopende kwartaal. </w:t>
            </w:r>
          </w:p>
        </w:tc>
      </w:tr>
      <w:tr w:rsidR="00825C6F" w:rsidRPr="00AA772E" w14:paraId="3E585EB2"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3C81655A" w14:textId="6A209115" w:rsidR="00825C6F" w:rsidRPr="00445013" w:rsidRDefault="00825C6F" w:rsidP="00825C6F">
            <w:pPr>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4B19F853" w14:textId="5237A310" w:rsidR="00825C6F" w:rsidRPr="00445013" w:rsidRDefault="00825C6F" w:rsidP="3821DFBC">
            <w:pPr>
              <w:rPr>
                <w:rFonts w:ascii="Times New Roman" w:hAnsi="Times New Roman" w:cs="Times New Roman"/>
                <w:sz w:val="24"/>
              </w:rPr>
            </w:pPr>
            <w:r>
              <w:rPr>
                <w:rFonts w:ascii="Times New Roman" w:hAnsi="Times New Roman"/>
                <w:sz w:val="24"/>
              </w:rPr>
              <w:t>Gemiddelde waarde van de risicomaatstaf [rij 1 tot en met 10] over de voorgaande 60 werkdagen [rij 1 tot en met 9] of over de voorgaande 12 weken [rij 10] in het lopende kwartaal.</w:t>
            </w:r>
          </w:p>
        </w:tc>
      </w:tr>
      <w:tr w:rsidR="00234F41" w:rsidRPr="00AA772E" w14:paraId="541E0443"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D9A3D63" w14:textId="38507D4F" w:rsidR="00234F41" w:rsidRPr="00445013" w:rsidRDefault="00825C6F" w:rsidP="00DB0A49">
            <w:pPr>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AE0E847" w14:textId="02E42442" w:rsidR="00234F41" w:rsidRPr="00445013" w:rsidRDefault="00234F41" w:rsidP="3821DFBC">
            <w:pPr>
              <w:rPr>
                <w:rFonts w:ascii="Times New Roman" w:hAnsi="Times New Roman" w:cs="Times New Roman"/>
                <w:sz w:val="24"/>
              </w:rPr>
            </w:pPr>
            <w:r>
              <w:rPr>
                <w:rFonts w:ascii="Times New Roman" w:hAnsi="Times New Roman"/>
                <w:sz w:val="24"/>
              </w:rPr>
              <w:t>Hoogste risicomaatstaf over de voorgaande 60 werkdagen [rij 1 tot en met 6] in het lopende kwartaal.</w:t>
            </w:r>
          </w:p>
        </w:tc>
      </w:tr>
      <w:tr w:rsidR="00234F41" w:rsidRPr="00AA772E" w14:paraId="517652D9"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4185729" w14:textId="054FA251" w:rsidR="00234F41" w:rsidRPr="00445013" w:rsidRDefault="00825C6F" w:rsidP="00234F41">
            <w:pPr>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9CA32AC" w14:textId="30C74DA0" w:rsidR="00234F41" w:rsidRPr="00445013" w:rsidRDefault="00234F41" w:rsidP="3821DFBC">
            <w:pPr>
              <w:rPr>
                <w:rFonts w:ascii="Times New Roman" w:hAnsi="Times New Roman" w:cs="Times New Roman"/>
                <w:sz w:val="24"/>
              </w:rPr>
            </w:pPr>
            <w:r>
              <w:rPr>
                <w:rFonts w:ascii="Times New Roman" w:hAnsi="Times New Roman"/>
                <w:sz w:val="24"/>
              </w:rPr>
              <w:t>Laagste risicomaatstaf over de voorgaande 60 werkdagen [rij 1 tot en met 6] in het lopende kwartaal.</w:t>
            </w:r>
          </w:p>
        </w:tc>
      </w:tr>
      <w:tr w:rsidR="00234F41" w:rsidRPr="00AA772E" w14:paraId="41E2A894"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9FA296F" w14:textId="5510FEEB" w:rsidR="00234F41" w:rsidRPr="00445013" w:rsidRDefault="00234F41" w:rsidP="00234F41">
            <w:pPr>
              <w:jc w:val="center"/>
              <w:rPr>
                <w:rFonts w:ascii="Times New Roman" w:hAnsi="Times New Roman" w:cs="Times New Roman"/>
                <w:sz w:val="24"/>
              </w:rPr>
            </w:pPr>
            <w:r>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657FA4A" w14:textId="0166676A" w:rsidR="00234F41" w:rsidRPr="00445013" w:rsidRDefault="00234F41">
            <w:pPr>
              <w:rPr>
                <w:rFonts w:ascii="Times New Roman" w:eastAsia="Times New Roman" w:hAnsi="Times New Roman" w:cs="Times New Roman"/>
                <w:sz w:val="24"/>
              </w:rPr>
            </w:pPr>
            <w:r>
              <w:rPr>
                <w:rFonts w:ascii="Times New Roman" w:hAnsi="Times New Roman"/>
                <w:sz w:val="24"/>
              </w:rPr>
              <w:t>Aantal overschrijdingen van back-testing [rij 1]</w:t>
            </w:r>
          </w:p>
          <w:p w14:paraId="486CF129" w14:textId="49048050" w:rsidR="00234F41" w:rsidRPr="00445013" w:rsidRDefault="51A69309" w:rsidP="0BE40342">
            <w:pPr>
              <w:rPr>
                <w:rFonts w:ascii="Times New Roman" w:eastAsia="Times New Roman" w:hAnsi="Times New Roman" w:cs="Times New Roman"/>
                <w:sz w:val="24"/>
              </w:rPr>
            </w:pPr>
            <w:r>
              <w:rPr>
                <w:rFonts w:ascii="Times New Roman" w:hAnsi="Times New Roman"/>
                <w:sz w:val="24"/>
              </w:rPr>
              <w:t>Het in deze cel gerapporteerde aantal overschrijdingen is het aantal dat is gebruikt voor de bepaling van de opslagfactor overeenkomstig tabel 3 van artikel 325 novoquinquagies, lid 6, punt b), van Verordening (EU) nr. 575/2013. Overschrijdingen die met toestemming van de bevoegde autoriteit zijn uitgesloten, worden niet meegerekend.</w:t>
            </w:r>
          </w:p>
        </w:tc>
      </w:tr>
      <w:tr w:rsidR="00234F41" w:rsidRPr="00AA772E" w14:paraId="4299B6F7"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3441333" w14:textId="19304036" w:rsidR="00234F41" w:rsidRPr="00445013" w:rsidRDefault="00234F41" w:rsidP="00234F41">
            <w:pPr>
              <w:jc w:val="center"/>
              <w:rPr>
                <w:rFonts w:ascii="Times New Roman" w:hAnsi="Times New Roman" w:cs="Times New Roman"/>
                <w:sz w:val="24"/>
              </w:rPr>
            </w:pPr>
            <w:r>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C8BD1C0" w14:textId="66C9B10A" w:rsidR="00234F41" w:rsidRPr="00445013" w:rsidRDefault="00234F41" w:rsidP="00234F41">
            <w:pPr>
              <w:rPr>
                <w:rFonts w:ascii="Times New Roman" w:hAnsi="Times New Roman" w:cs="Times New Roman"/>
                <w:sz w:val="24"/>
              </w:rPr>
            </w:pPr>
            <w:r>
              <w:rPr>
                <w:rFonts w:ascii="Times New Roman" w:hAnsi="Times New Roman"/>
                <w:sz w:val="24"/>
              </w:rPr>
              <w:t xml:space="preserve">Recentste risicomaatstaf [rij 1 tot en met 10] of eigenvermogensvereisten [rij 11 tot en met 16] in het vorige kwartaal. </w:t>
            </w:r>
          </w:p>
        </w:tc>
      </w:tr>
      <w:tr w:rsidR="00234F41" w:rsidRPr="001F1865" w14:paraId="2CC40313"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883754D" w14:textId="4239198E" w:rsidR="00234F41" w:rsidRPr="001F1865" w:rsidRDefault="00234F41" w:rsidP="00234F41">
            <w:pPr>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088BFF1" w14:textId="1DB2F358" w:rsidR="00234F41" w:rsidRPr="001F1865" w:rsidRDefault="00234F41" w:rsidP="00234F41">
            <w:pPr>
              <w:rPr>
                <w:rFonts w:ascii="Times New Roman" w:hAnsi="Times New Roman" w:cs="Times New Roman"/>
                <w:sz w:val="24"/>
              </w:rPr>
            </w:pPr>
            <w:r>
              <w:rPr>
                <w:rFonts w:ascii="Times New Roman" w:hAnsi="Times New Roman"/>
                <w:sz w:val="24"/>
              </w:rPr>
              <w:t>Gemiddelde waarde van de risicomaatstaf [rij 1 tot en met 10] over de voorgaande 60 werkdagen [rij 1 tot en met 9] of over de voorgaande 12 weken [rij 10] in het vorige kwartaal.</w:t>
            </w:r>
          </w:p>
        </w:tc>
      </w:tr>
    </w:tbl>
    <w:p w14:paraId="60061E4C" w14:textId="6CE0B0D3" w:rsidR="00AA4A0F" w:rsidRPr="007C1D00" w:rsidRDefault="00AA4A0F" w:rsidP="00931C32">
      <w:pPr>
        <w:pStyle w:val="Titlelevel2"/>
        <w:spacing w:before="0"/>
        <w:rPr>
          <w:rFonts w:ascii="Times New Roman" w:hAnsi="Times New Roman" w:cs="Times New Roman"/>
          <w:b/>
          <w:color w:val="auto"/>
          <w:sz w:val="24"/>
        </w:rPr>
      </w:pPr>
    </w:p>
    <w:p w14:paraId="7EADC0A6" w14:textId="5B12A297" w:rsidR="00AA4A0F" w:rsidRPr="001F1865" w:rsidRDefault="00AA4A0F" w:rsidP="140F9DE1">
      <w:pPr>
        <w:pStyle w:val="Titlelevel2"/>
        <w:spacing w:before="0"/>
        <w:rPr>
          <w:rFonts w:ascii="Times New Roman" w:hAnsi="Times New Roman" w:cs="Times New Roman"/>
          <w:color w:val="auto"/>
          <w:sz w:val="24"/>
        </w:rPr>
      </w:pPr>
      <w:r w:rsidRPr="007C1D00">
        <w:rPr>
          <w:rFonts w:ascii="Times New Roman" w:hAnsi="Times New Roman"/>
          <w:b/>
          <w:bCs w:val="0"/>
          <w:color w:val="auto"/>
          <w:sz w:val="24"/>
        </w:rPr>
        <w:t>Template EU MR3 - Marktrisico volgens de vereenvoudigde standaardbenadering (SSA)</w:t>
      </w:r>
      <w:r>
        <w:rPr>
          <w:rFonts w:ascii="Times New Roman" w:hAnsi="Times New Roman"/>
          <w:color w:val="auto"/>
          <w:sz w:val="24"/>
        </w:rPr>
        <w:t>: Vaste opmaak.</w:t>
      </w:r>
    </w:p>
    <w:p w14:paraId="6AC491D2" w14:textId="6E61C37E" w:rsidR="00AA4A0F" w:rsidRPr="001F1865" w:rsidRDefault="00AA4A0F" w:rsidP="00DB0A49">
      <w:pPr>
        <w:pStyle w:val="Titlelevel2"/>
        <w:numPr>
          <w:ilvl w:val="0"/>
          <w:numId w:val="5"/>
        </w:numPr>
        <w:spacing w:before="0"/>
        <w:ind w:left="284" w:hanging="284"/>
        <w:jc w:val="both"/>
        <w:rPr>
          <w:rFonts w:ascii="Times New Roman" w:hAnsi="Times New Roman" w:cs="Times New Roman"/>
          <w:b/>
          <w:color w:val="auto"/>
          <w:sz w:val="24"/>
        </w:rPr>
      </w:pPr>
      <w:r>
        <w:rPr>
          <w:rFonts w:ascii="Times New Roman" w:hAnsi="Times New Roman"/>
          <w:color w:val="000000" w:themeColor="text1"/>
          <w:sz w:val="24"/>
        </w:rPr>
        <w:t>De instellingen maken de in artikel 445 van Verordening (EU) nr. 575/2013 bedoelde informatie openbaar overeenkomstig onderstaande instructies in deze bijlage voor het invullen van tabel EU MR3 die in bijlage XXIX bij de It-oplossingen is opgenomen.</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6998"/>
      </w:tblGrid>
      <w:tr w:rsidR="00AA4A0F" w:rsidRPr="001F1865" w14:paraId="31CE5A52" w14:textId="77777777" w:rsidTr="0BE40342">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21B0653"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lastRenderedPageBreak/>
              <w:t>Verwijzingen naar wetgeving en instructies</w:t>
            </w:r>
          </w:p>
        </w:tc>
      </w:tr>
      <w:tr w:rsidR="00AA4A0F" w:rsidRPr="001F1865" w14:paraId="5141F344" w14:textId="77777777" w:rsidTr="0BE40342">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46BD028"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Rijnummer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71D7C9A"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Toelichting</w:t>
            </w:r>
          </w:p>
        </w:tc>
      </w:tr>
      <w:tr w:rsidR="00AA4A0F" w:rsidRPr="001F1865" w14:paraId="2557E2E3" w14:textId="77777777" w:rsidTr="0BE40342">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6A1E50F1" w14:textId="77777777" w:rsidR="00AA4A0F" w:rsidRPr="001F1865" w:rsidRDefault="00AA4A0F" w:rsidP="00DE090B">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28141434" w14:textId="77777777" w:rsidR="00AA4A0F" w:rsidRPr="001F1865" w:rsidRDefault="00AA4A0F" w:rsidP="00DE090B">
            <w:pPr>
              <w:spacing w:after="240"/>
              <w:rPr>
                <w:rFonts w:ascii="Times New Roman" w:hAnsi="Times New Roman" w:cs="Times New Roman"/>
                <w:b/>
                <w:bCs/>
                <w:i/>
                <w:iCs/>
                <w:sz w:val="24"/>
                <w:lang w:eastAsia="ja-JP"/>
              </w:rPr>
            </w:pPr>
          </w:p>
        </w:tc>
      </w:tr>
      <w:tr w:rsidR="00AA4A0F" w:rsidRPr="001F1865" w14:paraId="739AED95" w14:textId="77777777" w:rsidTr="0BE40342">
        <w:tc>
          <w:tcPr>
            <w:tcW w:w="1172" w:type="dxa"/>
            <w:tcBorders>
              <w:top w:val="single" w:sz="4" w:space="0" w:color="auto"/>
              <w:left w:val="single" w:sz="4" w:space="0" w:color="auto"/>
              <w:bottom w:val="single" w:sz="4" w:space="0" w:color="auto"/>
              <w:right w:val="single" w:sz="4" w:space="0" w:color="auto"/>
            </w:tcBorders>
          </w:tcPr>
          <w:p w14:paraId="37A7E9B2" w14:textId="77777777" w:rsidR="00AA4A0F" w:rsidRPr="001F1865" w:rsidRDefault="00AA4A0F" w:rsidP="00DE090B">
            <w:pPr>
              <w:spacing w:after="240"/>
              <w:jc w:val="center"/>
              <w:rPr>
                <w:rFonts w:ascii="Times New Roman" w:hAnsi="Times New Roman" w:cs="Times New Roman"/>
                <w:sz w:val="24"/>
              </w:rPr>
            </w:pPr>
            <w:r>
              <w:rPr>
                <w:rFonts w:ascii="Times New Roman" w:hAnsi="Times New Roman"/>
                <w:sz w:val="24"/>
              </w:rPr>
              <w:t>1</w:t>
            </w:r>
          </w:p>
        </w:tc>
        <w:tc>
          <w:tcPr>
            <w:tcW w:w="7242" w:type="dxa"/>
            <w:tcBorders>
              <w:top w:val="single" w:sz="4" w:space="0" w:color="auto"/>
              <w:left w:val="single" w:sz="4" w:space="0" w:color="auto"/>
              <w:bottom w:val="single" w:sz="4" w:space="0" w:color="auto"/>
              <w:right w:val="single" w:sz="4" w:space="0" w:color="auto"/>
            </w:tcBorders>
          </w:tcPr>
          <w:p w14:paraId="3FBD133A"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 xml:space="preserve">Renterisico (algemeen en specifiek) </w:t>
            </w:r>
          </w:p>
          <w:p w14:paraId="53976F70" w14:textId="7239AE46" w:rsidR="00AA4A0F" w:rsidRPr="001F1865" w:rsidRDefault="00AA4A0F" w:rsidP="0BE40342">
            <w:pPr>
              <w:autoSpaceDE w:val="0"/>
              <w:autoSpaceDN w:val="0"/>
              <w:adjustRightInd w:val="0"/>
              <w:spacing w:after="240"/>
              <w:jc w:val="both"/>
              <w:rPr>
                <w:rFonts w:ascii="Times New Roman" w:hAnsi="Times New Roman" w:cs="Times New Roman"/>
                <w:sz w:val="24"/>
              </w:rPr>
            </w:pPr>
            <w:r>
              <w:rPr>
                <w:rFonts w:ascii="Times New Roman" w:hAnsi="Times New Roman"/>
                <w:sz w:val="24"/>
              </w:rPr>
              <w:t>Het algemene en het specifieke risico van posities in verhandelbare schuldinstrumenten in de handelsportefeuille, overeenkomstig deel drie, titel IV, hoofdstuk 2, van Verordening (EU) nr. 575/2013, met uitsluiting van het specifieke risico in verband met securitisatie.</w:t>
            </w:r>
          </w:p>
        </w:tc>
      </w:tr>
      <w:tr w:rsidR="00AA4A0F" w:rsidRPr="001F1865" w14:paraId="3866E5CD" w14:textId="77777777" w:rsidTr="0BE40342">
        <w:tc>
          <w:tcPr>
            <w:tcW w:w="1172" w:type="dxa"/>
            <w:tcBorders>
              <w:top w:val="single" w:sz="4" w:space="0" w:color="auto"/>
              <w:left w:val="single" w:sz="4" w:space="0" w:color="auto"/>
              <w:bottom w:val="single" w:sz="4" w:space="0" w:color="auto"/>
              <w:right w:val="single" w:sz="4" w:space="0" w:color="auto"/>
            </w:tcBorders>
          </w:tcPr>
          <w:p w14:paraId="19995B6D" w14:textId="77777777" w:rsidR="00AA4A0F" w:rsidRPr="001F1865" w:rsidRDefault="00AA4A0F" w:rsidP="00DE090B">
            <w:pPr>
              <w:spacing w:after="240"/>
              <w:jc w:val="center"/>
              <w:rPr>
                <w:rFonts w:ascii="Times New Roman" w:hAnsi="Times New Roman" w:cs="Times New Roman"/>
                <w:b/>
                <w:sz w:val="24"/>
              </w:rPr>
            </w:pPr>
            <w:r>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2B552676"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Aandelenrisico (algemeen en specifiek)</w:t>
            </w:r>
          </w:p>
          <w:p w14:paraId="7CB149BE" w14:textId="7EC2652A" w:rsidR="00AA4A0F" w:rsidRPr="001F1865" w:rsidRDefault="00AA4A0F" w:rsidP="0BE40342">
            <w:pPr>
              <w:spacing w:after="240"/>
              <w:jc w:val="both"/>
              <w:rPr>
                <w:rFonts w:ascii="Times New Roman" w:hAnsi="Times New Roman" w:cs="Times New Roman"/>
                <w:sz w:val="24"/>
              </w:rPr>
            </w:pPr>
            <w:r>
              <w:rPr>
                <w:rFonts w:ascii="Times New Roman" w:hAnsi="Times New Roman"/>
                <w:sz w:val="24"/>
              </w:rPr>
              <w:t>Het algemene en het specifieke risico van posities in aandelen in de handelsportefeuille, overeenkomstig deel drie, titel IV, hoofdstuk 2, van Verordening (EU) nr. 575/2013.</w:t>
            </w:r>
          </w:p>
        </w:tc>
      </w:tr>
      <w:tr w:rsidR="00AA4A0F" w:rsidRPr="001F1865" w14:paraId="036D3FF7" w14:textId="77777777" w:rsidTr="0BE40342">
        <w:tc>
          <w:tcPr>
            <w:tcW w:w="1172" w:type="dxa"/>
            <w:tcBorders>
              <w:top w:val="single" w:sz="4" w:space="0" w:color="auto"/>
              <w:left w:val="single" w:sz="4" w:space="0" w:color="auto"/>
              <w:bottom w:val="single" w:sz="4" w:space="0" w:color="auto"/>
              <w:right w:val="single" w:sz="4" w:space="0" w:color="auto"/>
            </w:tcBorders>
          </w:tcPr>
          <w:p w14:paraId="5E8AB2FA" w14:textId="77777777" w:rsidR="00AA4A0F" w:rsidRPr="001F1865" w:rsidRDefault="00AA4A0F" w:rsidP="00DE090B">
            <w:pPr>
              <w:spacing w:after="240"/>
              <w:jc w:val="center"/>
              <w:rPr>
                <w:rFonts w:ascii="Times New Roman" w:hAnsi="Times New Roman" w:cs="Times New Roman"/>
                <w:sz w:val="24"/>
              </w:rPr>
            </w:pPr>
            <w:r>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0A0101EE"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Grondstoffenrisico</w:t>
            </w:r>
          </w:p>
          <w:p w14:paraId="63B3CA85" w14:textId="0B927E14" w:rsidR="00AA4A0F" w:rsidRPr="001F1865" w:rsidRDefault="00AA4A0F" w:rsidP="0BE40342">
            <w:pPr>
              <w:spacing w:after="240"/>
              <w:rPr>
                <w:rFonts w:ascii="Times New Roman" w:hAnsi="Times New Roman" w:cs="Times New Roman"/>
                <w:sz w:val="24"/>
              </w:rPr>
            </w:pPr>
            <w:r>
              <w:rPr>
                <w:rFonts w:ascii="Times New Roman" w:hAnsi="Times New Roman"/>
                <w:sz w:val="24"/>
              </w:rPr>
              <w:t>Het risico van posities in grondstoffen overeenkomstig deel drie, titel IV, hoofdstuk 4, van Verordening (EU) nr. 575/2013.</w:t>
            </w:r>
          </w:p>
        </w:tc>
      </w:tr>
      <w:tr w:rsidR="00AA4A0F" w:rsidRPr="001F1865" w14:paraId="7A3EA1BB" w14:textId="77777777" w:rsidTr="0BE40342">
        <w:tc>
          <w:tcPr>
            <w:tcW w:w="1172" w:type="dxa"/>
            <w:tcBorders>
              <w:top w:val="single" w:sz="4" w:space="0" w:color="auto"/>
              <w:left w:val="single" w:sz="4" w:space="0" w:color="auto"/>
              <w:bottom w:val="single" w:sz="4" w:space="0" w:color="auto"/>
              <w:right w:val="single" w:sz="4" w:space="0" w:color="auto"/>
            </w:tcBorders>
          </w:tcPr>
          <w:p w14:paraId="113B8C93" w14:textId="77777777" w:rsidR="00AA4A0F" w:rsidRPr="001F1865" w:rsidRDefault="00AA4A0F" w:rsidP="00DE090B">
            <w:pPr>
              <w:spacing w:after="240"/>
              <w:jc w:val="center"/>
              <w:rPr>
                <w:rFonts w:ascii="Times New Roman" w:hAnsi="Times New Roman" w:cs="Times New Roman"/>
                <w:b/>
                <w:sz w:val="24"/>
              </w:rPr>
            </w:pPr>
            <w:r>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348C8C77"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Wisselkoersrisico</w:t>
            </w:r>
          </w:p>
          <w:p w14:paraId="0EF57964" w14:textId="5BB6583A" w:rsidR="00AA4A0F" w:rsidRPr="001F1865" w:rsidRDefault="00AA4A0F" w:rsidP="0BE40342">
            <w:pPr>
              <w:spacing w:after="240"/>
              <w:jc w:val="both"/>
              <w:rPr>
                <w:rFonts w:ascii="Times New Roman" w:hAnsi="Times New Roman" w:cs="Times New Roman"/>
                <w:sz w:val="24"/>
              </w:rPr>
            </w:pPr>
            <w:r>
              <w:rPr>
                <w:rFonts w:ascii="Times New Roman" w:hAnsi="Times New Roman"/>
                <w:sz w:val="24"/>
              </w:rPr>
              <w:t>Het risico van posities in wisselkoersen overeenkomstig deel drie, titel IV, hoofdstuk 3, van Verordening (EU) nr. 575/2013.</w:t>
            </w:r>
          </w:p>
        </w:tc>
      </w:tr>
      <w:tr w:rsidR="00AA4A0F" w:rsidRPr="001F1865" w14:paraId="510BA8A3"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4FCF69CF" w14:textId="77777777" w:rsidR="00AA4A0F" w:rsidRPr="001F1865" w:rsidRDefault="00AA4A0F" w:rsidP="00DE090B">
            <w:pPr>
              <w:jc w:val="center"/>
              <w:rPr>
                <w:rFonts w:ascii="Times New Roman" w:hAnsi="Times New Roman" w:cs="Times New Roman"/>
                <w:sz w:val="24"/>
              </w:rPr>
            </w:pPr>
            <w:r>
              <w:rPr>
                <w:rFonts w:ascii="Times New Roman" w:hAnsi="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631B132C" w14:textId="77777777" w:rsidR="00AA4A0F" w:rsidRPr="001F1865" w:rsidRDefault="00AA4A0F" w:rsidP="00DE090B">
            <w:pPr>
              <w:spacing w:after="240"/>
              <w:rPr>
                <w:rFonts w:ascii="Times New Roman" w:eastAsia="Times New Roman" w:hAnsi="Times New Roman" w:cs="Times New Roman"/>
                <w:b/>
                <w:bCs/>
                <w:sz w:val="24"/>
              </w:rPr>
            </w:pPr>
            <w:r>
              <w:rPr>
                <w:rFonts w:ascii="Times New Roman" w:hAnsi="Times New Roman"/>
                <w:b/>
                <w:sz w:val="24"/>
              </w:rPr>
              <w:t>Securitisatie (specifiek risico)</w:t>
            </w:r>
          </w:p>
          <w:p w14:paraId="20BB6B2F" w14:textId="370CD600" w:rsidR="00AA4A0F" w:rsidRPr="00DE72D6" w:rsidRDefault="00AA4A0F" w:rsidP="00DE090B">
            <w:pPr>
              <w:rPr>
                <w:rFonts w:ascii="Times New Roman" w:hAnsi="Times New Roman" w:cs="Times New Roman"/>
              </w:rPr>
            </w:pPr>
            <w:r>
              <w:rPr>
                <w:rFonts w:ascii="Times New Roman" w:hAnsi="Times New Roman"/>
                <w:sz w:val="24"/>
              </w:rPr>
              <w:t>Het specifieke risico van securitisatieposities in de handelsportefeuille overeenkomstig de artikelen 337 en 338 van deel drie, titel IV, hoofdstuk 2, van Verordening (EU) nr. 575/2013.</w:t>
            </w:r>
          </w:p>
        </w:tc>
      </w:tr>
      <w:tr w:rsidR="00AA4A0F" w:rsidRPr="001F1865" w14:paraId="7C502C6B"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475168C1" w14:textId="77777777" w:rsidR="00AA4A0F" w:rsidRPr="001F1865" w:rsidRDefault="00AA4A0F" w:rsidP="00DE090B">
            <w:pPr>
              <w:jc w:val="center"/>
              <w:rPr>
                <w:rFonts w:ascii="Times New Roman" w:hAnsi="Times New Roman" w:cs="Times New Roman"/>
                <w:sz w:val="24"/>
              </w:rPr>
            </w:pPr>
            <w:r>
              <w:rPr>
                <w:rFonts w:ascii="Times New Roman" w:hAnsi="Times New Roman"/>
                <w:sz w:val="24"/>
              </w:rPr>
              <w:t>6</w:t>
            </w:r>
          </w:p>
        </w:tc>
        <w:tc>
          <w:tcPr>
            <w:tcW w:w="7242" w:type="dxa"/>
            <w:tcBorders>
              <w:top w:val="single" w:sz="4" w:space="0" w:color="auto"/>
              <w:left w:val="single" w:sz="4" w:space="0" w:color="auto"/>
              <w:bottom w:val="single" w:sz="4" w:space="0" w:color="auto"/>
              <w:right w:val="single" w:sz="4" w:space="0" w:color="auto"/>
            </w:tcBorders>
          </w:tcPr>
          <w:p w14:paraId="192C9167" w14:textId="77777777" w:rsidR="00AA4A0F" w:rsidRPr="001F1865" w:rsidRDefault="00AA4A0F" w:rsidP="00DE090B">
            <w:pPr>
              <w:spacing w:after="240"/>
              <w:rPr>
                <w:rFonts w:ascii="Times New Roman" w:eastAsia="Times New Roman" w:hAnsi="Times New Roman" w:cs="Times New Roman"/>
                <w:b/>
                <w:bCs/>
                <w:sz w:val="24"/>
              </w:rPr>
            </w:pPr>
            <w:r>
              <w:rPr>
                <w:rFonts w:ascii="Times New Roman" w:hAnsi="Times New Roman"/>
                <w:b/>
                <w:sz w:val="24"/>
              </w:rPr>
              <w:t xml:space="preserve">Totaal OFR S-SA </w:t>
            </w:r>
          </w:p>
          <w:p w14:paraId="5DD2D55D" w14:textId="027A9E83" w:rsidR="00AA4A0F" w:rsidRPr="001F1865" w:rsidRDefault="00AA4A0F" w:rsidP="00DE090B">
            <w:pPr>
              <w:rPr>
                <w:rFonts w:ascii="Times New Roman" w:eastAsia="Times New Roman" w:hAnsi="Times New Roman" w:cs="Times New Roman"/>
                <w:sz w:val="24"/>
              </w:rPr>
            </w:pPr>
            <w:r>
              <w:rPr>
                <w:rFonts w:ascii="Times New Roman" w:hAnsi="Times New Roman"/>
                <w:sz w:val="24"/>
              </w:rPr>
              <w:t>Openbaarmaking van eigenvermogensvereisten in de zin van artikel 438, punt d), van Verordening (EU) nr. 575/2013, berekend als de eenvoudige som van de bedragen in de bovenstaande rijen 1 tot en met 5 voor kolom a en berekend als de eenvoudige som van de bedragen in de bovenstaande rijen 1 tot en met 4 voor de kolommen b, c en d.</w:t>
            </w:r>
          </w:p>
        </w:tc>
      </w:tr>
      <w:tr w:rsidR="00AA4A0F" w:rsidRPr="001F1865" w14:paraId="56185555" w14:textId="77777777" w:rsidTr="00DB0A49">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C50AB2" w14:textId="77777777" w:rsidR="00AA4A0F" w:rsidRPr="001F1865" w:rsidRDefault="00AA4A0F" w:rsidP="00DE090B">
            <w:pPr>
              <w:spacing w:after="240"/>
              <w:rPr>
                <w:rFonts w:ascii="Times New Roman" w:eastAsia="Times New Roman" w:hAnsi="Times New Roman" w:cs="Times New Roman"/>
                <w:b/>
                <w:bCs/>
                <w:sz w:val="24"/>
              </w:rPr>
            </w:pPr>
            <w:r>
              <w:rPr>
                <w:rFonts w:ascii="Times New Roman" w:hAnsi="Times New Roman"/>
                <w:b/>
                <w:sz w:val="24"/>
              </w:rPr>
              <w:t>Kolom</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381206" w14:textId="77777777" w:rsidR="00AA4A0F" w:rsidRPr="00DB0A49" w:rsidRDefault="00AA4A0F" w:rsidP="00DE090B">
            <w:pPr>
              <w:spacing w:after="240"/>
              <w:rPr>
                <w:rFonts w:ascii="Times New Roman" w:hAnsi="Times New Roman" w:cs="Times New Roman"/>
                <w:b/>
                <w:sz w:val="24"/>
              </w:rPr>
            </w:pPr>
            <w:r>
              <w:rPr>
                <w:rFonts w:ascii="Times New Roman" w:hAnsi="Times New Roman"/>
                <w:b/>
                <w:sz w:val="24"/>
              </w:rPr>
              <w:t>Toelichting</w:t>
            </w:r>
          </w:p>
        </w:tc>
      </w:tr>
      <w:tr w:rsidR="00AA4A0F" w:rsidRPr="001F1865" w14:paraId="2E9CE451"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8E7FF5" w14:textId="77777777" w:rsidR="00AA4A0F" w:rsidRPr="001F1865" w:rsidRDefault="00AA4A0F" w:rsidP="00DE090B">
            <w:pPr>
              <w:spacing w:after="240"/>
              <w:jc w:val="center"/>
              <w:rPr>
                <w:rFonts w:ascii="Times New Roman" w:eastAsia="Times New Roman" w:hAnsi="Times New Roman" w:cs="Times New Roman"/>
                <w:sz w:val="24"/>
              </w:rPr>
            </w:pPr>
          </w:p>
        </w:tc>
        <w:tc>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CFD14A" w14:textId="77777777" w:rsidR="00AA4A0F" w:rsidRPr="00FE3752" w:rsidRDefault="00AA4A0F" w:rsidP="00DE090B">
            <w:pPr>
              <w:spacing w:after="240"/>
              <w:rPr>
                <w:rFonts w:ascii="Times New Roman" w:eastAsia="Times New Roman" w:hAnsi="Times New Roman" w:cs="Times New Roman"/>
                <w:b/>
                <w:bCs/>
                <w:sz w:val="24"/>
              </w:rPr>
            </w:pPr>
            <w:r>
              <w:rPr>
                <w:rFonts w:ascii="Times New Roman" w:hAnsi="Times New Roman"/>
                <w:b/>
                <w:sz w:val="24"/>
              </w:rPr>
              <w:t>Rechtstreekse producten</w:t>
            </w:r>
          </w:p>
        </w:tc>
      </w:tr>
      <w:tr w:rsidR="00AA4A0F" w:rsidRPr="001F1865" w14:paraId="5A2CAA0E"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53EFC87F" w14:textId="77777777" w:rsidR="00AA4A0F" w:rsidRPr="001F1865" w:rsidRDefault="00AA4A0F" w:rsidP="00DE090B">
            <w:pPr>
              <w:jc w:val="center"/>
              <w:rPr>
                <w:rFonts w:ascii="Times New Roman" w:eastAsia="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30EB9E82" w14:textId="3E3EB933" w:rsidR="00AA4A0F" w:rsidRPr="00DB0A49" w:rsidRDefault="00AA4A0F" w:rsidP="00DE090B">
            <w:pPr>
              <w:rPr>
                <w:rFonts w:ascii="Times New Roman" w:eastAsia="Calibri" w:hAnsi="Times New Roman" w:cs="Times New Roman"/>
                <w:szCs w:val="22"/>
              </w:rPr>
            </w:pPr>
            <w:r>
              <w:rPr>
                <w:rFonts w:ascii="Times New Roman" w:hAnsi="Times New Roman"/>
                <w:sz w:val="24"/>
              </w:rPr>
              <w:t xml:space="preserve">Posities in producten die niet facultatief zijn en niet zijn opgenomen in de benaderingen van de technische reguleringsnormen voor het </w:t>
            </w:r>
            <w:r>
              <w:rPr>
                <w:rFonts w:ascii="Times New Roman" w:hAnsi="Times New Roman"/>
                <w:sz w:val="24"/>
              </w:rPr>
              <w:lastRenderedPageBreak/>
              <w:t>niet-deltarisico van opties in de standaardbenadering voor marktrisico</w:t>
            </w:r>
            <w:r w:rsidRPr="00DB0A49">
              <w:rPr>
                <w:rFonts w:ascii="Times New Roman" w:eastAsia="Calibri" w:hAnsi="Times New Roman" w:cs="Times New Roman"/>
                <w:szCs w:val="22"/>
                <w:vertAlign w:val="superscript"/>
              </w:rPr>
              <w:footnoteReference w:id="3"/>
            </w:r>
            <w:r>
              <w:rPr>
                <w:rFonts w:ascii="Times New Roman" w:hAnsi="Times New Roman"/>
                <w:sz w:val="24"/>
              </w:rPr>
              <w:t>.</w:t>
            </w:r>
          </w:p>
        </w:tc>
      </w:tr>
      <w:tr w:rsidR="00AA4A0F" w:rsidRPr="001F1865" w14:paraId="198A0D0F" w14:textId="77777777" w:rsidTr="0BE40342">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7E84CA33" w14:textId="77777777" w:rsidR="00AA4A0F" w:rsidRPr="001F1865" w:rsidRDefault="00AA4A0F" w:rsidP="00DE090B">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474E150A"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Opties</w:t>
            </w:r>
          </w:p>
        </w:tc>
      </w:tr>
      <w:tr w:rsidR="00AA4A0F" w:rsidRPr="001F1865" w14:paraId="4D311DFE" w14:textId="77777777" w:rsidTr="0BE40342">
        <w:tc>
          <w:tcPr>
            <w:tcW w:w="1172" w:type="dxa"/>
            <w:tcBorders>
              <w:top w:val="single" w:sz="4" w:space="0" w:color="auto"/>
              <w:left w:val="single" w:sz="4" w:space="0" w:color="auto"/>
              <w:bottom w:val="single" w:sz="4" w:space="0" w:color="auto"/>
              <w:right w:val="single" w:sz="4" w:space="0" w:color="auto"/>
            </w:tcBorders>
          </w:tcPr>
          <w:p w14:paraId="6023A58E" w14:textId="77777777" w:rsidR="00AA4A0F" w:rsidRPr="001F1865" w:rsidRDefault="00AA4A0F" w:rsidP="00DE090B">
            <w:pPr>
              <w:spacing w:after="240"/>
              <w:jc w:val="center"/>
              <w:rPr>
                <w:rFonts w:ascii="Times New Roman" w:hAnsi="Times New Roman" w:cs="Times New Roman"/>
                <w:b/>
                <w:bCs/>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52931FC3" w14:textId="77777777" w:rsidR="00AA4A0F" w:rsidRPr="001F1865" w:rsidRDefault="00AA4A0F" w:rsidP="00DE090B">
            <w:pPr>
              <w:spacing w:after="240"/>
              <w:jc w:val="both"/>
              <w:rPr>
                <w:rFonts w:ascii="Times New Roman" w:hAnsi="Times New Roman" w:cs="Times New Roman"/>
                <w:b/>
                <w:sz w:val="24"/>
              </w:rPr>
            </w:pPr>
            <w:r>
              <w:rPr>
                <w:rFonts w:ascii="Times New Roman" w:hAnsi="Times New Roman"/>
                <w:b/>
                <w:sz w:val="24"/>
              </w:rPr>
              <w:t>Vereenvoudigde benadering</w:t>
            </w:r>
          </w:p>
          <w:p w14:paraId="71365A3F" w14:textId="32ACEA9A" w:rsidR="00AA4A0F" w:rsidRPr="001F1865" w:rsidRDefault="00AA4A0F" w:rsidP="0BE40342">
            <w:pPr>
              <w:spacing w:after="240"/>
              <w:jc w:val="both"/>
              <w:rPr>
                <w:rFonts w:ascii="Times New Roman" w:hAnsi="Times New Roman" w:cs="Times New Roman"/>
                <w:b/>
                <w:bCs/>
                <w:sz w:val="24"/>
              </w:rPr>
            </w:pPr>
            <w:r>
              <w:rPr>
                <w:rFonts w:ascii="Times New Roman" w:hAnsi="Times New Roman"/>
                <w:sz w:val="24"/>
              </w:rPr>
              <w:t>Opties of warrants als omschreven in artikel 329, lid 3, van deel drie, titel IV, hoofdstuk 2, van Verordening (EU) nr. 575/2013 waarvoor de instellingen de eigenvermogensvereisten met betrekking tot het niet-deltarisico berekenen met behulp van de vereenvoudigde benadering</w:t>
            </w:r>
            <w:r w:rsidRPr="00DB0A49">
              <w:rPr>
                <w:rStyle w:val="FootnoteReference"/>
                <w:rFonts w:ascii="Times New Roman" w:eastAsia="Times New Roman" w:hAnsi="Times New Roman" w:cs="Times New Roman"/>
              </w:rPr>
              <w:footnoteReference w:id="4"/>
            </w:r>
            <w:r>
              <w:rPr>
                <w:rFonts w:ascii="Times New Roman" w:hAnsi="Times New Roman"/>
                <w:sz w:val="24"/>
              </w:rPr>
              <w:t>.</w:t>
            </w:r>
          </w:p>
        </w:tc>
      </w:tr>
      <w:tr w:rsidR="00AA4A0F" w:rsidRPr="001F1865" w14:paraId="41891054" w14:textId="77777777" w:rsidTr="0BE40342">
        <w:tc>
          <w:tcPr>
            <w:tcW w:w="1172" w:type="dxa"/>
            <w:tcBorders>
              <w:top w:val="single" w:sz="4" w:space="0" w:color="auto"/>
              <w:left w:val="single" w:sz="4" w:space="0" w:color="auto"/>
              <w:bottom w:val="single" w:sz="4" w:space="0" w:color="auto"/>
              <w:right w:val="single" w:sz="4" w:space="0" w:color="auto"/>
            </w:tcBorders>
          </w:tcPr>
          <w:p w14:paraId="705883E5" w14:textId="77777777" w:rsidR="00AA4A0F" w:rsidRPr="001F1865" w:rsidRDefault="00AA4A0F" w:rsidP="00DE090B">
            <w:pPr>
              <w:spacing w:after="240"/>
              <w:jc w:val="center"/>
              <w:rPr>
                <w:rFonts w:ascii="Times New Roman" w:eastAsia="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0EC8D43E" w14:textId="77777777" w:rsidR="00AA4A0F" w:rsidRPr="001F1865" w:rsidRDefault="00AA4A0F" w:rsidP="00DE090B">
            <w:pPr>
              <w:spacing w:after="240"/>
              <w:jc w:val="both"/>
              <w:rPr>
                <w:rFonts w:ascii="Times New Roman" w:hAnsi="Times New Roman" w:cs="Times New Roman"/>
                <w:b/>
                <w:sz w:val="24"/>
              </w:rPr>
            </w:pPr>
            <w:r>
              <w:rPr>
                <w:rFonts w:ascii="Times New Roman" w:hAnsi="Times New Roman"/>
                <w:b/>
                <w:sz w:val="24"/>
              </w:rPr>
              <w:t>Delta plus-benadering</w:t>
            </w:r>
          </w:p>
          <w:p w14:paraId="4982FF4D" w14:textId="11E24DA9" w:rsidR="00AA4A0F" w:rsidRPr="001F1865" w:rsidRDefault="00AA4A0F" w:rsidP="0BE40342">
            <w:pPr>
              <w:spacing w:after="240"/>
              <w:jc w:val="both"/>
              <w:rPr>
                <w:rFonts w:ascii="Times New Roman" w:hAnsi="Times New Roman" w:cs="Times New Roman"/>
                <w:b/>
                <w:bCs/>
                <w:sz w:val="24"/>
              </w:rPr>
            </w:pPr>
            <w:r>
              <w:rPr>
                <w:rFonts w:ascii="Times New Roman" w:hAnsi="Times New Roman"/>
                <w:sz w:val="24"/>
              </w:rPr>
              <w:t>Opties of warrants als omschreven in artikel 329, lid 3, van deel drie, titel IV, hoofdstuk 2, van Verordening (EU) nr. 575/2013 waarvoor de instellingen de eigenvermogensvereisten met betrekking tot het niet-deltarisico berekenen met behulp van de delta plus-benadering</w:t>
            </w:r>
            <w:r w:rsidRPr="00DB0A49">
              <w:rPr>
                <w:rStyle w:val="FootnoteReference"/>
                <w:rFonts w:ascii="Times New Roman" w:eastAsia="Times New Roman" w:hAnsi="Times New Roman" w:cs="Times New Roman"/>
              </w:rPr>
              <w:footnoteReference w:id="5"/>
            </w:r>
            <w:r>
              <w:rPr>
                <w:rFonts w:ascii="Times New Roman" w:hAnsi="Times New Roman"/>
                <w:sz w:val="24"/>
              </w:rPr>
              <w:t>.</w:t>
            </w:r>
          </w:p>
        </w:tc>
      </w:tr>
      <w:tr w:rsidR="00AA4A0F" w:rsidRPr="001F1865" w14:paraId="4EBB665F" w14:textId="77777777" w:rsidTr="0BE40342">
        <w:tc>
          <w:tcPr>
            <w:tcW w:w="1172" w:type="dxa"/>
            <w:tcBorders>
              <w:top w:val="single" w:sz="4" w:space="0" w:color="auto"/>
              <w:left w:val="single" w:sz="4" w:space="0" w:color="auto"/>
              <w:bottom w:val="single" w:sz="4" w:space="0" w:color="auto"/>
              <w:right w:val="single" w:sz="4" w:space="0" w:color="auto"/>
            </w:tcBorders>
          </w:tcPr>
          <w:p w14:paraId="42443ACF" w14:textId="77777777" w:rsidR="00AA4A0F" w:rsidRPr="001F1865" w:rsidRDefault="00AA4A0F" w:rsidP="00DE090B">
            <w:pPr>
              <w:spacing w:after="240"/>
              <w:jc w:val="center"/>
              <w:rPr>
                <w:rFonts w:ascii="Times New Roman" w:hAnsi="Times New Roman" w:cs="Times New Roman"/>
                <w:b/>
                <w:bCs/>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4E90FE4D" w14:textId="77777777" w:rsidR="00AA4A0F" w:rsidRPr="001F1865" w:rsidRDefault="00AA4A0F" w:rsidP="00DE090B">
            <w:pPr>
              <w:spacing w:after="240"/>
              <w:jc w:val="both"/>
              <w:rPr>
                <w:rFonts w:ascii="Times New Roman" w:hAnsi="Times New Roman" w:cs="Times New Roman"/>
                <w:b/>
                <w:sz w:val="24"/>
              </w:rPr>
            </w:pPr>
            <w:r>
              <w:rPr>
                <w:rFonts w:ascii="Times New Roman" w:hAnsi="Times New Roman"/>
                <w:b/>
                <w:sz w:val="24"/>
              </w:rPr>
              <w:t>Scenariobenadering</w:t>
            </w:r>
          </w:p>
          <w:p w14:paraId="2B78A76A" w14:textId="583FBB66" w:rsidR="00AA4A0F" w:rsidRPr="001F1865" w:rsidRDefault="00AA4A0F" w:rsidP="0BE40342">
            <w:pPr>
              <w:spacing w:after="240"/>
              <w:jc w:val="both"/>
              <w:rPr>
                <w:rFonts w:ascii="Times New Roman" w:hAnsi="Times New Roman" w:cs="Times New Roman"/>
                <w:b/>
                <w:bCs/>
                <w:sz w:val="24"/>
              </w:rPr>
            </w:pPr>
            <w:r>
              <w:rPr>
                <w:rFonts w:ascii="Times New Roman" w:hAnsi="Times New Roman"/>
                <w:sz w:val="24"/>
              </w:rPr>
              <w:t>Opties of warrants als omschreven in artikel 329, lid 3, van deel drie, titel IV, hoofdstuk 2, van Verordening (EU) nr. 575/2013 waarvoor de instellingen de eigenvermogensvereisten met betrekking tot het niet-deltarisico berekenen met behulp van de scenariobenadering</w:t>
            </w:r>
            <w:r w:rsidRPr="00DB0A49">
              <w:rPr>
                <w:rStyle w:val="FootnoteReference"/>
                <w:rFonts w:ascii="Times New Roman" w:eastAsia="Times New Roman" w:hAnsi="Times New Roman" w:cs="Times New Roman"/>
              </w:rPr>
              <w:footnoteReference w:id="6"/>
            </w:r>
            <w:r>
              <w:rPr>
                <w:rFonts w:ascii="Times New Roman" w:hAnsi="Times New Roman"/>
                <w:sz w:val="24"/>
              </w:rPr>
              <w:t>.</w:t>
            </w:r>
          </w:p>
        </w:tc>
      </w:tr>
    </w:tbl>
    <w:p w14:paraId="79592B57" w14:textId="77777777" w:rsidR="00931C32" w:rsidRPr="007C1D00" w:rsidRDefault="00931C32" w:rsidP="00931C32">
      <w:pPr>
        <w:pStyle w:val="Titlelevel2"/>
        <w:spacing w:before="0"/>
        <w:rPr>
          <w:rFonts w:ascii="Times New Roman" w:hAnsi="Times New Roman" w:cs="Times New Roman"/>
          <w:b/>
          <w:color w:val="auto"/>
          <w:sz w:val="24"/>
        </w:rPr>
      </w:pPr>
    </w:p>
    <w:sectPr w:rsidR="00931C32" w:rsidRPr="007C1D00">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1A622" w14:textId="77777777" w:rsidR="00F2772C" w:rsidRDefault="00F2772C" w:rsidP="00931C32">
      <w:r>
        <w:separator/>
      </w:r>
    </w:p>
  </w:endnote>
  <w:endnote w:type="continuationSeparator" w:id="0">
    <w:p w14:paraId="5609A27D" w14:textId="77777777" w:rsidR="00F2772C" w:rsidRDefault="00F2772C" w:rsidP="00931C32">
      <w:r>
        <w:continuationSeparator/>
      </w:r>
    </w:p>
  </w:endnote>
  <w:endnote w:type="continuationNotice" w:id="1">
    <w:p w14:paraId="2EEBBAF9" w14:textId="77777777" w:rsidR="00677CBD" w:rsidRDefault="00677C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Times New Roman&quot;,serif">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2960830"/>
      <w:docPartObj>
        <w:docPartGallery w:val="Page Numbers (Bottom of Page)"/>
        <w:docPartUnique/>
      </w:docPartObj>
    </w:sdtPr>
    <w:sdtEndPr>
      <w:rPr>
        <w:noProof/>
      </w:rPr>
    </w:sdtEndPr>
    <w:sdtContent>
      <w:p w14:paraId="5BB6A1F2" w14:textId="77777777" w:rsidR="001E400B" w:rsidRDefault="001E400B">
        <w:pPr>
          <w:pStyle w:val="Footer"/>
          <w:jc w:val="right"/>
        </w:pPr>
        <w:r>
          <w:fldChar w:fldCharType="begin"/>
        </w:r>
        <w:r>
          <w:instrText xml:space="preserve"> PAGE   \* MERGEFORMAT </w:instrText>
        </w:r>
        <w:r>
          <w:fldChar w:fldCharType="separate"/>
        </w:r>
        <w:r w:rsidR="006E3585">
          <w:t>14</w:t>
        </w:r>
        <w:r>
          <w:fldChar w:fldCharType="end"/>
        </w:r>
      </w:p>
    </w:sdtContent>
  </w:sdt>
  <w:p w14:paraId="2946DB82" w14:textId="77777777" w:rsidR="001E400B" w:rsidRDefault="001E40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7FBD0" w14:textId="77777777" w:rsidR="00F2772C" w:rsidRDefault="00F2772C" w:rsidP="00931C32">
      <w:r>
        <w:separator/>
      </w:r>
    </w:p>
  </w:footnote>
  <w:footnote w:type="continuationSeparator" w:id="0">
    <w:p w14:paraId="012E5BFC" w14:textId="77777777" w:rsidR="00F2772C" w:rsidRDefault="00F2772C" w:rsidP="00931C32">
      <w:r>
        <w:continuationSeparator/>
      </w:r>
    </w:p>
  </w:footnote>
  <w:footnote w:type="continuationNotice" w:id="1">
    <w:p w14:paraId="05A445BA" w14:textId="77777777" w:rsidR="00677CBD" w:rsidRDefault="00677CBD"/>
  </w:footnote>
  <w:footnote w:id="2">
    <w:p w14:paraId="62EBF3C5" w14:textId="4E8F5FFE" w:rsidR="00931C32" w:rsidRPr="00222AAB" w:rsidRDefault="00931C32" w:rsidP="007F0B68">
      <w:pPr>
        <w:pStyle w:val="FootnoteText"/>
      </w:pPr>
      <w:r>
        <w:rPr>
          <w:rStyle w:val="FootnoteReference"/>
          <w:rFonts w:cstheme="minorHAnsi"/>
        </w:rPr>
        <w:footnoteRef/>
      </w:r>
      <w:r>
        <w:tab/>
        <w:t>Verordening (EU) nr. 575/2013 van het Europees Parlement en de Raad van 26 juni 2013 betreffende prudentiële vereisten voor kredietinstellingen en tot wijziging van Verordening (EU) nr. 648/2012, zoals gewijzigd bij Verordening (EU) 2024/1623 (</w:t>
      </w:r>
      <w:hyperlink r:id="rId1" w:history="1">
        <w:r>
          <w:rPr>
            <w:rStyle w:val="Hyperlink"/>
            <w:color w:val="800080"/>
          </w:rPr>
          <w:t>PB L 176 van 27.6.2013, blz. 1</w:t>
        </w:r>
      </w:hyperlink>
      <w:r>
        <w:t>);</w:t>
      </w:r>
      <w:r>
        <w:rPr>
          <w:color w:val="800080"/>
          <w:u w:val="single"/>
        </w:rPr>
        <w:t xml:space="preserve"> </w:t>
      </w:r>
      <w:hyperlink r:id="rId2" w:history="1">
        <w:r>
          <w:rPr>
            <w:rStyle w:val="Hyperlink"/>
          </w:rPr>
          <w:t>Verordening - 2024/1623 - NL - EUR-Lex (europa.eu)</w:t>
        </w:r>
      </w:hyperlink>
      <w:r>
        <w:rPr>
          <w:color w:val="444444"/>
        </w:rPr>
        <w:t>).</w:t>
      </w:r>
    </w:p>
  </w:footnote>
  <w:footnote w:id="3">
    <w:p w14:paraId="6651B5AC" w14:textId="77777777" w:rsidR="00AA4A0F" w:rsidRPr="008158FF" w:rsidRDefault="00AA4A0F" w:rsidP="00AA4A0F">
      <w:pPr>
        <w:pStyle w:val="FootnoteText"/>
      </w:pPr>
      <w:r>
        <w:footnoteRef/>
      </w:r>
      <w:r>
        <w:tab/>
        <w:t>Als omschreven in Gedelegeerde Verordening (EU) nr. 528/2014 van de Commissie van 12 maart 2014 tot aanvulling van Verordening (EU) nr. 575/2013 van het Europees Parlement en de Raad met betrekking tot technische reguleringsnormen voor niet-deltarisico van opties in het kader van de standaardbenadering voor marktrisico (PB L 148 van 20.5.2014, blz. 29).</w:t>
      </w:r>
    </w:p>
  </w:footnote>
  <w:footnote w:id="4">
    <w:p w14:paraId="67B37F98" w14:textId="77777777" w:rsidR="00AA4A0F" w:rsidRPr="00222AAB" w:rsidRDefault="00AA4A0F" w:rsidP="00AA4A0F">
      <w:pPr>
        <w:pStyle w:val="FootnoteText"/>
      </w:pPr>
      <w:r>
        <w:rPr>
          <w:rStyle w:val="FootnoteReference"/>
          <w:rFonts w:cstheme="minorHAnsi"/>
        </w:rPr>
        <w:footnoteRef/>
      </w:r>
      <w:r>
        <w:tab/>
        <w:t>Als omschreven in Gedelegeerde Verordening (EU) nr. 528/2014 van de Commissie van 12 maart 2014 tot aanvulling van Verordening (EU) nr. 575/2013 van het Europees Parlement en de Raad met betrekking tot technische reguleringsnormen voor niet-deltarisico van opties in het kader van de standaardbenadering voor marktrisico (PB L 148 van 20.5.2014, blz. 29).</w:t>
      </w:r>
    </w:p>
  </w:footnote>
  <w:footnote w:id="5">
    <w:p w14:paraId="6C32CA93" w14:textId="77777777" w:rsidR="00AA4A0F" w:rsidRPr="00222AAB" w:rsidRDefault="00AA4A0F" w:rsidP="00AA4A0F">
      <w:pPr>
        <w:pStyle w:val="FootnoteText"/>
      </w:pPr>
      <w:r>
        <w:rPr>
          <w:rStyle w:val="FootnoteReference"/>
          <w:rFonts w:cstheme="minorHAnsi"/>
        </w:rPr>
        <w:footnoteRef/>
      </w:r>
      <w:r>
        <w:tab/>
        <w:t>Als omschreven in Gedelegeerde Verordening (EU) nr. 528/2014 van de Commissie van 12 maart 2014 tot aanvulling van Verordening (EU) nr. 575/2013 van het Europees Parlement en de Raad met betrekking tot technische reguleringsnormen voor niet-deltarisico van opties in het kader van de standaardbenadering voor marktrisico (PB L 148 van 20.5.2014, blz. 29).</w:t>
      </w:r>
    </w:p>
  </w:footnote>
  <w:footnote w:id="6">
    <w:p w14:paraId="739259DE" w14:textId="77777777" w:rsidR="00AA4A0F" w:rsidRPr="00222AAB" w:rsidRDefault="00AA4A0F" w:rsidP="00AA4A0F">
      <w:pPr>
        <w:pStyle w:val="FootnoteText"/>
      </w:pPr>
      <w:r>
        <w:rPr>
          <w:rStyle w:val="FootnoteReference"/>
          <w:rFonts w:cstheme="minorHAnsi"/>
        </w:rPr>
        <w:footnoteRef/>
      </w:r>
      <w:r>
        <w:tab/>
        <w:t>Als omschreven in Gedelegeerde Verordening (EU) nr. 528/2014 van de Commissie van 12 maart 2014 tot aanvulling van Verordening (EU) nr. 575/2013 van het Europees Parlement en de Raad met betrekking tot technische reguleringsnormen voor niet-deltarisico van opties in het kader van de standaardbenadering voor marktrisico (PB L 148 van 20.5.2014, blz. 29).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BEF00" w14:textId="2FF13506" w:rsidR="001E400B" w:rsidRDefault="003711D5">
    <w:pPr>
      <w:pStyle w:val="Header"/>
    </w:pPr>
    <w:r>
      <w:rPr>
        <w:noProof/>
      </w:rPr>
      <mc:AlternateContent>
        <mc:Choice Requires="wps">
          <w:drawing>
            <wp:anchor distT="0" distB="0" distL="0" distR="0" simplePos="0" relativeHeight="251658241" behindDoc="0" locked="0" layoutInCell="1" allowOverlap="1" wp14:anchorId="538BE4FF" wp14:editId="37B8D3A0">
              <wp:simplePos x="635" y="635"/>
              <wp:positionH relativeFrom="page">
                <wp:align>left</wp:align>
              </wp:positionH>
              <wp:positionV relativeFrom="page">
                <wp:align>top</wp:align>
              </wp:positionV>
              <wp:extent cx="443865" cy="443865"/>
              <wp:effectExtent l="0" t="0" r="3175" b="9525"/>
              <wp:wrapNone/>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A56FCDE" w14:textId="162F82C7" w:rsidR="003711D5" w:rsidRPr="00DB0A49" w:rsidRDefault="003711D5">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38BE4FF"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A56FCDE" w14:textId="162F82C7" w:rsidR="003711D5" w:rsidRPr="00DB0A49" w:rsidRDefault="003711D5">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9C43A" w14:textId="273E788A" w:rsidR="001E400B" w:rsidRDefault="003711D5">
    <w:pPr>
      <w:pStyle w:val="Header"/>
    </w:pPr>
    <w:r>
      <w:rPr>
        <w:noProof/>
      </w:rPr>
      <mc:AlternateContent>
        <mc:Choice Requires="wps">
          <w:drawing>
            <wp:anchor distT="0" distB="0" distL="0" distR="0" simplePos="0" relativeHeight="251658242" behindDoc="0" locked="0" layoutInCell="1" allowOverlap="1" wp14:anchorId="77F8E82E" wp14:editId="22A30FA4">
              <wp:simplePos x="635" y="635"/>
              <wp:positionH relativeFrom="page">
                <wp:align>left</wp:align>
              </wp:positionH>
              <wp:positionV relativeFrom="page">
                <wp:align>top</wp:align>
              </wp:positionV>
              <wp:extent cx="443865" cy="443865"/>
              <wp:effectExtent l="0" t="0" r="3175" b="9525"/>
              <wp:wrapNone/>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81BB6A" w14:textId="4F4C8937" w:rsidR="003711D5" w:rsidRPr="00DB0A49" w:rsidRDefault="003711D5">
                          <w:pPr>
                            <w:rPr>
                              <w:rFonts w:ascii="Calibri" w:eastAsia="Calibri" w:hAnsi="Calibri" w:cs="Calibri"/>
                              <w:noProof/>
                              <w:color w:val="000000"/>
                              <w:sz w:val="24"/>
                            </w:rPr>
                          </w:pPr>
                          <w:r>
                            <w:rPr>
                              <w:rFonts w:ascii="Calibri" w:hAnsi="Calibri"/>
                              <w:color w:val="000000"/>
                              <w:sz w:val="24"/>
                            </w:rPr>
                            <w:t xml:space="preserve">EBA </w:t>
                          </w:r>
                          <w:r w:rsidR="007C1D00">
                            <w:rPr>
                              <w:rFonts w:ascii="Calibri" w:hAnsi="Calibri"/>
                              <w:color w:val="000000"/>
                              <w:sz w:val="24"/>
                            </w:rPr>
                            <w:t>– Normaal gebruik</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7F8E82E" id="_x0000_t202" coordsize="21600,21600" o:spt="202" path="m,l,21600r21600,l21600,xe">
              <v:stroke joinstyle="miter"/>
              <v:path gradientshapeok="t" o:connecttype="rect"/>
            </v:shapetype>
            <v:shape id="Text Box 3" o:spid="_x0000_s1027" type="#_x0000_t202" alt="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E81BB6A" w14:textId="4F4C8937" w:rsidR="003711D5" w:rsidRPr="00DB0A49" w:rsidRDefault="003711D5">
                    <w:pPr>
                      <w:rPr>
                        <w:rFonts w:ascii="Calibri" w:eastAsia="Calibri" w:hAnsi="Calibri" w:cs="Calibri"/>
                        <w:noProof/>
                        <w:color w:val="000000"/>
                        <w:sz w:val="24"/>
                      </w:rPr>
                    </w:pPr>
                    <w:r>
                      <w:rPr>
                        <w:rFonts w:ascii="Calibri" w:hAnsi="Calibri"/>
                        <w:color w:val="000000"/>
                        <w:sz w:val="24"/>
                      </w:rPr>
                      <w:t xml:space="preserve">EBA </w:t>
                    </w:r>
                    <w:r w:rsidR="007C1D00">
                      <w:rPr>
                        <w:rFonts w:ascii="Calibri" w:hAnsi="Calibri"/>
                        <w:color w:val="000000"/>
                        <w:sz w:val="24"/>
                      </w:rPr>
                      <w:t>– Normaal gebruik</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39945" w14:textId="5EFD03C3" w:rsidR="001E400B" w:rsidRDefault="003711D5">
    <w:pPr>
      <w:pStyle w:val="Header"/>
    </w:pPr>
    <w:r>
      <w:rPr>
        <w:noProof/>
      </w:rPr>
      <mc:AlternateContent>
        <mc:Choice Requires="wps">
          <w:drawing>
            <wp:anchor distT="0" distB="0" distL="0" distR="0" simplePos="0" relativeHeight="251658240" behindDoc="0" locked="0" layoutInCell="1" allowOverlap="1" wp14:anchorId="2B864388" wp14:editId="43407DD0">
              <wp:simplePos x="635" y="635"/>
              <wp:positionH relativeFrom="page">
                <wp:align>left</wp:align>
              </wp:positionH>
              <wp:positionV relativeFrom="page">
                <wp:align>top</wp:align>
              </wp:positionV>
              <wp:extent cx="443865" cy="443865"/>
              <wp:effectExtent l="0" t="0" r="3175" b="9525"/>
              <wp:wrapNone/>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9E11F3" w14:textId="6F23960E" w:rsidR="003711D5" w:rsidRPr="00DB0A49" w:rsidRDefault="003711D5">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B864388"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49E11F3" w14:textId="6F23960E" w:rsidR="003711D5" w:rsidRPr="00DB0A49" w:rsidRDefault="003711D5">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75914"/>
    <w:multiLevelType w:val="hybridMultilevel"/>
    <w:tmpl w:val="9A60C088"/>
    <w:lvl w:ilvl="0" w:tplc="858CAB9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08B3313"/>
    <w:multiLevelType w:val="hybridMultilevel"/>
    <w:tmpl w:val="3FB20E04"/>
    <w:lvl w:ilvl="0" w:tplc="0804D116">
      <w:start w:val="1"/>
      <w:numFmt w:val="decimal"/>
      <w:lvlText w:val="%1."/>
      <w:lvlJc w:val="left"/>
      <w:pPr>
        <w:ind w:left="1070" w:hanging="360"/>
      </w:pPr>
      <w:rPr>
        <w:b w:val="0"/>
        <w:color w:val="auto"/>
        <w:sz w:val="22"/>
        <w:szCs w:val="22"/>
        <w:lang w:val="en-G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A44831"/>
    <w:multiLevelType w:val="hybridMultilevel"/>
    <w:tmpl w:val="7B5E3790"/>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47D5598"/>
    <w:multiLevelType w:val="hybridMultilevel"/>
    <w:tmpl w:val="32BCBD6C"/>
    <w:lvl w:ilvl="0" w:tplc="6F103DC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E52ECD9"/>
    <w:multiLevelType w:val="hybridMultilevel"/>
    <w:tmpl w:val="FFFFFFFF"/>
    <w:lvl w:ilvl="0" w:tplc="E932B00C">
      <w:start w:val="1"/>
      <w:numFmt w:val="decimal"/>
      <w:lvlText w:val="%1."/>
      <w:lvlJc w:val="left"/>
      <w:pPr>
        <w:ind w:left="720" w:hanging="360"/>
      </w:pPr>
    </w:lvl>
    <w:lvl w:ilvl="1" w:tplc="48C88220">
      <w:start w:val="1"/>
      <w:numFmt w:val="lowerLetter"/>
      <w:lvlText w:val="%2."/>
      <w:lvlJc w:val="left"/>
      <w:pPr>
        <w:ind w:left="1440" w:hanging="360"/>
      </w:pPr>
    </w:lvl>
    <w:lvl w:ilvl="2" w:tplc="7E166E12">
      <w:start w:val="1"/>
      <w:numFmt w:val="lowerRoman"/>
      <w:lvlText w:val="%3."/>
      <w:lvlJc w:val="right"/>
      <w:pPr>
        <w:ind w:left="2160" w:hanging="180"/>
      </w:pPr>
    </w:lvl>
    <w:lvl w:ilvl="3" w:tplc="10D641B0">
      <w:start w:val="1"/>
      <w:numFmt w:val="decimal"/>
      <w:lvlText w:val="%4."/>
      <w:lvlJc w:val="left"/>
      <w:pPr>
        <w:ind w:left="2880" w:hanging="360"/>
      </w:pPr>
    </w:lvl>
    <w:lvl w:ilvl="4" w:tplc="51DA6A34">
      <w:start w:val="1"/>
      <w:numFmt w:val="lowerLetter"/>
      <w:lvlText w:val="%5."/>
      <w:lvlJc w:val="left"/>
      <w:pPr>
        <w:ind w:left="3600" w:hanging="360"/>
      </w:pPr>
    </w:lvl>
    <w:lvl w:ilvl="5" w:tplc="B596B25E">
      <w:start w:val="1"/>
      <w:numFmt w:val="lowerRoman"/>
      <w:lvlText w:val="%6."/>
      <w:lvlJc w:val="right"/>
      <w:pPr>
        <w:ind w:left="4320" w:hanging="180"/>
      </w:pPr>
    </w:lvl>
    <w:lvl w:ilvl="6" w:tplc="5E96F650">
      <w:start w:val="1"/>
      <w:numFmt w:val="decimal"/>
      <w:lvlText w:val="%7."/>
      <w:lvlJc w:val="left"/>
      <w:pPr>
        <w:ind w:left="5040" w:hanging="360"/>
      </w:pPr>
    </w:lvl>
    <w:lvl w:ilvl="7" w:tplc="16062A40">
      <w:start w:val="1"/>
      <w:numFmt w:val="lowerLetter"/>
      <w:lvlText w:val="%8."/>
      <w:lvlJc w:val="left"/>
      <w:pPr>
        <w:ind w:left="5760" w:hanging="360"/>
      </w:pPr>
    </w:lvl>
    <w:lvl w:ilvl="8" w:tplc="20CE0466">
      <w:start w:val="1"/>
      <w:numFmt w:val="lowerRoman"/>
      <w:lvlText w:val="%9."/>
      <w:lvlJc w:val="right"/>
      <w:pPr>
        <w:ind w:left="6480" w:hanging="180"/>
      </w:pPr>
    </w:lvl>
  </w:abstractNum>
  <w:abstractNum w:abstractNumId="6" w15:restartNumberingAfterBreak="0">
    <w:nsid w:val="689FB826"/>
    <w:multiLevelType w:val="hybridMultilevel"/>
    <w:tmpl w:val="FFFFFFFF"/>
    <w:lvl w:ilvl="0" w:tplc="916C4F76">
      <w:start w:val="1"/>
      <w:numFmt w:val="bullet"/>
      <w:lvlText w:val="-"/>
      <w:lvlJc w:val="left"/>
      <w:pPr>
        <w:ind w:left="720" w:hanging="360"/>
      </w:pPr>
      <w:rPr>
        <w:rFonts w:ascii="&quot;Times New Roman&quot;,serif" w:hAnsi="&quot;Times New Roman&quot;,serif" w:hint="default"/>
      </w:rPr>
    </w:lvl>
    <w:lvl w:ilvl="1" w:tplc="F2CE8F50">
      <w:start w:val="1"/>
      <w:numFmt w:val="bullet"/>
      <w:lvlText w:val="o"/>
      <w:lvlJc w:val="left"/>
      <w:pPr>
        <w:ind w:left="1440" w:hanging="360"/>
      </w:pPr>
      <w:rPr>
        <w:rFonts w:ascii="Courier New" w:hAnsi="Courier New" w:hint="default"/>
      </w:rPr>
    </w:lvl>
    <w:lvl w:ilvl="2" w:tplc="8D26795A">
      <w:start w:val="1"/>
      <w:numFmt w:val="bullet"/>
      <w:lvlText w:val=""/>
      <w:lvlJc w:val="left"/>
      <w:pPr>
        <w:ind w:left="2160" w:hanging="360"/>
      </w:pPr>
      <w:rPr>
        <w:rFonts w:ascii="Wingdings" w:hAnsi="Wingdings" w:hint="default"/>
      </w:rPr>
    </w:lvl>
    <w:lvl w:ilvl="3" w:tplc="0BC0341C">
      <w:start w:val="1"/>
      <w:numFmt w:val="bullet"/>
      <w:lvlText w:val=""/>
      <w:lvlJc w:val="left"/>
      <w:pPr>
        <w:ind w:left="2880" w:hanging="360"/>
      </w:pPr>
      <w:rPr>
        <w:rFonts w:ascii="Symbol" w:hAnsi="Symbol" w:hint="default"/>
      </w:rPr>
    </w:lvl>
    <w:lvl w:ilvl="4" w:tplc="6E14842C">
      <w:start w:val="1"/>
      <w:numFmt w:val="bullet"/>
      <w:lvlText w:val="o"/>
      <w:lvlJc w:val="left"/>
      <w:pPr>
        <w:ind w:left="3600" w:hanging="360"/>
      </w:pPr>
      <w:rPr>
        <w:rFonts w:ascii="Courier New" w:hAnsi="Courier New" w:hint="default"/>
      </w:rPr>
    </w:lvl>
    <w:lvl w:ilvl="5" w:tplc="33E2C490">
      <w:start w:val="1"/>
      <w:numFmt w:val="bullet"/>
      <w:lvlText w:val=""/>
      <w:lvlJc w:val="left"/>
      <w:pPr>
        <w:ind w:left="4320" w:hanging="360"/>
      </w:pPr>
      <w:rPr>
        <w:rFonts w:ascii="Wingdings" w:hAnsi="Wingdings" w:hint="default"/>
      </w:rPr>
    </w:lvl>
    <w:lvl w:ilvl="6" w:tplc="3E72EE86">
      <w:start w:val="1"/>
      <w:numFmt w:val="bullet"/>
      <w:lvlText w:val=""/>
      <w:lvlJc w:val="left"/>
      <w:pPr>
        <w:ind w:left="5040" w:hanging="360"/>
      </w:pPr>
      <w:rPr>
        <w:rFonts w:ascii="Symbol" w:hAnsi="Symbol" w:hint="default"/>
      </w:rPr>
    </w:lvl>
    <w:lvl w:ilvl="7" w:tplc="30384C72">
      <w:start w:val="1"/>
      <w:numFmt w:val="bullet"/>
      <w:lvlText w:val="o"/>
      <w:lvlJc w:val="left"/>
      <w:pPr>
        <w:ind w:left="5760" w:hanging="360"/>
      </w:pPr>
      <w:rPr>
        <w:rFonts w:ascii="Courier New" w:hAnsi="Courier New" w:hint="default"/>
      </w:rPr>
    </w:lvl>
    <w:lvl w:ilvl="8" w:tplc="36A0FE26">
      <w:start w:val="1"/>
      <w:numFmt w:val="bullet"/>
      <w:lvlText w:val=""/>
      <w:lvlJc w:val="left"/>
      <w:pPr>
        <w:ind w:left="6480" w:hanging="360"/>
      </w:pPr>
      <w:rPr>
        <w:rFonts w:ascii="Wingdings" w:hAnsi="Wingdings" w:hint="default"/>
      </w:rPr>
    </w:lvl>
  </w:abstractNum>
  <w:abstractNum w:abstractNumId="7" w15:restartNumberingAfterBreak="0">
    <w:nsid w:val="7FC159B3"/>
    <w:multiLevelType w:val="hybridMultilevel"/>
    <w:tmpl w:val="01102932"/>
    <w:lvl w:ilvl="0" w:tplc="674E8D52">
      <w:start w:val="6"/>
      <w:numFmt w:val="decimal"/>
      <w:lvlText w:val="%1."/>
      <w:lvlJc w:val="left"/>
      <w:pPr>
        <w:ind w:left="1070" w:hanging="360"/>
      </w:pPr>
      <w:rPr>
        <w:rFonts w:hint="default"/>
        <w:b w:val="0"/>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45270715">
    <w:abstractNumId w:val="6"/>
  </w:num>
  <w:num w:numId="2" w16cid:durableId="1371295629">
    <w:abstractNumId w:val="5"/>
  </w:num>
  <w:num w:numId="3" w16cid:durableId="1245528726">
    <w:abstractNumId w:val="3"/>
  </w:num>
  <w:num w:numId="4" w16cid:durableId="164059399">
    <w:abstractNumId w:val="2"/>
  </w:num>
  <w:num w:numId="5" w16cid:durableId="1786731752">
    <w:abstractNumId w:val="7"/>
  </w:num>
  <w:num w:numId="6" w16cid:durableId="1612781493">
    <w:abstractNumId w:val="0"/>
  </w:num>
  <w:num w:numId="7" w16cid:durableId="1525171532">
    <w:abstractNumId w:val="4"/>
  </w:num>
  <w:num w:numId="8" w16cid:durableId="6747656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activeWritingStyle w:appName="MSWord" w:lang="en-IE" w:vendorID="64" w:dllVersion="0" w:nlCheck="1" w:checkStyle="0"/>
  <w:proofState w:spelling="clean" w:grammar="clean"/>
  <w:defaultTabStop w:val="720"/>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C2249"/>
    <w:rsid w:val="000336E7"/>
    <w:rsid w:val="0003639D"/>
    <w:rsid w:val="000370C1"/>
    <w:rsid w:val="00090EA4"/>
    <w:rsid w:val="000B08B4"/>
    <w:rsid w:val="000C11E2"/>
    <w:rsid w:val="000C7025"/>
    <w:rsid w:val="000D77D3"/>
    <w:rsid w:val="001018F4"/>
    <w:rsid w:val="001057C3"/>
    <w:rsid w:val="0011346D"/>
    <w:rsid w:val="00160583"/>
    <w:rsid w:val="001609D9"/>
    <w:rsid w:val="001737C7"/>
    <w:rsid w:val="00180294"/>
    <w:rsid w:val="001941CB"/>
    <w:rsid w:val="001B4290"/>
    <w:rsid w:val="001B6FDE"/>
    <w:rsid w:val="001D2F69"/>
    <w:rsid w:val="001E400B"/>
    <w:rsid w:val="001E5FF3"/>
    <w:rsid w:val="001F1865"/>
    <w:rsid w:val="00200AE2"/>
    <w:rsid w:val="00214362"/>
    <w:rsid w:val="002316A7"/>
    <w:rsid w:val="00234F41"/>
    <w:rsid w:val="00243650"/>
    <w:rsid w:val="00257A70"/>
    <w:rsid w:val="00260316"/>
    <w:rsid w:val="00264C63"/>
    <w:rsid w:val="00265D4A"/>
    <w:rsid w:val="00266BB6"/>
    <w:rsid w:val="002808D9"/>
    <w:rsid w:val="0028138E"/>
    <w:rsid w:val="002A353C"/>
    <w:rsid w:val="002C07D9"/>
    <w:rsid w:val="002C1404"/>
    <w:rsid w:val="002C44FE"/>
    <w:rsid w:val="002C5234"/>
    <w:rsid w:val="002F3022"/>
    <w:rsid w:val="002F7116"/>
    <w:rsid w:val="00313F1F"/>
    <w:rsid w:val="00347F3B"/>
    <w:rsid w:val="00350C8C"/>
    <w:rsid w:val="003711D5"/>
    <w:rsid w:val="003B4210"/>
    <w:rsid w:val="003B45C4"/>
    <w:rsid w:val="003C13EE"/>
    <w:rsid w:val="003E7DFC"/>
    <w:rsid w:val="003F26DE"/>
    <w:rsid w:val="00433034"/>
    <w:rsid w:val="0043C992"/>
    <w:rsid w:val="00445013"/>
    <w:rsid w:val="004832DE"/>
    <w:rsid w:val="00487226"/>
    <w:rsid w:val="00487DDA"/>
    <w:rsid w:val="00498A5B"/>
    <w:rsid w:val="0049D48D"/>
    <w:rsid w:val="004C112C"/>
    <w:rsid w:val="004D0D9E"/>
    <w:rsid w:val="00522E9A"/>
    <w:rsid w:val="00537B45"/>
    <w:rsid w:val="00572E3E"/>
    <w:rsid w:val="005938AD"/>
    <w:rsid w:val="005B429A"/>
    <w:rsid w:val="005C6FC8"/>
    <w:rsid w:val="005E135A"/>
    <w:rsid w:val="005E6E16"/>
    <w:rsid w:val="0060218B"/>
    <w:rsid w:val="00605F82"/>
    <w:rsid w:val="00621E9C"/>
    <w:rsid w:val="0065560D"/>
    <w:rsid w:val="00671C85"/>
    <w:rsid w:val="0067349D"/>
    <w:rsid w:val="00677CBD"/>
    <w:rsid w:val="0068248E"/>
    <w:rsid w:val="006852CB"/>
    <w:rsid w:val="006A5A7A"/>
    <w:rsid w:val="006B62CF"/>
    <w:rsid w:val="006BDE35"/>
    <w:rsid w:val="006D7761"/>
    <w:rsid w:val="006E3585"/>
    <w:rsid w:val="006E73FE"/>
    <w:rsid w:val="00701D8F"/>
    <w:rsid w:val="00714AE5"/>
    <w:rsid w:val="007336D9"/>
    <w:rsid w:val="007541E2"/>
    <w:rsid w:val="0079214C"/>
    <w:rsid w:val="00795618"/>
    <w:rsid w:val="007A4465"/>
    <w:rsid w:val="007C1D00"/>
    <w:rsid w:val="007D19BD"/>
    <w:rsid w:val="007D59E2"/>
    <w:rsid w:val="007E00FD"/>
    <w:rsid w:val="007E7D7A"/>
    <w:rsid w:val="007F0B68"/>
    <w:rsid w:val="007F14DD"/>
    <w:rsid w:val="007F2DC3"/>
    <w:rsid w:val="008158FF"/>
    <w:rsid w:val="00824BCF"/>
    <w:rsid w:val="00825C6F"/>
    <w:rsid w:val="00827740"/>
    <w:rsid w:val="00857EB9"/>
    <w:rsid w:val="00877F9B"/>
    <w:rsid w:val="008A05A4"/>
    <w:rsid w:val="008D03CB"/>
    <w:rsid w:val="009063C1"/>
    <w:rsid w:val="00911AB2"/>
    <w:rsid w:val="00931C32"/>
    <w:rsid w:val="00974577"/>
    <w:rsid w:val="0098272B"/>
    <w:rsid w:val="009874FB"/>
    <w:rsid w:val="009A6C30"/>
    <w:rsid w:val="00A50483"/>
    <w:rsid w:val="00A57E44"/>
    <w:rsid w:val="00A66CC7"/>
    <w:rsid w:val="00A71B45"/>
    <w:rsid w:val="00A75779"/>
    <w:rsid w:val="00A857E0"/>
    <w:rsid w:val="00A87CCE"/>
    <w:rsid w:val="00A93BC7"/>
    <w:rsid w:val="00A94820"/>
    <w:rsid w:val="00AA44B0"/>
    <w:rsid w:val="00AA4A0F"/>
    <w:rsid w:val="00AA772E"/>
    <w:rsid w:val="00AB6AC8"/>
    <w:rsid w:val="00AD6592"/>
    <w:rsid w:val="00AF5A1F"/>
    <w:rsid w:val="00B02BFD"/>
    <w:rsid w:val="00B17E7B"/>
    <w:rsid w:val="00B335DB"/>
    <w:rsid w:val="00B3658A"/>
    <w:rsid w:val="00B55C66"/>
    <w:rsid w:val="00B6384D"/>
    <w:rsid w:val="00B83EB1"/>
    <w:rsid w:val="00B86E1A"/>
    <w:rsid w:val="00B9598A"/>
    <w:rsid w:val="00BA0BDC"/>
    <w:rsid w:val="00BA2AA9"/>
    <w:rsid w:val="00BD6C00"/>
    <w:rsid w:val="00BE4793"/>
    <w:rsid w:val="00BE603F"/>
    <w:rsid w:val="00C06844"/>
    <w:rsid w:val="00C17F4F"/>
    <w:rsid w:val="00C213B7"/>
    <w:rsid w:val="00C225C5"/>
    <w:rsid w:val="00C3247D"/>
    <w:rsid w:val="00C45A99"/>
    <w:rsid w:val="00C53337"/>
    <w:rsid w:val="00C622B1"/>
    <w:rsid w:val="00C802F7"/>
    <w:rsid w:val="00C82CB4"/>
    <w:rsid w:val="00C84951"/>
    <w:rsid w:val="00CA0B40"/>
    <w:rsid w:val="00CD55C8"/>
    <w:rsid w:val="00CF112B"/>
    <w:rsid w:val="00CF17F8"/>
    <w:rsid w:val="00D0172B"/>
    <w:rsid w:val="00D45AA4"/>
    <w:rsid w:val="00D6625B"/>
    <w:rsid w:val="00D708CB"/>
    <w:rsid w:val="00D9145B"/>
    <w:rsid w:val="00D920BD"/>
    <w:rsid w:val="00DB0A49"/>
    <w:rsid w:val="00DE090B"/>
    <w:rsid w:val="00DE4020"/>
    <w:rsid w:val="00DE5B78"/>
    <w:rsid w:val="00DE72D6"/>
    <w:rsid w:val="00DF6C74"/>
    <w:rsid w:val="00DF7AF6"/>
    <w:rsid w:val="00E077AE"/>
    <w:rsid w:val="00E21B21"/>
    <w:rsid w:val="00E31B3A"/>
    <w:rsid w:val="00E33CFA"/>
    <w:rsid w:val="00E374FB"/>
    <w:rsid w:val="00E52C25"/>
    <w:rsid w:val="00E67450"/>
    <w:rsid w:val="00E7623F"/>
    <w:rsid w:val="00E8357D"/>
    <w:rsid w:val="00E9795A"/>
    <w:rsid w:val="00EA5911"/>
    <w:rsid w:val="00EB0DA2"/>
    <w:rsid w:val="00EC10EF"/>
    <w:rsid w:val="00EC2249"/>
    <w:rsid w:val="00F0799F"/>
    <w:rsid w:val="00F2772C"/>
    <w:rsid w:val="00F5701F"/>
    <w:rsid w:val="00F66685"/>
    <w:rsid w:val="00F806E6"/>
    <w:rsid w:val="00F80764"/>
    <w:rsid w:val="00F85A37"/>
    <w:rsid w:val="00F96CAA"/>
    <w:rsid w:val="00FB1DFD"/>
    <w:rsid w:val="00FC71A8"/>
    <w:rsid w:val="00FE3752"/>
    <w:rsid w:val="00FF5D12"/>
    <w:rsid w:val="013AE0EC"/>
    <w:rsid w:val="013E6BA9"/>
    <w:rsid w:val="01D445E4"/>
    <w:rsid w:val="01DD6D36"/>
    <w:rsid w:val="01DFB7EB"/>
    <w:rsid w:val="01E12F8D"/>
    <w:rsid w:val="01E55ABC"/>
    <w:rsid w:val="01E5A4EE"/>
    <w:rsid w:val="02494BE7"/>
    <w:rsid w:val="0266B904"/>
    <w:rsid w:val="02A66E37"/>
    <w:rsid w:val="02C4BBFE"/>
    <w:rsid w:val="02DA3C0A"/>
    <w:rsid w:val="02EBAE71"/>
    <w:rsid w:val="0309E604"/>
    <w:rsid w:val="035B3B5C"/>
    <w:rsid w:val="03793D97"/>
    <w:rsid w:val="03965670"/>
    <w:rsid w:val="03FE34DC"/>
    <w:rsid w:val="0406BB73"/>
    <w:rsid w:val="0419BD32"/>
    <w:rsid w:val="0424B465"/>
    <w:rsid w:val="0444CEFE"/>
    <w:rsid w:val="0465FC31"/>
    <w:rsid w:val="0478E1D1"/>
    <w:rsid w:val="04AAA319"/>
    <w:rsid w:val="04AF4EF7"/>
    <w:rsid w:val="04D070BB"/>
    <w:rsid w:val="04E38A17"/>
    <w:rsid w:val="04FA38B7"/>
    <w:rsid w:val="05EA5842"/>
    <w:rsid w:val="05F82D7D"/>
    <w:rsid w:val="060F6C17"/>
    <w:rsid w:val="0611DCCC"/>
    <w:rsid w:val="06503780"/>
    <w:rsid w:val="065E80CE"/>
    <w:rsid w:val="06A57226"/>
    <w:rsid w:val="06E4D96F"/>
    <w:rsid w:val="0715563F"/>
    <w:rsid w:val="07162E1C"/>
    <w:rsid w:val="0745D248"/>
    <w:rsid w:val="0761F1F8"/>
    <w:rsid w:val="0785B826"/>
    <w:rsid w:val="07922AD6"/>
    <w:rsid w:val="084CAEBA"/>
    <w:rsid w:val="08677D6F"/>
    <w:rsid w:val="0904027C"/>
    <w:rsid w:val="0922977E"/>
    <w:rsid w:val="09A3E23B"/>
    <w:rsid w:val="09FD1D50"/>
    <w:rsid w:val="0A14281A"/>
    <w:rsid w:val="0AC6FA36"/>
    <w:rsid w:val="0AEFC274"/>
    <w:rsid w:val="0B3FB29C"/>
    <w:rsid w:val="0BAA9654"/>
    <w:rsid w:val="0BB4E059"/>
    <w:rsid w:val="0BE40342"/>
    <w:rsid w:val="0BF1EAA1"/>
    <w:rsid w:val="0C680F01"/>
    <w:rsid w:val="0C75B420"/>
    <w:rsid w:val="0C79685A"/>
    <w:rsid w:val="0C7CF9AD"/>
    <w:rsid w:val="0CA68764"/>
    <w:rsid w:val="0CA716D1"/>
    <w:rsid w:val="0D04DF7A"/>
    <w:rsid w:val="0D275784"/>
    <w:rsid w:val="0D59D24B"/>
    <w:rsid w:val="0D7CF685"/>
    <w:rsid w:val="0DA56CFB"/>
    <w:rsid w:val="0E4C370B"/>
    <w:rsid w:val="0E7958B7"/>
    <w:rsid w:val="0E82FCE9"/>
    <w:rsid w:val="0E9810F5"/>
    <w:rsid w:val="0EBD9696"/>
    <w:rsid w:val="0F8C82AF"/>
    <w:rsid w:val="0FAD7BDF"/>
    <w:rsid w:val="0FDDE9F8"/>
    <w:rsid w:val="0FEA77C3"/>
    <w:rsid w:val="10332C22"/>
    <w:rsid w:val="1039BAA8"/>
    <w:rsid w:val="103CEB06"/>
    <w:rsid w:val="105966F7"/>
    <w:rsid w:val="105CD97D"/>
    <w:rsid w:val="105FAE25"/>
    <w:rsid w:val="1076596F"/>
    <w:rsid w:val="10BB7391"/>
    <w:rsid w:val="10DA8B40"/>
    <w:rsid w:val="110B538E"/>
    <w:rsid w:val="110BAC0F"/>
    <w:rsid w:val="11210FEE"/>
    <w:rsid w:val="118FDEEB"/>
    <w:rsid w:val="119A7C89"/>
    <w:rsid w:val="11A57A2D"/>
    <w:rsid w:val="11B9774E"/>
    <w:rsid w:val="11EB99D0"/>
    <w:rsid w:val="11FE2AC9"/>
    <w:rsid w:val="12599BAC"/>
    <w:rsid w:val="12679AD5"/>
    <w:rsid w:val="12894712"/>
    <w:rsid w:val="1290D411"/>
    <w:rsid w:val="12ADB0E7"/>
    <w:rsid w:val="12D9F196"/>
    <w:rsid w:val="1303875D"/>
    <w:rsid w:val="1383F52E"/>
    <w:rsid w:val="13974EE7"/>
    <w:rsid w:val="140F9DE1"/>
    <w:rsid w:val="14122C02"/>
    <w:rsid w:val="141290D0"/>
    <w:rsid w:val="142D883B"/>
    <w:rsid w:val="145659DD"/>
    <w:rsid w:val="145F55D9"/>
    <w:rsid w:val="14D2E2DE"/>
    <w:rsid w:val="14D86BD5"/>
    <w:rsid w:val="15402E32"/>
    <w:rsid w:val="15902733"/>
    <w:rsid w:val="1595FF36"/>
    <w:rsid w:val="159674C5"/>
    <w:rsid w:val="15A0274B"/>
    <w:rsid w:val="15ADFC63"/>
    <w:rsid w:val="15BABEB3"/>
    <w:rsid w:val="15BB7894"/>
    <w:rsid w:val="15D193E9"/>
    <w:rsid w:val="1616B043"/>
    <w:rsid w:val="163EE3A4"/>
    <w:rsid w:val="167ECDDF"/>
    <w:rsid w:val="16F55480"/>
    <w:rsid w:val="16F76100"/>
    <w:rsid w:val="17156926"/>
    <w:rsid w:val="173BDDB8"/>
    <w:rsid w:val="1796AF2F"/>
    <w:rsid w:val="1798CE14"/>
    <w:rsid w:val="17A74E34"/>
    <w:rsid w:val="181DB5E2"/>
    <w:rsid w:val="184D50B5"/>
    <w:rsid w:val="18548FBB"/>
    <w:rsid w:val="18F31956"/>
    <w:rsid w:val="1947A530"/>
    <w:rsid w:val="19A5E992"/>
    <w:rsid w:val="19A6EB79"/>
    <w:rsid w:val="19BD89BE"/>
    <w:rsid w:val="1A06906B"/>
    <w:rsid w:val="1A56DA11"/>
    <w:rsid w:val="1A816D86"/>
    <w:rsid w:val="1A8C08E2"/>
    <w:rsid w:val="1A9BC125"/>
    <w:rsid w:val="1AC2462E"/>
    <w:rsid w:val="1ADB6A38"/>
    <w:rsid w:val="1C553831"/>
    <w:rsid w:val="1CC88A43"/>
    <w:rsid w:val="1CD45785"/>
    <w:rsid w:val="1CDAB5BF"/>
    <w:rsid w:val="1D05CFA3"/>
    <w:rsid w:val="1D71DCB0"/>
    <w:rsid w:val="1D86C871"/>
    <w:rsid w:val="1DAFA5B4"/>
    <w:rsid w:val="1DF704CA"/>
    <w:rsid w:val="1E012910"/>
    <w:rsid w:val="1E1A8D65"/>
    <w:rsid w:val="1E2A4C2C"/>
    <w:rsid w:val="1E44D953"/>
    <w:rsid w:val="1E4B6898"/>
    <w:rsid w:val="1E689576"/>
    <w:rsid w:val="1E775069"/>
    <w:rsid w:val="1E7FF856"/>
    <w:rsid w:val="1EB702DA"/>
    <w:rsid w:val="1ED470E2"/>
    <w:rsid w:val="1F1BC5C4"/>
    <w:rsid w:val="1F256432"/>
    <w:rsid w:val="1F3BA536"/>
    <w:rsid w:val="1F64B9F6"/>
    <w:rsid w:val="1F7589B2"/>
    <w:rsid w:val="2048A19C"/>
    <w:rsid w:val="204B2419"/>
    <w:rsid w:val="2052D33B"/>
    <w:rsid w:val="20971A5B"/>
    <w:rsid w:val="20BAA939"/>
    <w:rsid w:val="2151C270"/>
    <w:rsid w:val="2177F6EC"/>
    <w:rsid w:val="22087F1A"/>
    <w:rsid w:val="22326B9B"/>
    <w:rsid w:val="223EDED0"/>
    <w:rsid w:val="22454DD3"/>
    <w:rsid w:val="224E1E9F"/>
    <w:rsid w:val="22B32477"/>
    <w:rsid w:val="230597CC"/>
    <w:rsid w:val="23097F10"/>
    <w:rsid w:val="2353290E"/>
    <w:rsid w:val="23797513"/>
    <w:rsid w:val="23F0E3A5"/>
    <w:rsid w:val="2404232F"/>
    <w:rsid w:val="243C9D54"/>
    <w:rsid w:val="2456F255"/>
    <w:rsid w:val="24621A9E"/>
    <w:rsid w:val="24896332"/>
    <w:rsid w:val="248B5059"/>
    <w:rsid w:val="24BC9442"/>
    <w:rsid w:val="24CAA7EB"/>
    <w:rsid w:val="24E39C7A"/>
    <w:rsid w:val="2513A64A"/>
    <w:rsid w:val="258B83A7"/>
    <w:rsid w:val="25D01BDE"/>
    <w:rsid w:val="25E2C28E"/>
    <w:rsid w:val="26618037"/>
    <w:rsid w:val="2686F3C8"/>
    <w:rsid w:val="26CC74D3"/>
    <w:rsid w:val="26E6B9CB"/>
    <w:rsid w:val="2716EDAD"/>
    <w:rsid w:val="2718BEF6"/>
    <w:rsid w:val="272C34AF"/>
    <w:rsid w:val="275945DB"/>
    <w:rsid w:val="277A49BD"/>
    <w:rsid w:val="27A218A6"/>
    <w:rsid w:val="27AC5450"/>
    <w:rsid w:val="27C3ED88"/>
    <w:rsid w:val="280248AD"/>
    <w:rsid w:val="284B470C"/>
    <w:rsid w:val="28525830"/>
    <w:rsid w:val="2888E6A1"/>
    <w:rsid w:val="288C200E"/>
    <w:rsid w:val="28B48F57"/>
    <w:rsid w:val="28F3D042"/>
    <w:rsid w:val="29112AA6"/>
    <w:rsid w:val="29519A63"/>
    <w:rsid w:val="29726F75"/>
    <w:rsid w:val="29F29B33"/>
    <w:rsid w:val="2A361900"/>
    <w:rsid w:val="2A44CE55"/>
    <w:rsid w:val="2A91DC01"/>
    <w:rsid w:val="2AE5C952"/>
    <w:rsid w:val="2AE7EE98"/>
    <w:rsid w:val="2B836C8D"/>
    <w:rsid w:val="2C9C033A"/>
    <w:rsid w:val="2C9D839C"/>
    <w:rsid w:val="2CD55D33"/>
    <w:rsid w:val="2D55B8CC"/>
    <w:rsid w:val="2D7FD1A3"/>
    <w:rsid w:val="2DAC2377"/>
    <w:rsid w:val="2DD4E655"/>
    <w:rsid w:val="2E262DBC"/>
    <w:rsid w:val="2E509B0B"/>
    <w:rsid w:val="2EB9C0BE"/>
    <w:rsid w:val="2F26FAA0"/>
    <w:rsid w:val="2F9537E2"/>
    <w:rsid w:val="2F9935B4"/>
    <w:rsid w:val="2FB2935D"/>
    <w:rsid w:val="2FC0E997"/>
    <w:rsid w:val="2FC34BD8"/>
    <w:rsid w:val="2FF17F43"/>
    <w:rsid w:val="309E130C"/>
    <w:rsid w:val="309F56BA"/>
    <w:rsid w:val="3138091C"/>
    <w:rsid w:val="31C6F8C8"/>
    <w:rsid w:val="32370E96"/>
    <w:rsid w:val="32530794"/>
    <w:rsid w:val="32BD1CA8"/>
    <w:rsid w:val="32F125D9"/>
    <w:rsid w:val="333A71EB"/>
    <w:rsid w:val="3354C78D"/>
    <w:rsid w:val="335A1535"/>
    <w:rsid w:val="335CF22B"/>
    <w:rsid w:val="33618848"/>
    <w:rsid w:val="343B0E60"/>
    <w:rsid w:val="3444B630"/>
    <w:rsid w:val="3458ED09"/>
    <w:rsid w:val="345C6F23"/>
    <w:rsid w:val="34A0388E"/>
    <w:rsid w:val="34B24874"/>
    <w:rsid w:val="34C450E8"/>
    <w:rsid w:val="34E8B93B"/>
    <w:rsid w:val="357C3DA5"/>
    <w:rsid w:val="35B1697F"/>
    <w:rsid w:val="35F689C6"/>
    <w:rsid w:val="360DB258"/>
    <w:rsid w:val="3620D915"/>
    <w:rsid w:val="3628C69B"/>
    <w:rsid w:val="3630BF65"/>
    <w:rsid w:val="36329550"/>
    <w:rsid w:val="3684899C"/>
    <w:rsid w:val="375736AC"/>
    <w:rsid w:val="3759DA62"/>
    <w:rsid w:val="375B6C0F"/>
    <w:rsid w:val="3765CAC5"/>
    <w:rsid w:val="37CDA40F"/>
    <w:rsid w:val="381B84D7"/>
    <w:rsid w:val="3821DFBC"/>
    <w:rsid w:val="386B0A6A"/>
    <w:rsid w:val="38AB8981"/>
    <w:rsid w:val="38FB720A"/>
    <w:rsid w:val="393F566D"/>
    <w:rsid w:val="3951EE12"/>
    <w:rsid w:val="39B332E1"/>
    <w:rsid w:val="39B75538"/>
    <w:rsid w:val="3A1F7E5A"/>
    <w:rsid w:val="3A452C4E"/>
    <w:rsid w:val="3A6E7108"/>
    <w:rsid w:val="3A76AB14"/>
    <w:rsid w:val="3A829CD0"/>
    <w:rsid w:val="3A84F2A5"/>
    <w:rsid w:val="3A858703"/>
    <w:rsid w:val="3A9012BA"/>
    <w:rsid w:val="3A9D2D50"/>
    <w:rsid w:val="3AC2C657"/>
    <w:rsid w:val="3B21E08E"/>
    <w:rsid w:val="3B3426CC"/>
    <w:rsid w:val="3BB31265"/>
    <w:rsid w:val="3C2AA7CF"/>
    <w:rsid w:val="3C7228A8"/>
    <w:rsid w:val="3C9E464D"/>
    <w:rsid w:val="3D0FF6D2"/>
    <w:rsid w:val="3E207EC7"/>
    <w:rsid w:val="3E2CC804"/>
    <w:rsid w:val="3E91330B"/>
    <w:rsid w:val="3EAC4B84"/>
    <w:rsid w:val="3EDECD12"/>
    <w:rsid w:val="3F04A19E"/>
    <w:rsid w:val="3F1E6A46"/>
    <w:rsid w:val="3F2103D8"/>
    <w:rsid w:val="3F28F1E0"/>
    <w:rsid w:val="3F3E3A05"/>
    <w:rsid w:val="3F645DFE"/>
    <w:rsid w:val="3FD57785"/>
    <w:rsid w:val="4010298B"/>
    <w:rsid w:val="404B81C6"/>
    <w:rsid w:val="4094CF28"/>
    <w:rsid w:val="40C48A2F"/>
    <w:rsid w:val="40E7EA50"/>
    <w:rsid w:val="40EE3118"/>
    <w:rsid w:val="40F9F09B"/>
    <w:rsid w:val="412A9867"/>
    <w:rsid w:val="418234B9"/>
    <w:rsid w:val="42390ABD"/>
    <w:rsid w:val="42B03F9A"/>
    <w:rsid w:val="42D8874E"/>
    <w:rsid w:val="42FF262F"/>
    <w:rsid w:val="431E3AAE"/>
    <w:rsid w:val="433A3EA3"/>
    <w:rsid w:val="4374D251"/>
    <w:rsid w:val="43810F13"/>
    <w:rsid w:val="444E1581"/>
    <w:rsid w:val="444EE6CF"/>
    <w:rsid w:val="44623929"/>
    <w:rsid w:val="44BF35F4"/>
    <w:rsid w:val="45371F7C"/>
    <w:rsid w:val="453EDF03"/>
    <w:rsid w:val="45F55FEC"/>
    <w:rsid w:val="462B8B89"/>
    <w:rsid w:val="4644B909"/>
    <w:rsid w:val="46581DAE"/>
    <w:rsid w:val="46AC7313"/>
    <w:rsid w:val="46ECAB22"/>
    <w:rsid w:val="471075D0"/>
    <w:rsid w:val="471984FB"/>
    <w:rsid w:val="473BD9A6"/>
    <w:rsid w:val="4775810C"/>
    <w:rsid w:val="482EC743"/>
    <w:rsid w:val="48484374"/>
    <w:rsid w:val="4857209D"/>
    <w:rsid w:val="48688054"/>
    <w:rsid w:val="4949147C"/>
    <w:rsid w:val="4968BF82"/>
    <w:rsid w:val="4A01280B"/>
    <w:rsid w:val="4A0450B5"/>
    <w:rsid w:val="4A30DCB3"/>
    <w:rsid w:val="4A6A4E1A"/>
    <w:rsid w:val="4A6C2180"/>
    <w:rsid w:val="4AC5B611"/>
    <w:rsid w:val="4AD057AA"/>
    <w:rsid w:val="4AD17AAD"/>
    <w:rsid w:val="4AD67064"/>
    <w:rsid w:val="4AF90071"/>
    <w:rsid w:val="4B144A9C"/>
    <w:rsid w:val="4B1E0054"/>
    <w:rsid w:val="4B8A22DD"/>
    <w:rsid w:val="4C26D47D"/>
    <w:rsid w:val="4CE18675"/>
    <w:rsid w:val="4D081AF5"/>
    <w:rsid w:val="4D3E0EC7"/>
    <w:rsid w:val="4D610E01"/>
    <w:rsid w:val="4D88C67F"/>
    <w:rsid w:val="4DA1EEDC"/>
    <w:rsid w:val="4E1F3559"/>
    <w:rsid w:val="4E2D94EE"/>
    <w:rsid w:val="4E3C7069"/>
    <w:rsid w:val="4E51ABE0"/>
    <w:rsid w:val="4ED4992E"/>
    <w:rsid w:val="4F2E289B"/>
    <w:rsid w:val="4F571A23"/>
    <w:rsid w:val="4FBE5092"/>
    <w:rsid w:val="4FD6A758"/>
    <w:rsid w:val="4FEAD79A"/>
    <w:rsid w:val="50492228"/>
    <w:rsid w:val="5052D778"/>
    <w:rsid w:val="509CC21A"/>
    <w:rsid w:val="50EE0EFC"/>
    <w:rsid w:val="517DDA85"/>
    <w:rsid w:val="5196DDA9"/>
    <w:rsid w:val="51A69309"/>
    <w:rsid w:val="51BF0249"/>
    <w:rsid w:val="51F52224"/>
    <w:rsid w:val="52052518"/>
    <w:rsid w:val="5215A594"/>
    <w:rsid w:val="5248ACDC"/>
    <w:rsid w:val="5270E00E"/>
    <w:rsid w:val="52A4808E"/>
    <w:rsid w:val="52B8D51D"/>
    <w:rsid w:val="53768E03"/>
    <w:rsid w:val="5453CB04"/>
    <w:rsid w:val="54715EEC"/>
    <w:rsid w:val="551C7B48"/>
    <w:rsid w:val="5552C3D9"/>
    <w:rsid w:val="55AD00C1"/>
    <w:rsid w:val="5627DDDC"/>
    <w:rsid w:val="56320F7B"/>
    <w:rsid w:val="5633172D"/>
    <w:rsid w:val="5669147C"/>
    <w:rsid w:val="56D9C6FC"/>
    <w:rsid w:val="56DB9496"/>
    <w:rsid w:val="56E894B8"/>
    <w:rsid w:val="56EB4201"/>
    <w:rsid w:val="5770AB32"/>
    <w:rsid w:val="57C71A90"/>
    <w:rsid w:val="57D731EF"/>
    <w:rsid w:val="580B83F8"/>
    <w:rsid w:val="5812FA68"/>
    <w:rsid w:val="5838B90A"/>
    <w:rsid w:val="58846519"/>
    <w:rsid w:val="588CE7D0"/>
    <w:rsid w:val="588FB03B"/>
    <w:rsid w:val="59A8805A"/>
    <w:rsid w:val="59DD2467"/>
    <w:rsid w:val="5A0C392B"/>
    <w:rsid w:val="5A4E6B5C"/>
    <w:rsid w:val="5A6F7853"/>
    <w:rsid w:val="5B2A25AA"/>
    <w:rsid w:val="5B5474DF"/>
    <w:rsid w:val="5B594D8B"/>
    <w:rsid w:val="5B73E1F6"/>
    <w:rsid w:val="5B81AA06"/>
    <w:rsid w:val="5B873F98"/>
    <w:rsid w:val="5BABE3D1"/>
    <w:rsid w:val="5C046FD3"/>
    <w:rsid w:val="5CD175D7"/>
    <w:rsid w:val="5CF04540"/>
    <w:rsid w:val="5D191279"/>
    <w:rsid w:val="5D2FC7FD"/>
    <w:rsid w:val="5D46A0EA"/>
    <w:rsid w:val="5D8D852E"/>
    <w:rsid w:val="5D9EEA49"/>
    <w:rsid w:val="5DA4B8ED"/>
    <w:rsid w:val="5DB016CF"/>
    <w:rsid w:val="5DD19F35"/>
    <w:rsid w:val="5DDF6946"/>
    <w:rsid w:val="5DE802A1"/>
    <w:rsid w:val="5DF9BC0F"/>
    <w:rsid w:val="5EBFBD17"/>
    <w:rsid w:val="5F0E0787"/>
    <w:rsid w:val="5F1562A5"/>
    <w:rsid w:val="5F15F480"/>
    <w:rsid w:val="5F7CF35B"/>
    <w:rsid w:val="5FC2F294"/>
    <w:rsid w:val="5FCB1D39"/>
    <w:rsid w:val="5FCDE374"/>
    <w:rsid w:val="5FE2C77D"/>
    <w:rsid w:val="60227BDF"/>
    <w:rsid w:val="60269017"/>
    <w:rsid w:val="6043BACB"/>
    <w:rsid w:val="6049A083"/>
    <w:rsid w:val="60B52EA8"/>
    <w:rsid w:val="60D04816"/>
    <w:rsid w:val="6131966D"/>
    <w:rsid w:val="616127EF"/>
    <w:rsid w:val="619577B7"/>
    <w:rsid w:val="619710C2"/>
    <w:rsid w:val="61B125A1"/>
    <w:rsid w:val="61E1B363"/>
    <w:rsid w:val="622179F0"/>
    <w:rsid w:val="62428427"/>
    <w:rsid w:val="628D2F48"/>
    <w:rsid w:val="62BEABAC"/>
    <w:rsid w:val="62E69824"/>
    <w:rsid w:val="63922BEF"/>
    <w:rsid w:val="639D3BBA"/>
    <w:rsid w:val="640C05E9"/>
    <w:rsid w:val="6413FA71"/>
    <w:rsid w:val="6451F41C"/>
    <w:rsid w:val="646D072E"/>
    <w:rsid w:val="649B0213"/>
    <w:rsid w:val="64B85C45"/>
    <w:rsid w:val="6506A36D"/>
    <w:rsid w:val="650FC355"/>
    <w:rsid w:val="6517C6A6"/>
    <w:rsid w:val="653DAA98"/>
    <w:rsid w:val="654BF7D8"/>
    <w:rsid w:val="65834D08"/>
    <w:rsid w:val="658D94D2"/>
    <w:rsid w:val="65F44FA7"/>
    <w:rsid w:val="660FF86B"/>
    <w:rsid w:val="662FC4E3"/>
    <w:rsid w:val="66349912"/>
    <w:rsid w:val="66505BFF"/>
    <w:rsid w:val="66B44710"/>
    <w:rsid w:val="66D918F0"/>
    <w:rsid w:val="673272D6"/>
    <w:rsid w:val="677C9114"/>
    <w:rsid w:val="67C46542"/>
    <w:rsid w:val="6851B66C"/>
    <w:rsid w:val="68A71830"/>
    <w:rsid w:val="6917E534"/>
    <w:rsid w:val="696C39D4"/>
    <w:rsid w:val="69BC3786"/>
    <w:rsid w:val="6A1D30E7"/>
    <w:rsid w:val="6A21B232"/>
    <w:rsid w:val="6AABC01B"/>
    <w:rsid w:val="6B72F021"/>
    <w:rsid w:val="6BBF51FC"/>
    <w:rsid w:val="6BE9A001"/>
    <w:rsid w:val="6BEF0970"/>
    <w:rsid w:val="6C05E3F9"/>
    <w:rsid w:val="6C1E44B5"/>
    <w:rsid w:val="6C795D2D"/>
    <w:rsid w:val="6C8840B6"/>
    <w:rsid w:val="6D1DE2D2"/>
    <w:rsid w:val="6D22FA9D"/>
    <w:rsid w:val="6D23F1B0"/>
    <w:rsid w:val="6D406AE0"/>
    <w:rsid w:val="6D6061AD"/>
    <w:rsid w:val="6DA1B45A"/>
    <w:rsid w:val="6DB50E13"/>
    <w:rsid w:val="6DB5A85C"/>
    <w:rsid w:val="6DCBCB4F"/>
    <w:rsid w:val="6EA0BFE5"/>
    <w:rsid w:val="6EAA26F1"/>
    <w:rsid w:val="6F073E45"/>
    <w:rsid w:val="6F457241"/>
    <w:rsid w:val="6F859EBA"/>
    <w:rsid w:val="6FDFAB55"/>
    <w:rsid w:val="6FF6DD2C"/>
    <w:rsid w:val="6FFE0D8A"/>
    <w:rsid w:val="7003C08C"/>
    <w:rsid w:val="702B790A"/>
    <w:rsid w:val="709C7A7B"/>
    <w:rsid w:val="70DA3D49"/>
    <w:rsid w:val="70E142A2"/>
    <w:rsid w:val="70ECAED5"/>
    <w:rsid w:val="7104D466"/>
    <w:rsid w:val="7122EB5B"/>
    <w:rsid w:val="71718F78"/>
    <w:rsid w:val="71AF0CE8"/>
    <w:rsid w:val="71E97DA9"/>
    <w:rsid w:val="71F92DDA"/>
    <w:rsid w:val="7214E0FE"/>
    <w:rsid w:val="72461198"/>
    <w:rsid w:val="727D1303"/>
    <w:rsid w:val="727F01A4"/>
    <w:rsid w:val="72D7A182"/>
    <w:rsid w:val="72DFF391"/>
    <w:rsid w:val="7332BCC3"/>
    <w:rsid w:val="736319CC"/>
    <w:rsid w:val="7380D2AA"/>
    <w:rsid w:val="738722B7"/>
    <w:rsid w:val="73D5B876"/>
    <w:rsid w:val="73DF7FA3"/>
    <w:rsid w:val="73F051F9"/>
    <w:rsid w:val="7418E364"/>
    <w:rsid w:val="742F8FBC"/>
    <w:rsid w:val="749F8553"/>
    <w:rsid w:val="74FEEA2D"/>
    <w:rsid w:val="751CA21E"/>
    <w:rsid w:val="75515E65"/>
    <w:rsid w:val="759F22D0"/>
    <w:rsid w:val="76471F00"/>
    <w:rsid w:val="76D11E5C"/>
    <w:rsid w:val="76DE3C77"/>
    <w:rsid w:val="76E999B5"/>
    <w:rsid w:val="77496F4A"/>
    <w:rsid w:val="77508426"/>
    <w:rsid w:val="775EA4DA"/>
    <w:rsid w:val="778E294B"/>
    <w:rsid w:val="77DD6371"/>
    <w:rsid w:val="77E13D77"/>
    <w:rsid w:val="7816FCD9"/>
    <w:rsid w:val="78238B4D"/>
    <w:rsid w:val="782A28DC"/>
    <w:rsid w:val="78368AEF"/>
    <w:rsid w:val="78CA9067"/>
    <w:rsid w:val="78F62356"/>
    <w:rsid w:val="79641B5E"/>
    <w:rsid w:val="79C1F05D"/>
    <w:rsid w:val="7A25B94F"/>
    <w:rsid w:val="7A34DAEB"/>
    <w:rsid w:val="7A369449"/>
    <w:rsid w:val="7A3EA2C7"/>
    <w:rsid w:val="7AA08895"/>
    <w:rsid w:val="7ACED647"/>
    <w:rsid w:val="7AD82AA8"/>
    <w:rsid w:val="7B4A673E"/>
    <w:rsid w:val="7B70FD51"/>
    <w:rsid w:val="7BBF82C1"/>
    <w:rsid w:val="7BC02D42"/>
    <w:rsid w:val="7C1350DD"/>
    <w:rsid w:val="7C6238D6"/>
    <w:rsid w:val="7C74C2F6"/>
    <w:rsid w:val="7CBE8C1F"/>
    <w:rsid w:val="7CE957D6"/>
    <w:rsid w:val="7D4B7A18"/>
    <w:rsid w:val="7D7D63FD"/>
    <w:rsid w:val="7DB6E073"/>
    <w:rsid w:val="7E0935AF"/>
    <w:rsid w:val="7E365CDD"/>
    <w:rsid w:val="7E3B1295"/>
    <w:rsid w:val="7E480FE0"/>
    <w:rsid w:val="7E5B78AF"/>
    <w:rsid w:val="7E7EDB83"/>
    <w:rsid w:val="7EBFBB7D"/>
    <w:rsid w:val="7EDF0406"/>
    <w:rsid w:val="7EEE0C78"/>
    <w:rsid w:val="7F06C5D4"/>
    <w:rsid w:val="7F0B3399"/>
    <w:rsid w:val="7FD22D3E"/>
    <w:rsid w:val="7FDBDDD3"/>
    <w:rsid w:val="7FF1776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99F3EE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C32"/>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931C32"/>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7F0B6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7F0B68"/>
    <w:rPr>
      <w:rFonts w:eastAsiaTheme="minorEastAsia"/>
      <w:sz w:val="18"/>
      <w:szCs w:val="18"/>
      <w:lang w:val="nl-NL"/>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931C32"/>
    <w:rPr>
      <w:rFonts w:asciiTheme="minorHAnsi" w:hAnsiTheme="minorHAnsi"/>
      <w:sz w:val="22"/>
      <w:szCs w:val="18"/>
      <w:vertAlign w:val="superscript"/>
    </w:rPr>
  </w:style>
  <w:style w:type="character" w:styleId="Hyperlink">
    <w:name w:val="Hyperlink"/>
    <w:basedOn w:val="DefaultParagraphFont"/>
    <w:uiPriority w:val="99"/>
    <w:rsid w:val="00931C32"/>
    <w:rPr>
      <w:color w:val="0563C1" w:themeColor="hyperlink"/>
      <w:u w:val="single"/>
    </w:rPr>
  </w:style>
  <w:style w:type="paragraph" w:customStyle="1" w:styleId="Default">
    <w:name w:val="Default"/>
    <w:rsid w:val="00931C32"/>
    <w:pPr>
      <w:autoSpaceDE w:val="0"/>
      <w:autoSpaceDN w:val="0"/>
      <w:adjustRightInd w:val="0"/>
      <w:spacing w:after="0" w:line="240" w:lineRule="auto"/>
    </w:pPr>
    <w:rPr>
      <w:rFonts w:ascii="Calibri" w:hAnsi="Calibri" w:cs="Calibri"/>
      <w:color w:val="000000"/>
      <w:sz w:val="24"/>
      <w:szCs w:val="24"/>
    </w:rPr>
  </w:style>
  <w:style w:type="paragraph" w:customStyle="1" w:styleId="Applicationdirecte">
    <w:name w:val="Application directe"/>
    <w:basedOn w:val="Normal"/>
    <w:next w:val="Fait"/>
    <w:rsid w:val="00931C32"/>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931C32"/>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931C32"/>
    <w:pPr>
      <w:ind w:left="720"/>
    </w:pPr>
    <w:rPr>
      <w:rFonts w:ascii="Calibri" w:eastAsia="Calibri" w:hAnsi="Calibri" w:cs="Times New Roman"/>
      <w:szCs w:val="22"/>
    </w:rPr>
  </w:style>
  <w:style w:type="paragraph" w:styleId="Header">
    <w:name w:val="header"/>
    <w:basedOn w:val="Normal"/>
    <w:link w:val="HeaderChar"/>
    <w:uiPriority w:val="99"/>
    <w:unhideWhenUsed/>
    <w:rsid w:val="001E400B"/>
    <w:pPr>
      <w:tabs>
        <w:tab w:val="center" w:pos="4513"/>
        <w:tab w:val="right" w:pos="9026"/>
      </w:tabs>
    </w:pPr>
  </w:style>
  <w:style w:type="character" w:customStyle="1" w:styleId="HeaderChar">
    <w:name w:val="Header Char"/>
    <w:basedOn w:val="DefaultParagraphFont"/>
    <w:link w:val="Header"/>
    <w:uiPriority w:val="99"/>
    <w:rsid w:val="001E400B"/>
    <w:rPr>
      <w:rFonts w:eastAsiaTheme="minorEastAsia"/>
      <w:szCs w:val="24"/>
    </w:rPr>
  </w:style>
  <w:style w:type="paragraph" w:styleId="Footer">
    <w:name w:val="footer"/>
    <w:basedOn w:val="Normal"/>
    <w:link w:val="FooterChar"/>
    <w:uiPriority w:val="99"/>
    <w:unhideWhenUsed/>
    <w:rsid w:val="001E400B"/>
    <w:pPr>
      <w:tabs>
        <w:tab w:val="center" w:pos="4513"/>
        <w:tab w:val="right" w:pos="9026"/>
      </w:tabs>
    </w:pPr>
  </w:style>
  <w:style w:type="character" w:customStyle="1" w:styleId="FooterChar">
    <w:name w:val="Footer Char"/>
    <w:basedOn w:val="DefaultParagraphFont"/>
    <w:link w:val="Footer"/>
    <w:uiPriority w:val="99"/>
    <w:rsid w:val="001E400B"/>
    <w:rPr>
      <w:rFonts w:eastAsiaTheme="minorEastAsia"/>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B83EB1"/>
    <w:pPr>
      <w:spacing w:after="0" w:line="240" w:lineRule="auto"/>
    </w:pPr>
    <w:rPr>
      <w:rFonts w:eastAsiaTheme="minorEastAsia"/>
      <w:szCs w:val="24"/>
    </w:rPr>
  </w:style>
  <w:style w:type="character" w:styleId="CommentReference">
    <w:name w:val="annotation reference"/>
    <w:basedOn w:val="DefaultParagraphFont"/>
    <w:uiPriority w:val="99"/>
    <w:semiHidden/>
    <w:unhideWhenUsed/>
    <w:rsid w:val="00BA0BDC"/>
    <w:rPr>
      <w:sz w:val="16"/>
      <w:szCs w:val="16"/>
    </w:rPr>
  </w:style>
  <w:style w:type="paragraph" w:styleId="CommentText">
    <w:name w:val="annotation text"/>
    <w:basedOn w:val="Normal"/>
    <w:link w:val="CommentTextChar"/>
    <w:uiPriority w:val="99"/>
    <w:unhideWhenUsed/>
    <w:rsid w:val="00BA0BDC"/>
    <w:rPr>
      <w:sz w:val="20"/>
      <w:szCs w:val="20"/>
    </w:rPr>
  </w:style>
  <w:style w:type="character" w:customStyle="1" w:styleId="CommentTextChar">
    <w:name w:val="Comment Text Char"/>
    <w:basedOn w:val="DefaultParagraphFont"/>
    <w:link w:val="CommentText"/>
    <w:uiPriority w:val="99"/>
    <w:rsid w:val="00BA0BD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BA0BDC"/>
    <w:rPr>
      <w:b/>
      <w:bCs/>
    </w:rPr>
  </w:style>
  <w:style w:type="character" w:customStyle="1" w:styleId="CommentSubjectChar">
    <w:name w:val="Comment Subject Char"/>
    <w:basedOn w:val="CommentTextChar"/>
    <w:link w:val="CommentSubject"/>
    <w:uiPriority w:val="99"/>
    <w:semiHidden/>
    <w:rsid w:val="00BA0BD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Nl/TXT/?uri=OJ:L_202401623" TargetMode="External"/><Relationship Id="rId1" Type="http://schemas.openxmlformats.org/officeDocument/2006/relationships/hyperlink" Target="https://eur-lex.europa.eu/legal-content/N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438E7D-06DF-42E6-AB6F-B451A1CE4CA9}">
  <ds:schemaRefs>
    <ds:schemaRef ds:uri="http://schemas.openxmlformats.org/officeDocument/2006/bibliography"/>
  </ds:schemaRefs>
</ds:datastoreItem>
</file>

<file path=customXml/itemProps2.xml><?xml version="1.0" encoding="utf-8"?>
<ds:datastoreItem xmlns:ds="http://schemas.openxmlformats.org/officeDocument/2006/customXml" ds:itemID="{A7F10E96-8733-4B1D-A31F-9F1586D9C760}"/>
</file>

<file path=customXml/itemProps3.xml><?xml version="1.0" encoding="utf-8"?>
<ds:datastoreItem xmlns:ds="http://schemas.openxmlformats.org/officeDocument/2006/customXml" ds:itemID="{3EE27D6E-5007-4480-AB53-12C453B072B4}"/>
</file>

<file path=customXml/itemProps4.xml><?xml version="1.0" encoding="utf-8"?>
<ds:datastoreItem xmlns:ds="http://schemas.openxmlformats.org/officeDocument/2006/customXml" ds:itemID="{A44924AE-B9BE-4227-8A69-FECD6D5664D6}"/>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2868</Words>
  <Characters>17392</Characters>
  <Application>Microsoft Office Word</Application>
  <DocSecurity>0</DocSecurity>
  <Lines>452</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20077</CharactersWithSpaces>
  <SharedDoc>false</SharedDoc>
  <HLinks>
    <vt:vector size="6" baseType="variant">
      <vt:variant>
        <vt:i4>7602297</vt:i4>
      </vt:variant>
      <vt:variant>
        <vt:i4>0</vt:i4>
      </vt:variant>
      <vt:variant>
        <vt:i4>0</vt:i4>
      </vt:variant>
      <vt:variant>
        <vt:i4>5</vt:i4>
      </vt:variant>
      <vt:variant>
        <vt:lpwstr>https://eur-lex.europa.eu/legal-content/EN/AUTO/?uri=OJ:L:2013:176:TOC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2024-06-07T07:11:00Z</dcterms:created>
  <dcterms:modified xsi:type="dcterms:W3CDTF">2024-09-30T12:45:00Z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2024-09-26T14:32:27Z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adac863f-55d7-42d3-9a6a-c1b74fd6180c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