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080B76AD" w:rsidR="00931C32" w:rsidRPr="001F1865" w:rsidRDefault="3E2CC804" w:rsidP="06503780">
      <w:pPr>
        <w:pStyle w:val="Titlelevel2"/>
        <w:spacing w:before="0"/>
        <w:rPr>
          <w:b/>
          <w:color w:val="auto"/>
          <w:sz w:val="24"/>
          <w:rFonts w:ascii="Times New Roman" w:hAnsi="Times New Roman" w:cs="Times New Roman"/>
        </w:rPr>
      </w:pPr>
      <w:r>
        <w:rPr>
          <w:b/>
          <w:color w:val="auto"/>
          <w:sz w:val="24"/>
          <w:rFonts w:ascii="Times New Roman" w:hAnsi="Times New Roman"/>
        </w:rPr>
        <w:t xml:space="preserve">XXX. MELLÉKLET – A piaci kockázatok sztenderd és belső módszer szerinti kezelésének nyilvánosságra hozatalával kapcsolatos táblázatok és táblák:</w:t>
      </w:r>
      <w:r>
        <w:rPr>
          <w:b/>
          <w:color w:val="auto"/>
          <w:sz w:val="24"/>
          <w:rFonts w:ascii="Times New Roman" w:hAnsi="Times New Roman"/>
        </w:rPr>
        <w:t xml:space="preserve"> </w:t>
      </w:r>
      <w:r>
        <w:rPr>
          <w:b/>
          <w:color w:val="auto"/>
          <w:sz w:val="24"/>
          <w:rFonts w:ascii="Times New Roman" w:hAnsi="Times New Roman"/>
        </w:rPr>
        <w:t xml:space="preserve">Útmutató</w:t>
      </w:r>
      <w:r>
        <w:rPr>
          <w:b/>
          <w:color w:val="auto"/>
          <w:sz w:val="24"/>
          <w:rFonts w:ascii="Times New Roman" w:hAnsi="Times New Roman"/>
        </w:rPr>
        <w:t xml:space="preserve"> </w:t>
      </w:r>
    </w:p>
    <w:p w14:paraId="30BCD097" w14:textId="4E7CD1C5" w:rsidR="00931C32" w:rsidRPr="001F1865" w:rsidRDefault="3E2CC804" w:rsidP="5DD19F35">
      <w:pPr>
        <w:pStyle w:val="Titlelevel2"/>
        <w:numPr>
          <w:ilvl w:val="0"/>
          <w:numId w:val="4"/>
        </w:numPr>
        <w:spacing w:before="0"/>
        <w:jc w:val="both"/>
        <w:rPr>
          <w:color w:val="auto"/>
          <w:sz w:val="24"/>
          <w:rFonts w:ascii="Times New Roman" w:hAnsi="Times New Roman" w:cs="Times New Roman"/>
        </w:rPr>
      </w:pPr>
      <w:r>
        <w:rPr>
          <w:color w:val="auto"/>
          <w:sz w:val="24"/>
          <w:rFonts w:ascii="Times New Roman" w:hAnsi="Times New Roman"/>
        </w:rPr>
        <w:t xml:space="preserve">Ez a melléklet tartalmazza az intézmények által az 575/2013/EU rendelet</w:t>
      </w:r>
      <w:r w:rsidR="00931C32" w:rsidRPr="00DB0A49">
        <w:rPr>
          <w:rStyle w:val="FootnoteReference"/>
          <w:rFonts w:ascii="Times New Roman" w:hAnsi="Times New Roman" w:cs="Times New Roman"/>
          <w:color w:val="auto"/>
          <w:lang w:val="en-GB"/>
        </w:rPr>
        <w:footnoteReference w:id="2"/>
      </w:r>
      <w:r>
        <w:rPr>
          <w:color w:val="auto"/>
          <w:sz w:val="24"/>
          <w:rFonts w:ascii="Times New Roman" w:hAnsi="Times New Roman"/>
        </w:rPr>
        <w:t xml:space="preserve"> (CRR) 435., 445. és 455. cikkében említett információknak az EBH IT-megoldásainak XXIX. mellékletében található, piaci kockázatra vonatkozó nyilvánosságra hozatali táblák kitöltése során követendő útmutatót.</w:t>
      </w:r>
      <w:r>
        <w:rPr>
          <w:color w:val="auto"/>
          <w:sz w:val="24"/>
          <w:rFonts w:ascii="Times New Roman" w:hAnsi="Times New Roman"/>
        </w:rPr>
        <w:t xml:space="preserve"> </w:t>
      </w:r>
    </w:p>
    <w:p w14:paraId="69DA8DE0" w14:textId="77777777" w:rsidR="00931C32" w:rsidRPr="001F1865" w:rsidRDefault="00931C32" w:rsidP="00931C32">
      <w:pPr>
        <w:spacing w:after="240"/>
        <w:jc w:val="both"/>
        <w:rPr>
          <w:sz w:val="24"/>
          <w:rFonts w:ascii="Times New Roman" w:hAnsi="Times New Roman" w:cs="Times New Roman"/>
        </w:rPr>
      </w:pPr>
      <w:r>
        <w:rPr>
          <w:sz w:val="24"/>
          <w:b/>
          <w:rFonts w:ascii="Times New Roman" w:hAnsi="Times New Roman"/>
        </w:rPr>
        <w:t xml:space="preserve">EU MRA táblázat: A piaci kockázattal kapcsolatos minőségi nyilvánosságra hozatali követelmények:</w:t>
      </w:r>
      <w:r>
        <w:rPr>
          <w:sz w:val="24"/>
          <w:rFonts w:ascii="Times New Roman" w:hAnsi="Times New Roman"/>
        </w:rPr>
        <w:t xml:space="preserve"> </w:t>
      </w:r>
      <w:r>
        <w:rPr>
          <w:sz w:val="24"/>
          <w:rFonts w:ascii="Times New Roman" w:hAnsi="Times New Roman"/>
        </w:rPr>
        <w:t xml:space="preserve">Szabadon kitölthető szövegmezők</w:t>
      </w:r>
    </w:p>
    <w:p w14:paraId="1B9BDBE7" w14:textId="621617DF" w:rsidR="00931C32" w:rsidRPr="001F1865" w:rsidRDefault="00931C32" w:rsidP="72461198">
      <w:pPr>
        <w:pStyle w:val="Titlelevel2"/>
        <w:numPr>
          <w:ilvl w:val="0"/>
          <w:numId w:val="4"/>
        </w:numPr>
        <w:spacing w:before="0"/>
        <w:jc w:val="both"/>
        <w:rPr>
          <w:sz w:val="24"/>
          <w:rFonts w:ascii="Times New Roman" w:hAnsi="Times New Roman" w:cs="Times New Roman"/>
        </w:rPr>
      </w:pPr>
      <w:r>
        <w:rPr>
          <w:color w:val="000000" w:themeColor="text1"/>
          <w:sz w:val="24"/>
          <w:rFonts w:ascii="Times New Roman" w:hAnsi="Times New Roman"/>
        </w:rPr>
        <w:t xml:space="preserve">Az intézmények a XXIX. mellékletben található EU MRA táblázat e mellékletben foglalt útmutató szerinti kitöltésével hozzák nyilvánosságra az 575/2013/EU rendelet 435. cikke (1) bekezdésének a)–d) pontjában említett, a piaci kockázatra vonatkozó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Jogszabályi hivatkozások és útmutató</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Sor jelölése</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Magyarázat</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t xml:space="preserve">a</w:t>
            </w:r>
          </w:p>
        </w:tc>
        <w:tc>
          <w:tcPr>
            <w:tcW w:w="7655" w:type="dxa"/>
            <w:vAlign w:val="center"/>
          </w:tcPr>
          <w:p w14:paraId="0ECBECD6" w14:textId="59A2C39A" w:rsidR="00931C32" w:rsidRPr="001F1865" w:rsidRDefault="00931C32" w:rsidP="72461198">
            <w:pPr>
              <w:spacing w:after="240"/>
              <w:jc w:val="both"/>
              <w:rPr>
                <w:sz w:val="24"/>
                <w:rFonts w:ascii="Times New Roman" w:eastAsia="Times New Roman" w:hAnsi="Times New Roman" w:cs="Times New Roman"/>
              </w:rPr>
            </w:pPr>
            <w:r>
              <w:rPr>
                <w:sz w:val="24"/>
                <w:rFonts w:ascii="Times New Roman" w:hAnsi="Times New Roman"/>
              </w:rPr>
              <w:t xml:space="preserve">A kockázatkezelési célkitűzésekre és szabályokra vonatkozó, az 575/2013/EU rendelet 435. cikke (1) bekezdésének a) és d) pontjában említett információk nyilvánosságra hozatala keretében az intézményeknek a piaci kockázat kapcsán ismertetniük kell a következőket:</w:t>
            </w:r>
          </w:p>
          <w:p w14:paraId="2954CCD3" w14:textId="77777777" w:rsidR="00931C32" w:rsidRPr="001F1865" w:rsidRDefault="00931C32"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a vezetés által a kereskedési tevékenységek folytatása során követett stratégiai célkitűzések magyarázata;</w:t>
            </w:r>
            <w:r>
              <w:rPr>
                <w:sz w:val="24"/>
                <w:rFonts w:ascii="Times New Roman" w:hAnsi="Times New Roman"/>
              </w:rPr>
              <w:t xml:space="preserve"> </w:t>
            </w:r>
          </w:p>
          <w:p w14:paraId="28C8AA1E" w14:textId="2D7A10DE" w:rsidR="00DE4020" w:rsidRPr="001F1865" w:rsidRDefault="00EC10EF"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a kereskedési könyvben szerepeltetendő pozíciók meghatározására szolgáló, a hosszú ideje tartott pozíciók fogalommeghatározását és az ilyen pozíciók nyomon követésére vonatkozó kockázatkezelési politikákat is tartalmazó, a 104. cikk (1) bekezdésében említett szabályzatok leírása.</w:t>
            </w:r>
            <w:r>
              <w:rPr>
                <w:sz w:val="24"/>
                <w:rFonts w:ascii="Times New Roman" w:hAnsi="Times New Roman"/>
              </w:rPr>
              <w:t xml:space="preserve"> </w:t>
            </w:r>
            <w:r>
              <w:rPr>
                <w:sz w:val="24"/>
                <w:rFonts w:ascii="Times New Roman" w:hAnsi="Times New Roman"/>
              </w:rPr>
              <w:t xml:space="preserve">Ezen túlmenően az intézményeknek ismertetniük kell azokat az eseteket, amikor az instrumentumokat az instrumentumkategóriájukra vonatkozó általános feltételezések ellenére a kereskedési vagy a banki könyvhöz rendelik – feltüntetve azok piaci és valós értékét – és a két könyv között az utolsó adatszolgáltatási időszak óta bekövetkezett átsorolásokat is, feltüntetve az átsorolt eszközök valós értékét és az átsorolás okát;</w:t>
            </w:r>
          </w:p>
          <w:p w14:paraId="20F3C237" w14:textId="77E3E75D" w:rsidR="00795618" w:rsidRPr="001F1865" w:rsidRDefault="002C5234"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a belső kockázatátruházási tevékenységek leírása, beleértve a belső kockázatátruházási részleg típusait;</w:t>
            </w:r>
          </w:p>
          <w:p w14:paraId="17B1142E" w14:textId="77777777" w:rsidR="00931C32" w:rsidRPr="001F1865" w:rsidRDefault="00931C32"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az intézmény piaci kockázatainak azonosítása, mérése, nyomon követése és ellenőrzése céljából alkalmazott folyamatok;</w:t>
            </w:r>
          </w:p>
          <w:p w14:paraId="216165DD" w14:textId="77777777" w:rsidR="00931C32" w:rsidRPr="001F1865" w:rsidRDefault="00931C32"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a kockázat mérséklésére és fedezésére vonatkozó szabályok;</w:t>
            </w:r>
          </w:p>
          <w:p w14:paraId="5B43C932" w14:textId="77777777" w:rsidR="00931C32" w:rsidRPr="001F1865" w:rsidRDefault="00931C32" w:rsidP="00931C32">
            <w:pPr>
              <w:pStyle w:val="ListParagraph"/>
              <w:numPr>
                <w:ilvl w:val="0"/>
                <w:numId w:val="3"/>
              </w:numPr>
              <w:spacing w:after="240"/>
              <w:jc w:val="both"/>
              <w:rPr>
                <w:sz w:val="24"/>
                <w:szCs w:val="24"/>
                <w:rFonts w:ascii="Times New Roman" w:hAnsi="Times New Roman"/>
              </w:rPr>
            </w:pPr>
            <w:r>
              <w:rPr>
                <w:sz w:val="24"/>
                <w:rFonts w:ascii="Times New Roman" w:hAnsi="Times New Roman"/>
              </w:rPr>
              <w:t xml:space="preserve">a kockázatfedezés folyamatos hatékonyságának monitorozását szolgáló stratégiák és folyamatok.</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t xml:space="preserve">b</w:t>
            </w:r>
          </w:p>
        </w:tc>
        <w:tc>
          <w:tcPr>
            <w:tcW w:w="7655" w:type="dxa"/>
          </w:tcPr>
          <w:p w14:paraId="57B23AAF" w14:textId="53C0A959" w:rsidR="00931C32" w:rsidRPr="001F1865" w:rsidRDefault="00931C32" w:rsidP="72461198">
            <w:pPr>
              <w:spacing w:after="240"/>
              <w:jc w:val="both"/>
              <w:rPr>
                <w:sz w:val="24"/>
                <w:rFonts w:ascii="Times New Roman" w:eastAsia="Times New Roman" w:hAnsi="Times New Roman" w:cs="Times New Roman"/>
              </w:rPr>
            </w:pPr>
            <w:r>
              <w:rPr>
                <w:sz w:val="24"/>
                <w:rFonts w:ascii="Times New Roman" w:hAnsi="Times New Roman"/>
              </w:rPr>
              <w:t xml:space="preserve">A piacikockázat-kezelési funkció szerkezeti és szervezeti felépítésére vonatkozó, az 575/2013/EU rendelet 435. cikke (1) bekezdésének b) pontjában említett információk nyilvánosságra hozatala keretében az intézményeknek ismertetniük kell a következőket:</w:t>
            </w:r>
          </w:p>
          <w:p w14:paraId="15341445" w14:textId="0D70F6B3" w:rsidR="00931C32" w:rsidRPr="001F1865" w:rsidRDefault="00931C32" w:rsidP="00931C32">
            <w:pPr>
              <w:pStyle w:val="ListParagraph"/>
              <w:numPr>
                <w:ilvl w:val="0"/>
                <w:numId w:val="3"/>
              </w:numPr>
              <w:spacing w:after="240"/>
              <w:jc w:val="both"/>
              <w:rPr>
                <w:sz w:val="24"/>
                <w:szCs w:val="24"/>
                <w:rFonts w:ascii="Times New Roman" w:eastAsia="Times New Roman" w:hAnsi="Times New Roman"/>
              </w:rPr>
            </w:pPr>
            <w:r>
              <w:rPr>
                <w:sz w:val="24"/>
                <w:rFonts w:ascii="Times New Roman" w:hAnsi="Times New Roman"/>
              </w:rPr>
              <w:t xml:space="preserve">az „a” sorban tárgyalt stratégiák és folyamatok végrehajtása érdekében létrehozott piacikockázat-irányítási struktúra leírása;</w:t>
            </w:r>
            <w:r>
              <w:rPr>
                <w:sz w:val="24"/>
                <w:rFonts w:ascii="Times New Roman" w:hAnsi="Times New Roman"/>
              </w:rPr>
              <w:t xml:space="preserve"> </w:t>
            </w:r>
          </w:p>
          <w:p w14:paraId="10C87729" w14:textId="77777777" w:rsidR="00931C32" w:rsidRPr="001F1865" w:rsidRDefault="00931C32" w:rsidP="00931C32">
            <w:pPr>
              <w:pStyle w:val="ListParagraph"/>
              <w:numPr>
                <w:ilvl w:val="0"/>
                <w:numId w:val="3"/>
              </w:numPr>
              <w:spacing w:after="240"/>
              <w:jc w:val="both"/>
              <w:rPr>
                <w:sz w:val="24"/>
                <w:szCs w:val="24"/>
                <w:rFonts w:ascii="Times New Roman" w:eastAsia="Times New Roman" w:hAnsi="Times New Roman"/>
              </w:rPr>
            </w:pPr>
            <w:r>
              <w:rPr>
                <w:sz w:val="24"/>
                <w:rFonts w:ascii="Times New Roman" w:hAnsi="Times New Roman"/>
              </w:rPr>
              <w:t xml:space="preserve">a piacikockázat-kezelésben részt vevő különböző felek közötti kapcsolatok és kommunikációs mechanizmusok leírása.</w:t>
            </w:r>
            <w:r>
              <w:rPr>
                <w:sz w:val="24"/>
                <w:rFonts w:ascii="Times New Roman" w:hAnsi="Times New Roman"/>
              </w:rPr>
              <w:t xml:space="preserve"> </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t xml:space="preserve">c</w:t>
            </w:r>
          </w:p>
          <w:p w14:paraId="672A6659" w14:textId="77777777" w:rsidR="00931C32" w:rsidRPr="001F1865" w:rsidRDefault="00931C32" w:rsidP="00DE090B">
            <w:pPr>
              <w:pStyle w:val="Fait"/>
              <w:spacing w:before="0" w:after="240"/>
            </w:pPr>
          </w:p>
        </w:tc>
        <w:tc>
          <w:tcPr>
            <w:tcW w:w="7655" w:type="dxa"/>
          </w:tcPr>
          <w:p w14:paraId="1ADA7F58" w14:textId="27D05688" w:rsidR="00931C32" w:rsidRPr="001F1865" w:rsidRDefault="3E2CC804" w:rsidP="72461198">
            <w:pPr>
              <w:spacing w:after="240"/>
              <w:jc w:val="both"/>
              <w:rPr>
                <w:sz w:val="24"/>
                <w:rFonts w:ascii="Times New Roman" w:eastAsia="Times New Roman" w:hAnsi="Times New Roman" w:cs="Times New Roman"/>
              </w:rPr>
            </w:pPr>
            <w:r>
              <w:rPr>
                <w:sz w:val="24"/>
                <w:rFonts w:ascii="Times New Roman" w:hAnsi="Times New Roman"/>
              </w:rPr>
              <w:t xml:space="preserve">A kockázatjelentési és -mérési rendszerek hatókörére és jellegére vonatkozó, az 575/2013/EU rendelet 435. cikke (1) bekezdésének c) pontjában említett információk nyilvánosságra hozatala keretében az intézményeknek a piaci kockázat kapcsán ismertetniük kell a kockázatjelentési és -mérési rendszerek hatókörét és jellegét.</w:t>
            </w:r>
            <w:r>
              <w:rPr>
                <w:sz w:val="24"/>
                <w:rFonts w:ascii="Times New Roman" w:hAnsi="Times New Roman"/>
              </w:rPr>
              <w:t xml:space="preserve"> </w:t>
            </w:r>
          </w:p>
        </w:tc>
      </w:tr>
      <w:tr w:rsidR="06503780" w:rsidRPr="001F1865" w14:paraId="5B327CF1" w14:textId="77777777" w:rsidTr="72461198">
        <w:trPr>
          <w:trHeight w:val="435"/>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rsidP="00DB0A49">
            <w:pPr>
              <w:spacing w:after="240"/>
              <w:jc w:val="center"/>
              <w:rPr>
                <w:sz w:val="24"/>
                <w:rFonts w:ascii="Times New Roman" w:eastAsia="Times New Roman" w:hAnsi="Times New Roman" w:cs="Times New Roman"/>
              </w:rPr>
            </w:pPr>
            <w:r>
              <w:rPr>
                <w:sz w:val="24"/>
                <w:rFonts w:ascii="Times New Roman" w:hAnsi="Times New Roman"/>
              </w:rPr>
              <w:t xml:space="preserve">EU (d)</w:t>
            </w:r>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sz w:val="24"/>
                <w:rFonts w:ascii="Times New Roman" w:eastAsia="Times New Roman" w:hAnsi="Times New Roman" w:cs="Times New Roman"/>
              </w:rPr>
            </w:pPr>
            <w:r>
              <w:rPr>
                <w:sz w:val="24"/>
                <w:rFonts w:ascii="Times New Roman" w:hAnsi="Times New Roman"/>
              </w:rPr>
              <w:t xml:space="preserve">A kereskedési könyvi pozíciók általános áttekintésére vonatkozó, az 575/2013/EU rendelet 445. cikkének (1) bekezdésében említett információk nyilvánosságra hozatala keretében az intézményeknek általános magyarázatot kell adniuk kereskedési könyvi pozícióikról.</w:t>
            </w:r>
          </w:p>
        </w:tc>
      </w:tr>
    </w:tbl>
    <w:p w14:paraId="0A37501D" w14:textId="5B1DE2AB" w:rsidR="00931C32" w:rsidRPr="001F1865" w:rsidRDefault="00931C32" w:rsidP="06503780">
      <w:pPr>
        <w:pStyle w:val="Titlelevel2"/>
        <w:spacing w:before="0"/>
        <w:rPr>
          <w:rFonts w:ascii="Times New Roman" w:hAnsi="Times New Roman" w:cs="Times New Roman"/>
          <w:b/>
          <w:sz w:val="24"/>
          <w:lang w:val="en-GB"/>
        </w:rPr>
      </w:pPr>
    </w:p>
    <w:p w14:paraId="6A05A809" w14:textId="77777777" w:rsidR="00931C32" w:rsidRPr="001F1865" w:rsidRDefault="00931C32" w:rsidP="00931C32">
      <w:pPr>
        <w:pStyle w:val="Titlelevel2"/>
        <w:spacing w:before="0"/>
        <w:rPr>
          <w:rFonts w:ascii="Times New Roman" w:hAnsi="Times New Roman" w:cs="Times New Roman"/>
          <w:b/>
          <w:color w:val="auto"/>
          <w:sz w:val="24"/>
          <w:lang w:val="en-GB"/>
        </w:rPr>
      </w:pPr>
    </w:p>
    <w:p w14:paraId="21FE8BB6" w14:textId="0765936F" w:rsidR="00931C32" w:rsidRPr="00DB0A49" w:rsidRDefault="4E51ABE0" w:rsidP="00DB0A49">
      <w:pPr>
        <w:spacing w:after="240"/>
        <w:rPr>
          <w:sz w:val="24"/>
          <w:rFonts w:ascii="Times New Roman" w:eastAsia="Times New Roman" w:hAnsi="Times New Roman" w:cs="Times New Roman"/>
        </w:rPr>
      </w:pPr>
      <w:r>
        <w:rPr>
          <w:sz w:val="24"/>
          <w:b/>
          <w:rFonts w:ascii="Times New Roman" w:hAnsi="Times New Roman"/>
        </w:rPr>
        <w:t xml:space="preserve">EU MR1 tábla – Piaci kockázat az alternatív sztenderd módszer (ASA) alapján</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Kötött formátum</w:t>
      </w:r>
    </w:p>
    <w:p w14:paraId="328A3EAE" w14:textId="50FF69DE" w:rsidR="00931C32" w:rsidRPr="00DB0A49" w:rsidRDefault="4E51ABE0" w:rsidP="00DB0A49">
      <w:pPr>
        <w:pStyle w:val="Titlelevel2"/>
        <w:numPr>
          <w:ilvl w:val="0"/>
          <w:numId w:val="4"/>
        </w:numPr>
        <w:spacing w:before="0"/>
        <w:ind w:left="284" w:hanging="284"/>
        <w:jc w:val="both"/>
        <w:rPr>
          <w:color w:val="auto"/>
          <w:sz w:val="24"/>
          <w:rFonts w:ascii="Times New Roman" w:eastAsiaTheme="minorEastAsia" w:hAnsi="Times New Roman" w:cs="Times New Roman"/>
        </w:rPr>
      </w:pPr>
      <w:r>
        <w:rPr>
          <w:sz w:val="24"/>
          <w:color w:val="000000" w:themeColor="text1"/>
          <w:rFonts w:ascii="Times New Roman" w:hAnsi="Times New Roman"/>
        </w:rPr>
        <w:t xml:space="preserve">Az intézmények a XXIX. mellékletben található EU MR1 tábla e mellékletben foglalt útmutató szerinti kitöltésével hozzák nyilvánosságra az 575/2013/EU rendelet 445. cikkében említett információkat.</w:t>
      </w:r>
      <w:r>
        <w:rPr>
          <w:sz w:val="24"/>
          <w:color w:val="000000" w:themeColor="text1"/>
          <w:rFonts w:ascii="Times New Roman" w:hAnsi="Times New Roman"/>
        </w:rPr>
        <w:t xml:space="preserve"> </w:t>
      </w:r>
      <w:r>
        <w:rPr>
          <w:sz w:val="24"/>
          <w:color w:val="auto"/>
          <w:rFonts w:ascii="Times New Roman" w:hAnsi="Times New Roman"/>
        </w:rPr>
        <w:t xml:space="preserve">Az intézmények ebben a táblában nem tüntetik fel a belső kockázatátruházási részlegükre ((IRT-részlegükre) vonatkozó adatokat.</w:t>
      </w:r>
    </w:p>
    <w:tbl>
      <w:tblPr>
        <w:tblW w:w="0" w:type="auto"/>
        <w:tblInd w:w="105" w:type="dxa"/>
        <w:tblLayout w:type="fixed"/>
        <w:tblLook w:val="01E0" w:firstRow="1" w:lastRow="1" w:firstColumn="1" w:lastColumn="1" w:noHBand="0" w:noVBand="0"/>
      </w:tblPr>
      <w:tblGrid>
        <w:gridCol w:w="1170"/>
        <w:gridCol w:w="7245"/>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Jogszabályi hivatkozások és útmutató</w:t>
            </w:r>
          </w:p>
        </w:tc>
      </w:tr>
      <w:tr w:rsidR="06503780" w:rsidRPr="001F1865" w14:paraId="795949F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Sor száma</w:t>
            </w:r>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Magyarázat</w:t>
            </w:r>
          </w:p>
        </w:tc>
      </w:tr>
      <w:tr w:rsidR="06503780" w:rsidRPr="001F1865" w14:paraId="71E2347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541004BD" w:rsidR="06503780" w:rsidRPr="001F1865" w:rsidRDefault="06503780" w:rsidP="00DB0A49">
            <w:pPr>
              <w:spacing w:after="240"/>
              <w:jc w:val="center"/>
              <w:rPr>
                <w:sz w:val="24"/>
                <w:rFonts w:ascii="Times New Roman" w:eastAsia="Times New Roman" w:hAnsi="Times New Roman" w:cs="Times New Roman"/>
              </w:rPr>
            </w:pPr>
            <w:r>
              <w:rPr>
                <w:sz w:val="24"/>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332222EF" w:rsidR="06503780" w:rsidRPr="001F1865" w:rsidRDefault="06503780" w:rsidP="00DB0A49">
            <w:pPr>
              <w:spacing w:after="240"/>
              <w:rPr>
                <w:sz w:val="24"/>
                <w:u w:val="single"/>
                <w:rFonts w:ascii="Times New Roman" w:eastAsia="Times New Roman" w:hAnsi="Times New Roman" w:cs="Times New Roman"/>
              </w:rPr>
            </w:pPr>
            <w:r>
              <w:rPr>
                <w:sz w:val="24"/>
                <w:u w:val="single"/>
                <w:b/>
                <w:rFonts w:ascii="Times New Roman" w:hAnsi="Times New Roman"/>
              </w:rPr>
              <w:t xml:space="preserve">Érzékenységen alapuló módszer</w:t>
            </w:r>
            <w:r>
              <w:rPr>
                <w:sz w:val="24"/>
                <w:u w:val="single"/>
                <w:rFonts w:ascii="Times New Roman" w:hAnsi="Times New Roman"/>
              </w:rPr>
              <w:t xml:space="preserve"> </w:t>
            </w:r>
          </w:p>
          <w:p w14:paraId="32BE5AB7" w14:textId="13D92956" w:rsidR="06503780" w:rsidRPr="001F1865" w:rsidRDefault="06503780" w:rsidP="00DB0A49">
            <w:pPr>
              <w:spacing w:after="240"/>
              <w:rPr>
                <w:sz w:val="24"/>
                <w:rFonts w:ascii="Times New Roman" w:eastAsia="Times New Roman" w:hAnsi="Times New Roman" w:cs="Times New Roman"/>
              </w:rPr>
            </w:pPr>
            <w:r>
              <w:rPr>
                <w:sz w:val="24"/>
                <w:rFonts w:ascii="Times New Roman" w:hAnsi="Times New Roman"/>
              </w:rPr>
              <w:t xml:space="preserve">az 575/2013/EU rendelet harmadik része IV. címe 1a. fejezetének 2. szakasza szerint.</w:t>
            </w:r>
          </w:p>
        </w:tc>
      </w:tr>
      <w:tr w:rsidR="06503780" w:rsidRPr="001F1865" w14:paraId="2A5FB346"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1</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Általános kamatlábkockázat (GIRR)</w:t>
            </w:r>
          </w:p>
          <w:p w14:paraId="7CFD9A05" w14:textId="08877C85" w:rsidR="06503780" w:rsidRPr="001F1865" w:rsidRDefault="06503780" w:rsidP="00DB0A49">
            <w:pPr>
              <w:spacing w:after="240"/>
              <w:jc w:val="both"/>
              <w:rPr>
                <w:sz w:val="24"/>
                <w:rFonts w:ascii="Times New Roman" w:eastAsia="Times New Roman" w:hAnsi="Times New Roman" w:cs="Times New Roman"/>
              </w:rPr>
            </w:pPr>
            <w:r>
              <w:rPr>
                <w:sz w:val="24"/>
                <w:rFonts w:ascii="Times New Roman" w:hAnsi="Times New Roman"/>
              </w:rPr>
              <w:t xml:space="preserve">az 575/2013/EU rendelet 325c. cikke (2) bekezdésének a) pontja és 325d. cikke 1. pontjának i. alpontja szerint.</w:t>
            </w:r>
          </w:p>
        </w:tc>
      </w:tr>
      <w:tr w:rsidR="006852CB" w:rsidRPr="001F1865" w14:paraId="69667920"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szCs w:val="22"/>
                <w:rFonts w:ascii="Times New Roman" w:eastAsia="Times New Roman" w:hAnsi="Times New Roman" w:cs="Times New Roman"/>
              </w:rPr>
            </w:pPr>
            <w:r>
              <w:rPr>
                <w:rFonts w:ascii="Times New Roman" w:hAnsi="Times New Roman"/>
              </w:rPr>
              <w:t xml:space="preserve">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Részvénypiaci kockázat (EQU)</w:t>
            </w:r>
          </w:p>
          <w:p w14:paraId="7FA49EA1" w14:textId="72B40A8D" w:rsidR="006852CB" w:rsidRPr="001F1865" w:rsidRDefault="006852CB" w:rsidP="006852CB">
            <w:pPr>
              <w:spacing w:before="120" w:after="120" w:line="257" w:lineRule="auto"/>
              <w:rPr>
                <w:b/>
                <w:bCs/>
                <w:sz w:val="24"/>
                <w:rFonts w:ascii="Times New Roman" w:eastAsia="Times New Roman" w:hAnsi="Times New Roman" w:cs="Times New Roman"/>
              </w:rPr>
            </w:pPr>
            <w:r>
              <w:rPr>
                <w:sz w:val="24"/>
                <w:rFonts w:ascii="Times New Roman" w:hAnsi="Times New Roman"/>
              </w:rPr>
              <w:t xml:space="preserve">az 575/2013/EU rendelet 325c. cikke (2) bekezdésének a) pontja és 325d. cikke 1. pontjának v. alpontja szerint.</w:t>
            </w:r>
          </w:p>
        </w:tc>
      </w:tr>
      <w:tr w:rsidR="006852CB" w:rsidRPr="001F1865" w14:paraId="719DB443"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szCs w:val="22"/>
                <w:rFonts w:ascii="Times New Roman" w:eastAsia="Times New Roman" w:hAnsi="Times New Roman" w:cs="Times New Roman"/>
              </w:rPr>
            </w:pPr>
            <w:r>
              <w:rPr>
                <w:rFonts w:ascii="Times New Roman" w:hAnsi="Times New Roman"/>
              </w:rPr>
              <w:t xml:space="preserve">3</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Árukockázat (COM)</w:t>
            </w:r>
          </w:p>
          <w:p w14:paraId="2EF1141F" w14:textId="6573588B" w:rsidR="006852CB" w:rsidRPr="001F1865" w:rsidRDefault="006852CB" w:rsidP="006852CB">
            <w:pPr>
              <w:spacing w:before="120" w:after="120" w:line="257" w:lineRule="auto"/>
              <w:rPr>
                <w:b/>
                <w:bCs/>
                <w:sz w:val="24"/>
                <w:rFonts w:ascii="Times New Roman" w:eastAsia="Times New Roman" w:hAnsi="Times New Roman" w:cs="Times New Roman"/>
              </w:rPr>
            </w:pPr>
            <w:r>
              <w:rPr>
                <w:sz w:val="24"/>
                <w:rFonts w:ascii="Times New Roman" w:hAnsi="Times New Roman"/>
              </w:rPr>
              <w:t xml:space="preserve">az 575/2013/EU rendelet 325c. cikke (2) bekezdésének a) pontja és 325d. cikke 1. pontjának vi. alpontja szerint.</w:t>
            </w:r>
          </w:p>
        </w:tc>
      </w:tr>
      <w:tr w:rsidR="006852CB" w:rsidRPr="001F1865" w14:paraId="0F63097B"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szCs w:val="22"/>
                <w:rFonts w:ascii="Times New Roman" w:eastAsia="Times New Roman" w:hAnsi="Times New Roman" w:cs="Times New Roman"/>
              </w:rPr>
            </w:pPr>
            <w:r>
              <w:rPr>
                <w:rFonts w:ascii="Times New Roman" w:hAnsi="Times New Roman"/>
              </w:rPr>
              <w:t xml:space="preserve">4</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Devizaárfolyam-kockázat (FX)</w:t>
            </w:r>
          </w:p>
          <w:p w14:paraId="4E899697" w14:textId="1EDAE9C1" w:rsidR="006852CB" w:rsidRPr="001F1865" w:rsidRDefault="006852CB" w:rsidP="006852CB">
            <w:pPr>
              <w:spacing w:before="120" w:after="120" w:line="257" w:lineRule="auto"/>
              <w:rPr>
                <w:b/>
                <w:bCs/>
                <w:sz w:val="24"/>
                <w:rFonts w:ascii="Times New Roman" w:eastAsia="Times New Roman" w:hAnsi="Times New Roman" w:cs="Times New Roman"/>
              </w:rPr>
            </w:pPr>
            <w:r>
              <w:rPr>
                <w:sz w:val="24"/>
                <w:rFonts w:ascii="Times New Roman" w:hAnsi="Times New Roman"/>
              </w:rPr>
              <w:t xml:space="preserve">az 575/2013/EU rendelet 325c. cikke (2) bekezdésének a) pontja és 325d. cikke 1. pontjának vii. alpontja szerint.</w:t>
            </w:r>
          </w:p>
        </w:tc>
      </w:tr>
      <w:tr w:rsidR="06503780" w:rsidRPr="001F1865" w14:paraId="6069A77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szCs w:val="22"/>
                <w:rFonts w:ascii="Times New Roman" w:eastAsia="Times New Roman" w:hAnsi="Times New Roman" w:cs="Times New Roman"/>
              </w:rPr>
            </w:pPr>
            <w:r>
              <w:rPr>
                <w:rFonts w:ascii="Times New Roman" w:hAnsi="Times New Roman"/>
              </w:rPr>
              <w:t xml:space="preserve">5</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Nem értékpapírosítások hitelfelár-kockázata (CSR)</w:t>
            </w:r>
          </w:p>
          <w:p w14:paraId="7FFBB47A" w14:textId="19FCC5B4" w:rsidR="06503780" w:rsidRPr="001F1865" w:rsidRDefault="06503780" w:rsidP="00DB0A49">
            <w:pPr>
              <w:spacing w:after="240"/>
              <w:jc w:val="both"/>
              <w:rPr>
                <w:sz w:val="24"/>
                <w:rFonts w:ascii="Times New Roman" w:eastAsia="Times New Roman" w:hAnsi="Times New Roman" w:cs="Times New Roman"/>
              </w:rPr>
            </w:pPr>
            <w:r>
              <w:rPr>
                <w:sz w:val="24"/>
                <w:rFonts w:ascii="Times New Roman" w:hAnsi="Times New Roman"/>
              </w:rPr>
              <w:t xml:space="preserve">az 575/2013/EU rendelet 325c. cikke (2) bekezdésének a) pontja és 325d. cikke 1. pontjának ii. alpontja szerint.</w:t>
            </w:r>
          </w:p>
        </w:tc>
      </w:tr>
      <w:tr w:rsidR="06503780" w:rsidRPr="001F1865" w14:paraId="05E22EA0"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szCs w:val="22"/>
                <w:rFonts w:ascii="Times New Roman" w:eastAsia="Times New Roman" w:hAnsi="Times New Roman" w:cs="Times New Roman"/>
              </w:rPr>
            </w:pPr>
            <w:r>
              <w:rPr>
                <w:rFonts w:ascii="Times New Roman" w:hAnsi="Times New Roman"/>
              </w:rPr>
              <w:t xml:space="preserve">6</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Alternatív korrelációkereskedési portfólióba nem tartozó értékpapírosítások hitelfelár-kockázata (non-ACTP CSR)</w:t>
            </w:r>
          </w:p>
          <w:p w14:paraId="7767EDBC" w14:textId="24BC8D91" w:rsidR="06503780" w:rsidRPr="001F1865" w:rsidRDefault="06503780" w:rsidP="00DB0A49">
            <w:pPr>
              <w:spacing w:after="240"/>
              <w:jc w:val="both"/>
              <w:rPr>
                <w:sz w:val="24"/>
                <w:rFonts w:ascii="Times New Roman" w:eastAsia="Times New Roman" w:hAnsi="Times New Roman" w:cs="Times New Roman"/>
              </w:rPr>
            </w:pPr>
            <w:r>
              <w:rPr>
                <w:sz w:val="24"/>
                <w:rFonts w:ascii="Times New Roman" w:hAnsi="Times New Roman"/>
              </w:rPr>
              <w:t xml:space="preserve">az 575/2013/EU rendelet 325c. cikke (2) bekezdésének a) pontja és 325d. cikke 1. pontjának iii. alpontja szerint.</w:t>
            </w:r>
          </w:p>
        </w:tc>
      </w:tr>
      <w:tr w:rsidR="06503780" w:rsidRPr="001F1865" w14:paraId="14D767E3"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szCs w:val="22"/>
                <w:rFonts w:ascii="Times New Roman" w:eastAsia="Times New Roman" w:hAnsi="Times New Roman" w:cs="Times New Roman"/>
              </w:rPr>
            </w:pPr>
            <w:r>
              <w:rPr>
                <w:rFonts w:ascii="Times New Roman" w:hAnsi="Times New Roman"/>
              </w:rPr>
              <w:t xml:space="preserve">7</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Alternatív korrelációkereskedési portfólióba tartozó értékpapírosítások hitelfelár-kockázata (ACTP CSR)</w:t>
            </w:r>
          </w:p>
          <w:p w14:paraId="3E4A8A35" w14:textId="160B9A80" w:rsidR="06503780" w:rsidRPr="001F1865" w:rsidRDefault="06503780" w:rsidP="00DB0A49">
            <w:pPr>
              <w:spacing w:after="240"/>
              <w:jc w:val="both"/>
              <w:rPr>
                <w:sz w:val="24"/>
                <w:rFonts w:ascii="Times New Roman" w:eastAsia="Times New Roman" w:hAnsi="Times New Roman" w:cs="Times New Roman"/>
              </w:rPr>
            </w:pPr>
            <w:r>
              <w:rPr>
                <w:sz w:val="24"/>
                <w:rFonts w:ascii="Times New Roman" w:hAnsi="Times New Roman"/>
              </w:rPr>
              <w:t xml:space="preserve">az 575/2013/EU rendelet 325c. cikke (2) bekezdésének a) pontja és 325d. cikke 1. pontjának iv. alpontja szerint.</w:t>
            </w:r>
          </w:p>
        </w:tc>
      </w:tr>
      <w:tr w:rsidR="06503780" w:rsidRPr="001F1865" w14:paraId="5BB1038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C2CF576" w:rsidR="06503780" w:rsidRPr="001F1865" w:rsidRDefault="06503780" w:rsidP="00DB0A49">
            <w:pPr>
              <w:spacing w:after="240"/>
              <w:jc w:val="center"/>
              <w:rPr>
                <w:sz w:val="24"/>
                <w:rFonts w:ascii="Times New Roman" w:eastAsia="Times New Roman" w:hAnsi="Times New Roman" w:cs="Times New Roman"/>
              </w:rPr>
            </w:pPr>
            <w:r>
              <w:rPr>
                <w:sz w:val="24"/>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1F1865" w:rsidRDefault="06503780" w:rsidP="00DB0A49">
            <w:pPr>
              <w:spacing w:after="240"/>
              <w:rPr>
                <w:b/>
                <w:bCs/>
                <w:sz w:val="24"/>
                <w:u w:val="single"/>
                <w:rFonts w:ascii="Times New Roman" w:eastAsia="Times New Roman" w:hAnsi="Times New Roman" w:cs="Times New Roman"/>
              </w:rPr>
            </w:pPr>
            <w:r>
              <w:rPr>
                <w:b/>
                <w:sz w:val="24"/>
                <w:u w:val="single"/>
                <w:rFonts w:ascii="Times New Roman" w:hAnsi="Times New Roman"/>
              </w:rPr>
              <w:t xml:space="preserve">Nemteljesítési kockázat</w:t>
            </w:r>
          </w:p>
          <w:p w14:paraId="50AC8B96" w14:textId="24D7EC82" w:rsidR="06503780" w:rsidRPr="001F1865" w:rsidRDefault="06503780" w:rsidP="00DB0A49">
            <w:pPr>
              <w:spacing w:after="240"/>
              <w:rPr>
                <w:sz w:val="24"/>
                <w:rFonts w:ascii="Times New Roman" w:eastAsia="Times New Roman" w:hAnsi="Times New Roman" w:cs="Times New Roman"/>
              </w:rPr>
            </w:pPr>
            <w:r>
              <w:rPr>
                <w:sz w:val="24"/>
                <w:rFonts w:ascii="Times New Roman" w:hAnsi="Times New Roman"/>
              </w:rPr>
              <w:t xml:space="preserve">az 575/2013/EU rendelet harmadik része IV. címe 1a. fejezetének 5. szakasza szerint.</w:t>
            </w:r>
          </w:p>
        </w:tc>
      </w:tr>
      <w:tr w:rsidR="06503780" w:rsidRPr="001F1865" w14:paraId="4CA77AC2"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8</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Nem értékpapírosítások</w:t>
            </w:r>
          </w:p>
          <w:p w14:paraId="6E07A74F" w14:textId="60055B48" w:rsidR="06503780" w:rsidRPr="001F1865" w:rsidRDefault="06503780" w:rsidP="00DB0A49">
            <w:pPr>
              <w:spacing w:after="240"/>
              <w:jc w:val="both"/>
              <w:rPr>
                <w:szCs w:val="22"/>
                <w:rFonts w:ascii="Times New Roman" w:eastAsia="Times New Roman" w:hAnsi="Times New Roman" w:cs="Times New Roman"/>
              </w:rPr>
            </w:pPr>
            <w:r>
              <w:rPr>
                <w:sz w:val="24"/>
                <w:rFonts w:ascii="Times New Roman" w:hAnsi="Times New Roman"/>
              </w:rPr>
              <w:t xml:space="preserve">az 575/2013/EU rendelet 325c. cikke (2) bekezdésének b) pontja és harmadik része IV. címe 1a. fejezete 5. szakaszának 1. alszakasza szerint.</w:t>
            </w:r>
            <w:r>
              <w:rPr>
                <w:rFonts w:ascii="Times New Roman" w:hAnsi="Times New Roman"/>
              </w:rPr>
              <w:t xml:space="preserve"> </w:t>
            </w:r>
          </w:p>
        </w:tc>
      </w:tr>
      <w:tr w:rsidR="06503780" w:rsidRPr="001F1865" w14:paraId="7297D5C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9</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Alternatív korrelációkereskedési portfólióba nem tartozó értékpapírosítások (non-ACTP)</w:t>
            </w:r>
          </w:p>
          <w:p w14:paraId="093A58C5" w14:textId="0BD66CFC" w:rsidR="06503780" w:rsidRPr="001F1865" w:rsidRDefault="06503780" w:rsidP="00DB0A49">
            <w:pPr>
              <w:spacing w:after="240"/>
              <w:jc w:val="both"/>
              <w:rPr>
                <w:szCs w:val="22"/>
                <w:rFonts w:ascii="Times New Roman" w:eastAsia="Times New Roman" w:hAnsi="Times New Roman" w:cs="Times New Roman"/>
              </w:rPr>
            </w:pPr>
            <w:r>
              <w:rPr>
                <w:sz w:val="24"/>
                <w:rFonts w:ascii="Times New Roman" w:hAnsi="Times New Roman"/>
              </w:rPr>
              <w:t xml:space="preserve">az 575/2013/EU rendelet 325c. cikke (2) bekezdésének b) pontja és harmadik része IV. címe 1a. fejezete 5. szakaszának 2. alszakasza szerint.</w:t>
            </w:r>
            <w:r>
              <w:rPr>
                <w:rFonts w:ascii="Times New Roman" w:hAnsi="Times New Roman"/>
              </w:rPr>
              <w:t xml:space="preserve"> </w:t>
            </w:r>
          </w:p>
        </w:tc>
      </w:tr>
      <w:tr w:rsidR="06503780" w:rsidRPr="001F1865" w14:paraId="7399949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10</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Alternatív korrelációkereskedési portfólióba tartozó értékpapírosítások (ACTP)</w:t>
            </w:r>
          </w:p>
          <w:p w14:paraId="4F126C34" w14:textId="2E83A436" w:rsidR="06503780" w:rsidRPr="001F1865" w:rsidRDefault="06503780" w:rsidP="00DB0A49">
            <w:pPr>
              <w:spacing w:after="240"/>
              <w:jc w:val="both"/>
              <w:rPr>
                <w:szCs w:val="22"/>
                <w:rFonts w:ascii="Times New Roman" w:eastAsia="Times New Roman" w:hAnsi="Times New Roman" w:cs="Times New Roman"/>
              </w:rPr>
            </w:pPr>
            <w:r>
              <w:rPr>
                <w:sz w:val="24"/>
                <w:rFonts w:ascii="Times New Roman" w:hAnsi="Times New Roman"/>
              </w:rPr>
              <w:t xml:space="preserve">az 575/2013/EU rendelet 325c. cikke (2) bekezdésének b) pontja és harmadik része IV. címe 1a. fejezete 5. szakaszának 3. alszakasza szerint.</w:t>
            </w:r>
            <w:r>
              <w:rPr>
                <w:rFonts w:ascii="Times New Roman" w:hAnsi="Times New Roman"/>
              </w:rPr>
              <w:t xml:space="preserve"> </w:t>
            </w:r>
          </w:p>
        </w:tc>
      </w:tr>
      <w:tr w:rsidR="06503780" w:rsidRPr="001F1865" w14:paraId="1A1B8236"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055D18A0" w:rsidR="06503780" w:rsidRPr="001F1865" w:rsidRDefault="06503780" w:rsidP="00DB0A49">
            <w:pPr>
              <w:spacing w:after="240"/>
              <w:jc w:val="center"/>
              <w:rPr>
                <w:sz w:val="24"/>
                <w:rFonts w:ascii="Times New Roman" w:eastAsia="Times New Roman" w:hAnsi="Times New Roman" w:cs="Times New Roman"/>
              </w:rPr>
            </w:pPr>
            <w:r>
              <w:rPr>
                <w:sz w:val="24"/>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1F1865" w:rsidRDefault="06503780" w:rsidP="00DB0A49">
            <w:pPr>
              <w:spacing w:after="240"/>
              <w:rPr>
                <w:b/>
                <w:bCs/>
                <w:sz w:val="24"/>
                <w:u w:val="single"/>
                <w:rFonts w:ascii="Times New Roman" w:eastAsia="Times New Roman" w:hAnsi="Times New Roman" w:cs="Times New Roman"/>
              </w:rPr>
            </w:pPr>
            <w:r>
              <w:rPr>
                <w:b/>
                <w:sz w:val="24"/>
                <w:u w:val="single"/>
                <w:rFonts w:ascii="Times New Roman" w:hAnsi="Times New Roman"/>
              </w:rPr>
              <w:t xml:space="preserve">Fennmaradó kockázat</w:t>
            </w:r>
          </w:p>
          <w:p w14:paraId="3E3A6F03" w14:textId="754D8113" w:rsidR="06503780" w:rsidRPr="001F1865" w:rsidRDefault="06503780" w:rsidP="00DB0A49">
            <w:pPr>
              <w:spacing w:after="240"/>
              <w:rPr>
                <w:sz w:val="24"/>
                <w:rFonts w:ascii="Times New Roman" w:eastAsia="Times New Roman" w:hAnsi="Times New Roman" w:cs="Times New Roman"/>
              </w:rPr>
            </w:pPr>
            <w:r>
              <w:rPr>
                <w:sz w:val="24"/>
                <w:rFonts w:ascii="Times New Roman" w:hAnsi="Times New Roman"/>
              </w:rPr>
              <w:t xml:space="preserve">Az 575/2013/EU rendelet harmadik része IV. címe 1a. fejezetének 4. szakasza.</w:t>
            </w:r>
          </w:p>
        </w:tc>
      </w:tr>
      <w:tr w:rsidR="06503780" w:rsidRPr="001F1865" w14:paraId="179BEFFD"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szCs w:val="22"/>
                <w:rFonts w:ascii="Times New Roman" w:eastAsia="Times New Roman" w:hAnsi="Times New Roman" w:cs="Times New Roman"/>
              </w:rPr>
            </w:pPr>
            <w:r>
              <w:rPr>
                <w:rFonts w:ascii="Times New Roman" w:hAnsi="Times New Roman"/>
              </w:rPr>
              <w:t xml:space="preserve">EU 11a</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Alapul szolgáló egzotikus eszközök</w:t>
            </w:r>
          </w:p>
          <w:p w14:paraId="7ED02FAC" w14:textId="7DFCBC6E" w:rsidR="06503780" w:rsidRPr="001F1865" w:rsidRDefault="06503780" w:rsidP="00DB0A49">
            <w:pPr>
              <w:spacing w:before="120" w:after="120"/>
              <w:rPr>
                <w:sz w:val="24"/>
                <w:rFonts w:ascii="Times New Roman" w:eastAsia="Times New Roman" w:hAnsi="Times New Roman" w:cs="Times New Roman"/>
              </w:rPr>
            </w:pPr>
            <w:r>
              <w:rPr>
                <w:sz w:val="24"/>
                <w:rFonts w:ascii="Times New Roman" w:hAnsi="Times New Roman"/>
              </w:rPr>
              <w:t xml:space="preserve">az 575/2013/EU rendelet 325c. cikke (2) bekezdésének c) pontja és 325u. cikke (2) bekezdésének a) pontja szerint.</w:t>
            </w:r>
          </w:p>
        </w:tc>
      </w:tr>
      <w:tr w:rsidR="06503780" w:rsidRPr="001F1865" w14:paraId="397A3B6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szCs w:val="22"/>
                <w:rFonts w:ascii="Times New Roman" w:eastAsia="Times New Roman" w:hAnsi="Times New Roman" w:cs="Times New Roman"/>
              </w:rPr>
            </w:pPr>
            <w:r>
              <w:rPr>
                <w:rFonts w:ascii="Times New Roman" w:hAnsi="Times New Roman"/>
              </w:rPr>
              <w:t xml:space="preserve">EU 11b</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1F1865" w:rsidRDefault="06503780" w:rsidP="00DB0A49">
            <w:pPr>
              <w:spacing w:before="120" w:after="120" w:line="257" w:lineRule="auto"/>
              <w:rPr>
                <w:b/>
                <w:bCs/>
                <w:sz w:val="24"/>
                <w:rFonts w:ascii="Times New Roman" w:eastAsia="Times New Roman" w:hAnsi="Times New Roman" w:cs="Times New Roman"/>
              </w:rPr>
            </w:pPr>
            <w:r>
              <w:rPr>
                <w:b/>
                <w:sz w:val="24"/>
                <w:rFonts w:ascii="Times New Roman" w:hAnsi="Times New Roman"/>
              </w:rPr>
              <w:t xml:space="preserve">Egyéb fennmaradó kockázatok</w:t>
            </w:r>
          </w:p>
          <w:p w14:paraId="5E46032C" w14:textId="013FBB68" w:rsidR="06503780" w:rsidRPr="001F1865" w:rsidRDefault="06503780" w:rsidP="00DB0A49">
            <w:pPr>
              <w:spacing w:before="120" w:after="120"/>
              <w:rPr>
                <w:sz w:val="24"/>
                <w:rFonts w:ascii="Times New Roman" w:eastAsia="Times New Roman" w:hAnsi="Times New Roman" w:cs="Times New Roman"/>
              </w:rPr>
            </w:pPr>
            <w:r>
              <w:rPr>
                <w:sz w:val="24"/>
                <w:rFonts w:ascii="Times New Roman" w:hAnsi="Times New Roman"/>
              </w:rPr>
              <w:t xml:space="preserve">az 575/2013/EU rendelet 325c. cikke (2) bekezdésének c) pontja és 325u. cikke (2) bekezdésének b) pontja szerint.</w:t>
            </w:r>
          </w:p>
        </w:tc>
      </w:tr>
      <w:tr w:rsidR="06503780" w:rsidRPr="001F1865" w14:paraId="106996A8"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12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1F1865" w:rsidRDefault="224E1E9F" w:rsidP="00DB0A49">
            <w:pPr>
              <w:spacing w:after="240"/>
              <w:rPr>
                <w:b/>
                <w:bCs/>
                <w:sz w:val="24"/>
                <w:u w:val="single"/>
                <w:rFonts w:ascii="Times New Roman" w:eastAsia="Times New Roman" w:hAnsi="Times New Roman" w:cs="Times New Roman"/>
              </w:rPr>
            </w:pPr>
            <w:r>
              <w:rPr>
                <w:b/>
                <w:sz w:val="24"/>
                <w:u w:val="single"/>
                <w:rFonts w:ascii="Times New Roman" w:hAnsi="Times New Roman"/>
              </w:rPr>
              <w:t xml:space="preserve">Teljes szavatolótőke-követelmény (OFR)</w:t>
            </w:r>
          </w:p>
          <w:p w14:paraId="3AEB87FA" w14:textId="63F7CC8B" w:rsidR="06503780" w:rsidRDefault="002A353C" w:rsidP="06503780">
            <w:pPr>
              <w:spacing w:after="120" w:line="257" w:lineRule="auto"/>
              <w:rPr>
                <w:sz w:val="24"/>
                <w:rFonts w:ascii="Times New Roman" w:eastAsia="Times New Roman" w:hAnsi="Times New Roman" w:cs="Times New Roman"/>
              </w:rPr>
            </w:pPr>
            <w:r>
              <w:rPr>
                <w:sz w:val="24"/>
                <w:rFonts w:ascii="Times New Roman" w:hAnsi="Times New Roman"/>
              </w:rPr>
              <w:t xml:space="preserve">Az 1–EU 11b. sor összege.</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Oszlop betűjele</w:t>
            </w:r>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1F1865" w:rsidRDefault="06503780" w:rsidP="00DB0A49">
            <w:pPr>
              <w:spacing w:after="240"/>
              <w:rPr>
                <w:b/>
                <w:bCs/>
                <w:sz w:val="24"/>
                <w:rFonts w:ascii="Times New Roman" w:eastAsia="Times New Roman" w:hAnsi="Times New Roman" w:cs="Times New Roman"/>
              </w:rPr>
            </w:pPr>
            <w:r>
              <w:rPr>
                <w:b/>
                <w:sz w:val="24"/>
                <w:rFonts w:ascii="Times New Roman" w:hAnsi="Times New Roman"/>
              </w:rPr>
              <w:t xml:space="preserve">Magyarázat</w:t>
            </w:r>
          </w:p>
        </w:tc>
      </w:tr>
      <w:tr w:rsidR="06503780" w:rsidRPr="001F1865" w14:paraId="57E6568D"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1F1865" w:rsidRDefault="01DFB7EB" w:rsidP="06503780">
            <w:pPr>
              <w:spacing w:after="240"/>
              <w:rPr>
                <w:b/>
                <w:bCs/>
                <w:sz w:val="24"/>
                <w:u w:val="single"/>
                <w:rFonts w:ascii="Times New Roman" w:eastAsia="Times New Roman" w:hAnsi="Times New Roman" w:cs="Times New Roman"/>
              </w:rPr>
            </w:pPr>
            <w:r>
              <w:rPr>
                <w:b/>
                <w:sz w:val="24"/>
                <w:u w:val="single"/>
                <w:rFonts w:ascii="Times New Roman" w:hAnsi="Times New Roman"/>
              </w:rPr>
              <w:t xml:space="preserve">Teljes szavatolótőke-követelmény (OFR)</w:t>
            </w:r>
          </w:p>
        </w:tc>
      </w:tr>
      <w:tr w:rsidR="06503780" w:rsidRPr="001F1865" w14:paraId="37D30FC4"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szCs w:val="22"/>
                <w:rFonts w:ascii="Times New Roman" w:eastAsia="Times New Roman" w:hAnsi="Times New Roman" w:cs="Times New Roman"/>
              </w:rPr>
            </w:pPr>
            <w:r>
              <w:rPr>
                <w:rFonts w:ascii="Times New Roman" w:hAnsi="Times New Roman"/>
              </w:rPr>
              <w:t xml:space="preserve">a</w:t>
            </w:r>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669159E" w14:textId="0505478C" w:rsidR="517DDA85" w:rsidRPr="001F1865" w:rsidRDefault="02A66E37" w:rsidP="72461198">
            <w:pPr>
              <w:rPr>
                <w:sz w:val="24"/>
                <w:rFonts w:ascii="Times New Roman" w:eastAsia="Times New Roman" w:hAnsi="Times New Roman" w:cs="Times New Roman"/>
              </w:rPr>
            </w:pPr>
            <w:r>
              <w:rPr>
                <w:sz w:val="24"/>
                <w:rFonts w:ascii="Times New Roman" w:hAnsi="Times New Roman"/>
              </w:rPr>
              <w:t xml:space="preserve">Az 575/2013/EU rendelet 438. cikkének d) pontjában említett szavatolótőke-követelmények nyilvánosságra hozatala, az 1–EU 11b. sorban megadott értékek egyszerű összegeként kiszámítva.</w:t>
            </w:r>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41C8F396" w14:textId="77777777" w:rsidR="00931C32" w:rsidRPr="001F1865" w:rsidRDefault="00931C32" w:rsidP="00931C32">
      <w:pPr>
        <w:spacing w:after="240"/>
        <w:rPr>
          <w:rFonts w:ascii="Times New Roman" w:hAnsi="Times New Roman" w:cs="Times New Roman"/>
          <w:b/>
          <w:sz w:val="24"/>
        </w:rPr>
      </w:pPr>
    </w:p>
    <w:p w14:paraId="49AD8C16" w14:textId="467238F4" w:rsidR="00931C32" w:rsidRPr="001F1865" w:rsidRDefault="00931C32" w:rsidP="48484374">
      <w:pPr>
        <w:spacing w:after="240"/>
        <w:rPr>
          <w:b/>
          <w:bCs/>
          <w:sz w:val="24"/>
          <w:rFonts w:ascii="Times New Roman" w:hAnsi="Times New Roman" w:cs="Times New Roman"/>
        </w:rPr>
      </w:pPr>
      <w:r>
        <w:rPr>
          <w:sz w:val="24"/>
          <w:b/>
          <w:rFonts w:ascii="Times New Roman" w:hAnsi="Times New Roman"/>
        </w:rPr>
        <w:t xml:space="preserve">EU MRB táblázat:</w:t>
      </w:r>
      <w:r>
        <w:rPr>
          <w:sz w:val="24"/>
          <w:b/>
          <w:rFonts w:ascii="Times New Roman" w:hAnsi="Times New Roman"/>
        </w:rPr>
        <w:t xml:space="preserve"> </w:t>
      </w:r>
      <w:r>
        <w:rPr>
          <w:sz w:val="24"/>
          <w:b/>
          <w:rFonts w:ascii="Times New Roman" w:hAnsi="Times New Roman"/>
        </w:rPr>
        <w:t xml:space="preserve">Az alternatív belső modellen alapuló módszert (AIMA) alkalmazó intézményekre vonatkozó minőségi nyilvánosságra hozatali követelmények</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Szabadon kitölthető szövegmezők</w:t>
      </w:r>
    </w:p>
    <w:p w14:paraId="32EDF34C" w14:textId="442D1C01" w:rsidR="00931C32" w:rsidRPr="001F1865" w:rsidRDefault="00931C32" w:rsidP="00DB0A49">
      <w:pPr>
        <w:pStyle w:val="Titlelevel2"/>
        <w:numPr>
          <w:ilvl w:val="0"/>
          <w:numId w:val="4"/>
        </w:numPr>
        <w:spacing w:before="0"/>
        <w:ind w:left="284" w:hanging="284"/>
        <w:jc w:val="both"/>
        <w:rPr>
          <w:b/>
          <w:sz w:val="24"/>
          <w:rFonts w:ascii="Times New Roman" w:hAnsi="Times New Roman" w:cs="Times New Roman"/>
        </w:rPr>
      </w:pPr>
      <w:r>
        <w:rPr>
          <w:color w:val="000000" w:themeColor="text1"/>
          <w:sz w:val="24"/>
          <w:rFonts w:ascii="Times New Roman" w:hAnsi="Times New Roman"/>
        </w:rPr>
        <w:t xml:space="preserve">Az intézmények a XXIX. mellékletben található EU MRB táblázat e mellékletben foglalt útmutató szerinti kitöltésével hozzák nyilvánosságra az 575/2013/EU rendelet 455. cikkének a), b), c), d), e) és f) pontjában említett információkat.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Jogszabályi hivatkozások és útmutató</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Sor jelölése</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Magyarázat</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sz w:val="24"/>
                <w:rFonts w:ascii="Times New Roman" w:eastAsia="Times New Roman" w:hAnsi="Times New Roman" w:cs="Times New Roman"/>
              </w:rPr>
            </w:pPr>
            <w:r>
              <w:rPr>
                <w:sz w:val="24"/>
                <w:rFonts w:ascii="Times New Roman" w:hAnsi="Times New Roman"/>
              </w:rPr>
              <w:t xml:space="preserve">A piaci kockázat alternatív belső modelljeire vonatkozó, az 575/2013/EU rendelet 455. cikke 1a) pontjában említett információk nyilvánosságra hozatala keretében az intézményeknek ismertetniük kell a következőket:</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55099BA3" w:rsidR="3C9E464D" w:rsidRPr="00DB0A49" w:rsidRDefault="00B02BFD" w:rsidP="3765CAC5">
            <w:pPr>
              <w:rPr>
                <w:sz w:val="24"/>
                <w:rFonts w:ascii="Times New Roman" w:hAnsi="Times New Roman" w:cs="Times New Roman"/>
              </w:rPr>
            </w:pPr>
            <w:r>
              <w:rPr>
                <w:sz w:val="24"/>
                <w:rFonts w:ascii="Times New Roman" w:hAnsi="Times New Roman"/>
              </w:rPr>
              <w:t xml:space="preserve">EU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sz w:val="24"/>
                <w:rFonts w:ascii="Times New Roman" w:eastAsia="Times New Roman" w:hAnsi="Times New Roman" w:cs="Times New Roman"/>
              </w:rPr>
            </w:pPr>
            <w:r>
              <w:rPr>
                <w:color w:val="000000" w:themeColor="text1"/>
                <w:sz w:val="24"/>
                <w:rFonts w:ascii="Times New Roman" w:hAnsi="Times New Roman"/>
              </w:rPr>
              <w:t xml:space="preserve">a kereskedési tevékenységek folytatása során az intézmény által követett célkitűzések, valamint az intézmény piaci kockázatainak azonosítása, mérése, nyomon követése és ellenőrzése céljából alkalmazott folyamatok leírása.</w:t>
            </w:r>
            <w:r>
              <w:rPr>
                <w:color w:val="000000" w:themeColor="text1"/>
                <w:sz w:val="24"/>
                <w:rFonts w:ascii="Times New Roman" w:hAnsi="Times New Roman"/>
              </w:rPr>
              <w:t xml:space="preserve"> </w:t>
            </w:r>
            <w:r>
              <w:rPr>
                <w:color w:val="000000" w:themeColor="text1"/>
                <w:sz w:val="24"/>
                <w:rFonts w:ascii="Times New Roman" w:hAnsi="Times New Roman"/>
              </w:rPr>
              <w:t xml:space="preserve">Ez az információ megadható az EU MRA táblázatra való kereszthivatkozással.</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2C8F59E6" w:rsidR="3C9E464D" w:rsidRPr="00DB0A49" w:rsidRDefault="00671C85" w:rsidP="3765CAC5">
            <w:pPr>
              <w:rPr>
                <w:sz w:val="24"/>
                <w:rFonts w:ascii="Times New Roman" w:hAnsi="Times New Roman" w:cs="Times New Roman"/>
              </w:rPr>
            </w:pPr>
            <w:r>
              <w:rPr>
                <w:sz w:val="24"/>
                <w:rFonts w:ascii="Times New Roman" w:hAnsi="Times New Roman"/>
              </w:rPr>
              <w:t xml:space="preserve">EU (b)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2B4ED7C7" w:rsidR="3C9E464D" w:rsidRPr="00DB0A49" w:rsidRDefault="3C9E464D" w:rsidP="3765CAC5">
            <w:pPr>
              <w:rPr>
                <w:sz w:val="24"/>
                <w:rFonts w:ascii="Times New Roman" w:eastAsia="Times New Roman" w:hAnsi="Times New Roman" w:cs="Times New Roman"/>
              </w:rPr>
            </w:pPr>
            <w:r>
              <w:rPr>
                <w:color w:val="000000" w:themeColor="text1"/>
                <w:sz w:val="24"/>
                <w:rFonts w:ascii="Times New Roman" w:hAnsi="Times New Roman"/>
              </w:rPr>
              <w:t xml:space="preserve">a kereskedési könyvben szerepeltetendő pozíciók meghatározására szolgáló, a 104. cikk (1) bekezdésében említett szabályzatok.</w:t>
            </w:r>
            <w:r>
              <w:rPr>
                <w:color w:val="000000" w:themeColor="text1"/>
                <w:sz w:val="24"/>
                <w:rFonts w:ascii="Times New Roman" w:hAnsi="Times New Roman"/>
              </w:rPr>
              <w:t xml:space="preserve"> </w:t>
            </w:r>
            <w:r>
              <w:rPr>
                <w:color w:val="000000" w:themeColor="text1"/>
                <w:sz w:val="24"/>
                <w:rFonts w:ascii="Times New Roman" w:hAnsi="Times New Roman"/>
              </w:rPr>
              <w:t xml:space="preserve">Ez az információ megadható az EU MR A táblázatra való kereszthivatkozással;</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DB0A49" w:rsidRDefault="00C06844" w:rsidP="00DE090B">
            <w:pPr>
              <w:rPr>
                <w:sz w:val="24"/>
                <w:rFonts w:ascii="Times New Roman" w:hAnsi="Times New Roman" w:cs="Times New Roman"/>
              </w:rPr>
            </w:pPr>
            <w:r>
              <w:rPr>
                <w:sz w:val="24"/>
                <w:rFonts w:ascii="Times New Roman" w:hAnsi="Times New Roman"/>
              </w:rPr>
              <w:t xml:space="preserve">EU (c)</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DB0A49" w:rsidRDefault="00671C85" w:rsidP="00DE090B">
            <w:pPr>
              <w:rPr>
                <w:sz w:val="24"/>
                <w:rFonts w:ascii="Times New Roman" w:eastAsia="Times New Roman" w:hAnsi="Times New Roman" w:cs="Times New Roman"/>
              </w:rPr>
            </w:pPr>
            <w:r>
              <w:rPr>
                <w:color w:val="000000" w:themeColor="text1"/>
                <w:sz w:val="24"/>
                <w:rFonts w:ascii="Times New Roman" w:hAnsi="Times New Roman"/>
              </w:rPr>
              <w:t xml:space="preserve">a piacikockázat-kezelési funkció és irányítás szerkezeti és szervezeti felépítése;</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AB8AAD0" w:rsidR="00701D8F" w:rsidRPr="00DB0A49" w:rsidRDefault="0D04DF7A" w:rsidP="140F9DE1">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(A) (B) Általános leírás a kereskedési részleg struktúrájáról és az AIMA hatálya alá tartozó kereskedési részlegbe tartozó eszköztípusokról az 575/2013/EU rendelet 455. cikke (1) bekezdésének c) és d) pontjával összhangban.</w:t>
            </w:r>
            <w:r>
              <w:rPr>
                <w:color w:val="000000" w:themeColor="text1"/>
                <w:sz w:val="24"/>
                <w:rFonts w:ascii="Times New Roman" w:hAnsi="Times New Roman"/>
              </w:rPr>
              <w:t xml:space="preserve"> </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sz w:val="24"/>
                <w:rFonts w:ascii="Times New Roman" w:hAnsi="Times New Roman" w:cs="Times New Roman"/>
              </w:rPr>
            </w:pPr>
            <w:r>
              <w:rPr>
                <w:sz w:val="24"/>
                <w:rFonts w:ascii="Times New Roman" w:hAnsi="Times New Roman"/>
              </w:rPr>
              <w:t xml:space="preserve">B (a)</w:t>
            </w:r>
          </w:p>
          <w:p w14:paraId="6D2F2E9A" w14:textId="09BF2D11" w:rsidR="001B4290" w:rsidRPr="00445013"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sz w:val="24"/>
                <w:rFonts w:ascii="Times New Roman" w:eastAsia="Times New Roman" w:hAnsi="Times New Roman" w:cs="Times New Roman"/>
              </w:rPr>
            </w:pPr>
            <w:r>
              <w:rPr>
                <w:color w:val="000000" w:themeColor="text1"/>
                <w:sz w:val="24"/>
                <w:rFonts w:ascii="Times New Roman" w:hAnsi="Times New Roman"/>
              </w:rPr>
              <w:t xml:space="preserve">Az 575/2013/EU rendelet 455. cikke (1) bekezdésének c) pontjában említett információk nyilvánosságra hozatala keretében az intézményeknek a 325az. cikkben említett belső modellek hatálya alá tartozó kereskedési részlegek struktúrájának általános leírását kell ismertetniük, beleértve az egyes részlegek üzleti stratégiájának, az ott engedélyezett instrumentumoknak és az említett részleggel kapcsolatos főbb kockázati típusoknak az általános leírását;</w:t>
            </w:r>
          </w:p>
        </w:tc>
      </w:tr>
      <w:tr w:rsidR="001B4290" w:rsidRPr="00AA772E" w14:paraId="50FBF6A8" w14:textId="77777777" w:rsidTr="00DB0A49">
        <w:trPr>
          <w:trHeight w:val="300"/>
        </w:trPr>
        <w:tc>
          <w:tcPr>
            <w:tcW w:w="1230" w:type="dxa"/>
            <w:vMerge/>
            <w:hideMark/>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sz w:val="24"/>
                <w:rFonts w:ascii="Times New Roman" w:eastAsia="Times New Roman" w:hAnsi="Times New Roman" w:cs="Times New Roman"/>
              </w:rPr>
            </w:pPr>
            <w:r>
              <w:rPr>
                <w:color w:val="000000" w:themeColor="text1"/>
                <w:sz w:val="24"/>
                <w:rFonts w:ascii="Times New Roman" w:hAnsi="Times New Roman"/>
              </w:rPr>
              <w:t xml:space="preserve">Az 575/2013/EU rendelet 455. cikke (1) bekezdésének d) pontjában említett információk nyilvánosságra hozatala keretében az intézményeknek a 325az. cikkben említett belső modellek hatálya alá nem tartozó kereskedési könyvi pozíciók általános áttekintését kell ismertetniük, beleértve a 104b. cikkel összhangban a részlegek struktúrájának és a részlegekbe vagy a részlegkategóriákba tartozó eszköztípusoknak az általános leírását;</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B) C) E) A konszolidált szinten alkalmazott modellek fő jellemzőinek leírása, beleértve a modellek és modellezési folyamatok validálása során alkalmazott módszereket is.</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09595E2A" w:rsidR="00A75779" w:rsidRPr="00DB0A49" w:rsidDel="00671C85" w:rsidRDefault="00A75779" w:rsidP="3765CAC5">
            <w:pPr>
              <w:rPr>
                <w:sz w:val="24"/>
                <w:rFonts w:ascii="Times New Roman" w:hAnsi="Times New Roman" w:cs="Times New Roman"/>
              </w:rPr>
            </w:pPr>
            <w:r>
              <w:rPr>
                <w:sz w:val="24"/>
                <w:rFonts w:ascii="Times New Roman" w:hAnsi="Times New Roman"/>
              </w:rPr>
              <w:t xml:space="preserve">B (b) (c) (d) (e)</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150F8DFA" w:rsidR="007E7D7A" w:rsidRPr="00DB0A49" w:rsidDel="00671C85" w:rsidRDefault="001D2F69" w:rsidP="0BE40342">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Az 575/2013/EU rendelet 455. cikke (1) bekezdése f) pontjának i. alpontjában említett információk nyilvánosságra hozatala keretében az intézményeknek a következőket kell ismertetniük:</w:t>
            </w:r>
            <w:r>
              <w:rPr>
                <w:color w:val="000000" w:themeColor="text1"/>
                <w:sz w:val="24"/>
                <w:rFonts w:ascii="Times New Roman" w:hAnsi="Times New Roman"/>
              </w:rPr>
              <w:t xml:space="preserve">  </w:t>
            </w:r>
            <w:r>
              <w:rPr>
                <w:color w:val="000000" w:themeColor="text1"/>
                <w:sz w:val="24"/>
                <w:rFonts w:ascii="Times New Roman" w:hAnsi="Times New Roman"/>
              </w:rPr>
              <w:t xml:space="preserve">az 575/2013/EU rendelet 325az. cikkében említett, a konszolidált szinten használt fő modellek kockázati kitettségértékeinek kiszámításához használt különböző belső modellek alkalmazási köre, fő jellemzői és fő modellezési választásai, valamint annak leírása, hogy ezek a belső modellek milyen mértékben képviselik a konszolidált szinten használt összes modellt, beleértve adott esetben a következőket:</w:t>
            </w:r>
            <w:r>
              <w:rPr>
                <w:color w:val="000000" w:themeColor="text1"/>
                <w:sz w:val="24"/>
                <w:rFonts w:ascii="Times New Roman" w:hAnsi="Times New Roman"/>
              </w:rPr>
              <w:t xml:space="preserve"> </w:t>
            </w:r>
            <w:r>
              <w:rPr>
                <w:color w:val="000000" w:themeColor="text1"/>
                <w:sz w:val="24"/>
                <w:rFonts w:ascii="Times New Roman" w:hAnsi="Times New Roman"/>
              </w:rPr>
              <w:t xml:space="preserve">i. a CRR 325ba. cikke (1) bekezdésének a) pontjában említett várható többletveszteség kiszámításához alkalmazott modellezési módszer átfogó ismertetése az adatok frissítésének gyakoriságára is kiterjedően.</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DB0A49" w:rsidDel="00671C85" w:rsidRDefault="00C82CB4" w:rsidP="3765CAC5">
            <w:pPr>
              <w:rPr>
                <w:sz w:val="24"/>
                <w:rFonts w:ascii="Times New Roman" w:hAnsi="Times New Roman" w:cs="Times New Roman"/>
              </w:rPr>
            </w:pPr>
            <w:r>
              <w:rPr>
                <w:sz w:val="24"/>
                <w:rFonts w:ascii="Times New Roman" w:hAnsi="Times New Roman"/>
              </w:rPr>
              <w:t xml:space="preserve">C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29B0602F" w:rsidR="00D6625B" w:rsidRPr="00DB0A49" w:rsidRDefault="00A75779" w:rsidP="0BE40342">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Az 575/2013/EU rendelet 455. cikke (1) bekezdése f) pontjának ii. alpontjában említett információk nyilvánosságra hozatala keretében az intézményeknek értelemszerűen a következőket kell feltüntetniük:</w:t>
            </w:r>
            <w:r>
              <w:rPr>
                <w:color w:val="000000" w:themeColor="text1"/>
                <w:sz w:val="24"/>
                <w:rFonts w:ascii="Times New Roman" w:hAnsi="Times New Roman"/>
              </w:rPr>
              <w:t xml:space="preserve"> </w:t>
            </w:r>
            <w:r>
              <w:rPr>
                <w:color w:val="000000" w:themeColor="text1"/>
                <w:sz w:val="24"/>
                <w:rFonts w:ascii="Times New Roman" w:hAnsi="Times New Roman"/>
              </w:rPr>
              <w:t xml:space="preserve">az 575/2013/EU rendelet 325ba. cikke (1) bekezdésének b) pontjában említett, stresszforgatókönyv szerinti kockázati mérték kiszámításához használt módszertan átfogó ismertetése, az 575/2013/EU rendelet 325bk. cikkének (3) bekezdésében előírt jellemzők kivételével.</w:t>
            </w:r>
          </w:p>
          <w:p w14:paraId="3E866C05" w14:textId="635C3FD9" w:rsidR="008A05A4" w:rsidRPr="00DB0A49" w:rsidDel="00671C85" w:rsidRDefault="008A05A4" w:rsidP="3765CAC5">
            <w:pPr>
              <w:rPr>
                <w:rFonts w:ascii="Times New Roman" w:eastAsia="Times New Roman" w:hAnsi="Times New Roman" w:cs="Times New Roman"/>
                <w:color w:val="000000" w:themeColor="text1"/>
                <w:sz w:val="24"/>
              </w:rPr>
            </w:pP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D) A nemteljesítési kockázatra vonatkozó tőkekövetelmény kiszámításához használt belső modellek leírása</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sz w:val="24"/>
                <w:rFonts w:ascii="Times New Roman" w:hAnsi="Times New Roman"/>
              </w:rPr>
            </w:pPr>
            <w:r>
              <w:rPr>
                <w:sz w:val="24"/>
                <w:rFonts w:ascii="Times New Roman" w:hAnsi="Times New Roman"/>
              </w:rPr>
              <w:t xml:space="preserve">(b)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color w:val="000000" w:themeColor="text1"/>
                <w:sz w:val="24"/>
                <w:rFonts w:ascii="Times New Roman" w:eastAsia="Times New Roman" w:hAnsi="Times New Roman" w:cs="Times New Roman"/>
              </w:rPr>
            </w:pPr>
            <w:r>
              <w:rPr>
                <w:color w:val="000000" w:themeColor="text1"/>
                <w:sz w:val="24"/>
                <w:rFonts w:ascii="Times New Roman" w:hAnsi="Times New Roman"/>
              </w:rPr>
              <w:t xml:space="preserve">Az 575/2013/EU rendelet 455. cikke (1) bekezdése f) pontjának iii. alpontjában említett információk nyilvánosságra hozatala keretében az intézményeknek értelemszerűen a következőket kell feltüntetniük:</w:t>
            </w:r>
            <w:r>
              <w:rPr>
                <w:color w:val="000000" w:themeColor="text1"/>
                <w:sz w:val="24"/>
                <w:rFonts w:ascii="Times New Roman" w:hAnsi="Times New Roman"/>
              </w:rPr>
              <w:t xml:space="preserve"> </w:t>
            </w:r>
            <w:r>
              <w:rPr>
                <w:color w:val="000000" w:themeColor="text1"/>
                <w:sz w:val="24"/>
                <w:rFonts w:ascii="Times New Roman" w:hAnsi="Times New Roman"/>
              </w:rPr>
              <w:t xml:space="preserve">az 575/2013/EU rendelet 325ba. cikkének (2) bekezdésében említett, a nemteljesítési kockázatra vonatkozó tőkekövetelmény kiszámításához használt modellezési módszer átfogó leírása, az adatok frissítésének gyakoriságára is kiterjedően.</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0749B91A" w:rsidR="00931C32" w:rsidRPr="001F1865" w:rsidRDefault="00931C32" w:rsidP="3821DFBC">
      <w:pPr>
        <w:pStyle w:val="Titlelevel2"/>
        <w:spacing w:before="0"/>
        <w:rPr>
          <w:color w:val="auto"/>
          <w:sz w:val="24"/>
          <w:rFonts w:ascii="Times New Roman" w:hAnsi="Times New Roman" w:cs="Times New Roman"/>
        </w:rPr>
      </w:pPr>
      <w:r>
        <w:rPr>
          <w:color w:val="auto"/>
          <w:sz w:val="24"/>
          <w:b/>
          <w:rFonts w:ascii="Times New Roman" w:hAnsi="Times New Roman"/>
        </w:rPr>
        <w:t xml:space="preserve">EU MR2 tábla – Piaci kockázat az alternatív belső modell módszer (AIMA) alapján:</w:t>
      </w:r>
      <w:r>
        <w:rPr>
          <w:color w:val="auto"/>
          <w:sz w:val="24"/>
          <w:rFonts w:ascii="Times New Roman" w:hAnsi="Times New Roman"/>
        </w:rPr>
        <w:t xml:space="preserve"> </w:t>
      </w:r>
      <w:r>
        <w:rPr>
          <w:color w:val="auto"/>
          <w:sz w:val="24"/>
          <w:rFonts w:ascii="Times New Roman" w:hAnsi="Times New Roman"/>
        </w:rPr>
        <w:t xml:space="preserve">Kötött formátum</w:t>
      </w:r>
    </w:p>
    <w:p w14:paraId="2D64DF36" w14:textId="6604692C" w:rsidR="00931C32" w:rsidRPr="00DB0A49" w:rsidRDefault="00931C32" w:rsidP="00DB0A49">
      <w:pPr>
        <w:pStyle w:val="Titlelevel2"/>
        <w:numPr>
          <w:ilvl w:val="0"/>
          <w:numId w:val="4"/>
        </w:numPr>
        <w:spacing w:before="0"/>
        <w:ind w:left="284" w:hanging="284"/>
        <w:jc w:val="both"/>
        <w:rPr>
          <w:color w:val="auto"/>
          <w:sz w:val="24"/>
          <w:rFonts w:ascii="Times New Roman" w:eastAsiaTheme="minorEastAsia" w:hAnsi="Times New Roman" w:cs="Times New Roman"/>
        </w:rPr>
      </w:pPr>
      <w:r>
        <w:rPr>
          <w:sz w:val="24"/>
          <w:color w:val="000000" w:themeColor="text1"/>
          <w:rFonts w:ascii="Times New Roman" w:hAnsi="Times New Roman"/>
        </w:rPr>
        <w:t xml:space="preserve">Az intézmények a XXIX. mellékletben található EU MR2 tábla e mellékletben foglalt útmutató szerinti kitöltésével hozzák nyilvánosságra az 575/2013/EU rendelet 455. cikkének 2. pontjában említett információkat.</w:t>
      </w:r>
      <w:r>
        <w:rPr>
          <w:sz w:val="24"/>
          <w:color w:val="000000" w:themeColor="text1"/>
          <w:rFonts w:ascii="Times New Roman" w:hAnsi="Times New Roman"/>
        </w:rPr>
        <w:t xml:space="preserve"> </w:t>
      </w:r>
      <w:r>
        <w:rPr>
          <w:sz w:val="24"/>
          <w:color w:val="auto"/>
          <w:rFonts w:ascii="Times New Roman" w:hAnsi="Times New Roman"/>
        </w:rPr>
        <w:t xml:space="preserve">Az intézmények ebben a táblában nem tüntetik fel a belső kockázatátruházási részlegükre ((IRT-részlegükre) vonatkozó adatokat.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Jogszabályi hivatkozások és útmutató</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Sor száma</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b/>
                <w:sz w:val="24"/>
                <w:rFonts w:ascii="Times New Roman" w:hAnsi="Times New Roman" w:cs="Times New Roman"/>
              </w:rPr>
            </w:pPr>
            <w:r>
              <w:rPr>
                <w:b/>
                <w:sz w:val="24"/>
                <w:rFonts w:ascii="Times New Roman" w:hAnsi="Times New Roman"/>
              </w:rPr>
              <w:t xml:space="preserve">Magyarázat</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sz w:val="24"/>
                <w:rFonts w:ascii="Times New Roman" w:eastAsia="Times New Roman" w:hAnsi="Times New Roman" w:cs="Times New Roman"/>
              </w:rPr>
            </w:pPr>
            <w:r>
              <w:rPr>
                <w:sz w:val="24"/>
                <w:rFonts w:ascii="Times New Roman" w:hAnsi="Times New Roman"/>
              </w:rPr>
              <w:t xml:space="preserve">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AA44B0" w:rsidRDefault="42390ABD" w:rsidP="4A0450B5">
            <w:pPr>
              <w:rPr>
                <w:b/>
                <w:bCs/>
                <w:sz w:val="24"/>
                <w:rFonts w:ascii="Times New Roman" w:eastAsia="Times New Roman" w:hAnsi="Times New Roman" w:cs="Times New Roman"/>
              </w:rPr>
            </w:pPr>
            <w:r>
              <w:rPr>
                <w:b/>
                <w:sz w:val="24"/>
                <w:rFonts w:ascii="Times New Roman" w:hAnsi="Times New Roman"/>
              </w:rPr>
              <w:t xml:space="preserve">Korlátozás nélküli várható többletveszteség-mérték (UESt)</w:t>
            </w:r>
          </w:p>
          <w:p w14:paraId="1E53AB6F" w14:textId="2D37B3D8" w:rsidR="3E91330B" w:rsidRPr="00DB0A49" w:rsidRDefault="3BB31265" w:rsidP="140F9DE1">
            <w:pPr>
              <w:rPr>
                <w:sz w:val="24"/>
                <w:rFonts w:ascii="Times New Roman" w:eastAsia="Times New Roman" w:hAnsi="Times New Roman" w:cs="Times New Roman"/>
              </w:rPr>
            </w:pPr>
            <w:r>
              <w:rPr>
                <w:sz w:val="24"/>
                <w:rFonts w:ascii="Times New Roman" w:hAnsi="Times New Roman"/>
              </w:rPr>
              <w:t xml:space="preserve">A megadott értéket az 575/2013/EU rendelet 325bb. és 325bc. cikkével összhangban a teljes portfólió szintjén kell kiszámítani, és nem valamely tág kockázati kategória szintjén.</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sz w:val="24"/>
                <w:rFonts w:ascii="Times New Roman" w:eastAsia="Times New Roman" w:hAnsi="Times New Roman" w:cs="Times New Roman"/>
              </w:rPr>
            </w:pPr>
            <w:r>
              <w:rPr>
                <w:sz w:val="24"/>
                <w:rFonts w:ascii="Times New Roman" w:hAnsi="Times New Roman"/>
              </w:rPr>
              <w:t xml:space="preserve">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AA44B0" w:rsidRDefault="3B3426CC" w:rsidP="4A0450B5">
            <w:pPr>
              <w:rPr>
                <w:b/>
                <w:bCs/>
                <w:sz w:val="24"/>
                <w:rFonts w:ascii="Times New Roman" w:eastAsia="Times New Roman" w:hAnsi="Times New Roman" w:cs="Times New Roman"/>
              </w:rPr>
            </w:pPr>
            <w:r>
              <w:rPr>
                <w:b/>
                <w:sz w:val="24"/>
                <w:rFonts w:ascii="Times New Roman" w:hAnsi="Times New Roman"/>
              </w:rPr>
              <w:t xml:space="preserve">Korlátozás nélküli várható többletveszteség-mérték a kamatláb kockázatitényező-kategória esetében</w:t>
            </w:r>
          </w:p>
          <w:p w14:paraId="39E48A15" w14:textId="5243BB2A" w:rsidR="40EE3118" w:rsidRPr="00DB0A49" w:rsidRDefault="749F8553" w:rsidP="0BE40342">
            <w:pPr>
              <w:rPr>
                <w:sz w:val="24"/>
                <w:rFonts w:ascii="Times New Roman" w:eastAsia="Times New Roman" w:hAnsi="Times New Roman" w:cs="Times New Roman"/>
              </w:rPr>
            </w:pPr>
            <w:r>
              <w:rPr>
                <w:sz w:val="24"/>
                <w:rFonts w:ascii="Times New Roman" w:hAnsi="Times New Roman"/>
              </w:rPr>
              <w:t xml:space="preserve">A megadott értéket az 575/2013/EU rendelet 325bb., 325bc. és 325bd. cikkével összhangban a kamatlábkockázati kategória kockázati tényezőire vonatkozóan kell kiszámítani.</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sz w:val="24"/>
                <w:rFonts w:ascii="Times New Roman" w:eastAsia="Times New Roman" w:hAnsi="Times New Roman" w:cs="Times New Roman"/>
              </w:rPr>
            </w:pPr>
            <w:r>
              <w:rPr>
                <w:sz w:val="24"/>
                <w:rFonts w:ascii="Times New Roman" w:hAnsi="Times New Roman"/>
              </w:rPr>
              <w:t xml:space="preserve">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32D0F810" w:rsidR="00234F41" w:rsidRPr="00AA44B0" w:rsidRDefault="471075D0" w:rsidP="140F9DE1">
            <w:pPr>
              <w:rPr>
                <w:b/>
                <w:bCs/>
                <w:sz w:val="24"/>
                <w:rFonts w:ascii="Times New Roman" w:eastAsia="Times New Roman" w:hAnsi="Times New Roman" w:cs="Times New Roman"/>
              </w:rPr>
            </w:pPr>
            <w:r>
              <w:rPr>
                <w:sz w:val="24"/>
                <w:b/>
                <w:rFonts w:ascii="Times New Roman" w:hAnsi="Times New Roman"/>
              </w:rPr>
              <w:t xml:space="preserve">Korlátozás nélküli várható többletveszteség-mérték a részvény kockázatitényező-kategória esetében</w:t>
            </w:r>
            <w:r>
              <w:rPr>
                <w:sz w:val="24"/>
                <w:rFonts w:ascii="Times New Roman" w:hAnsi="Times New Roman"/>
              </w:rPr>
              <w:t xml:space="preserve">  </w:t>
            </w:r>
          </w:p>
          <w:p w14:paraId="4E1BA488" w14:textId="705548F0" w:rsidR="00234F41" w:rsidRPr="00DB0A49" w:rsidRDefault="7A25B94F" w:rsidP="140F9DE1">
            <w:pPr>
              <w:rPr>
                <w:b/>
                <w:bCs/>
                <w:color w:val="444444"/>
                <w:sz w:val="24"/>
                <w:rFonts w:ascii="Times New Roman" w:eastAsia="Times New Roman" w:hAnsi="Times New Roman" w:cs="Times New Roman"/>
              </w:rPr>
            </w:pPr>
            <w:r>
              <w:rPr>
                <w:sz w:val="24"/>
                <w:rFonts w:ascii="Times New Roman" w:hAnsi="Times New Roman"/>
              </w:rPr>
              <w:t xml:space="preserve">A megadott értéket az 575/2013/EU rendelet 325bb., 325bc. és 325bd. cikkével összhangban a részvénypiaci kockázati kategória kockázati tényezőire vonatkozóan kell kiszámítani.</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sz w:val="24"/>
                <w:rFonts w:ascii="Times New Roman" w:eastAsia="Times New Roman" w:hAnsi="Times New Roman" w:cs="Times New Roman"/>
              </w:rPr>
            </w:pPr>
            <w:r>
              <w:rPr>
                <w:sz w:val="24"/>
                <w:rFonts w:ascii="Times New Roman" w:hAnsi="Times New Roman"/>
              </w:rPr>
              <w:t xml:space="preserve">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sz w:val="24"/>
                <w:rFonts w:ascii="Times New Roman" w:eastAsia="Times New Roman" w:hAnsi="Times New Roman" w:cs="Times New Roman"/>
              </w:rPr>
            </w:pPr>
            <w:r>
              <w:rPr>
                <w:sz w:val="24"/>
                <w:b/>
                <w:rFonts w:ascii="Times New Roman" w:hAnsi="Times New Roman"/>
              </w:rPr>
              <w:t xml:space="preserve">Korlátozás nélküli várható többletveszteség-mérték az áru kockázatitényező-kategória esetében</w:t>
            </w:r>
            <w:r>
              <w:rPr>
                <w:sz w:val="24"/>
                <w:rFonts w:ascii="Times New Roman" w:hAnsi="Times New Roman"/>
              </w:rPr>
              <w:t xml:space="preserve"> </w:t>
            </w:r>
          </w:p>
          <w:p w14:paraId="70BA8462" w14:textId="47AECB7A" w:rsidR="00B86E1A" w:rsidRPr="00DB0A49" w:rsidRDefault="05EA5842" w:rsidP="140F9DE1">
            <w:pPr>
              <w:rPr>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A megadott értéket az 575/2013/EU rendelet 325bb., 325bc. és 325bd. cikkével összhangban az árukockázati kategória kockázati tényezőire vonatkozóan kell kiszámítani.</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sz w:val="24"/>
                <w:rFonts w:ascii="Times New Roman" w:eastAsia="Times New Roman" w:hAnsi="Times New Roman" w:cs="Times New Roman"/>
              </w:rPr>
            </w:pPr>
            <w:r>
              <w:rPr>
                <w:sz w:val="24"/>
                <w:rFonts w:ascii="Times New Roman" w:hAnsi="Times New Roman"/>
              </w:rPr>
              <w:t xml:space="preserve">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AA44B0" w:rsidRDefault="12ADB0E7" w:rsidP="140F9DE1">
            <w:pPr>
              <w:rPr>
                <w:b/>
                <w:bCs/>
                <w:sz w:val="24"/>
                <w:rFonts w:ascii="Times New Roman" w:eastAsia="Times New Roman" w:hAnsi="Times New Roman" w:cs="Times New Roman"/>
              </w:rPr>
            </w:pPr>
            <w:r>
              <w:rPr>
                <w:b/>
                <w:sz w:val="24"/>
                <w:rFonts w:ascii="Times New Roman" w:hAnsi="Times New Roman"/>
              </w:rPr>
              <w:t xml:space="preserve">Korlátozás nélküli várható többletveszteség-mérték a devizaárfolyam kockázatitényező-kategória esetében</w:t>
            </w:r>
          </w:p>
          <w:p w14:paraId="1880B223" w14:textId="34F16589" w:rsidR="002F3022" w:rsidRPr="00DB0A49" w:rsidRDefault="1F3BA536" w:rsidP="140F9DE1">
            <w:pPr>
              <w:rPr>
                <w:sz w:val="24"/>
                <w:rFonts w:ascii="Times New Roman" w:eastAsia="Times New Roman" w:hAnsi="Times New Roman" w:cs="Times New Roman"/>
              </w:rPr>
            </w:pPr>
            <w:r>
              <w:rPr>
                <w:sz w:val="24"/>
                <w:b/>
                <w:color w:val="444444"/>
                <w:rFonts w:ascii="Times New Roman" w:hAnsi="Times New Roman"/>
              </w:rPr>
              <w:t xml:space="preserve"> </w:t>
            </w:r>
            <w:r>
              <w:rPr>
                <w:sz w:val="24"/>
                <w:rFonts w:ascii="Times New Roman" w:hAnsi="Times New Roman"/>
              </w:rPr>
              <w:t xml:space="preserve"> </w:t>
            </w:r>
            <w:r>
              <w:rPr>
                <w:sz w:val="24"/>
                <w:rFonts w:ascii="Times New Roman" w:hAnsi="Times New Roman"/>
              </w:rPr>
              <w:t xml:space="preserve">A megadott értéket az 575/2013/EU rendelet 325bb., 325bc. és 325bd. cikkével összhangban a devizaárfolyam-kockázati kategória kockázati tényezőire vonatkozóan kell kiszámítani.</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sz w:val="24"/>
                <w:rFonts w:ascii="Times New Roman" w:eastAsia="Times New Roman" w:hAnsi="Times New Roman" w:cs="Times New Roman"/>
              </w:rPr>
            </w:pPr>
            <w:r>
              <w:rPr>
                <w:sz w:val="24"/>
                <w:rFonts w:ascii="Times New Roman" w:hAnsi="Times New Roman"/>
              </w:rPr>
              <w:t xml:space="preserve">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AA44B0" w:rsidRDefault="00234F41" w:rsidP="00234F41">
            <w:pPr>
              <w:rPr>
                <w:sz w:val="24"/>
                <w:rFonts w:ascii="Times New Roman" w:eastAsia="Times New Roman" w:hAnsi="Times New Roman" w:cs="Times New Roman"/>
              </w:rPr>
            </w:pPr>
            <w:r>
              <w:rPr>
                <w:b/>
                <w:sz w:val="24"/>
                <w:rFonts w:ascii="Times New Roman" w:hAnsi="Times New Roman"/>
              </w:rPr>
              <w:t xml:space="preserve">Korlátozás nélküli várható többletveszteség-mérték a hitelfelár kockázatitényező-kategória esetében</w:t>
            </w:r>
            <w:r>
              <w:rPr>
                <w:b/>
                <w:sz w:val="24"/>
                <w:rFonts w:ascii="Times New Roman" w:hAnsi="Times New Roman"/>
              </w:rPr>
              <w:t xml:space="preserve"> </w:t>
            </w:r>
          </w:p>
          <w:p w14:paraId="5C567B92" w14:textId="2263B6AC" w:rsidR="00234F41" w:rsidRPr="00DB0A49" w:rsidRDefault="79641B5E" w:rsidP="140F9DE1">
            <w:pPr>
              <w:rPr>
                <w:sz w:val="24"/>
                <w:rFonts w:ascii="Times New Roman" w:eastAsia="Times New Roman" w:hAnsi="Times New Roman" w:cs="Times New Roman"/>
              </w:rPr>
            </w:pPr>
            <w:r>
              <w:rPr>
                <w:sz w:val="24"/>
                <w:rFonts w:ascii="Times New Roman" w:hAnsi="Times New Roman"/>
              </w:rPr>
              <w:t xml:space="preserve">A megadott értéket az 575/2013/EU rendelet 325bb., 325bc. és 325bd. cikkével összhangban a hitelfelár-kockázati kategória kockázati tényezőire vonatkozóan kell kiszámítani.</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sz w:val="24"/>
                <w:rFonts w:ascii="Times New Roman" w:eastAsia="Times New Roman" w:hAnsi="Times New Roman" w:cs="Times New Roman"/>
              </w:rPr>
            </w:pPr>
            <w:r>
              <w:rPr>
                <w:sz w:val="24"/>
                <w:rFonts w:ascii="Times New Roman" w:hAnsi="Times New Roman"/>
              </w:rPr>
              <w:t xml:space="preserve">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77777777" w:rsidR="00AA44B0" w:rsidRPr="00AA44B0" w:rsidRDefault="471075D0" w:rsidP="140F9DE1">
            <w:pPr>
              <w:rPr>
                <w:sz w:val="24"/>
                <w:rFonts w:ascii="Times New Roman" w:eastAsia="Times New Roman" w:hAnsi="Times New Roman" w:cs="Times New Roman"/>
              </w:rPr>
            </w:pPr>
            <w:r>
              <w:rPr>
                <w:sz w:val="24"/>
                <w:b/>
                <w:bCs/>
                <w:rFonts w:ascii="Times New Roman" w:hAnsi="Times New Roman"/>
              </w:rPr>
              <w:t xml:space="preserve">A korlátozás nélküli várható többletveszteség-mérték összege az egyes tág kockázatitényező-kategóriák esetében</w:t>
            </w:r>
            <w:r>
              <w:rPr>
                <w:sz w:val="24"/>
                <w:rFonts w:ascii="Times New Roman" w:hAnsi="Times New Roman"/>
              </w:rPr>
              <w:t xml:space="preserve"> (∑UES</w:t>
            </w:r>
            <w:r>
              <w:rPr>
                <w:sz w:val="24"/>
                <w:vertAlign w:val="superscript"/>
                <w:rFonts w:ascii="Times New Roman" w:hAnsi="Times New Roman"/>
              </w:rPr>
              <w:t xml:space="preserve">i</w:t>
            </w:r>
            <w:r>
              <w:rPr>
                <w:sz w:val="24"/>
                <w:vertAlign w:val="subscript"/>
                <w:rFonts w:ascii="Times New Roman" w:hAnsi="Times New Roman"/>
              </w:rPr>
              <w:t xml:space="preserve">t</w:t>
            </w:r>
            <w:r>
              <w:rPr>
                <w:sz w:val="24"/>
                <w:rFonts w:ascii="Times New Roman" w:hAnsi="Times New Roman"/>
              </w:rPr>
              <w:t xml:space="preserve">)</w:t>
            </w:r>
            <w:r>
              <w:rPr>
                <w:sz w:val="24"/>
                <w:rFonts w:ascii="Times New Roman" w:hAnsi="Times New Roman"/>
              </w:rPr>
              <w:t xml:space="preserve"> </w:t>
            </w:r>
          </w:p>
          <w:p w14:paraId="014CC777" w14:textId="17C0E236" w:rsidR="00234F41" w:rsidRPr="00AA44B0" w:rsidRDefault="00F80764" w:rsidP="140F9DE1">
            <w:pPr>
              <w:rPr>
                <w:sz w:val="24"/>
                <w:rFonts w:ascii="Times New Roman" w:eastAsia="Times New Roman" w:hAnsi="Times New Roman" w:cs="Times New Roman"/>
              </w:rPr>
            </w:pPr>
            <w:r>
              <w:rPr>
                <w:sz w:val="24"/>
                <w:rFonts w:ascii="Times New Roman" w:hAnsi="Times New Roman"/>
              </w:rPr>
              <w:t xml:space="preserve">A 2–6. sor összege.</w:t>
            </w:r>
          </w:p>
          <w:p w14:paraId="0D4B3B7E" w14:textId="0C505591" w:rsidR="00234F41" w:rsidRPr="00DB0A49" w:rsidRDefault="00234F41" w:rsidP="140F9DE1">
            <w:pPr>
              <w:rPr>
                <w:rFonts w:ascii="Times New Roman" w:eastAsia="Times New Roman" w:hAnsi="Times New Roman" w:cs="Times New Roman"/>
                <w:color w:val="444444"/>
                <w:sz w:val="24"/>
              </w:rPr>
            </w:pP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sz w:val="24"/>
                <w:rFonts w:ascii="Times New Roman" w:eastAsia="Times New Roman" w:hAnsi="Times New Roman" w:cs="Times New Roman"/>
              </w:rPr>
            </w:pPr>
            <w:r>
              <w:rPr>
                <w:sz w:val="24"/>
                <w:rFonts w:ascii="Times New Roman" w:hAnsi="Times New Roman"/>
              </w:rPr>
              <w:t xml:space="preserve">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44B0" w:rsidRDefault="00234F41" w:rsidP="00234F41">
            <w:pPr>
              <w:rPr>
                <w:b/>
                <w:bCs/>
                <w:sz w:val="24"/>
                <w:rFonts w:ascii="Times New Roman" w:eastAsia="Times New Roman" w:hAnsi="Times New Roman" w:cs="Times New Roman"/>
              </w:rPr>
            </w:pPr>
            <w:r>
              <w:rPr>
                <w:b/>
                <w:sz w:val="24"/>
                <w:rFonts w:ascii="Times New Roman" w:hAnsi="Times New Roman"/>
              </w:rPr>
              <w:t xml:space="preserve">Várható többletveszteség-mérték (ES</w:t>
            </w:r>
            <w:r>
              <w:rPr>
                <w:b/>
                <w:sz w:val="24"/>
                <w:vertAlign w:val="subscript"/>
                <w:rFonts w:ascii="Times New Roman" w:hAnsi="Times New Roman"/>
              </w:rPr>
              <w:t xml:space="preserve">t</w:t>
            </w:r>
            <w:r>
              <w:rPr>
                <w:b/>
                <w:sz w:val="24"/>
                <w:rFonts w:ascii="Times New Roman" w:hAnsi="Times New Roman"/>
              </w:rPr>
              <w:t xml:space="preserve">)</w:t>
            </w:r>
          </w:p>
          <w:p w14:paraId="3985A7B9" w14:textId="37C4DB19" w:rsidR="00234F41" w:rsidRPr="00DB0A49" w:rsidRDefault="5D2FC7FD" w:rsidP="140F9DE1">
            <w:pPr>
              <w:rPr>
                <w:sz w:val="24"/>
                <w:rFonts w:ascii="Times New Roman" w:eastAsia="Times New Roman" w:hAnsi="Times New Roman" w:cs="Times New Roman"/>
              </w:rPr>
            </w:pPr>
            <w:r>
              <w:rPr>
                <w:sz w:val="24"/>
                <w:rFonts w:ascii="Times New Roman" w:hAnsi="Times New Roman"/>
              </w:rPr>
              <w:t xml:space="preserve">A várható többletveszteség kockázati mértékét az 575/2013/EU rendelet 325ba. cikke (1) bekezdése a) pontjának i. alpontjával összhangban kell kiszámítani.</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44B0" w:rsidRDefault="00234F41" w:rsidP="00234F41">
            <w:pPr>
              <w:rPr>
                <w:b/>
                <w:bCs/>
                <w:sz w:val="24"/>
                <w:rFonts w:ascii="Times New Roman" w:eastAsia="Times New Roman" w:hAnsi="Times New Roman" w:cs="Times New Roman"/>
              </w:rPr>
            </w:pPr>
            <w:r>
              <w:rPr>
                <w:b/>
                <w:sz w:val="24"/>
                <w:rFonts w:ascii="Times New Roman" w:hAnsi="Times New Roman"/>
              </w:rPr>
              <w:t xml:space="preserve">Stresszforgatókönyv szerinti kockázati mérték (SS</w:t>
            </w:r>
            <w:r>
              <w:rPr>
                <w:b/>
                <w:sz w:val="24"/>
                <w:vertAlign w:val="subscript"/>
                <w:rFonts w:ascii="Times New Roman" w:hAnsi="Times New Roman"/>
              </w:rPr>
              <w:t xml:space="preserve">t</w:t>
            </w:r>
            <w:r>
              <w:rPr>
                <w:b/>
                <w:sz w:val="24"/>
                <w:rFonts w:ascii="Times New Roman" w:hAnsi="Times New Roman"/>
              </w:rPr>
              <w:t xml:space="preserve">)</w:t>
            </w:r>
          </w:p>
          <w:p w14:paraId="1A984573" w14:textId="59113B26" w:rsidR="00234F41" w:rsidRPr="00DB0A49" w:rsidRDefault="060F6C17" w:rsidP="140F9DE1">
            <w:pPr>
              <w:rPr>
                <w:sz w:val="24"/>
                <w:rFonts w:ascii="Times New Roman" w:eastAsia="Times New Roman" w:hAnsi="Times New Roman" w:cs="Times New Roman"/>
              </w:rPr>
            </w:pPr>
            <w:r>
              <w:rPr>
                <w:sz w:val="24"/>
                <w:rFonts w:ascii="Times New Roman" w:hAnsi="Times New Roman"/>
              </w:rPr>
              <w:t xml:space="preserve">A stresszforgatókönyv szerinti kockázati mértéket az 575/2013/EU rendelet 325ba. cikke (1) bekezdése a) pontjának ii. alpontjával összhangban kell kiszámítani.</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44B0" w:rsidRDefault="00234F41" w:rsidP="00234F41">
            <w:pPr>
              <w:rPr>
                <w:b/>
                <w:bCs/>
                <w:sz w:val="24"/>
                <w:rFonts w:ascii="Times New Roman" w:eastAsia="Times New Roman" w:hAnsi="Times New Roman" w:cs="Times New Roman"/>
              </w:rPr>
            </w:pPr>
            <w:r>
              <w:rPr>
                <w:b/>
                <w:sz w:val="24"/>
                <w:rFonts w:ascii="Times New Roman" w:hAnsi="Times New Roman"/>
              </w:rPr>
              <w:t xml:space="preserve">Nemteljesítési kockázatra vonatkozó tőkekövetelmény (DRC</w:t>
            </w:r>
            <w:r>
              <w:rPr>
                <w:b/>
                <w:sz w:val="24"/>
                <w:vertAlign w:val="subscript"/>
                <w:rFonts w:ascii="Times New Roman" w:hAnsi="Times New Roman"/>
              </w:rPr>
              <w:t xml:space="preserve">t</w:t>
            </w:r>
            <w:r>
              <w:rPr>
                <w:b/>
                <w:sz w:val="24"/>
                <w:rFonts w:ascii="Times New Roman" w:hAnsi="Times New Roman"/>
              </w:rPr>
              <w:t xml:space="preserve">)</w:t>
            </w:r>
          </w:p>
          <w:p w14:paraId="0AF5675B" w14:textId="1F8133B2" w:rsidR="00234F41" w:rsidRPr="00DB0A49" w:rsidRDefault="654BF7D8" w:rsidP="140F9DE1">
            <w:pPr>
              <w:rPr>
                <w:sz w:val="24"/>
                <w:rFonts w:ascii="Times New Roman" w:eastAsia="Times New Roman" w:hAnsi="Times New Roman" w:cs="Times New Roman"/>
              </w:rPr>
            </w:pPr>
            <w:r>
              <w:rPr>
                <w:sz w:val="24"/>
                <w:rFonts w:ascii="Times New Roman" w:hAnsi="Times New Roman"/>
              </w:rPr>
              <w:t xml:space="preserve">A nemteljesítési kockázatra vonatkozó tőkekövetelményt az 575/2013/EU rendelet 325ba. cikke (2) bekezdésének a) pontjával összhangban kell kiszámítani.</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44B0" w:rsidRDefault="1AC2462E">
            <w:pPr>
              <w:rPr>
                <w:b/>
                <w:bCs/>
                <w:sz w:val="24"/>
                <w:rFonts w:ascii="Times New Roman" w:eastAsia="Times New Roman" w:hAnsi="Times New Roman" w:cs="Times New Roman"/>
              </w:rPr>
            </w:pPr>
            <w:r>
              <w:rPr>
                <w:b/>
                <w:sz w:val="24"/>
                <w:rFonts w:ascii="Times New Roman" w:hAnsi="Times New Roman"/>
              </w:rPr>
              <w:t xml:space="preserve">PLAaddon</w:t>
            </w:r>
          </w:p>
          <w:p w14:paraId="72CEFFB9" w14:textId="21DFFB57" w:rsidR="00234F41" w:rsidRPr="00DB0A49" w:rsidRDefault="471075D0" w:rsidP="140F9DE1">
            <w:pPr>
              <w:rPr>
                <w:sz w:val="24"/>
                <w:rFonts w:ascii="Times New Roman" w:eastAsia="Times New Roman" w:hAnsi="Times New Roman" w:cs="Times New Roman"/>
              </w:rPr>
            </w:pPr>
            <w:r>
              <w:rPr>
                <w:sz w:val="24"/>
                <w:rFonts w:ascii="Times New Roman" w:hAnsi="Times New Roman"/>
              </w:rPr>
              <w:t xml:space="preserve">Ezt az értéket az 575/2013/EU rendelet 325ba. cikkének (3) bekezdésével összhangban kell kiszámítani, összefüggésben az (EU) 2022/2059 rendelet 10. cikkének (1) bekezdésével.</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AA44B0" w:rsidRDefault="11A57A2D" w:rsidP="140F9DE1">
            <w:pPr>
              <w:rPr>
                <w:b/>
                <w:bCs/>
                <w:sz w:val="24"/>
                <w:rFonts w:ascii="Times New Roman" w:hAnsi="Times New Roman" w:cs="Times New Roman"/>
              </w:rPr>
            </w:pPr>
            <w:r>
              <w:rPr>
                <w:b/>
                <w:sz w:val="24"/>
                <w:rFonts w:ascii="Times New Roman" w:hAnsi="Times New Roman"/>
              </w:rPr>
              <w:t xml:space="preserve">A mérleg szerinti és mérlegen kívüli üzleti tevékenységek szavatolótőke-követelménye plusz Plaaddon (AIMA + PLAaddon)</w:t>
            </w:r>
          </w:p>
          <w:p w14:paraId="595AB2F9" w14:textId="23FB87CE" w:rsidR="00234F41" w:rsidRPr="00DB0A49" w:rsidRDefault="00234F41" w:rsidP="00234F41">
            <w:pPr>
              <w:rPr>
                <w:sz w:val="24"/>
                <w:rFonts w:ascii="Times New Roman" w:eastAsia="Times New Roman" w:hAnsi="Times New Roman" w:cs="Times New Roman"/>
              </w:rPr>
            </w:pPr>
            <w:r>
              <w:rPr>
                <w:sz w:val="24"/>
                <w:rFonts w:ascii="Times New Roman" w:hAnsi="Times New Roman"/>
              </w:rPr>
              <w:t xml:space="preserve">Ezt az értéket az (EU) 2022/2059 rendelet 10. cikkének (1) bekezdésével összhangban kell kiszámítani.</w:t>
            </w:r>
            <w:r>
              <w:rPr>
                <w:sz w:val="24"/>
                <w:rFonts w:ascii="Times New Roman" w:hAnsi="Times New Roman"/>
              </w:rPr>
              <w:t xml:space="preserve"> </w:t>
            </w:r>
            <w:r>
              <w:rPr>
                <w:sz w:val="24"/>
                <w:rFonts w:ascii="Times New Roman" w:hAnsi="Times New Roman"/>
              </w:rPr>
              <w:t xml:space="preserve">Hozzá kell adni a 11. sor értékét.</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sz w:val="24"/>
                <w:rFonts w:ascii="Times New Roman" w:eastAsia="Times New Roman" w:hAnsi="Times New Roman" w:cs="Times New Roman"/>
              </w:rPr>
            </w:pPr>
            <w:r>
              <w:rPr>
                <w:b/>
                <w:sz w:val="24"/>
                <w:rFonts w:ascii="Times New Roman" w:hAnsi="Times New Roman"/>
              </w:rPr>
              <w:t xml:space="preserve">Az AIMA használatára nem jogosult kereskedési részlegek teljes ASA szerinti szavatolótőke-követelménye (ASAnon-aima)</w:t>
            </w:r>
          </w:p>
          <w:p w14:paraId="010A62FB" w14:textId="286F0BA2" w:rsidR="00234F41" w:rsidRPr="00DB0A49" w:rsidRDefault="11B9774E" w:rsidP="140F9DE1">
            <w:pPr>
              <w:rPr>
                <w:color w:val="444444"/>
                <w:sz w:val="24"/>
                <w:rFonts w:ascii="Times New Roman" w:eastAsia="Times New Roman" w:hAnsi="Times New Roman" w:cs="Times New Roman"/>
              </w:rPr>
            </w:pPr>
            <w:r>
              <w:rPr>
                <w:sz w:val="24"/>
                <w:rFonts w:ascii="Times New Roman" w:hAnsi="Times New Roman"/>
              </w:rPr>
              <w:t xml:space="preserve">Ezt az értéket az 575/2013/EU rendelet 325ba. cikkének (3) bekezdésével összhangban kell kiszámítani.</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44B0" w:rsidRDefault="471075D0" w:rsidP="140F9DE1">
            <w:pPr>
              <w:rPr>
                <w:b/>
                <w:bCs/>
                <w:sz w:val="24"/>
                <w:rFonts w:ascii="Times New Roman" w:eastAsia="Times New Roman" w:hAnsi="Times New Roman" w:cs="Times New Roman"/>
              </w:rPr>
            </w:pPr>
            <w:r>
              <w:rPr>
                <w:b/>
                <w:sz w:val="24"/>
                <w:rFonts w:ascii="Times New Roman" w:hAnsi="Times New Roman"/>
              </w:rPr>
              <w:t xml:space="preserve">Az AIMA és az ASA szerinti szavatolótőke-követelmények különbsége az AIMA hatálya alá tartozó kereskedési részlegek esetében (AIMA – ASAaima)</w:t>
            </w:r>
          </w:p>
          <w:p w14:paraId="326E0483" w14:textId="73A09039" w:rsidR="00234F41" w:rsidRPr="00DB0A49" w:rsidRDefault="471075D0" w:rsidP="140F9DE1">
            <w:pPr>
              <w:rPr>
                <w:sz w:val="24"/>
                <w:rFonts w:ascii="Times New Roman" w:eastAsia="Times New Roman" w:hAnsi="Times New Roman" w:cs="Times New Roman"/>
              </w:rPr>
            </w:pPr>
            <w:r>
              <w:rPr>
                <w:sz w:val="24"/>
                <w:rFonts w:ascii="Times New Roman" w:hAnsi="Times New Roman"/>
              </w:rPr>
              <w:t xml:space="preserve">Ezt az értéket az AIMA-részlegek AIMA szerinti szavatolótőke-követelményei (az (EU) 2022/2059 rendelet 10. cikkének (1) bekezdése) és az összes AIMA-részleg ASA szerinti szavatolótőke-követelményeinek értéke (portfóliónézet) közötti különbségként kell kiszámítani (az (EU) 2022/2059 rendelet 10. cikkének (1) bekezdése).</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sz w:val="24"/>
                <w:rFonts w:ascii="Times New Roman" w:eastAsia="Times New Roman" w:hAnsi="Times New Roman" w:cs="Times New Roman"/>
              </w:rPr>
            </w:pPr>
            <w:r>
              <w:rPr>
                <w:b/>
                <w:sz w:val="24"/>
                <w:rFonts w:ascii="Times New Roman" w:hAnsi="Times New Roman"/>
              </w:rPr>
              <w:t xml:space="preserve">Az ASA szerinti szavatolótőke-követelmény valamennyi kereskedési részleg esetében (beleértve az AIMA hatálya alá tartozókat is) (ASAall-portfólió)</w:t>
            </w:r>
          </w:p>
          <w:p w14:paraId="7232E72B" w14:textId="0064FE14" w:rsidR="00234F41" w:rsidRPr="00DB0A49" w:rsidRDefault="3A829CD0" w:rsidP="140F9DE1">
            <w:pPr>
              <w:rPr>
                <w:color w:val="444444"/>
                <w:sz w:val="24"/>
                <w:rFonts w:ascii="Times New Roman" w:eastAsia="Times New Roman" w:hAnsi="Times New Roman" w:cs="Times New Roman"/>
              </w:rPr>
            </w:pPr>
            <w:r>
              <w:rPr>
                <w:sz w:val="24"/>
                <w:rFonts w:ascii="Times New Roman" w:hAnsi="Times New Roman"/>
              </w:rPr>
              <w:t xml:space="preserve">Ezt az értéket az 575/2013/EU rendelet 325ba. cikkének (3) bekezdésével összhangban kell kiszámítani.</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sz w:val="24"/>
                <w:rFonts w:ascii="Times New Roman" w:eastAsia="Times New Roman" w:hAnsi="Times New Roman" w:cs="Times New Roman"/>
              </w:rPr>
            </w:pPr>
            <w:r>
              <w:rPr>
                <w:sz w:val="24"/>
                <w:rFonts w:ascii="Times New Roman" w:hAnsi="Times New Roman"/>
              </w:rPr>
              <w:t xml:space="preserve">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FE3752" w:rsidRDefault="471075D0" w:rsidP="3821DFBC">
            <w:pPr>
              <w:rPr>
                <w:b/>
                <w:bCs/>
                <w:sz w:val="24"/>
                <w:rFonts w:ascii="Times New Roman" w:eastAsia="Times New Roman" w:hAnsi="Times New Roman" w:cs="Times New Roman"/>
              </w:rPr>
            </w:pPr>
            <w:r>
              <w:rPr>
                <w:b/>
                <w:sz w:val="24"/>
                <w:rFonts w:ascii="Times New Roman" w:hAnsi="Times New Roman"/>
              </w:rPr>
              <w:t xml:space="preserve">Az AIMA szerinti szavatolótőke-követelmény összesen (AIMA összesen)</w:t>
            </w:r>
          </w:p>
          <w:p w14:paraId="11A40A93" w14:textId="2A4DA65C" w:rsidR="00234F41" w:rsidRPr="00DB0A49" w:rsidRDefault="7D4B7A18" w:rsidP="3821DFBC">
            <w:pPr>
              <w:rPr>
                <w:color w:val="444444"/>
                <w:sz w:val="24"/>
                <w:rFonts w:ascii="Times New Roman" w:eastAsia="Times New Roman" w:hAnsi="Times New Roman" w:cs="Times New Roman"/>
              </w:rPr>
            </w:pPr>
            <w:r>
              <w:rPr>
                <w:sz w:val="24"/>
                <w:rFonts w:ascii="Times New Roman" w:hAnsi="Times New Roman"/>
              </w:rPr>
              <w:t xml:space="preserve">Ezt az értéket az 575/2013/EU rendelet 325ba. cikkének (3) bekezdésével összhangban kell kiszámítani.</w:t>
            </w:r>
            <w:r>
              <w:rPr>
                <w:sz w:val="24"/>
                <w:rFonts w:ascii="Times New Roman" w:hAnsi="Times New Roman"/>
              </w:rPr>
              <w:t xml:space="preserve"> </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b/>
                <w:sz w:val="24"/>
                <w:rFonts w:ascii="Times New Roman" w:hAnsi="Times New Roman" w:cs="Times New Roman"/>
              </w:rPr>
            </w:pPr>
            <w:r>
              <w:rPr>
                <w:b/>
                <w:sz w:val="24"/>
                <w:rFonts w:ascii="Times New Roman" w:hAnsi="Times New Roman"/>
              </w:rPr>
              <w:t xml:space="preserve">Oszlop betűjele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b/>
                <w:sz w:val="24"/>
                <w:rFonts w:ascii="Times New Roman" w:hAnsi="Times New Roman" w:cs="Times New Roman"/>
              </w:rPr>
            </w:pPr>
            <w:r>
              <w:rPr>
                <w:b/>
                <w:sz w:val="24"/>
                <w:rFonts w:ascii="Times New Roman" w:hAnsi="Times New Roman"/>
              </w:rPr>
              <w:t xml:space="preserve">Magyarázat</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sz w:val="24"/>
                <w:rFonts w:ascii="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6299B921" w:rsidR="00234F41" w:rsidRPr="00DB0A49" w:rsidRDefault="00234F41" w:rsidP="00234F41">
            <w:pPr>
              <w:rPr>
                <w:sz w:val="24"/>
                <w:rFonts w:ascii="Times New Roman" w:hAnsi="Times New Roman" w:cs="Times New Roman"/>
              </w:rPr>
            </w:pPr>
            <w:r>
              <w:rPr>
                <w:sz w:val="24"/>
                <w:rFonts w:ascii="Times New Roman" w:hAnsi="Times New Roman"/>
              </w:rPr>
              <w:t xml:space="preserve">A folyó negyedév legutóbbi kockázati mértékének [1–10. sor] vagy szavatolótőke-követelményeinek [11–16. sor] nyilvánosságra hozatala.</w:t>
            </w:r>
            <w:r>
              <w:rPr>
                <w:sz w:val="24"/>
                <w:rFonts w:ascii="Times New Roman" w:hAnsi="Times New Roman"/>
              </w:rPr>
              <w:t xml:space="preserve"> </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sz w:val="24"/>
                <w:rFonts w:ascii="Times New Roman" w:hAnsi="Times New Roman" w:cs="Times New Roman"/>
              </w:rPr>
            </w:pPr>
            <w:r>
              <w:rPr>
                <w:sz w:val="24"/>
                <w:rFonts w:ascii="Times New Roman" w:hAnsi="Times New Roman"/>
              </w:rPr>
              <w:t xml:space="preserve">A folyó negyedév kockázati mértékének [1–10. sor] számtani átlaga az előző 60 munkanap [1–9. sor] vagy az előző 12 hét [10. sor] tekintetében.</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sz w:val="24"/>
                <w:rFonts w:ascii="Times New Roman" w:hAnsi="Times New Roman" w:cs="Times New Roman"/>
              </w:rPr>
            </w:pPr>
            <w:r>
              <w:rPr>
                <w:sz w:val="24"/>
                <w:rFonts w:ascii="Times New Roman" w:hAnsi="Times New Roman"/>
              </w:rPr>
              <w:t xml:space="preserve">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sz w:val="24"/>
                <w:rFonts w:ascii="Times New Roman" w:hAnsi="Times New Roman" w:cs="Times New Roman"/>
              </w:rPr>
            </w:pPr>
            <w:r>
              <w:rPr>
                <w:sz w:val="24"/>
                <w:rFonts w:ascii="Times New Roman" w:hAnsi="Times New Roman"/>
              </w:rPr>
              <w:t xml:space="preserve">A folyó negyedév legmagasabb kockázati mértéke [1–6. sor] az előző 60 munkanap tekintetében.</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sz w:val="24"/>
                <w:rFonts w:ascii="Times New Roman" w:hAnsi="Times New Roman" w:cs="Times New Roman"/>
              </w:rPr>
            </w:pPr>
            <w:r>
              <w:rPr>
                <w:sz w:val="24"/>
                <w:rFonts w:ascii="Times New Roman" w:hAnsi="Times New Roman"/>
              </w:rPr>
              <w:t xml:space="preserve">d</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sz w:val="24"/>
                <w:rFonts w:ascii="Times New Roman" w:hAnsi="Times New Roman" w:cs="Times New Roman"/>
              </w:rPr>
            </w:pPr>
            <w:r>
              <w:rPr>
                <w:sz w:val="24"/>
                <w:rFonts w:ascii="Times New Roman" w:hAnsi="Times New Roman"/>
              </w:rPr>
              <w:t xml:space="preserve">A folyó negyedév legalacsonyabb kockázati mértéke [1–6. sor] az előző 60 munkanap tekintetében.</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sz w:val="24"/>
                <w:rFonts w:ascii="Times New Roman" w:hAnsi="Times New Roman" w:cs="Times New Roman"/>
              </w:rPr>
            </w:pPr>
            <w:r>
              <w:rPr>
                <w:sz w:val="24"/>
                <w:rFonts w:ascii="Times New Roman" w:hAnsi="Times New Roman"/>
              </w:rPr>
              <w:t xml:space="preserve">e</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sz w:val="24"/>
                <w:rFonts w:ascii="Times New Roman" w:eastAsia="Times New Roman" w:hAnsi="Times New Roman" w:cs="Times New Roman"/>
              </w:rPr>
            </w:pPr>
            <w:r>
              <w:rPr>
                <w:sz w:val="24"/>
                <w:rFonts w:ascii="Times New Roman" w:hAnsi="Times New Roman"/>
              </w:rPr>
              <w:t xml:space="preserve">Az utóteszteléssel mért túllépések száma [1. sor]</w:t>
            </w:r>
          </w:p>
          <w:p w14:paraId="486CF129" w14:textId="49048050" w:rsidR="00234F41" w:rsidRPr="00445013" w:rsidRDefault="51A69309" w:rsidP="0BE40342">
            <w:pPr>
              <w:rPr>
                <w:sz w:val="24"/>
                <w:rFonts w:ascii="Times New Roman" w:eastAsia="Times New Roman" w:hAnsi="Times New Roman" w:cs="Times New Roman"/>
              </w:rPr>
            </w:pPr>
            <w:r>
              <w:rPr>
                <w:sz w:val="24"/>
                <w:rFonts w:ascii="Times New Roman" w:hAnsi="Times New Roman"/>
              </w:rPr>
              <w:t xml:space="preserve">Ebben a mezőben a túllépések számát, vagyis azt a számot kell megadni, amely az 575/2013/EU rendelet 325bf. cikke (6) bekezdésének b) pontjában szereplő 3. táblázattal összhangban a többlet meghatározására szolgál.</w:t>
            </w:r>
            <w:r>
              <w:rPr>
                <w:sz w:val="24"/>
                <w:rFonts w:ascii="Times New Roman" w:hAnsi="Times New Roman"/>
              </w:rPr>
              <w:t xml:space="preserve"> </w:t>
            </w:r>
            <w:r>
              <w:rPr>
                <w:sz w:val="24"/>
                <w:rFonts w:ascii="Times New Roman" w:hAnsi="Times New Roman"/>
              </w:rPr>
              <w:t xml:space="preserve">Az illetékes hatóság engedélyével kizárt túllépések nem tartoznak ide.</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sz w:val="24"/>
                <w:rFonts w:ascii="Times New Roman" w:hAnsi="Times New Roman" w:cs="Times New Roman"/>
              </w:rPr>
            </w:pPr>
            <w:r>
              <w:rPr>
                <w:sz w:val="24"/>
                <w:rFonts w:ascii="Times New Roman" w:hAnsi="Times New Roman"/>
              </w:rPr>
              <w:t xml:space="preserve">f</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6C9B10A" w:rsidR="00234F41" w:rsidRPr="00445013" w:rsidRDefault="00234F41" w:rsidP="00234F41">
            <w:pPr>
              <w:rPr>
                <w:sz w:val="24"/>
                <w:rFonts w:ascii="Times New Roman" w:hAnsi="Times New Roman" w:cs="Times New Roman"/>
              </w:rPr>
            </w:pPr>
            <w:r>
              <w:rPr>
                <w:sz w:val="24"/>
                <w:rFonts w:ascii="Times New Roman" w:hAnsi="Times New Roman"/>
              </w:rPr>
              <w:t xml:space="preserve">Az előző negyedév legutóbbi kockázati mértéke [1–10. sor] vagy szavatolótőke-követelményei [11–16. sor].</w:t>
            </w:r>
            <w:r>
              <w:rPr>
                <w:sz w:val="24"/>
                <w:rFonts w:ascii="Times New Roman" w:hAnsi="Times New Roman"/>
              </w:rPr>
              <w:t xml:space="preserve"> </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sz w:val="24"/>
                <w:rFonts w:ascii="Times New Roman" w:hAnsi="Times New Roman" w:cs="Times New Roman"/>
              </w:rPr>
            </w:pPr>
            <w:r>
              <w:rPr>
                <w:sz w:val="24"/>
                <w:rFonts w:ascii="Times New Roman" w:hAnsi="Times New Roman"/>
              </w:rPr>
              <w:t xml:space="preserve">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sz w:val="24"/>
                <w:rFonts w:ascii="Times New Roman" w:hAnsi="Times New Roman" w:cs="Times New Roman"/>
              </w:rPr>
            </w:pPr>
            <w:r>
              <w:rPr>
                <w:sz w:val="24"/>
                <w:rFonts w:ascii="Times New Roman" w:hAnsi="Times New Roman"/>
              </w:rPr>
              <w:t xml:space="preserve">Az előző negyedév kockázati mértékének [1–10. sor] számtani átlaga az előző 60 munkanap [1–9. sor] vagy az előző 12 hét [10. sor] tekintetében.</w:t>
            </w:r>
          </w:p>
        </w:tc>
      </w:tr>
    </w:tbl>
    <w:p w14:paraId="60061E4C" w14:textId="6CE0B0D3" w:rsidR="00AA4A0F" w:rsidRPr="001F1865" w:rsidRDefault="00AA4A0F" w:rsidP="00931C32">
      <w:pPr>
        <w:pStyle w:val="Titlelevel2"/>
        <w:spacing w:before="0"/>
        <w:rPr>
          <w:rFonts w:ascii="Times New Roman" w:hAnsi="Times New Roman" w:cs="Times New Roman"/>
          <w:b/>
          <w:color w:val="auto"/>
          <w:sz w:val="24"/>
          <w:lang w:val="en-GB"/>
        </w:rPr>
      </w:pPr>
    </w:p>
    <w:p w14:paraId="7EADC0A6" w14:textId="5B12A297" w:rsidR="00AA4A0F" w:rsidRPr="001F1865" w:rsidRDefault="00AA4A0F" w:rsidP="140F9DE1">
      <w:pPr>
        <w:pStyle w:val="Titlelevel2"/>
        <w:spacing w:before="0"/>
        <w:rPr>
          <w:color w:val="auto"/>
          <w:sz w:val="24"/>
          <w:rFonts w:ascii="Times New Roman" w:hAnsi="Times New Roman" w:cs="Times New Roman"/>
        </w:rPr>
      </w:pPr>
      <w:r>
        <w:rPr>
          <w:color w:val="auto"/>
          <w:sz w:val="24"/>
          <w:b/>
          <w:rFonts w:ascii="Times New Roman" w:hAnsi="Times New Roman"/>
        </w:rPr>
        <w:t xml:space="preserve">EU MR3 tábla – Piaci kockázat az egyszerűsített sztenderd módszer (SSA) alapján</w:t>
      </w:r>
      <w:r>
        <w:rPr>
          <w:color w:val="auto"/>
          <w:sz w:val="24"/>
          <w:rFonts w:ascii="Times New Roman" w:hAnsi="Times New Roman"/>
        </w:rPr>
        <w:t xml:space="preserve"> </w:t>
      </w:r>
      <w:r>
        <w:rPr>
          <w:color w:val="auto"/>
          <w:sz w:val="24"/>
          <w:rFonts w:ascii="Times New Roman" w:hAnsi="Times New Roman"/>
        </w:rPr>
        <w:t xml:space="preserve">Kötött formátum</w:t>
      </w:r>
    </w:p>
    <w:p w14:paraId="6AC491D2" w14:textId="6E61C37E" w:rsidR="00AA4A0F" w:rsidRPr="001F1865" w:rsidRDefault="00AA4A0F" w:rsidP="00DB0A49">
      <w:pPr>
        <w:pStyle w:val="Titlelevel2"/>
        <w:numPr>
          <w:ilvl w:val="0"/>
          <w:numId w:val="5"/>
        </w:numPr>
        <w:spacing w:before="0"/>
        <w:ind w:left="284" w:hanging="284"/>
        <w:jc w:val="both"/>
        <w:rPr>
          <w:b/>
          <w:color w:val="auto"/>
          <w:sz w:val="24"/>
          <w:rFonts w:ascii="Times New Roman" w:hAnsi="Times New Roman" w:cs="Times New Roman"/>
        </w:rPr>
      </w:pPr>
      <w:r>
        <w:rPr>
          <w:color w:val="000000" w:themeColor="text1"/>
          <w:sz w:val="24"/>
          <w:rFonts w:ascii="Times New Roman" w:hAnsi="Times New Roman"/>
        </w:rPr>
        <w:t xml:space="preserve">Az intézmények az IT-megoldások XXIX. mellékletében található EU MR3 tábla e mellékletben foglalt útmutató szerinti kitöltésével hozzák nyilvánosságra az 575/2013/EU rendelet 445. cikkében említett információkat.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Jogszabályi hivatkozások és útmutató</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Sor száma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Magyarázat</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sz w:val="24"/>
                <w:rFonts w:ascii="Times New Roman" w:hAnsi="Times New Roman" w:cs="Times New Roman"/>
              </w:rPr>
            </w:pPr>
            <w:r>
              <w:rPr>
                <w:sz w:val="24"/>
                <w:rFonts w:ascii="Times New Roman" w:hAnsi="Times New Roman"/>
              </w:rPr>
              <w:t xml:space="preserve">1</w:t>
            </w:r>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Kamatlábkockázat (általános és egyedi)</w:t>
            </w:r>
            <w:r>
              <w:rPr>
                <w:b/>
                <w:sz w:val="24"/>
                <w:rFonts w:ascii="Times New Roman" w:hAnsi="Times New Roman"/>
              </w:rPr>
              <w:t xml:space="preserve"> </w:t>
            </w:r>
          </w:p>
          <w:p w14:paraId="53976F70" w14:textId="7239AE46" w:rsidR="00AA4A0F" w:rsidRPr="001F1865" w:rsidRDefault="00AA4A0F" w:rsidP="0BE40342">
            <w:pPr>
              <w:autoSpaceDE w:val="0"/>
              <w:autoSpaceDN w:val="0"/>
              <w:adjustRightInd w:val="0"/>
              <w:spacing w:after="240"/>
              <w:jc w:val="both"/>
              <w:rPr>
                <w:sz w:val="24"/>
                <w:rFonts w:ascii="Times New Roman" w:hAnsi="Times New Roman" w:cs="Times New Roman"/>
              </w:rPr>
            </w:pPr>
            <w:r>
              <w:rPr>
                <w:sz w:val="24"/>
                <w:rFonts w:ascii="Times New Roman" w:hAnsi="Times New Roman"/>
              </w:rPr>
              <w:t xml:space="preserve">A forgalmazott, hitelviszonyt megtestesítő értékpapírokban meglévő, kereskedési könyvben nyilvántartott pozíciók általános és egyedi kockázata az 575/2013/EU rendelet harmadik része IV. címe 2. fejezetének megfelelően, kivéve az értékpapírosításhoz kapcsolódó egyedi kockázatot</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b/>
                <w:sz w:val="24"/>
                <w:rFonts w:ascii="Times New Roman" w:hAnsi="Times New Roman" w:cs="Times New Roman"/>
              </w:rPr>
            </w:pPr>
            <w:r>
              <w:rPr>
                <w:sz w:val="24"/>
                <w:rFonts w:ascii="Times New Roman" w:hAnsi="Times New Roman"/>
              </w:rPr>
              <w:t xml:space="preserve">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Részvénypiaci kockázat (általános és egyedi)</w:t>
            </w:r>
          </w:p>
          <w:p w14:paraId="7CB149BE" w14:textId="7EC2652A" w:rsidR="00AA4A0F" w:rsidRPr="001F1865" w:rsidRDefault="00AA4A0F" w:rsidP="0BE40342">
            <w:pPr>
              <w:spacing w:after="240"/>
              <w:jc w:val="both"/>
              <w:rPr>
                <w:sz w:val="24"/>
                <w:rFonts w:ascii="Times New Roman" w:hAnsi="Times New Roman" w:cs="Times New Roman"/>
              </w:rPr>
            </w:pPr>
            <w:r>
              <w:rPr>
                <w:sz w:val="24"/>
                <w:rFonts w:ascii="Times New Roman" w:hAnsi="Times New Roman"/>
              </w:rPr>
              <w:t xml:space="preserve">A kereskedési könyvben nyilvántartott részvénypozíciók általános és egyedi kockázata az 575/2013/EU rendelet harmadik része IV. címe 2. fejezetének megfelelően.</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sz w:val="24"/>
                <w:rFonts w:ascii="Times New Roman" w:hAnsi="Times New Roman" w:cs="Times New Roman"/>
              </w:rPr>
            </w:pPr>
            <w:r>
              <w:rPr>
                <w:sz w:val="24"/>
                <w:rFonts w:ascii="Times New Roman" w:hAnsi="Times New Roman"/>
              </w:rPr>
              <w:t xml:space="preserve">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Árukockázat</w:t>
            </w:r>
          </w:p>
          <w:p w14:paraId="63B3CA85" w14:textId="0B927E14" w:rsidR="00AA4A0F" w:rsidRPr="001F1865" w:rsidRDefault="00AA4A0F" w:rsidP="0BE40342">
            <w:pPr>
              <w:spacing w:after="240"/>
              <w:rPr>
                <w:sz w:val="24"/>
                <w:rFonts w:ascii="Times New Roman" w:hAnsi="Times New Roman" w:cs="Times New Roman"/>
              </w:rPr>
            </w:pPr>
            <w:r>
              <w:rPr>
                <w:sz w:val="24"/>
                <w:rFonts w:ascii="Times New Roman" w:hAnsi="Times New Roman"/>
              </w:rPr>
              <w:t xml:space="preserve">Árupozíciók kockázata az 575/2013/EU rendelet harmadik része IV. címe 4. fejezetének megfelelően.</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b/>
                <w:sz w:val="24"/>
                <w:rFonts w:ascii="Times New Roman" w:hAnsi="Times New Roman" w:cs="Times New Roman"/>
              </w:rPr>
            </w:pPr>
            <w:r>
              <w:rPr>
                <w:sz w:val="24"/>
                <w:rFonts w:ascii="Times New Roman" w:hAnsi="Times New Roman"/>
              </w:rPr>
              <w:t xml:space="preserve">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Devizaárfolyam-kockázat</w:t>
            </w:r>
          </w:p>
          <w:p w14:paraId="0EF57964" w14:textId="5BB6583A" w:rsidR="00AA4A0F" w:rsidRPr="001F1865" w:rsidRDefault="00AA4A0F" w:rsidP="0BE40342">
            <w:pPr>
              <w:spacing w:after="240"/>
              <w:jc w:val="both"/>
              <w:rPr>
                <w:sz w:val="24"/>
                <w:rFonts w:ascii="Times New Roman" w:hAnsi="Times New Roman" w:cs="Times New Roman"/>
              </w:rPr>
            </w:pPr>
            <w:r>
              <w:rPr>
                <w:sz w:val="24"/>
                <w:rFonts w:ascii="Times New Roman" w:hAnsi="Times New Roman"/>
              </w:rPr>
              <w:t xml:space="preserve">Devizapozíciók kockázata az 575/2013/EU rendelet harmadik része IV. címe 3. fejezetének megfelelően.</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sz w:val="24"/>
                <w:rFonts w:ascii="Times New Roman" w:hAnsi="Times New Roman" w:cs="Times New Roman"/>
              </w:rPr>
            </w:pPr>
            <w:r>
              <w:rPr>
                <w:sz w:val="24"/>
                <w:rFonts w:ascii="Times New Roman" w:hAnsi="Times New Roman"/>
              </w:rPr>
              <w:t xml:space="preserve">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b/>
                <w:bCs/>
                <w:sz w:val="24"/>
                <w:rFonts w:ascii="Times New Roman" w:eastAsia="Times New Roman" w:hAnsi="Times New Roman" w:cs="Times New Roman"/>
              </w:rPr>
            </w:pPr>
            <w:r>
              <w:rPr>
                <w:b/>
                <w:sz w:val="24"/>
                <w:rFonts w:ascii="Times New Roman" w:hAnsi="Times New Roman"/>
              </w:rPr>
              <w:t xml:space="preserve">Értékpapírosítás (egyedi kockázat)</w:t>
            </w:r>
          </w:p>
          <w:p w14:paraId="20BB6B2F" w14:textId="370CD600" w:rsidR="00AA4A0F" w:rsidRPr="00DE72D6" w:rsidRDefault="00AA4A0F" w:rsidP="00DE090B">
            <w:pPr>
              <w:rPr>
                <w:rFonts w:ascii="Times New Roman" w:hAnsi="Times New Roman" w:cs="Times New Roman"/>
              </w:rPr>
            </w:pPr>
            <w:r>
              <w:rPr>
                <w:sz w:val="24"/>
                <w:rFonts w:ascii="Times New Roman" w:hAnsi="Times New Roman"/>
              </w:rPr>
              <w:t xml:space="preserve">A kereskedési könyvben nyilvántartott értékpapírosítási pozíciók egyedi kockázata az 575/2013/EU rendelet harmadik része IV. címe 2. fejezete 337. és 338. cikkének megfelelően</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sz w:val="24"/>
                <w:rFonts w:ascii="Times New Roman" w:hAnsi="Times New Roman" w:cs="Times New Roman"/>
              </w:rPr>
            </w:pPr>
            <w:r>
              <w:rPr>
                <w:sz w:val="24"/>
                <w:rFonts w:ascii="Times New Roman" w:hAnsi="Times New Roman"/>
              </w:rPr>
              <w:t xml:space="preserve">6</w:t>
            </w:r>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1F1865" w:rsidRDefault="00AA4A0F" w:rsidP="00DE090B">
            <w:pPr>
              <w:spacing w:after="240"/>
              <w:rPr>
                <w:b/>
                <w:bCs/>
                <w:sz w:val="24"/>
                <w:rFonts w:ascii="Times New Roman" w:eastAsia="Times New Roman" w:hAnsi="Times New Roman" w:cs="Times New Roman"/>
              </w:rPr>
            </w:pPr>
            <w:r>
              <w:rPr>
                <w:b/>
                <w:sz w:val="24"/>
                <w:rFonts w:ascii="Times New Roman" w:hAnsi="Times New Roman"/>
              </w:rPr>
              <w:t xml:space="preserve">Az SSA szerinti szavatolótőke-követelmény összesen</w:t>
            </w:r>
            <w:r>
              <w:rPr>
                <w:b/>
                <w:sz w:val="24"/>
                <w:rFonts w:ascii="Times New Roman" w:hAnsi="Times New Roman"/>
              </w:rPr>
              <w:t xml:space="preserve"> </w:t>
            </w:r>
          </w:p>
          <w:p w14:paraId="5DD2D55D" w14:textId="027A9E83" w:rsidR="00AA4A0F" w:rsidRPr="001F1865" w:rsidRDefault="00AA4A0F" w:rsidP="00DE090B">
            <w:pPr>
              <w:rPr>
                <w:sz w:val="24"/>
                <w:rFonts w:ascii="Times New Roman" w:eastAsia="Times New Roman" w:hAnsi="Times New Roman" w:cs="Times New Roman"/>
              </w:rPr>
            </w:pPr>
            <w:r>
              <w:rPr>
                <w:sz w:val="24"/>
                <w:rFonts w:ascii="Times New Roman" w:hAnsi="Times New Roman"/>
              </w:rPr>
              <w:t xml:space="preserve">Az 575/2013/EU rendelet 438. cikkének d) pontjában említett szavatolótőke-követelmények nyilvánosságra hozatala, az „a” oszlop esetében az 1–5. sorban szereplő összegek, a „b”, „c” és „d” oszlop esetében pedig az 1–4. sorban szereplő összegek egyszerű összegeként kiszámítva.</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b/>
                <w:bCs/>
                <w:sz w:val="24"/>
                <w:rFonts w:ascii="Times New Roman" w:eastAsia="Times New Roman" w:hAnsi="Times New Roman" w:cs="Times New Roman"/>
              </w:rPr>
            </w:pPr>
            <w:r>
              <w:rPr>
                <w:b/>
                <w:sz w:val="24"/>
                <w:rFonts w:ascii="Times New Roman" w:hAnsi="Times New Roman"/>
              </w:rPr>
              <w:t xml:space="preserve">Oszlop betűjele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DB0A49" w:rsidRDefault="00AA4A0F" w:rsidP="00DE090B">
            <w:pPr>
              <w:spacing w:after="240"/>
              <w:rPr>
                <w:b/>
                <w:sz w:val="24"/>
                <w:rFonts w:ascii="Times New Roman" w:hAnsi="Times New Roman" w:cs="Times New Roman"/>
              </w:rPr>
            </w:pPr>
            <w:r>
              <w:rPr>
                <w:b/>
                <w:sz w:val="24"/>
                <w:rFonts w:ascii="Times New Roman" w:hAnsi="Times New Roman"/>
              </w:rPr>
              <w:t xml:space="preserve">Magyarázat</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FE3752" w:rsidRDefault="00AA4A0F" w:rsidP="00DE090B">
            <w:pPr>
              <w:spacing w:after="240"/>
              <w:rPr>
                <w:b/>
                <w:bCs/>
                <w:sz w:val="24"/>
                <w:rFonts w:ascii="Times New Roman" w:eastAsia="Times New Roman" w:hAnsi="Times New Roman" w:cs="Times New Roman"/>
              </w:rPr>
            </w:pPr>
            <w:r>
              <w:rPr>
                <w:b/>
                <w:sz w:val="24"/>
                <w:rFonts w:ascii="Times New Roman" w:hAnsi="Times New Roman"/>
              </w:rPr>
              <w:t xml:space="preserve">Sima termékek</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sz w:val="24"/>
                <w:rFonts w:ascii="Times New Roman" w:eastAsia="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szCs w:val="22"/>
                <w:rFonts w:ascii="Times New Roman" w:eastAsia="Calibri" w:hAnsi="Times New Roman" w:cs="Times New Roman"/>
              </w:rPr>
            </w:pPr>
            <w:r>
              <w:rPr>
                <w:sz w:val="24"/>
                <w:rFonts w:ascii="Times New Roman" w:hAnsi="Times New Roman"/>
              </w:rPr>
              <w:t xml:space="preserve">Olyan termékpozíciók, amelyek nem opcionálisak, és nem szerepelnek az opciókkal kapcsolatos, piaci kockázati sztenderd módszer szerinti nem delta kockázatokat kezelését meghatározó szabályozástechnikai standardok módszereiben</w:t>
            </w:r>
            <w:r w:rsidRPr="00DB0A49">
              <w:rPr>
                <w:rFonts w:ascii="Times New Roman" w:eastAsia="Calibri" w:hAnsi="Times New Roman" w:cs="Times New Roman"/>
                <w:szCs w:val="22"/>
                <w:vertAlign w:val="superscript"/>
              </w:rPr>
              <w:footnoteReference w:id="3"/>
            </w:r>
            <w:r>
              <w:rPr>
                <w:sz w:val="24"/>
                <w:rFonts w:ascii="Times New Roman" w:hAnsi="Times New Roman"/>
              </w:rPr>
              <w:t xml:space="preserve">.</w:t>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b/>
                <w:sz w:val="24"/>
                <w:rFonts w:ascii="Times New Roman" w:hAnsi="Times New Roman" w:cs="Times New Roman"/>
              </w:rPr>
            </w:pPr>
            <w:r>
              <w:rPr>
                <w:b/>
                <w:sz w:val="24"/>
                <w:rFonts w:ascii="Times New Roman" w:hAnsi="Times New Roman"/>
              </w:rPr>
              <w:t xml:space="preserve">Opciók</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b/>
                <w:bCs/>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b/>
                <w:sz w:val="24"/>
                <w:rFonts w:ascii="Times New Roman" w:hAnsi="Times New Roman" w:cs="Times New Roman"/>
              </w:rPr>
            </w:pPr>
            <w:r>
              <w:rPr>
                <w:b/>
                <w:sz w:val="24"/>
                <w:rFonts w:ascii="Times New Roman" w:hAnsi="Times New Roman"/>
              </w:rPr>
              <w:t xml:space="preserve">Egyszerűsített megközelítés</w:t>
            </w:r>
          </w:p>
          <w:p w14:paraId="71365A3F" w14:textId="32ACEA9A" w:rsidR="00AA4A0F" w:rsidRPr="001F1865" w:rsidRDefault="00AA4A0F" w:rsidP="0BE40342">
            <w:pPr>
              <w:spacing w:after="240"/>
              <w:jc w:val="both"/>
              <w:rPr>
                <w:b/>
                <w:bCs/>
                <w:sz w:val="24"/>
                <w:rFonts w:ascii="Times New Roman" w:hAnsi="Times New Roman" w:cs="Times New Roman"/>
              </w:rPr>
            </w:pPr>
            <w:r>
              <w:rPr>
                <w:sz w:val="24"/>
                <w:rFonts w:ascii="Times New Roman" w:hAnsi="Times New Roman"/>
              </w:rPr>
              <w:t xml:space="preserve">Az 575/2013/EU rendelet harmadik része IV. címe 2. fejezete 329. cikkének (3) bekezdésében meghatározott opciók vagy opciós utalványok, amelyekre vonatkozóan az intézmények a nem delta kockázattal kapcsolatos szavatolótőke-követelményeket az egyszerűsített módszer alkalmazásával számítják ki</w:t>
            </w:r>
            <w:r w:rsidRPr="00DB0A49">
              <w:rPr>
                <w:rStyle w:val="FootnoteReference"/>
                <w:rFonts w:ascii="Times New Roman" w:eastAsia="Times New Roman" w:hAnsi="Times New Roman" w:cs="Times New Roman"/>
              </w:rPr>
              <w:footnoteReference w:id="4"/>
            </w:r>
            <w:r>
              <w:rPr>
                <w:sz w:val="24"/>
                <w:rFonts w:ascii="Times New Roman" w:hAnsi="Times New Roman"/>
              </w:rPr>
              <w:t xml:space="preserve">.</w:t>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sz w:val="24"/>
                <w:rFonts w:ascii="Times New Roman" w:eastAsia="Times New Roman" w:hAnsi="Times New Roman" w:cs="Times New Roman"/>
              </w:rPr>
            </w:pPr>
            <w:r>
              <w:rPr>
                <w:sz w:val="24"/>
                <w:rFonts w:ascii="Times New Roman" w:hAnsi="Times New Roman"/>
              </w:rPr>
              <w:t xml:space="preserve">c</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b/>
                <w:sz w:val="24"/>
                <w:rFonts w:ascii="Times New Roman" w:hAnsi="Times New Roman" w:cs="Times New Roman"/>
              </w:rPr>
            </w:pPr>
            <w:r>
              <w:rPr>
                <w:b/>
                <w:sz w:val="24"/>
                <w:rFonts w:ascii="Times New Roman" w:hAnsi="Times New Roman"/>
              </w:rPr>
              <w:t xml:space="preserve">Delta plusz módszer</w:t>
            </w:r>
          </w:p>
          <w:p w14:paraId="4982FF4D" w14:textId="11E24DA9" w:rsidR="00AA4A0F" w:rsidRPr="001F1865" w:rsidRDefault="00AA4A0F" w:rsidP="0BE40342">
            <w:pPr>
              <w:spacing w:after="240"/>
              <w:jc w:val="both"/>
              <w:rPr>
                <w:b/>
                <w:bCs/>
                <w:sz w:val="24"/>
                <w:rFonts w:ascii="Times New Roman" w:hAnsi="Times New Roman" w:cs="Times New Roman"/>
              </w:rPr>
            </w:pPr>
            <w:r>
              <w:rPr>
                <w:sz w:val="24"/>
                <w:rFonts w:ascii="Times New Roman" w:hAnsi="Times New Roman"/>
              </w:rPr>
              <w:t xml:space="preserve">Az 575/2013/EU rendelet harmadik része IV. címe 2. fejezete 329. cikkének (3) bekezdésében meghatározott, kereskedési könyvben nyilvántartott opciók vagy opciós utalványok, amelyekre vonatkozóan az intézmények a nem delta kockázattal kapcsolatos szavatolótőke-követelményeket a delta plusz módszer alkalmazásával számítják ki</w:t>
            </w:r>
            <w:r w:rsidRPr="00DB0A49">
              <w:rPr>
                <w:rStyle w:val="FootnoteReference"/>
                <w:rFonts w:ascii="Times New Roman" w:eastAsia="Times New Roman" w:hAnsi="Times New Roman" w:cs="Times New Roman"/>
              </w:rPr>
              <w:footnoteReference w:id="5"/>
            </w:r>
            <w:r>
              <w:rPr>
                <w:sz w:val="24"/>
                <w:rFonts w:ascii="Times New Roman" w:hAnsi="Times New Roman"/>
              </w:rPr>
              <w:t xml:space="preserve">.</w:t>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b/>
                <w:bCs/>
                <w:sz w:val="24"/>
                <w:rFonts w:ascii="Times New Roman" w:hAnsi="Times New Roman" w:cs="Times New Roman"/>
              </w:rPr>
            </w:pPr>
            <w:r>
              <w:rPr>
                <w:sz w:val="24"/>
                <w:rFonts w:ascii="Times New Roman" w:hAnsi="Times New Roman"/>
              </w:rPr>
              <w:t xml:space="preserve">d</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b/>
                <w:sz w:val="24"/>
                <w:rFonts w:ascii="Times New Roman" w:hAnsi="Times New Roman" w:cs="Times New Roman"/>
              </w:rPr>
            </w:pPr>
            <w:r>
              <w:rPr>
                <w:b/>
                <w:sz w:val="24"/>
                <w:rFonts w:ascii="Times New Roman" w:hAnsi="Times New Roman"/>
              </w:rPr>
              <w:t xml:space="preserve">Forgatókönyvmódszer</w:t>
            </w:r>
          </w:p>
          <w:p w14:paraId="2B78A76A" w14:textId="583FBB66" w:rsidR="00AA4A0F" w:rsidRPr="001F1865" w:rsidRDefault="00AA4A0F" w:rsidP="0BE40342">
            <w:pPr>
              <w:spacing w:after="240"/>
              <w:jc w:val="both"/>
              <w:rPr>
                <w:b/>
                <w:bCs/>
                <w:sz w:val="24"/>
                <w:rFonts w:ascii="Times New Roman" w:hAnsi="Times New Roman" w:cs="Times New Roman"/>
              </w:rPr>
            </w:pPr>
            <w:r>
              <w:rPr>
                <w:sz w:val="24"/>
                <w:rFonts w:ascii="Times New Roman" w:hAnsi="Times New Roman"/>
              </w:rPr>
              <w:t xml:space="preserve">Az 575/2013/EU rendelet harmadik része IV. címe 2. fejezete 329. cikkének (3) bekezdésében meghatározott, kereskedési könyvben nyilvántartott opciók vagy opciós utalványok, amelyekre vonatkozóan az intézmények a nem delta kockázattal kapcsolatos szavatolótőke-követelményeket a forgatókönyvmódszer alkalmazásával számítják ki</w:t>
            </w:r>
            <w:r w:rsidRPr="00DB0A49">
              <w:rPr>
                <w:rStyle w:val="FootnoteReference"/>
                <w:rFonts w:ascii="Times New Roman" w:eastAsia="Times New Roman" w:hAnsi="Times New Roman" w:cs="Times New Roman"/>
              </w:rPr>
              <w:footnoteReference w:id="6"/>
            </w:r>
            <w:r>
              <w:rPr>
                <w:sz w:val="24"/>
                <w:rFonts w:ascii="Times New Roman" w:hAnsi="Times New Roman"/>
              </w:rPr>
              <w:t xml:space="preserve">.</w:t>
            </w:r>
          </w:p>
        </w:tc>
      </w:tr>
    </w:tbl>
    <w:p w14:paraId="79592B57" w14:textId="77777777" w:rsidR="00931C32" w:rsidRPr="001F1865" w:rsidRDefault="00931C32" w:rsidP="00931C32">
      <w:pPr>
        <w:pStyle w:val="Titlelevel2"/>
        <w:spacing w:before="0"/>
        <w:rPr>
          <w:rFonts w:ascii="Times New Roman" w:hAnsi="Times New Roman" w:cs="Times New Roman"/>
          <w:b/>
          <w:color w:val="auto"/>
          <w:sz w:val="24"/>
          <w:lang w:val="en-GB"/>
        </w:rPr>
      </w:pPr>
    </w:p>
    <w:sectPr w:rsidR="00931C32" w:rsidRPr="001F1865">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rsidR="006E3585">
          <w:t>14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4E8F5FFE" w:rsidR="00931C32" w:rsidRPr="00222AAB" w:rsidRDefault="00931C32" w:rsidP="007F0B68">
      <w:pPr>
        <w:pStyle w:val="FootnoteText"/>
      </w:pPr>
      <w:r>
        <w:rPr>
          <w:rStyle w:val="FootnoteReference"/>
          <w:rFonts w:cstheme="minorHAnsi"/>
        </w:rPr>
        <w:footnoteRef/>
      </w:r>
      <w:r>
        <w:t xml:space="preserve"> </w:t>
      </w:r>
      <w:r>
        <w:tab/>
      </w:r>
      <w:r>
        <w:t xml:space="preserve">Az (EU) 2024/1623 rendelettel módosított 575/2013/EU európai parlamenti és tanácsi rendelet (2013. június 26.) a hitelintézetekre vonatkozó prudenciális követelményekről és a 648/2012/EU rendelet módosításáról </w:t>
      </w:r>
      <w:r>
        <w:rPr>
          <w:color w:val="444444"/>
        </w:rPr>
        <w:t xml:space="preserve">(</w:t>
      </w:r>
      <w:hyperlink r:id="rId1" w:history="1">
        <w:r>
          <w:rPr>
            <w:rStyle w:val="Hyperlink"/>
            <w:color w:val="800080"/>
          </w:rPr>
          <w:t xml:space="preserve">HL L 176., 2013.6.27., 1. o.</w:t>
        </w:r>
      </w:hyperlink>
      <w:r>
        <w:rPr>
          <w:color w:val="800080"/>
          <w:u w:val="single"/>
        </w:rPr>
        <w:t xml:space="preserve">;</w:t>
      </w:r>
      <w:r>
        <w:rPr>
          <w:color w:val="800080"/>
          <w:u w:val="single"/>
        </w:rPr>
        <w:t xml:space="preserve"> </w:t>
      </w:r>
      <w:hyperlink r:id="rId2" w:history="1">
        <w:r>
          <w:rPr>
            <w:rStyle w:val="Hyperlink"/>
          </w:rPr>
          <w:t xml:space="preserve">(EU) 2024/1623 rendelet – HU – EUR-Lex (europa.eu)</w:t>
        </w:r>
      </w:hyperlink>
      <w:r>
        <w:rPr>
          <w:color w:val="444444"/>
        </w:rPr>
        <w:t xml:space="preserve">)</w:t>
      </w:r>
      <w:r>
        <w:t xml:space="preserve">.</w:t>
      </w:r>
    </w:p>
  </w:footnote>
  <w:footnote w:id="3">
    <w:p w14:paraId="6651B5AC" w14:textId="77777777" w:rsidR="00AA4A0F" w:rsidRPr="008158FF" w:rsidRDefault="00AA4A0F" w:rsidP="00AA4A0F">
      <w:pPr>
        <w:pStyle w:val="FootnoteText"/>
      </w:pPr>
      <w:r>
        <w:footnoteRef/>
      </w:r>
      <w:r>
        <w:tab/>
      </w:r>
      <w:r>
        <w:t xml:space="preserve">Az 575/2013/EU európai parlamenti és tanácsi rendeletnek az opciókkal kapcsolatos, piaci kockázati sztenderd módszer szerinti nem delta kockázatok kezelését meghatározó szabályozástechnikai standardok tekintetében történő kiegészítéséről szóló, 2014. március 12-i 528/2014/EU FELHATALMAZÁSON ALAPULÓ BIZOTTSÁGI RENDELETBEN meghatározottak szerint (HL L 148., 2014.5.20., 29. o.).</w:t>
      </w:r>
    </w:p>
  </w:footnote>
  <w:footnote w:id="4">
    <w:p w14:paraId="67B37F98" w14:textId="77777777" w:rsidR="00AA4A0F" w:rsidRPr="00222AAB" w:rsidRDefault="00AA4A0F" w:rsidP="00AA4A0F">
      <w:pPr>
        <w:pStyle w:val="FootnoteText"/>
      </w:pPr>
      <w:r>
        <w:rPr>
          <w:rStyle w:val="FootnoteReference"/>
          <w:rFonts w:cstheme="minorHAnsi"/>
        </w:rPr>
        <w:footnoteRef/>
      </w:r>
      <w:r>
        <w:tab/>
      </w:r>
      <w:r>
        <w:t xml:space="preserve">Az 575/2013/EU európai parlamenti és tanácsi rendeletnek az opciókkal kapcsolatos, piaci kockázati sztenderd módszer szerinti nem delta kockázatok kezelését meghatározó szabályozástechnikai standardok tekintetében történő kiegészítéséről szóló, 2014. március 12-i 528/2014/EU FELHATALMAZÁSON ALAPULÓ BIZOTTSÁGI RENDELETBEN meghatározottak szerint (HL L 148., 2014.5.20., 29. o.).</w:t>
      </w:r>
    </w:p>
  </w:footnote>
  <w:footnote w:id="5">
    <w:p w14:paraId="6C32CA93" w14:textId="77777777" w:rsidR="00AA4A0F" w:rsidRPr="00222AAB" w:rsidRDefault="00AA4A0F" w:rsidP="00AA4A0F">
      <w:pPr>
        <w:pStyle w:val="FootnoteText"/>
      </w:pPr>
      <w:r>
        <w:rPr>
          <w:rStyle w:val="FootnoteReference"/>
          <w:rFonts w:cstheme="minorHAnsi"/>
        </w:rPr>
        <w:footnoteRef/>
      </w:r>
      <w:r>
        <w:tab/>
      </w:r>
      <w:r>
        <w:t xml:space="preserve">Az 575/2013/EU európai parlamenti és tanácsi rendeletnek az opciókkal kapcsolatos, piaci kockázati sztenderd módszer szerinti nem delta kockázatok kezelését meghatározó szabályozástechnikai standardok tekintetében történő kiegészítéséről szóló, 2014. március 12-i 528/2014/EU FELHATALMAZÁSON ALAPULÓ BIZOTTSÁGI RENDELETBEN meghatározottak szerint (HL L 148., 2014.5.20., 29. o.).</w:t>
      </w:r>
    </w:p>
  </w:footnote>
  <w:footnote w:id="6">
    <w:p w14:paraId="739259DE" w14:textId="77777777" w:rsidR="00AA4A0F" w:rsidRPr="00222AAB" w:rsidRDefault="00AA4A0F" w:rsidP="00AA4A0F">
      <w:pPr>
        <w:pStyle w:val="FootnoteText"/>
      </w:pPr>
      <w:r>
        <w:rPr>
          <w:rStyle w:val="FootnoteReference"/>
          <w:rFonts w:cstheme="minorHAnsi"/>
        </w:rPr>
        <w:footnoteRef/>
      </w:r>
      <w:r>
        <w:tab/>
      </w:r>
      <w:r>
        <w:t xml:space="preserve">Az 575/2013/EU európai parlamenti és tanácsi rendeletnek az opciókkal kapcsolatos, piaci kockázati sztenderd módszer szerinti nem delta kockázatok kezelését meghatározó szabályozástechnikai standardok tekintetében történő kiegészítéséről szóló, 2014. március 12-i 528/2014/EU FELHATALMAZÁSON ALAPULÓ BIZOTTSÁGI RENDELETBEN meghatározottak szerint (HL L 148., 2014.5.20., 29.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8BE4FF" id="_x0000_t202" coordsize="21600,21600" o:spt="202" path="m,l,21600r21600,l21600,xe">
              <v:stroke joinstyle="miter"/>
              <v:path gradientshapeok="t" o:connecttype="rect"/>
            </v:shapetype>
            <v:shape id="Text Box 2" o:spid="_x0000_s1026" type="#_x0000_t202" alt="Title:  - Description: EBH – szokásos felhasználásra"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DB0A49" w:rsidRDefault="003711D5">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7F8E82E" id="_x0000_t202" coordsize="21600,21600" o:spt="202" path="m,l,21600r21600,l21600,xe">
              <v:stroke joinstyle="miter"/>
              <v:path gradientshapeok="t" o:connecttype="rect"/>
            </v:shapetype>
            <v:shape id="Text Box 3" o:spid="_x0000_s1027" type="#_x0000_t202" alt="Title:  - Description: EBH – szokásos felhasználásra"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DB0A49" w:rsidRDefault="003711D5">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864388" id="_x0000_t202" coordsize="21600,21600" o:spt="202" path="m,l,21600r21600,l21600,xe">
              <v:stroke joinstyle="miter"/>
              <v:path gradientshapeok="t" o:connecttype="rect"/>
            </v:shapetype>
            <v:shape id="Text Box 1" o:spid="_x0000_s1028" type="#_x0000_t202" alt="Title:  - Description: EBH – szokásos felhasználásra"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32BCBD6C"/>
    <w:lvl w:ilvl="0" w:tplc="6F103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GB" w:vendorID="64" w:dllVersion="0" w:nlCheck="1" w:checkStyle="0"/>
  <w:activeWritingStyle w:appName="MSWord" w:lang="en-US" w:vendorID="64" w:dllVersion="0" w:nlCheck="1" w:checkStyle="0"/>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E7DFC"/>
    <w:rsid w:val="003F26DE"/>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C6FC8"/>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D19BD"/>
    <w:rsid w:val="007D59E2"/>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B40"/>
    <w:rsid w:val="00CD55C8"/>
    <w:rsid w:val="00CF112B"/>
    <w:rsid w:val="00CF17F8"/>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lang w:val="hu-HU"/>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lang w:val="hu-HU"/>
    </w:rPr>
  </w:style>
  <w:style w:type="character" w:customStyle="1" w:styleId="FootnoteTextChar">
    <w:name w:val="Footnote Text Char"/>
    <w:basedOn w:val="DefaultParagraphFont"/>
    <w:link w:val="FootnoteText"/>
    <w:rsid w:val="007F0B68"/>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43A3B46B-4BA1-4913-9DB2-5F908820A240}"/>
</file>

<file path=customXml/itemProps3.xml><?xml version="1.0" encoding="utf-8"?>
<ds:datastoreItem xmlns:ds="http://schemas.openxmlformats.org/officeDocument/2006/customXml" ds:itemID="{7DB5A0CA-2AB1-40E7-B742-C23C51721C35}"/>
</file>

<file path=customXml/itemProps4.xml><?xml version="1.0" encoding="utf-8"?>
<ds:datastoreItem xmlns:ds="http://schemas.openxmlformats.org/officeDocument/2006/customXml" ds:itemID="{7D28E758-42C5-413E-B868-3B5DF334A52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2826</Words>
  <Characters>15011</Characters>
  <Application>Microsoft Office Word</Application>
  <DocSecurity>0</DocSecurity>
  <Lines>428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17590</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2024-09-26T14:32:00Z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