
<file path=[Content_Types].xml><?xml version="1.0" encoding="utf-8"?>
<Types xmlns="http://schemas.openxmlformats.org/package/2006/content-types">
  <Default Extension="rels" ContentType="application/vnd.openxmlformats-package.relationships+xml"/>
  <Default Extension="xml" ContentType="application/xml"/>
  <Override PartName="/docMetadata/LabelInfo.xml" ContentType="application/vnd.ms-office.classificationlabel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theme/theme1.xml" ContentType="application/vnd.openxmlformats-officedocument.theme+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00B2EC" w14:textId="77777777" w:rsidR="00C04D6C" w:rsidRPr="007F4CC8" w:rsidRDefault="00C04D6C" w:rsidP="00C04D6C">
      <w:pPr>
        <w:pStyle w:val="Annexetitre"/>
      </w:pPr>
      <w:r>
        <w:t xml:space="preserve">LIITE VI – Sääntelykehyksen soveltamisalasta julkistettavia tietoja koskevat ohjeet</w:t>
      </w:r>
    </w:p>
    <w:p w14:paraId="4DDCFE1F" w14:textId="77777777" w:rsidR="00C04D6C" w:rsidRPr="007F4CC8" w:rsidRDefault="00C04D6C" w:rsidP="00C04D6C">
      <w:pPr>
        <w:rPr>
          <w:rFonts w:ascii="Times New Roman" w:hAnsi="Times New Roman" w:cs="Times New Roman"/>
          <w:b/>
          <w:sz w:val="24"/>
        </w:rPr>
      </w:pPr>
    </w:p>
    <w:p w14:paraId="320DC4CD" w14:textId="77777777" w:rsidR="00C04D6C" w:rsidRPr="007F4CC8" w:rsidRDefault="00C04D6C" w:rsidP="00C04D6C">
      <w:pPr>
        <w:rPr>
          <w:b/>
          <w:sz w:val="24"/>
          <w:rFonts w:ascii="Times New Roman" w:hAnsi="Times New Roman" w:cs="Times New Roman"/>
        </w:rPr>
      </w:pPr>
      <w:r>
        <w:rPr>
          <w:sz w:val="24"/>
          <w:b/>
          <w:rFonts w:ascii="Times New Roman" w:hAnsi="Times New Roman"/>
        </w:rPr>
        <w:t xml:space="preserve">Lomake EU LI1 – Tilinpäätössäännöstön mukaisen ja varovaisuusperiaatteen mukaisen konsolidoinnin soveltamisalan väliset erot ja tilinpäätösluokkien sijoittuminen (mapping) sääntelyn mukaisiin riskiluokkiin.</w:t>
      </w:r>
      <w:r>
        <w:rPr>
          <w:sz w:val="24"/>
          <w:rFonts w:ascii="Times New Roman" w:hAnsi="Times New Roman"/>
        </w:rPr>
        <w:t xml:space="preserve"> </w:t>
      </w:r>
      <w:r>
        <w:rPr>
          <w:sz w:val="24"/>
          <w:rFonts w:ascii="Times New Roman" w:hAnsi="Times New Roman"/>
        </w:rPr>
        <w:t xml:space="preserve">Joustava muoto.</w:t>
      </w:r>
    </w:p>
    <w:p w14:paraId="5543C8A2" w14:textId="77777777" w:rsidR="00C04D6C" w:rsidRPr="007F4CC8" w:rsidRDefault="00C04D6C" w:rsidP="00C04D6C">
      <w:pPr>
        <w:rPr>
          <w:rFonts w:ascii="Times New Roman" w:hAnsi="Times New Roman" w:cs="Times New Roman"/>
          <w:b/>
          <w:sz w:val="24"/>
        </w:rPr>
      </w:pPr>
    </w:p>
    <w:p w14:paraId="2474D8BA" w14:textId="373BCCC7" w:rsidR="00C04D6C" w:rsidRPr="007F4CC8" w:rsidRDefault="00C04D6C" w:rsidP="00C04D6C">
      <w:pPr>
        <w:pStyle w:val="ListParagraph"/>
        <w:numPr>
          <w:ilvl w:val="0"/>
          <w:numId w:val="1"/>
        </w:numPr>
        <w:spacing w:before="120" w:after="120"/>
        <w:ind w:left="425" w:hanging="357"/>
        <w:jc w:val="both"/>
        <w:rPr>
          <w:sz w:val="24"/>
          <w:rFonts w:ascii="Times New Roman" w:hAnsi="Times New Roman"/>
        </w:rPr>
      </w:pPr>
      <w:r>
        <w:rPr>
          <w:sz w:val="24"/>
          <w:rFonts w:ascii="Times New Roman" w:hAnsi="Times New Roman"/>
        </w:rPr>
        <w:t xml:space="preserve">Laitosten on julkistettava asetuksen (EU) N:o 575/2013</w:t>
      </w:r>
      <w:r w:rsidRPr="007F4CC8">
        <w:rPr>
          <w:rStyle w:val="FootnoteReference"/>
        </w:rPr>
        <w:footnoteReference w:id="1"/>
      </w:r>
      <w:r>
        <w:rPr>
          <w:sz w:val="24"/>
          <w:rFonts w:ascii="Times New Roman" w:hAnsi="Times New Roman"/>
        </w:rPr>
        <w:t xml:space="preserve">, jäljempänä ’vakavaraisuusasetus’, 436 artiklan c alakohdassa tarkoitetut tiedot noudattamalla jäljempänä tässä liitteessä annettuja ohjeita täyttääkseen EPV:n tietoteknisten ratkaisujen liitteessä V olevan lomakkeen EU LI1.</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C04D6C" w:rsidRPr="007F4CC8" w14:paraId="0D9C5174" w14:textId="77777777" w:rsidTr="00D819DE">
        <w:trPr>
          <w:trHeight w:val="7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1AB244C" w14:textId="77777777" w:rsidR="00C04D6C" w:rsidRPr="007F4CC8" w:rsidRDefault="00C04D6C" w:rsidP="00D819DE">
            <w:pPr>
              <w:pStyle w:val="TableTitle"/>
              <w:spacing w:before="0" w:after="0"/>
              <w:jc w:val="left"/>
              <w:rPr>
                <w:noProof w:val="0"/>
                <w:sz w:val="24"/>
                <w:szCs w:val="24"/>
                <w:rFonts w:ascii="Times New Roman" w:hAnsi="Times New Roman"/>
              </w:rPr>
            </w:pPr>
            <w:r>
              <w:rPr>
                <w:sz w:val="24"/>
                <w:rFonts w:ascii="Times New Roman" w:hAnsi="Times New Roman"/>
              </w:rPr>
              <w:t xml:space="preserve">Lainsäädäntöviitteet ja ohjeet</w:t>
            </w:r>
          </w:p>
        </w:tc>
      </w:tr>
      <w:tr w:rsidR="00C04D6C" w:rsidRPr="007F4CC8" w14:paraId="3FA5AAD9" w14:textId="77777777" w:rsidTr="00D819DE">
        <w:trPr>
          <w:trHeight w:val="238"/>
        </w:trPr>
        <w:tc>
          <w:tcPr>
            <w:tcW w:w="1384" w:type="dxa"/>
            <w:tcBorders>
              <w:bottom w:val="single" w:sz="4" w:space="0" w:color="auto"/>
            </w:tcBorders>
            <w:shd w:val="clear" w:color="auto" w:fill="D9D9D9" w:themeFill="background1" w:themeFillShade="D9"/>
          </w:tcPr>
          <w:p w14:paraId="40ED7A73" w14:textId="77777777" w:rsidR="00C04D6C" w:rsidRPr="007F4CC8" w:rsidRDefault="00C04D6C" w:rsidP="00D819DE">
            <w:pPr>
              <w:autoSpaceDE w:val="0"/>
              <w:autoSpaceDN w:val="0"/>
              <w:adjustRightInd w:val="0"/>
              <w:rPr>
                <w:b/>
                <w:sz w:val="24"/>
                <w:rFonts w:ascii="Times New Roman" w:hAnsi="Times New Roman" w:cs="Times New Roman"/>
              </w:rPr>
            </w:pPr>
            <w:r>
              <w:rPr>
                <w:b/>
                <w:sz w:val="24"/>
                <w:rFonts w:ascii="Times New Roman" w:hAnsi="Times New Roman"/>
              </w:rPr>
              <w:t xml:space="preserve">Rivinumero</w:t>
            </w:r>
          </w:p>
        </w:tc>
        <w:tc>
          <w:tcPr>
            <w:tcW w:w="7655" w:type="dxa"/>
            <w:tcBorders>
              <w:bottom w:val="single" w:sz="4" w:space="0" w:color="auto"/>
            </w:tcBorders>
            <w:shd w:val="clear" w:color="auto" w:fill="D9D9D9" w:themeFill="background1" w:themeFillShade="D9"/>
          </w:tcPr>
          <w:p w14:paraId="717F672A" w14:textId="77777777" w:rsidR="00C04D6C" w:rsidRPr="007F4CC8" w:rsidRDefault="00C04D6C" w:rsidP="00D819DE">
            <w:pPr>
              <w:autoSpaceDE w:val="0"/>
              <w:autoSpaceDN w:val="0"/>
              <w:adjustRightInd w:val="0"/>
              <w:rPr>
                <w:color w:val="000000"/>
                <w:sz w:val="24"/>
                <w:rFonts w:ascii="Times New Roman" w:hAnsi="Times New Roman" w:cs="Times New Roman"/>
              </w:rPr>
            </w:pPr>
            <w:r>
              <w:rPr>
                <w:b/>
                <w:sz w:val="24"/>
                <w:rFonts w:ascii="Times New Roman" w:hAnsi="Times New Roman"/>
              </w:rPr>
              <w:t xml:space="preserve">Selitys</w:t>
            </w:r>
          </w:p>
        </w:tc>
      </w:tr>
      <w:tr w:rsidR="00C04D6C" w:rsidRPr="007F4CC8" w14:paraId="200E05C0" w14:textId="77777777" w:rsidTr="00D819DE">
        <w:trPr>
          <w:trHeight w:val="238"/>
        </w:trPr>
        <w:tc>
          <w:tcPr>
            <w:tcW w:w="1384" w:type="dxa"/>
            <w:tcBorders>
              <w:top w:val="single" w:sz="4" w:space="0" w:color="auto"/>
              <w:bottom w:val="single" w:sz="4" w:space="0" w:color="auto"/>
            </w:tcBorders>
            <w:shd w:val="clear" w:color="auto" w:fill="FFFFFF" w:themeFill="background1"/>
            <w:vAlign w:val="center"/>
          </w:tcPr>
          <w:p w14:paraId="51981295" w14:textId="77777777" w:rsidR="00C04D6C" w:rsidRPr="007F4CC8" w:rsidRDefault="00C04D6C" w:rsidP="00D819DE">
            <w:pPr>
              <w:spacing w:before="60" w:after="120"/>
              <w:rPr>
                <w:sz w:val="24"/>
                <w:rFonts w:ascii="Times New Roman" w:hAnsi="Times New Roman" w:cs="Times New Roman"/>
              </w:rPr>
            </w:pPr>
            <w:r>
              <w:rPr>
                <w:sz w:val="24"/>
                <w:rFonts w:ascii="Times New Roman" w:hAnsi="Times New Roman"/>
              </w:rPr>
              <w:t xml:space="preserve">1 – XXX</w:t>
            </w:r>
          </w:p>
        </w:tc>
        <w:tc>
          <w:tcPr>
            <w:tcW w:w="7655" w:type="dxa"/>
            <w:tcBorders>
              <w:top w:val="single" w:sz="4" w:space="0" w:color="auto"/>
              <w:bottom w:val="single" w:sz="4" w:space="0" w:color="auto"/>
            </w:tcBorders>
            <w:shd w:val="clear" w:color="auto" w:fill="FFFFFF" w:themeFill="background1"/>
            <w:vAlign w:val="center"/>
          </w:tcPr>
          <w:p w14:paraId="520DD078" w14:textId="77777777" w:rsidR="00C04D6C" w:rsidRPr="007F4CC8" w:rsidRDefault="00C04D6C" w:rsidP="00D819DE">
            <w:pPr>
              <w:spacing w:before="60" w:after="120"/>
              <w:jc w:val="both"/>
              <w:rPr>
                <w:b/>
                <w:sz w:val="24"/>
                <w:rFonts w:ascii="Times New Roman" w:eastAsia="Times New Roman" w:hAnsi="Times New Roman" w:cs="Times New Roman"/>
              </w:rPr>
            </w:pPr>
            <w:r>
              <w:rPr>
                <w:b/>
                <w:sz w:val="24"/>
                <w:rFonts w:ascii="Times New Roman" w:hAnsi="Times New Roman"/>
              </w:rPr>
              <w:t xml:space="preserve">Varat yhteensä</w:t>
            </w:r>
            <w:r>
              <w:rPr>
                <w:b/>
                <w:sz w:val="24"/>
                <w:rFonts w:ascii="Times New Roman" w:hAnsi="Times New Roman"/>
              </w:rPr>
              <w:t xml:space="preserve"> </w:t>
            </w:r>
          </w:p>
          <w:p w14:paraId="77036C79" w14:textId="77777777" w:rsidR="00C04D6C" w:rsidRPr="007F4CC8" w:rsidRDefault="00C04D6C" w:rsidP="00D819DE">
            <w:pPr>
              <w:spacing w:before="60" w:after="120"/>
              <w:jc w:val="both"/>
              <w:rPr>
                <w:sz w:val="24"/>
                <w:rFonts w:ascii="Times New Roman" w:eastAsia="Times New Roman" w:hAnsi="Times New Roman" w:cs="Times New Roman"/>
              </w:rPr>
            </w:pPr>
            <w:r>
              <w:rPr>
                <w:sz w:val="24"/>
                <w:rFonts w:ascii="Times New Roman" w:hAnsi="Times New Roman"/>
              </w:rPr>
              <w:t xml:space="preserve">Rivirakenteen on oltava sama kuin laitoksen uusimmassa saatavilla olevassa taloudellisessa raportoinnissa käytetty taseen rivirakenne.</w:t>
            </w:r>
            <w:r>
              <w:rPr>
                <w:sz w:val="24"/>
                <w:rFonts w:ascii="Times New Roman" w:hAnsi="Times New Roman"/>
              </w:rPr>
              <w:t xml:space="preserve"> </w:t>
            </w:r>
          </w:p>
          <w:p w14:paraId="596558D7" w14:textId="77777777" w:rsidR="00C04D6C" w:rsidRPr="007F4CC8" w:rsidRDefault="00C04D6C" w:rsidP="00D819DE">
            <w:pPr>
              <w:spacing w:after="120"/>
              <w:jc w:val="both"/>
              <w:rPr>
                <w:sz w:val="24"/>
                <w:rFonts w:ascii="Times New Roman" w:eastAsia="Times New Roman" w:hAnsi="Times New Roman" w:cs="Times New Roman"/>
              </w:rPr>
            </w:pPr>
            <w:r>
              <w:rPr>
                <w:sz w:val="24"/>
                <w:rFonts w:ascii="Times New Roman" w:hAnsi="Times New Roman"/>
              </w:rPr>
              <w:t xml:space="preserve">”Taloudellisella raportoinnilla” tarkoitetaan direktiivin 2013/34/EU</w:t>
            </w:r>
            <w:r w:rsidRPr="007F4CC8">
              <w:rPr>
                <w:rStyle w:val="FootnoteReference"/>
                <w:rFonts w:eastAsia="Times New Roman" w:cs="Times New Roman"/>
              </w:rPr>
              <w:footnoteReference w:id="2"/>
            </w:r>
            <w:r>
              <w:rPr>
                <w:sz w:val="24"/>
                <w:rFonts w:ascii="Times New Roman" w:hAnsi="Times New Roman"/>
              </w:rPr>
              <w:t xml:space="preserve"> 4 ja 24 artiklassa määriteltyjä yksittäisiä vuositilinpäätöksiä ja konsernitilinpäätöksiä sekä (tarvittaessa) kansainvälisten tilinpäätösstandardien, sellaisina kuin ne on EU:ssa hyväksytty asetuksella (EY) N:o 1606/2002</w:t>
            </w:r>
            <w:r w:rsidRPr="007F4CC8">
              <w:rPr>
                <w:rStyle w:val="FootnoteReference"/>
                <w:rFonts w:eastAsia="Times New Roman" w:cs="Times New Roman"/>
              </w:rPr>
              <w:footnoteReference w:id="3"/>
            </w:r>
            <w:r>
              <w:rPr>
                <w:sz w:val="24"/>
                <w:rFonts w:ascii="Times New Roman" w:hAnsi="Times New Roman"/>
              </w:rPr>
              <w:t xml:space="preserve">, mukaisia tilinpäätöksiä.</w:t>
            </w:r>
          </w:p>
        </w:tc>
      </w:tr>
      <w:tr w:rsidR="00C04D6C" w:rsidRPr="007F4CC8" w14:paraId="37C63F49" w14:textId="77777777" w:rsidTr="00D819DE">
        <w:trPr>
          <w:trHeight w:val="818"/>
        </w:trPr>
        <w:tc>
          <w:tcPr>
            <w:tcW w:w="1384" w:type="dxa"/>
            <w:tcBorders>
              <w:top w:val="single" w:sz="4" w:space="0" w:color="auto"/>
              <w:bottom w:val="single" w:sz="4" w:space="0" w:color="auto"/>
            </w:tcBorders>
            <w:shd w:val="clear" w:color="auto" w:fill="FFFFFF" w:themeFill="background1"/>
            <w:vAlign w:val="center"/>
          </w:tcPr>
          <w:p w14:paraId="54FF61D4" w14:textId="77777777" w:rsidR="00C04D6C" w:rsidRPr="007F4CC8" w:rsidRDefault="00C04D6C" w:rsidP="00D819DE">
            <w:pPr>
              <w:spacing w:before="60" w:after="120"/>
              <w:rPr>
                <w:sz w:val="24"/>
                <w:rFonts w:ascii="Times New Roman" w:hAnsi="Times New Roman" w:cs="Times New Roman"/>
              </w:rPr>
            </w:pPr>
            <w:r>
              <w:rPr>
                <w:sz w:val="24"/>
                <w:rFonts w:ascii="Times New Roman" w:hAnsi="Times New Roman"/>
              </w:rPr>
              <w:t xml:space="preserve">1 – XXX</w:t>
            </w:r>
          </w:p>
        </w:tc>
        <w:tc>
          <w:tcPr>
            <w:tcW w:w="7655" w:type="dxa"/>
            <w:tcBorders>
              <w:top w:val="single" w:sz="4" w:space="0" w:color="auto"/>
              <w:bottom w:val="single" w:sz="4" w:space="0" w:color="auto"/>
            </w:tcBorders>
            <w:shd w:val="clear" w:color="auto" w:fill="FFFFFF" w:themeFill="background1"/>
            <w:vAlign w:val="center"/>
          </w:tcPr>
          <w:p w14:paraId="6458DC01" w14:textId="77777777" w:rsidR="00C04D6C" w:rsidRPr="007F4CC8" w:rsidRDefault="00C04D6C" w:rsidP="00D819DE">
            <w:pPr>
              <w:spacing w:before="60" w:after="120"/>
              <w:jc w:val="both"/>
              <w:rPr>
                <w:b/>
                <w:sz w:val="24"/>
                <w:rFonts w:ascii="Times New Roman" w:eastAsia="Times New Roman" w:hAnsi="Times New Roman" w:cs="Times New Roman"/>
              </w:rPr>
            </w:pPr>
            <w:r>
              <w:rPr>
                <w:b/>
                <w:sz w:val="24"/>
                <w:rFonts w:ascii="Times New Roman" w:hAnsi="Times New Roman"/>
              </w:rPr>
              <w:t xml:space="preserve">Velat yhteensä</w:t>
            </w:r>
          </w:p>
          <w:p w14:paraId="3FFCF1F9" w14:textId="77777777" w:rsidR="00C04D6C" w:rsidRPr="007F4CC8" w:rsidRDefault="00C04D6C" w:rsidP="00D819DE">
            <w:pPr>
              <w:spacing w:before="60" w:after="120"/>
              <w:jc w:val="both"/>
              <w:rPr>
                <w:sz w:val="24"/>
                <w:rFonts w:ascii="Times New Roman" w:eastAsia="Times New Roman" w:hAnsi="Times New Roman" w:cs="Times New Roman"/>
              </w:rPr>
            </w:pPr>
            <w:r>
              <w:rPr>
                <w:sz w:val="24"/>
                <w:rFonts w:ascii="Times New Roman" w:hAnsi="Times New Roman"/>
              </w:rPr>
              <w:t xml:space="preserve">Rivirakenteen on oltava sama kuin laitoksen uusimmassa saatavilla olevassa taloudellisessa raportoinnissa käytetty taseen rivirakenne.</w:t>
            </w:r>
            <w:r>
              <w:rPr>
                <w:sz w:val="24"/>
                <w:rFonts w:ascii="Times New Roman" w:hAnsi="Times New Roman"/>
              </w:rPr>
              <w:t xml:space="preserve"> </w:t>
            </w:r>
          </w:p>
          <w:p w14:paraId="65DBAE9A" w14:textId="77777777" w:rsidR="00C04D6C" w:rsidRPr="007F4CC8" w:rsidRDefault="00C04D6C" w:rsidP="00D819DE">
            <w:pPr>
              <w:spacing w:after="120"/>
              <w:jc w:val="both"/>
              <w:rPr>
                <w:sz w:val="24"/>
                <w:rFonts w:ascii="Times New Roman" w:eastAsia="Times New Roman" w:hAnsi="Times New Roman" w:cs="Times New Roman"/>
              </w:rPr>
            </w:pPr>
            <w:r>
              <w:rPr>
                <w:sz w:val="24"/>
                <w:rFonts w:ascii="Times New Roman" w:hAnsi="Times New Roman"/>
              </w:rPr>
              <w:t xml:space="preserve">’Taloudellisella raportoinnilla” tarkoitetaan direktiivin 2013/34/EU</w:t>
            </w:r>
            <w:r>
              <w:rPr>
                <w:sz w:val="24"/>
                <w:rFonts w:ascii="Times New Roman" w:hAnsi="Times New Roman"/>
              </w:rPr>
              <w:t xml:space="preserve"> 4 ja 24 artiklassa määriteltyjä yksittäisiä vuositilinpäätöksiä ja konsernitilinpäätöksiä sekä (tarvittaessa) kansainvälisten tilinpäätösstandardien, sellaisina kuin ne on EU:ssa hyväksytty asetuksella (EY) N:o 1606/2002</w:t>
            </w:r>
            <w:r>
              <w:rPr>
                <w:sz w:val="24"/>
                <w:rFonts w:ascii="Times New Roman" w:hAnsi="Times New Roman"/>
              </w:rPr>
              <w:t xml:space="preserve">, mukaisia tilinpäätöksiä.</w:t>
            </w:r>
          </w:p>
        </w:tc>
      </w:tr>
    </w:tbl>
    <w:p w14:paraId="4B76983A" w14:textId="77777777" w:rsidR="00C04D6C" w:rsidRPr="007F4CC8" w:rsidRDefault="00C04D6C" w:rsidP="00C04D6C">
      <w:pPr>
        <w:rPr>
          <w:rFonts w:ascii="Times New Roman" w:hAnsi="Times New Roman" w:cs="Times New Roman"/>
          <w:sz w:val="24"/>
        </w:rPr>
      </w:pPr>
    </w:p>
    <w:p w14:paraId="1FBAD891" w14:textId="77777777" w:rsidR="00C04D6C" w:rsidRPr="007F4CC8" w:rsidRDefault="00C04D6C" w:rsidP="00C04D6C">
      <w:pPr>
        <w:spacing w:after="120"/>
        <w:jc w:val="both"/>
        <w:rPr>
          <w:rFonts w:ascii="Times New Roman" w:hAnsi="Times New Roman" w:cs="Times New Roman"/>
          <w:b/>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C04D6C" w:rsidRPr="007F4CC8" w14:paraId="17B22538" w14:textId="77777777" w:rsidTr="00D819DE">
        <w:trPr>
          <w:trHeight w:val="7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12F0F1" w14:textId="77777777" w:rsidR="00C04D6C" w:rsidRPr="007F4CC8" w:rsidRDefault="00C04D6C" w:rsidP="00D819DE">
            <w:pPr>
              <w:pStyle w:val="TableTitle"/>
              <w:spacing w:before="0" w:after="0"/>
              <w:jc w:val="left"/>
              <w:rPr>
                <w:noProof w:val="0"/>
                <w:sz w:val="24"/>
                <w:szCs w:val="24"/>
                <w:rFonts w:ascii="Times New Roman" w:hAnsi="Times New Roman"/>
              </w:rPr>
            </w:pPr>
            <w:r>
              <w:rPr>
                <w:sz w:val="24"/>
                <w:rFonts w:ascii="Times New Roman" w:hAnsi="Times New Roman"/>
              </w:rPr>
              <w:t xml:space="preserve">Lainsäädäntöviitteet ja ohjeet</w:t>
            </w:r>
          </w:p>
        </w:tc>
      </w:tr>
      <w:tr w:rsidR="00C04D6C" w:rsidRPr="007F4CC8" w14:paraId="43350AAC" w14:textId="77777777" w:rsidTr="00D819DE">
        <w:trPr>
          <w:trHeight w:val="238"/>
        </w:trPr>
        <w:tc>
          <w:tcPr>
            <w:tcW w:w="1384" w:type="dxa"/>
            <w:tcBorders>
              <w:bottom w:val="nil"/>
            </w:tcBorders>
            <w:shd w:val="clear" w:color="auto" w:fill="D9D9D9" w:themeFill="background1" w:themeFillShade="D9"/>
          </w:tcPr>
          <w:p w14:paraId="284A9CC1" w14:textId="77777777" w:rsidR="00C04D6C" w:rsidRPr="007F4CC8" w:rsidRDefault="00C04D6C" w:rsidP="00D819DE">
            <w:pPr>
              <w:autoSpaceDE w:val="0"/>
              <w:autoSpaceDN w:val="0"/>
              <w:adjustRightInd w:val="0"/>
              <w:rPr>
                <w:b/>
                <w:sz w:val="24"/>
                <w:rFonts w:ascii="Times New Roman" w:hAnsi="Times New Roman" w:cs="Times New Roman"/>
              </w:rPr>
            </w:pPr>
            <w:r>
              <w:rPr>
                <w:b/>
                <w:sz w:val="24"/>
                <w:rFonts w:ascii="Times New Roman" w:hAnsi="Times New Roman"/>
              </w:rPr>
              <w:t xml:space="preserve">Sarakkeen viite</w:t>
            </w:r>
          </w:p>
        </w:tc>
        <w:tc>
          <w:tcPr>
            <w:tcW w:w="7655" w:type="dxa"/>
            <w:tcBorders>
              <w:bottom w:val="nil"/>
            </w:tcBorders>
            <w:shd w:val="clear" w:color="auto" w:fill="D9D9D9" w:themeFill="background1" w:themeFillShade="D9"/>
          </w:tcPr>
          <w:p w14:paraId="516C4F8F" w14:textId="77777777" w:rsidR="00C04D6C" w:rsidRPr="007F4CC8" w:rsidRDefault="00C04D6C" w:rsidP="00D819DE">
            <w:pPr>
              <w:autoSpaceDE w:val="0"/>
              <w:autoSpaceDN w:val="0"/>
              <w:adjustRightInd w:val="0"/>
              <w:rPr>
                <w:color w:val="000000"/>
                <w:sz w:val="24"/>
                <w:rFonts w:ascii="Times New Roman" w:hAnsi="Times New Roman" w:cs="Times New Roman"/>
              </w:rPr>
            </w:pPr>
            <w:r>
              <w:rPr>
                <w:b/>
                <w:sz w:val="24"/>
                <w:rFonts w:ascii="Times New Roman" w:hAnsi="Times New Roman"/>
              </w:rPr>
              <w:t xml:space="preserve">Selitys</w:t>
            </w:r>
          </w:p>
        </w:tc>
      </w:tr>
      <w:tr w:rsidR="00C04D6C" w:rsidRPr="007F4CC8" w14:paraId="7AEEADD6" w14:textId="77777777" w:rsidTr="00D819DE">
        <w:trPr>
          <w:trHeight w:val="238"/>
        </w:trPr>
        <w:tc>
          <w:tcPr>
            <w:tcW w:w="1384" w:type="dxa"/>
            <w:shd w:val="clear" w:color="auto" w:fill="FFFFFF" w:themeFill="background1"/>
          </w:tcPr>
          <w:p w14:paraId="64E74DA3" w14:textId="77777777" w:rsidR="00C04D6C" w:rsidRPr="007F4CC8" w:rsidRDefault="00C04D6C" w:rsidP="00D819DE">
            <w:pPr>
              <w:autoSpaceDE w:val="0"/>
              <w:autoSpaceDN w:val="0"/>
              <w:adjustRightInd w:val="0"/>
              <w:spacing w:before="60"/>
              <w:jc w:val="center"/>
              <w:rPr>
                <w:b/>
                <w:sz w:val="24"/>
                <w:rFonts w:ascii="Times New Roman" w:hAnsi="Times New Roman" w:cs="Times New Roman"/>
              </w:rPr>
            </w:pPr>
            <w:r>
              <w:rPr>
                <w:b/>
                <w:sz w:val="24"/>
                <w:rFonts w:ascii="Times New Roman" w:hAnsi="Times New Roman"/>
              </w:rPr>
              <w:t xml:space="preserve">a</w:t>
            </w:r>
          </w:p>
        </w:tc>
        <w:tc>
          <w:tcPr>
            <w:tcW w:w="7655" w:type="dxa"/>
            <w:shd w:val="clear" w:color="auto" w:fill="FFFFFF" w:themeFill="background1"/>
          </w:tcPr>
          <w:p w14:paraId="189A484C" w14:textId="77777777" w:rsidR="00C04D6C" w:rsidRPr="007F4CC8" w:rsidRDefault="00C04D6C" w:rsidP="00D819DE">
            <w:pPr>
              <w:spacing w:before="60" w:after="120"/>
              <w:jc w:val="both"/>
              <w:rPr>
                <w:b/>
                <w:sz w:val="24"/>
                <w:rFonts w:ascii="Times New Roman" w:eastAsia="Times New Roman" w:hAnsi="Times New Roman" w:cs="Times New Roman"/>
              </w:rPr>
            </w:pPr>
            <w:r>
              <w:rPr>
                <w:b/>
                <w:sz w:val="24"/>
                <w:rFonts w:ascii="Times New Roman" w:hAnsi="Times New Roman"/>
              </w:rPr>
              <w:t xml:space="preserve">Kirjanpitoarvot, kuten ne on ilmoitettu julkaistuissa tilinpäätöksissä</w:t>
            </w:r>
          </w:p>
          <w:p w14:paraId="71D45C87" w14:textId="77777777" w:rsidR="00C04D6C" w:rsidRPr="007F4CC8" w:rsidRDefault="00C04D6C" w:rsidP="00D819DE">
            <w:pPr>
              <w:spacing w:before="60" w:after="120"/>
              <w:jc w:val="both"/>
              <w:rPr>
                <w:sz w:val="24"/>
                <w:rFonts w:ascii="Times New Roman" w:hAnsi="Times New Roman" w:cs="Times New Roman"/>
              </w:rPr>
            </w:pPr>
            <w:r>
              <w:rPr>
                <w:sz w:val="24"/>
                <w:rFonts w:ascii="Times New Roman" w:hAnsi="Times New Roman"/>
              </w:rPr>
              <w:t xml:space="preserve">Sovellettavan tilinpäätössäännöstön, muun muassa direktiiviin 2013/34/EU ja direktiiviin 86/635/ETY</w:t>
            </w:r>
            <w:r w:rsidRPr="007F4CC8">
              <w:rPr>
                <w:rStyle w:val="FootnoteReference"/>
                <w:rFonts w:eastAsia="Times New Roman" w:cs="Times New Roman"/>
              </w:rPr>
              <w:footnoteReference w:id="4"/>
            </w:r>
            <w:r>
              <w:rPr>
                <w:sz w:val="24"/>
                <w:rFonts w:ascii="Times New Roman" w:hAnsi="Times New Roman"/>
              </w:rPr>
              <w:t xml:space="preserve"> perustuvan tilinpäätössäännöstön tai kansainvälisten tilinpäätösstandardien, sellaisina kuin ne on hyväksytty EU:ssa, konsolidointivaatimusten mukaisesti laaditun taseen vastaavaa- ja vastattavaa-puolella ilmoitettu määrä.</w:t>
            </w:r>
            <w:r>
              <w:rPr>
                <w:sz w:val="24"/>
                <w:rFonts w:ascii="Times New Roman" w:hAnsi="Times New Roman"/>
              </w:rPr>
              <w:t xml:space="preserve"> </w:t>
            </w:r>
          </w:p>
        </w:tc>
      </w:tr>
      <w:tr w:rsidR="00C04D6C" w:rsidRPr="007F4CC8" w14:paraId="080AF56A" w14:textId="77777777" w:rsidTr="00D819DE">
        <w:trPr>
          <w:trHeight w:val="238"/>
        </w:trPr>
        <w:tc>
          <w:tcPr>
            <w:tcW w:w="1384" w:type="dxa"/>
            <w:shd w:val="clear" w:color="auto" w:fill="FFFFFF" w:themeFill="background1"/>
          </w:tcPr>
          <w:p w14:paraId="318FE241" w14:textId="77777777" w:rsidR="00C04D6C" w:rsidRPr="007F4CC8" w:rsidRDefault="00C04D6C" w:rsidP="00D819DE">
            <w:pPr>
              <w:autoSpaceDE w:val="0"/>
              <w:autoSpaceDN w:val="0"/>
              <w:adjustRightInd w:val="0"/>
              <w:spacing w:before="60" w:after="120"/>
              <w:jc w:val="center"/>
              <w:rPr>
                <w:b/>
                <w:sz w:val="24"/>
                <w:rFonts w:ascii="Times New Roman" w:hAnsi="Times New Roman" w:cs="Times New Roman"/>
              </w:rPr>
            </w:pPr>
            <w:r>
              <w:rPr>
                <w:b/>
                <w:sz w:val="24"/>
                <w:rFonts w:ascii="Times New Roman" w:hAnsi="Times New Roman"/>
              </w:rPr>
              <w:t xml:space="preserve">b</w:t>
            </w:r>
          </w:p>
        </w:tc>
        <w:tc>
          <w:tcPr>
            <w:tcW w:w="7655" w:type="dxa"/>
            <w:shd w:val="clear" w:color="auto" w:fill="FFFFFF" w:themeFill="background1"/>
          </w:tcPr>
          <w:p w14:paraId="77E7A6A9" w14:textId="77777777" w:rsidR="00C04D6C" w:rsidRPr="007F4CC8" w:rsidRDefault="00C04D6C" w:rsidP="00D819DE">
            <w:pPr>
              <w:spacing w:before="60" w:after="120"/>
              <w:jc w:val="both"/>
              <w:rPr>
                <w:b/>
                <w:sz w:val="24"/>
                <w:rFonts w:ascii="Times New Roman" w:eastAsia="Times New Roman" w:hAnsi="Times New Roman" w:cs="Times New Roman"/>
              </w:rPr>
            </w:pPr>
            <w:r>
              <w:rPr>
                <w:b/>
                <w:sz w:val="24"/>
                <w:rFonts w:ascii="Times New Roman" w:hAnsi="Times New Roman"/>
              </w:rPr>
              <w:t xml:space="preserve">Varovaisuusperiaatteen mukaisen konsolidoinnin piiriin kuuluvat kirjanpitoarvot</w:t>
            </w:r>
            <w:r>
              <w:rPr>
                <w:b/>
                <w:sz w:val="24"/>
                <w:rFonts w:ascii="Times New Roman" w:hAnsi="Times New Roman"/>
              </w:rPr>
              <w:t xml:space="preserve"> </w:t>
            </w:r>
          </w:p>
          <w:p w14:paraId="0CF19370" w14:textId="77777777" w:rsidR="00C04D6C" w:rsidRPr="007F4CC8" w:rsidRDefault="00C04D6C" w:rsidP="00D819DE">
            <w:pPr>
              <w:jc w:val="both"/>
              <w:rPr>
                <w:sz w:val="24"/>
                <w:rFonts w:ascii="Times New Roman" w:hAnsi="Times New Roman" w:cs="Times New Roman"/>
              </w:rPr>
            </w:pPr>
            <w:r>
              <w:rPr>
                <w:sz w:val="24"/>
                <w:rFonts w:ascii="Times New Roman" w:hAnsi="Times New Roman"/>
              </w:rPr>
              <w:t xml:space="preserve">Vakavaraisuusasetuksen ensimmäisen osan II osaston 2 ja 3 jaksossa vahvistettujen vakavaraisuussääntelyn mukaista konsolidointia koskevien vaatimusten mukaisesti laaditun taseen vastaavaa- ja vastattavaa-puolella ilmoitettu määrä.</w:t>
            </w:r>
          </w:p>
          <w:p w14:paraId="2AB1F4D9" w14:textId="77777777" w:rsidR="00C04D6C" w:rsidRPr="007F4CC8" w:rsidRDefault="00C04D6C" w:rsidP="00D819DE">
            <w:pPr>
              <w:spacing w:before="60" w:after="120"/>
              <w:jc w:val="both"/>
              <w:rPr>
                <w:b/>
                <w:sz w:val="24"/>
                <w:rFonts w:ascii="Times New Roman" w:hAnsi="Times New Roman" w:cs="Times New Roman"/>
              </w:rPr>
            </w:pPr>
            <w:r>
              <w:rPr>
                <w:sz w:val="24"/>
                <w:rFonts w:ascii="Times New Roman" w:hAnsi="Times New Roman"/>
              </w:rPr>
              <w:t xml:space="preserve">Jos tilinpäätössäännöstön mukaisen konsolidoinnin ja varovaisuusperiaatteen mukaisen konsolidoinnin laajuus on täysin sama, tämän lomakkeen sarakkeet a ja b on yhdistettävä.</w:t>
            </w:r>
          </w:p>
        </w:tc>
      </w:tr>
      <w:tr w:rsidR="00C04D6C" w:rsidRPr="007F4CC8" w14:paraId="55AFC8CE" w14:textId="77777777" w:rsidTr="00D819DE">
        <w:trPr>
          <w:trHeight w:val="238"/>
        </w:trPr>
        <w:tc>
          <w:tcPr>
            <w:tcW w:w="1384" w:type="dxa"/>
            <w:shd w:val="clear" w:color="auto" w:fill="FFFFFF" w:themeFill="background1"/>
          </w:tcPr>
          <w:p w14:paraId="2775890C" w14:textId="77777777" w:rsidR="00C04D6C" w:rsidRPr="007F4CC8" w:rsidRDefault="00C04D6C" w:rsidP="00D819DE">
            <w:pPr>
              <w:autoSpaceDE w:val="0"/>
              <w:autoSpaceDN w:val="0"/>
              <w:adjustRightInd w:val="0"/>
              <w:spacing w:before="60" w:after="120"/>
              <w:jc w:val="center"/>
              <w:rPr>
                <w:b/>
                <w:sz w:val="24"/>
                <w:rFonts w:ascii="Times New Roman" w:hAnsi="Times New Roman" w:cs="Times New Roman"/>
              </w:rPr>
            </w:pPr>
            <w:r>
              <w:rPr>
                <w:b/>
                <w:sz w:val="24"/>
                <w:rFonts w:ascii="Times New Roman" w:hAnsi="Times New Roman"/>
              </w:rPr>
              <w:t xml:space="preserve">c</w:t>
            </w:r>
          </w:p>
        </w:tc>
        <w:tc>
          <w:tcPr>
            <w:tcW w:w="7655" w:type="dxa"/>
            <w:shd w:val="clear" w:color="auto" w:fill="FFFFFF" w:themeFill="background1"/>
          </w:tcPr>
          <w:p w14:paraId="63176B46" w14:textId="77777777" w:rsidR="00C04D6C" w:rsidRPr="007F4CC8" w:rsidRDefault="00C04D6C" w:rsidP="00D819DE">
            <w:pPr>
              <w:spacing w:before="60" w:after="120"/>
              <w:jc w:val="both"/>
              <w:rPr>
                <w:b/>
                <w:sz w:val="24"/>
                <w:rFonts w:ascii="Times New Roman" w:eastAsia="Times New Roman" w:hAnsi="Times New Roman" w:cs="Times New Roman"/>
              </w:rPr>
            </w:pPr>
            <w:r>
              <w:rPr>
                <w:b/>
                <w:sz w:val="24"/>
                <w:rFonts w:ascii="Times New Roman" w:hAnsi="Times New Roman"/>
              </w:rPr>
              <w:t xml:space="preserve">Luottoriskikehyksen soveltamisalaan kuuluvien erien kirjanpitoarvot</w:t>
            </w:r>
          </w:p>
          <w:p w14:paraId="147B3513" w14:textId="77777777" w:rsidR="00C04D6C" w:rsidRPr="007F4CC8" w:rsidRDefault="00C04D6C" w:rsidP="00D819DE">
            <w:pPr>
              <w:spacing w:before="60" w:after="120"/>
              <w:jc w:val="both"/>
              <w:rPr>
                <w:b/>
                <w:sz w:val="24"/>
                <w:rFonts w:ascii="Times New Roman" w:hAnsi="Times New Roman" w:cs="Times New Roman"/>
              </w:rPr>
            </w:pPr>
            <w:r>
              <w:rPr>
                <w:sz w:val="24"/>
                <w:rFonts w:ascii="Times New Roman" w:hAnsi="Times New Roman"/>
              </w:rPr>
              <w:t xml:space="preserve">Vakavaraisuusasetuksen kolmannen osan II osaston 2 ja 3 luvun soveltamisalaan kuuluvien erien (muiden kuin taseen ulkopuolisten erien) varovaisuusperiaatteen mukaisen konsolidoinnin piiriin kuuluvat kirjanpitoarvot.</w:t>
            </w:r>
          </w:p>
        </w:tc>
      </w:tr>
      <w:tr w:rsidR="00C04D6C" w:rsidRPr="007F4CC8" w14:paraId="30C9B062" w14:textId="77777777" w:rsidTr="00D819DE">
        <w:trPr>
          <w:trHeight w:val="238"/>
        </w:trPr>
        <w:tc>
          <w:tcPr>
            <w:tcW w:w="1384" w:type="dxa"/>
            <w:shd w:val="clear" w:color="auto" w:fill="FFFFFF" w:themeFill="background1"/>
          </w:tcPr>
          <w:p w14:paraId="53B77BCC" w14:textId="77777777" w:rsidR="00C04D6C" w:rsidRPr="007F4CC8" w:rsidRDefault="00C04D6C" w:rsidP="00D819DE">
            <w:pPr>
              <w:autoSpaceDE w:val="0"/>
              <w:autoSpaceDN w:val="0"/>
              <w:adjustRightInd w:val="0"/>
              <w:spacing w:before="60"/>
              <w:jc w:val="center"/>
              <w:rPr>
                <w:b/>
                <w:sz w:val="24"/>
                <w:rFonts w:ascii="Times New Roman" w:hAnsi="Times New Roman" w:cs="Times New Roman"/>
              </w:rPr>
            </w:pPr>
            <w:r>
              <w:rPr>
                <w:b/>
                <w:sz w:val="24"/>
                <w:rFonts w:ascii="Times New Roman" w:hAnsi="Times New Roman"/>
              </w:rPr>
              <w:t xml:space="preserve">d</w:t>
            </w:r>
          </w:p>
        </w:tc>
        <w:tc>
          <w:tcPr>
            <w:tcW w:w="7655" w:type="dxa"/>
            <w:shd w:val="clear" w:color="auto" w:fill="FFFFFF" w:themeFill="background1"/>
          </w:tcPr>
          <w:p w14:paraId="41152FB4" w14:textId="77777777" w:rsidR="00C04D6C" w:rsidRPr="007F4CC8" w:rsidRDefault="00C04D6C" w:rsidP="00D819DE">
            <w:pPr>
              <w:spacing w:before="60" w:after="120"/>
              <w:ind w:left="34"/>
              <w:jc w:val="both"/>
              <w:rPr>
                <w:b/>
                <w:sz w:val="24"/>
                <w:rFonts w:ascii="Times New Roman" w:eastAsia="Times New Roman" w:hAnsi="Times New Roman" w:cs="Times New Roman"/>
              </w:rPr>
            </w:pPr>
            <w:r>
              <w:rPr>
                <w:b/>
                <w:sz w:val="24"/>
                <w:rFonts w:ascii="Times New Roman" w:hAnsi="Times New Roman"/>
              </w:rPr>
              <w:t xml:space="preserve">Vastapuoliriskikehyksen soveltamisalaan kuuluvien erien kirjanpitoarvot</w:t>
            </w:r>
          </w:p>
          <w:p w14:paraId="64D3EA20" w14:textId="77777777" w:rsidR="00C04D6C" w:rsidRPr="007F4CC8" w:rsidRDefault="00C04D6C" w:rsidP="00D819DE">
            <w:pPr>
              <w:spacing w:before="60" w:after="120"/>
              <w:ind w:left="34"/>
              <w:jc w:val="both"/>
              <w:rPr>
                <w:b/>
                <w:sz w:val="24"/>
                <w:rFonts w:ascii="Times New Roman" w:hAnsi="Times New Roman" w:cs="Times New Roman"/>
              </w:rPr>
            </w:pPr>
            <w:r>
              <w:rPr>
                <w:sz w:val="24"/>
                <w:rFonts w:ascii="Times New Roman" w:hAnsi="Times New Roman"/>
              </w:rPr>
              <w:t xml:space="preserve">Vakavaraisuusasetuksen kolmannen osan II osaston 6 luvun soveltamisalaan kuuluvien erien (muiden kuin taseen ulkopuolisten erien) varovaisuusperiaatteen mukaisen konsolidoinnin piiriin kuuluvat kirjanpitoarvot.</w:t>
            </w:r>
          </w:p>
        </w:tc>
      </w:tr>
      <w:tr w:rsidR="00C04D6C" w:rsidRPr="007F4CC8" w14:paraId="7E7B04C2" w14:textId="77777777" w:rsidTr="00D819DE">
        <w:trPr>
          <w:trHeight w:val="238"/>
        </w:trPr>
        <w:tc>
          <w:tcPr>
            <w:tcW w:w="1384" w:type="dxa"/>
            <w:shd w:val="clear" w:color="auto" w:fill="FFFFFF" w:themeFill="background1"/>
          </w:tcPr>
          <w:p w14:paraId="44806283" w14:textId="77777777" w:rsidR="00C04D6C" w:rsidRPr="007F4CC8" w:rsidRDefault="00C04D6C" w:rsidP="00D819DE">
            <w:pPr>
              <w:autoSpaceDE w:val="0"/>
              <w:autoSpaceDN w:val="0"/>
              <w:adjustRightInd w:val="0"/>
              <w:spacing w:before="60" w:after="120"/>
              <w:jc w:val="center"/>
              <w:rPr>
                <w:b/>
                <w:sz w:val="24"/>
                <w:rFonts w:ascii="Times New Roman" w:hAnsi="Times New Roman" w:cs="Times New Roman"/>
              </w:rPr>
            </w:pPr>
            <w:r>
              <w:rPr>
                <w:b/>
                <w:sz w:val="24"/>
                <w:rFonts w:ascii="Times New Roman" w:hAnsi="Times New Roman"/>
              </w:rPr>
              <w:t xml:space="preserve">e</w:t>
            </w:r>
          </w:p>
        </w:tc>
        <w:tc>
          <w:tcPr>
            <w:tcW w:w="7655" w:type="dxa"/>
            <w:shd w:val="clear" w:color="auto" w:fill="FFFFFF" w:themeFill="background1"/>
          </w:tcPr>
          <w:p w14:paraId="0C501D4D" w14:textId="77777777" w:rsidR="00C04D6C" w:rsidRPr="007F4CC8" w:rsidRDefault="00C04D6C" w:rsidP="00D819DE">
            <w:pPr>
              <w:spacing w:before="60" w:after="120"/>
              <w:ind w:left="34"/>
              <w:jc w:val="both"/>
              <w:rPr>
                <w:sz w:val="24"/>
                <w:rFonts w:ascii="Times New Roman" w:eastAsia="Times New Roman" w:hAnsi="Times New Roman" w:cs="Times New Roman"/>
              </w:rPr>
            </w:pPr>
            <w:r>
              <w:rPr>
                <w:b/>
                <w:sz w:val="24"/>
                <w:rFonts w:ascii="Times New Roman" w:hAnsi="Times New Roman"/>
              </w:rPr>
              <w:t xml:space="preserve">Arvopaperistamiskehyksen soveltamisalaan kuuluvien erien kirjanpitoarvot</w:t>
            </w:r>
            <w:r>
              <w:rPr>
                <w:b/>
                <w:sz w:val="24"/>
                <w:rFonts w:ascii="Times New Roman" w:hAnsi="Times New Roman"/>
              </w:rPr>
              <w:t xml:space="preserve"> </w:t>
            </w:r>
          </w:p>
          <w:p w14:paraId="7880C10D" w14:textId="77777777" w:rsidR="00C04D6C" w:rsidRPr="007F4CC8" w:rsidRDefault="00C04D6C" w:rsidP="00D819DE">
            <w:pPr>
              <w:spacing w:before="60" w:after="120"/>
              <w:ind w:left="34"/>
              <w:jc w:val="both"/>
              <w:rPr>
                <w:sz w:val="24"/>
                <w:rFonts w:ascii="Times New Roman" w:eastAsia="Times New Roman" w:hAnsi="Times New Roman" w:cs="Times New Roman"/>
              </w:rPr>
            </w:pPr>
            <w:r>
              <w:rPr>
                <w:sz w:val="24"/>
                <w:rFonts w:ascii="Times New Roman" w:hAnsi="Times New Roman"/>
              </w:rPr>
              <w:t xml:space="preserve">Vakavaraisuusasetuksen kolmannen osan II osaston 5 luvun soveltamisalaan kuuluvien kaupankäyntivaraston ulkopuolisten erien (muiden kuin taseen ulkopuolisten erien) varovaisuusperiaatteen mukaisen konsolidoinnin piiriin kuuluvat kirjanpitoarvot.</w:t>
            </w:r>
          </w:p>
        </w:tc>
      </w:tr>
      <w:tr w:rsidR="00C04D6C" w:rsidRPr="007F4CC8" w14:paraId="2B965A81" w14:textId="77777777" w:rsidTr="00D819DE">
        <w:trPr>
          <w:trHeight w:val="238"/>
        </w:trPr>
        <w:tc>
          <w:tcPr>
            <w:tcW w:w="1384" w:type="dxa"/>
            <w:shd w:val="clear" w:color="auto" w:fill="FFFFFF" w:themeFill="background1"/>
          </w:tcPr>
          <w:p w14:paraId="50727C30" w14:textId="77777777" w:rsidR="00C04D6C" w:rsidRPr="007F4CC8" w:rsidRDefault="00C04D6C" w:rsidP="00D819DE">
            <w:pPr>
              <w:autoSpaceDE w:val="0"/>
              <w:autoSpaceDN w:val="0"/>
              <w:adjustRightInd w:val="0"/>
              <w:spacing w:before="60" w:after="120"/>
              <w:jc w:val="center"/>
              <w:rPr>
                <w:b/>
                <w:sz w:val="24"/>
                <w:rFonts w:ascii="Times New Roman" w:hAnsi="Times New Roman" w:cs="Times New Roman"/>
              </w:rPr>
            </w:pPr>
            <w:r>
              <w:rPr>
                <w:b/>
                <w:sz w:val="24"/>
                <w:rFonts w:ascii="Times New Roman" w:hAnsi="Times New Roman"/>
              </w:rPr>
              <w:t xml:space="preserve">f</w:t>
            </w:r>
          </w:p>
        </w:tc>
        <w:tc>
          <w:tcPr>
            <w:tcW w:w="7655" w:type="dxa"/>
            <w:shd w:val="clear" w:color="auto" w:fill="FFFFFF" w:themeFill="background1"/>
          </w:tcPr>
          <w:p w14:paraId="53132510" w14:textId="77777777" w:rsidR="00C04D6C" w:rsidRPr="007F4CC8" w:rsidRDefault="00C04D6C" w:rsidP="00D819DE">
            <w:pPr>
              <w:spacing w:before="60" w:after="120"/>
              <w:ind w:left="34"/>
              <w:jc w:val="both"/>
              <w:rPr>
                <w:sz w:val="24"/>
                <w:rFonts w:ascii="Times New Roman" w:eastAsia="Times New Roman" w:hAnsi="Times New Roman" w:cs="Times New Roman"/>
              </w:rPr>
            </w:pPr>
            <w:r>
              <w:rPr>
                <w:b/>
                <w:sz w:val="24"/>
                <w:rFonts w:ascii="Times New Roman" w:hAnsi="Times New Roman"/>
              </w:rPr>
              <w:t xml:space="preserve">Markkinariskikehyksen soveltamisalaan kuuluvien erien kirjanpitoarvot</w:t>
            </w:r>
          </w:p>
          <w:p w14:paraId="2081B8AC" w14:textId="77777777" w:rsidR="00C04D6C" w:rsidRPr="007F4CC8" w:rsidRDefault="00C04D6C" w:rsidP="00D819DE">
            <w:pPr>
              <w:spacing w:before="60" w:after="120"/>
              <w:ind w:left="34"/>
              <w:jc w:val="both"/>
              <w:rPr>
                <w:b/>
                <w:sz w:val="24"/>
                <w:rFonts w:ascii="Times New Roman" w:hAnsi="Times New Roman" w:cs="Times New Roman"/>
              </w:rPr>
            </w:pPr>
            <w:r>
              <w:rPr>
                <w:sz w:val="24"/>
                <w:rFonts w:ascii="Times New Roman" w:hAnsi="Times New Roman"/>
              </w:rPr>
              <w:t xml:space="preserve">Vakavaraisuusasetuksen kolmannen osan IV osaston soveltamisalaan kuuluvien erien (muiden kuin taseen ulkopuolisten erien) varovaisuusperiaatteen mukaisen konsolidoinnin piiriin kuuluvat kirjanpitoarvot.</w:t>
            </w:r>
            <w:r>
              <w:rPr>
                <w:sz w:val="24"/>
                <w:rFonts w:ascii="Times New Roman" w:hAnsi="Times New Roman"/>
              </w:rPr>
              <w:t xml:space="preserve"> </w:t>
            </w:r>
            <w:r>
              <w:rPr>
                <w:sz w:val="24"/>
                <w:rFonts w:ascii="Times New Roman" w:hAnsi="Times New Roman"/>
              </w:rPr>
              <w:t xml:space="preserve">Kaupankäyntivaraston arvopaperistamispositioita vastaavat erät, joihin sovelletaan vakavaraisuusasetuksen kolmannen osan IV osaston vaatimuksia, on sisällytettävä tähän sarakkeeseen.</w:t>
            </w:r>
          </w:p>
        </w:tc>
      </w:tr>
      <w:tr w:rsidR="00C04D6C" w:rsidRPr="007F4CC8" w14:paraId="4EA0353D" w14:textId="77777777" w:rsidTr="00D819DE">
        <w:trPr>
          <w:trHeight w:val="238"/>
        </w:trPr>
        <w:tc>
          <w:tcPr>
            <w:tcW w:w="1384" w:type="dxa"/>
            <w:shd w:val="clear" w:color="auto" w:fill="FFFFFF" w:themeFill="background1"/>
          </w:tcPr>
          <w:p w14:paraId="421ACD4C" w14:textId="77777777" w:rsidR="00C04D6C" w:rsidRPr="007F4CC8" w:rsidRDefault="00C04D6C" w:rsidP="00D819DE">
            <w:pPr>
              <w:autoSpaceDE w:val="0"/>
              <w:autoSpaceDN w:val="0"/>
              <w:adjustRightInd w:val="0"/>
              <w:spacing w:before="60" w:after="120"/>
              <w:jc w:val="center"/>
              <w:rPr>
                <w:b/>
                <w:sz w:val="24"/>
                <w:rFonts w:ascii="Times New Roman" w:hAnsi="Times New Roman" w:cs="Times New Roman"/>
              </w:rPr>
            </w:pPr>
            <w:r>
              <w:rPr>
                <w:b/>
                <w:sz w:val="24"/>
                <w:rFonts w:ascii="Times New Roman" w:hAnsi="Times New Roman"/>
              </w:rPr>
              <w:t xml:space="preserve">g</w:t>
            </w:r>
          </w:p>
        </w:tc>
        <w:tc>
          <w:tcPr>
            <w:tcW w:w="7655" w:type="dxa"/>
            <w:shd w:val="clear" w:color="auto" w:fill="FFFFFF" w:themeFill="background1"/>
          </w:tcPr>
          <w:p w14:paraId="1942AC90" w14:textId="77777777" w:rsidR="00C04D6C" w:rsidRPr="007F4CC8" w:rsidRDefault="00C04D6C" w:rsidP="00D819DE">
            <w:pPr>
              <w:spacing w:before="60" w:after="120"/>
              <w:ind w:left="34"/>
              <w:jc w:val="both"/>
              <w:rPr>
                <w:sz w:val="24"/>
                <w:rFonts w:ascii="Times New Roman" w:eastAsia="Times New Roman" w:hAnsi="Times New Roman" w:cs="Times New Roman"/>
              </w:rPr>
            </w:pPr>
            <w:r>
              <w:rPr>
                <w:b/>
                <w:sz w:val="24"/>
                <w:rFonts w:ascii="Times New Roman" w:hAnsi="Times New Roman"/>
              </w:rPr>
              <w:t xml:space="preserve">Sellaisten erien kirjanpitoarvot, joihin ei sovelleta omien varojen vaatimuksia tai joihin sovelletaan omista varoista tehtäviä vähennyksiä</w:t>
            </w:r>
          </w:p>
          <w:p w14:paraId="2DE2BC86" w14:textId="77777777" w:rsidR="00C04D6C" w:rsidRPr="007F4CC8" w:rsidRDefault="00C04D6C" w:rsidP="00D819DE">
            <w:pPr>
              <w:spacing w:before="60" w:after="120"/>
              <w:ind w:left="34"/>
              <w:jc w:val="both"/>
              <w:rPr>
                <w:sz w:val="24"/>
                <w:rFonts w:ascii="Times New Roman" w:eastAsia="Times New Roman" w:hAnsi="Times New Roman" w:cs="Times New Roman"/>
              </w:rPr>
            </w:pPr>
            <w:r>
              <w:rPr>
                <w:sz w:val="24"/>
                <w:rFonts w:ascii="Times New Roman" w:hAnsi="Times New Roman"/>
              </w:rPr>
              <w:t xml:space="preserve">Sellaisten erien (muiden kuin taseen ulkopuolisten erien), joihin ei sovelleta vakavaraisuusasetuksen mukaisia omien varojen vaatimuksia, varovaisuusperiaatteen mukaisen konsolidoinnin piiriin kuuluvat kirjanpitoarvot;</w:t>
            </w:r>
            <w:r>
              <w:rPr>
                <w:sz w:val="24"/>
                <w:rFonts w:ascii="Times New Roman" w:hAnsi="Times New Roman"/>
              </w:rPr>
              <w:t xml:space="preserve"> </w:t>
            </w:r>
            <w:r>
              <w:rPr>
                <w:sz w:val="24"/>
                <w:rFonts w:ascii="Times New Roman" w:hAnsi="Times New Roman"/>
              </w:rPr>
              <w:t xml:space="preserve">sellaisten erien (muiden kuin taseen ulkopuolisten erien), joihin sovelletaan vakavaraisuusasetuksen mukaisia omista varoista tehtäviä vähennyksiä, varovaisuusperiaatteen mukaisen konsolidoinnin piiriin kuuluvat kirjanpitoarvot.</w:t>
            </w:r>
          </w:p>
          <w:p w14:paraId="6E671A99" w14:textId="77777777" w:rsidR="00C04D6C" w:rsidRPr="007F4CC8" w:rsidRDefault="00C04D6C" w:rsidP="00D819DE">
            <w:pPr>
              <w:spacing w:before="60" w:after="120"/>
              <w:ind w:left="34"/>
              <w:jc w:val="both"/>
              <w:rPr>
                <w:sz w:val="24"/>
                <w:rFonts w:ascii="Times New Roman" w:eastAsia="Times New Roman" w:hAnsi="Times New Roman" w:cs="Times New Roman"/>
              </w:rPr>
            </w:pPr>
            <w:r>
              <w:rPr>
                <w:sz w:val="24"/>
                <w:rFonts w:ascii="Times New Roman" w:hAnsi="Times New Roman"/>
              </w:rPr>
              <w:t xml:space="preserve">Vähennettyihin eriin voivat sisältyä esimerkiksi vakavaraisuusasetuksen 37, 38, 39 ja 41 artiklassa luetellut erät.</w:t>
            </w:r>
            <w:r>
              <w:rPr>
                <w:sz w:val="24"/>
                <w:rFonts w:ascii="Times New Roman" w:hAnsi="Times New Roman"/>
              </w:rPr>
              <w:t xml:space="preserve"> </w:t>
            </w:r>
          </w:p>
          <w:p w14:paraId="04744916" w14:textId="77777777" w:rsidR="00C04D6C" w:rsidRPr="007F4CC8" w:rsidRDefault="00C04D6C" w:rsidP="00D819DE">
            <w:pPr>
              <w:spacing w:before="60" w:after="120"/>
              <w:ind w:left="34"/>
              <w:jc w:val="both"/>
              <w:rPr>
                <w:sz w:val="24"/>
                <w:rFonts w:ascii="Times New Roman" w:eastAsia="Times New Roman" w:hAnsi="Times New Roman" w:cs="Times New Roman"/>
              </w:rPr>
            </w:pPr>
            <w:r>
              <w:rPr>
                <w:sz w:val="24"/>
                <w:rFonts w:ascii="Times New Roman" w:hAnsi="Times New Roman"/>
              </w:rPr>
              <w:t xml:space="preserve">Varojen määrät ovat määriä, jotka on tosiasiallisesti vähennetty omista varoista, ottaen huomioon mahdollinen nettoutus velkojen kanssa, joka on sallittu vakavaraisuusasetuksen toisen osan asiaankuuluvien artiklojen perusteella sovellettavan vähennyksen kautta (ja mahdollinen vähennysraja).</w:t>
            </w:r>
          </w:p>
          <w:p w14:paraId="7C247AE0" w14:textId="77777777" w:rsidR="00C04D6C" w:rsidRPr="007F4CC8" w:rsidRDefault="00C04D6C" w:rsidP="00D819DE">
            <w:pPr>
              <w:spacing w:before="60" w:after="120"/>
              <w:jc w:val="both"/>
              <w:rPr>
                <w:sz w:val="24"/>
                <w:rFonts w:ascii="Times New Roman" w:eastAsia="Times New Roman" w:hAnsi="Times New Roman" w:cs="Times New Roman"/>
              </w:rPr>
            </w:pPr>
            <w:r>
              <w:rPr>
                <w:sz w:val="24"/>
                <w:rFonts w:ascii="Times New Roman" w:hAnsi="Times New Roman"/>
              </w:rPr>
              <w:t xml:space="preserve">Kun vakavaraisuusasetuksen 36 artiklan 1 kohdan k alakohdassa ja 48 artiklassa lueteltuihin eriin sovelletaan 1 250 prosentin riskipainoa sen sijaan, että ne olisi vähennetty, niitä ei julkisteta tämän lomakkeen sarakkeessa g vaan lomakkeen EU LI1 muissa asianmukaisissa sarakkeissa.</w:t>
            </w:r>
            <w:r>
              <w:rPr>
                <w:sz w:val="24"/>
                <w:rFonts w:ascii="Times New Roman" w:hAnsi="Times New Roman"/>
              </w:rPr>
              <w:t xml:space="preserve"> </w:t>
            </w:r>
            <w:r>
              <w:rPr>
                <w:sz w:val="24"/>
                <w:rFonts w:ascii="Times New Roman" w:hAnsi="Times New Roman"/>
              </w:rPr>
              <w:t xml:space="preserve">Tämä koskee myös kaikkia muita eriä, joihin sovelletaan 1 250 prosentin riskipainoa vakavaraisuusasetuksen vaatimusten mukaisesti.</w:t>
            </w:r>
          </w:p>
          <w:p w14:paraId="1E8AD1D2" w14:textId="77777777" w:rsidR="00C04D6C" w:rsidRPr="007F4CC8" w:rsidRDefault="00C04D6C" w:rsidP="00D819DE">
            <w:pPr>
              <w:spacing w:before="60" w:after="120"/>
              <w:jc w:val="both"/>
              <w:rPr>
                <w:b/>
                <w:sz w:val="24"/>
                <w:rFonts w:ascii="Times New Roman" w:hAnsi="Times New Roman" w:cs="Times New Roman"/>
              </w:rPr>
            </w:pPr>
            <w:r>
              <w:rPr>
                <w:sz w:val="24"/>
                <w:rFonts w:ascii="Times New Roman" w:hAnsi="Times New Roman"/>
              </w:rPr>
              <w:t xml:space="preserve">Velkojen määrät ovat niitä velkojen määriä, jotka on otettava huomioon omista varoista vähennettävien varojen määrän määrittämiseksi vakavaraisuusasetuksen toisen osan asiaankuuluvien artiklojen mukaisesti.</w:t>
            </w:r>
            <w:r>
              <w:rPr>
                <w:sz w:val="24"/>
                <w:rFonts w:ascii="Times New Roman" w:hAnsi="Times New Roman"/>
              </w:rPr>
              <w:t xml:space="preserve"> </w:t>
            </w:r>
            <w:r>
              <w:rPr>
                <w:sz w:val="24"/>
                <w:rFonts w:ascii="Times New Roman" w:hAnsi="Times New Roman"/>
              </w:rPr>
              <w:t xml:space="preserve">Lisäksi tässä sarakkeessa on ilmoitettava kaikki muut velat kuin ne, jotka i) ovat merkityksellisiä vakavaraisuusasetuksen kolmannen osan II osaston 4 luvun vaatimusten soveltamisen kannalta tai ii) ovat merkityksellisiä vakavaraisuusasetuksen kolmannen osan II osaston 6 luvun ja kolmannen osan IV osaston vaatimusten soveltamisen kannalta.</w:t>
            </w:r>
          </w:p>
        </w:tc>
      </w:tr>
      <w:tr w:rsidR="00C04D6C" w:rsidRPr="007F4CC8" w14:paraId="7179E48D" w14:textId="77777777" w:rsidTr="00D819DE">
        <w:trPr>
          <w:trHeight w:val="238"/>
        </w:trPr>
        <w:tc>
          <w:tcPr>
            <w:tcW w:w="1384" w:type="dxa"/>
            <w:shd w:val="clear" w:color="auto" w:fill="FFFFFF" w:themeFill="background1"/>
          </w:tcPr>
          <w:p w14:paraId="732737BA" w14:textId="77777777" w:rsidR="00C04D6C" w:rsidRPr="007F4CC8" w:rsidRDefault="00C04D6C" w:rsidP="00D819DE">
            <w:pPr>
              <w:autoSpaceDE w:val="0"/>
              <w:autoSpaceDN w:val="0"/>
              <w:adjustRightInd w:val="0"/>
              <w:spacing w:before="60" w:after="120"/>
              <w:jc w:val="center"/>
              <w:rPr>
                <w:b/>
                <w:sz w:val="24"/>
                <w:rFonts w:ascii="Times New Roman" w:hAnsi="Times New Roman" w:cs="Times New Roman"/>
              </w:rPr>
            </w:pPr>
            <w:r>
              <w:rPr>
                <w:b/>
                <w:sz w:val="24"/>
                <w:rFonts w:ascii="Times New Roman" w:hAnsi="Times New Roman"/>
              </w:rPr>
              <w:t xml:space="preserve">kaikki</w:t>
            </w:r>
          </w:p>
        </w:tc>
        <w:tc>
          <w:tcPr>
            <w:tcW w:w="7655" w:type="dxa"/>
            <w:shd w:val="clear" w:color="auto" w:fill="FFFFFF" w:themeFill="background1"/>
          </w:tcPr>
          <w:p w14:paraId="4291E137" w14:textId="77777777" w:rsidR="00C04D6C" w:rsidRPr="007F4CC8" w:rsidRDefault="00C04D6C" w:rsidP="00D819DE">
            <w:pPr>
              <w:spacing w:before="60" w:after="120"/>
              <w:ind w:left="34"/>
              <w:jc w:val="both"/>
              <w:rPr>
                <w:b/>
                <w:color w:val="000000" w:themeColor="text1"/>
                <w:sz w:val="24"/>
                <w:rFonts w:ascii="Times New Roman" w:eastAsia="Times New Roman" w:hAnsi="Times New Roman" w:cs="Times New Roman"/>
              </w:rPr>
            </w:pPr>
            <w:r>
              <w:rPr>
                <w:sz w:val="24"/>
                <w:rFonts w:ascii="Times New Roman" w:hAnsi="Times New Roman"/>
              </w:rPr>
              <w:t xml:space="preserve">Kun yhteen erään sovelletaan pääomavaatimuksia useamman kuin yhden riskikehyksen mukaisesti, kirjanpitoarvot on ilmoitettava kaikissa niissä sarakkeissa, jotka liittyvät kyseessä oleviin pääomavaatimuksiin.</w:t>
            </w:r>
            <w:r>
              <w:rPr>
                <w:sz w:val="24"/>
                <w:rFonts w:ascii="Times New Roman" w:hAnsi="Times New Roman"/>
              </w:rPr>
              <w:t xml:space="preserve"> </w:t>
            </w:r>
            <w:r>
              <w:rPr>
                <w:sz w:val="24"/>
                <w:rFonts w:ascii="Times New Roman" w:hAnsi="Times New Roman"/>
              </w:rPr>
              <w:t xml:space="preserve">Sen vuoksi tämän lomakkeen sarakkeiden c–g määrien summa voi olla suurempi kuin tämän lomakkeen sarakkeen b määrä.</w:t>
            </w:r>
            <w:r>
              <w:rPr>
                <w:sz w:val="24"/>
                <w:rFonts w:ascii="Times New Roman" w:hAnsi="Times New Roman"/>
              </w:rPr>
              <w:t xml:space="preserve"> </w:t>
            </w:r>
            <w:r>
              <w:rPr>
                <w:sz w:val="24"/>
                <w:rFonts w:ascii="Times New Roman" w:hAnsi="Times New Roman"/>
              </w:rPr>
              <w:t xml:space="preserve">Laitosten on annettava laadullisia selityksiä varoista ja veloista, joihin sovelletaan pääomavaatimuksia useammassa kuin yhdessä vakavaraisuusasetuksen kolmannessa osassa luetellussa riskikehyksessä.</w:t>
            </w:r>
          </w:p>
        </w:tc>
      </w:tr>
    </w:tbl>
    <w:p w14:paraId="6C41F2CD" w14:textId="77777777" w:rsidR="00C04D6C" w:rsidRPr="007F4CC8" w:rsidRDefault="00C04D6C" w:rsidP="00C04D6C">
      <w:pPr>
        <w:spacing w:after="120"/>
        <w:jc w:val="both"/>
        <w:rPr>
          <w:rFonts w:ascii="Times New Roman" w:hAnsi="Times New Roman" w:cs="Times New Roman"/>
          <w:b/>
          <w:sz w:val="24"/>
        </w:rPr>
      </w:pPr>
    </w:p>
    <w:p w14:paraId="390C8CCC" w14:textId="77777777" w:rsidR="00C04D6C" w:rsidRPr="007F4CC8" w:rsidRDefault="00C04D6C" w:rsidP="00C04D6C">
      <w:pPr>
        <w:spacing w:after="120"/>
        <w:jc w:val="both"/>
        <w:rPr>
          <w:b/>
          <w:sz w:val="24"/>
          <w:rFonts w:ascii="Times New Roman" w:hAnsi="Times New Roman" w:cs="Times New Roman"/>
        </w:rPr>
      </w:pPr>
      <w:r>
        <w:rPr>
          <w:sz w:val="24"/>
          <w:b/>
          <w:rFonts w:ascii="Times New Roman" w:hAnsi="Times New Roman"/>
        </w:rPr>
        <w:t xml:space="preserve">Lomake EU LI2 – Sääntelytarkoituksia varten käytettyjen vastuuerien määrien ja tilinpäätöksen kirjanpitoarvojen välisten erojen pääasialliset syyt.</w:t>
      </w:r>
      <w:r>
        <w:rPr>
          <w:sz w:val="24"/>
          <w:b/>
          <w:rFonts w:ascii="Times New Roman" w:hAnsi="Times New Roman"/>
        </w:rPr>
        <w:t xml:space="preserve"> </w:t>
      </w:r>
      <w:r>
        <w:rPr>
          <w:sz w:val="24"/>
          <w:rFonts w:ascii="Times New Roman" w:hAnsi="Times New Roman"/>
        </w:rPr>
        <w:t xml:space="preserve">Vakiomuotoinen lomake.</w:t>
      </w:r>
      <w:r>
        <w:rPr>
          <w:sz w:val="24"/>
          <w:b/>
          <w:rFonts w:ascii="Times New Roman" w:hAnsi="Times New Roman"/>
        </w:rPr>
        <w:t xml:space="preserve"> </w:t>
      </w:r>
    </w:p>
    <w:p w14:paraId="31823E5C" w14:textId="77777777" w:rsidR="00C04D6C" w:rsidRPr="007F4CC8" w:rsidRDefault="00C04D6C" w:rsidP="00C04D6C">
      <w:pPr>
        <w:pStyle w:val="ListParagraph"/>
        <w:numPr>
          <w:ilvl w:val="0"/>
          <w:numId w:val="1"/>
        </w:numPr>
        <w:spacing w:before="120" w:after="120"/>
        <w:ind w:left="425" w:hanging="357"/>
        <w:jc w:val="both"/>
        <w:rPr>
          <w:color w:val="000000" w:themeColor="text1"/>
          <w:sz w:val="24"/>
          <w:rFonts w:ascii="Times New Roman" w:hAnsi="Times New Roman"/>
        </w:rPr>
      </w:pPr>
      <w:r>
        <w:rPr>
          <w:sz w:val="24"/>
          <w:rFonts w:ascii="Times New Roman" w:hAnsi="Times New Roman"/>
        </w:rPr>
        <w:t xml:space="preserve">Laitosten</w:t>
      </w:r>
      <w:r>
        <w:rPr>
          <w:sz w:val="24"/>
          <w:color w:val="000000" w:themeColor="text1"/>
          <w:rFonts w:ascii="Times New Roman" w:hAnsi="Times New Roman"/>
        </w:rPr>
        <w:t xml:space="preserve"> on julkistettava vakavaraisuusasetuksen 436 artiklan d alakohdassa</w:t>
      </w:r>
      <w:r>
        <w:rPr>
          <w:sz w:val="24"/>
          <w:rFonts w:ascii="Times New Roman" w:hAnsi="Times New Roman"/>
        </w:rPr>
        <w:t xml:space="preserve"> tarkoitetut tiedot noudattamalla jäljempänä tässä liitteessä annettuja ohjeita täyttääkseen tämän täytäntöönpanoasetuksen liitteessä V olevan lomakkeen EU LI2.</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C04D6C" w:rsidRPr="007F4CC8" w14:paraId="2E557FAA" w14:textId="77777777"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C9F1780" w14:textId="77777777" w:rsidR="00C04D6C" w:rsidRPr="007F4CC8" w:rsidRDefault="00C04D6C" w:rsidP="00D819DE">
            <w:pPr>
              <w:rPr>
                <w:b/>
                <w:sz w:val="24"/>
                <w:highlight w:val="yellow"/>
                <w:rFonts w:ascii="Times New Roman" w:hAnsi="Times New Roman" w:cs="Times New Roman"/>
              </w:rPr>
            </w:pPr>
            <w:r>
              <w:rPr>
                <w:b/>
                <w:sz w:val="24"/>
                <w:rFonts w:ascii="Times New Roman" w:hAnsi="Times New Roman"/>
              </w:rPr>
              <w:t xml:space="preserve">Lainsäädäntöviitteet ja ohjeet</w:t>
            </w:r>
          </w:p>
        </w:tc>
      </w:tr>
      <w:tr w:rsidR="00C04D6C" w:rsidRPr="007F4CC8" w14:paraId="351DFAD6" w14:textId="77777777" w:rsidTr="00D819DE">
        <w:trPr>
          <w:trHeight w:val="238"/>
        </w:trPr>
        <w:tc>
          <w:tcPr>
            <w:tcW w:w="1384" w:type="dxa"/>
            <w:shd w:val="clear" w:color="auto" w:fill="D9D9D9" w:themeFill="background1" w:themeFillShade="D9"/>
          </w:tcPr>
          <w:p w14:paraId="210F6178" w14:textId="77777777" w:rsidR="00C04D6C" w:rsidRPr="007F4CC8" w:rsidRDefault="00C04D6C" w:rsidP="00D819DE">
            <w:pPr>
              <w:autoSpaceDE w:val="0"/>
              <w:autoSpaceDN w:val="0"/>
              <w:adjustRightInd w:val="0"/>
              <w:rPr>
                <w:b/>
                <w:sz w:val="24"/>
                <w:rFonts w:ascii="Times New Roman" w:hAnsi="Times New Roman" w:cs="Times New Roman"/>
              </w:rPr>
            </w:pPr>
            <w:r>
              <w:rPr>
                <w:b/>
                <w:sz w:val="24"/>
                <w:rFonts w:ascii="Times New Roman" w:hAnsi="Times New Roman"/>
              </w:rPr>
              <w:t xml:space="preserve">Rivinumero</w:t>
            </w:r>
          </w:p>
        </w:tc>
        <w:tc>
          <w:tcPr>
            <w:tcW w:w="7655" w:type="dxa"/>
            <w:shd w:val="clear" w:color="auto" w:fill="D9D9D9" w:themeFill="background1" w:themeFillShade="D9"/>
          </w:tcPr>
          <w:p w14:paraId="661B01B9" w14:textId="77777777" w:rsidR="00C04D6C" w:rsidRPr="007F4CC8" w:rsidRDefault="00C04D6C" w:rsidP="00D819DE">
            <w:pPr>
              <w:autoSpaceDE w:val="0"/>
              <w:autoSpaceDN w:val="0"/>
              <w:adjustRightInd w:val="0"/>
              <w:rPr>
                <w:color w:val="000000"/>
                <w:sz w:val="24"/>
                <w:rFonts w:ascii="Times New Roman" w:hAnsi="Times New Roman" w:cs="Times New Roman"/>
              </w:rPr>
            </w:pPr>
            <w:r>
              <w:rPr>
                <w:b/>
                <w:sz w:val="24"/>
                <w:rFonts w:ascii="Times New Roman" w:hAnsi="Times New Roman"/>
              </w:rPr>
              <w:t xml:space="preserve">Selitys</w:t>
            </w:r>
          </w:p>
        </w:tc>
      </w:tr>
      <w:tr w:rsidR="00C04D6C" w:rsidRPr="007F4CC8" w14:paraId="6B5341A1" w14:textId="77777777" w:rsidTr="00D819DE">
        <w:trPr>
          <w:trHeight w:val="238"/>
        </w:trPr>
        <w:tc>
          <w:tcPr>
            <w:tcW w:w="1384" w:type="dxa"/>
            <w:shd w:val="clear" w:color="auto" w:fill="FFFFFF" w:themeFill="background1"/>
          </w:tcPr>
          <w:p w14:paraId="5A2CBB68" w14:textId="77777777" w:rsidR="00C04D6C" w:rsidRPr="007F4CC8" w:rsidRDefault="00C04D6C" w:rsidP="00D819DE">
            <w:pPr>
              <w:autoSpaceDE w:val="0"/>
              <w:autoSpaceDN w:val="0"/>
              <w:adjustRightInd w:val="0"/>
              <w:spacing w:before="60" w:after="120"/>
              <w:jc w:val="center"/>
              <w:rPr>
                <w:sz w:val="24"/>
                <w:rFonts w:ascii="Times New Roman" w:hAnsi="Times New Roman" w:cs="Times New Roman"/>
              </w:rPr>
            </w:pPr>
            <w:r>
              <w:rPr>
                <w:sz w:val="24"/>
                <w:rFonts w:ascii="Times New Roman" w:hAnsi="Times New Roman"/>
              </w:rPr>
              <w:t xml:space="preserve">1</w:t>
            </w:r>
          </w:p>
        </w:tc>
        <w:tc>
          <w:tcPr>
            <w:tcW w:w="7655" w:type="dxa"/>
            <w:shd w:val="clear" w:color="auto" w:fill="FFFFFF" w:themeFill="background1"/>
          </w:tcPr>
          <w:p w14:paraId="011E728E" w14:textId="77777777" w:rsidR="00C04D6C" w:rsidRPr="007F4CC8" w:rsidRDefault="00C04D6C" w:rsidP="00D819DE">
            <w:pPr>
              <w:spacing w:before="60" w:after="120"/>
              <w:jc w:val="both"/>
              <w:rPr>
                <w:b/>
                <w:sz w:val="24"/>
                <w:rFonts w:ascii="Times New Roman" w:eastAsia="Times New Roman" w:hAnsi="Times New Roman" w:cs="Times New Roman"/>
              </w:rPr>
            </w:pPr>
            <w:r>
              <w:rPr>
                <w:b/>
                <w:sz w:val="24"/>
                <w:rFonts w:ascii="Times New Roman" w:hAnsi="Times New Roman"/>
              </w:rPr>
              <w:t xml:space="preserve">Varovaisuusperiaatteen mukaisen konsolidoinnin piiriin kuuluvat varojen kirjanpitoarvot</w:t>
            </w:r>
          </w:p>
          <w:p w14:paraId="081D6909" w14:textId="77777777" w:rsidR="00C04D6C" w:rsidRPr="007F4CC8" w:rsidRDefault="00C04D6C" w:rsidP="00D819DE">
            <w:pPr>
              <w:spacing w:before="60" w:after="120"/>
              <w:jc w:val="both"/>
              <w:rPr>
                <w:b/>
                <w:sz w:val="24"/>
                <w:rFonts w:ascii="Times New Roman" w:hAnsi="Times New Roman" w:cs="Times New Roman"/>
              </w:rPr>
            </w:pPr>
            <w:r>
              <w:rPr>
                <w:sz w:val="24"/>
                <w:rFonts w:ascii="Times New Roman" w:hAnsi="Times New Roman"/>
              </w:rPr>
              <w:t xml:space="preserve">Tämän lomakkeen sarakkeissa b–e ilmoitettujen määrien on oltava samat kuin lomakkeen EU LI1 sarakkeissa c–f ilmoitetut määrät.</w:t>
            </w:r>
            <w:r>
              <w:rPr>
                <w:sz w:val="24"/>
                <w:rFonts w:ascii="Times New Roman" w:hAnsi="Times New Roman"/>
              </w:rPr>
              <w:t xml:space="preserve"> </w:t>
            </w:r>
          </w:p>
        </w:tc>
      </w:tr>
      <w:tr w:rsidR="00C04D6C" w:rsidRPr="007F4CC8" w14:paraId="263E4ACD" w14:textId="77777777" w:rsidTr="00D819DE">
        <w:trPr>
          <w:trHeight w:val="238"/>
        </w:trPr>
        <w:tc>
          <w:tcPr>
            <w:tcW w:w="1384" w:type="dxa"/>
            <w:shd w:val="clear" w:color="auto" w:fill="FFFFFF" w:themeFill="background1"/>
          </w:tcPr>
          <w:p w14:paraId="7409AE24" w14:textId="77777777" w:rsidR="00C04D6C" w:rsidRPr="007F4CC8" w:rsidRDefault="00C04D6C" w:rsidP="00D819DE">
            <w:pPr>
              <w:autoSpaceDE w:val="0"/>
              <w:autoSpaceDN w:val="0"/>
              <w:adjustRightInd w:val="0"/>
              <w:spacing w:before="60" w:after="120"/>
              <w:jc w:val="center"/>
              <w:rPr>
                <w:sz w:val="24"/>
                <w:rFonts w:ascii="Times New Roman" w:hAnsi="Times New Roman" w:cs="Times New Roman"/>
              </w:rPr>
            </w:pPr>
            <w:r>
              <w:rPr>
                <w:sz w:val="24"/>
                <w:rFonts w:ascii="Times New Roman" w:hAnsi="Times New Roman"/>
              </w:rPr>
              <w:t xml:space="preserve">2</w:t>
            </w:r>
          </w:p>
        </w:tc>
        <w:tc>
          <w:tcPr>
            <w:tcW w:w="7655" w:type="dxa"/>
            <w:shd w:val="clear" w:color="auto" w:fill="FFFFFF" w:themeFill="background1"/>
          </w:tcPr>
          <w:p w14:paraId="326A8BD9" w14:textId="77777777" w:rsidR="00C04D6C" w:rsidRPr="007F4CC8" w:rsidRDefault="00C04D6C" w:rsidP="00D819DE">
            <w:pPr>
              <w:autoSpaceDE w:val="0"/>
              <w:autoSpaceDN w:val="0"/>
              <w:adjustRightInd w:val="0"/>
              <w:spacing w:before="60" w:after="120"/>
              <w:rPr>
                <w:b/>
                <w:sz w:val="24"/>
                <w:rFonts w:ascii="Times New Roman" w:hAnsi="Times New Roman" w:cs="Times New Roman"/>
              </w:rPr>
            </w:pPr>
            <w:r>
              <w:rPr>
                <w:b/>
                <w:sz w:val="24"/>
                <w:rFonts w:ascii="Times New Roman" w:hAnsi="Times New Roman"/>
              </w:rPr>
              <w:t xml:space="preserve">Varovaisuusperiaatteen mukaisen konsolidoinnin piiriin kuuluvat velkojen kirjanpitoarvot</w:t>
            </w:r>
          </w:p>
          <w:p w14:paraId="3C83C58B" w14:textId="77777777" w:rsidR="00C04D6C" w:rsidRPr="007F4CC8" w:rsidRDefault="00C04D6C" w:rsidP="00D819DE">
            <w:pPr>
              <w:autoSpaceDE w:val="0"/>
              <w:autoSpaceDN w:val="0"/>
              <w:adjustRightInd w:val="0"/>
              <w:spacing w:before="60" w:after="120"/>
              <w:jc w:val="both"/>
              <w:rPr>
                <w:b/>
                <w:sz w:val="24"/>
                <w:rFonts w:ascii="Times New Roman" w:hAnsi="Times New Roman" w:cs="Times New Roman"/>
              </w:rPr>
            </w:pPr>
            <w:r>
              <w:rPr>
                <w:sz w:val="24"/>
                <w:rFonts w:ascii="Times New Roman" w:hAnsi="Times New Roman"/>
              </w:rPr>
              <w:t xml:space="preserve">Tämän lomakkeen sarakkeissa b–e ilmoitettujen määrien on oltava samat kuin lomakkeen EU LI1 sarakkeissa c–f ilmoitetut määrät.</w:t>
            </w:r>
          </w:p>
        </w:tc>
      </w:tr>
      <w:tr w:rsidR="00C04D6C" w:rsidRPr="007F4CC8" w14:paraId="2311BC4F" w14:textId="77777777" w:rsidTr="00D819DE">
        <w:trPr>
          <w:trHeight w:val="238"/>
        </w:trPr>
        <w:tc>
          <w:tcPr>
            <w:tcW w:w="1384" w:type="dxa"/>
            <w:shd w:val="clear" w:color="auto" w:fill="FFFFFF" w:themeFill="background1"/>
          </w:tcPr>
          <w:p w14:paraId="3EC86421" w14:textId="77777777" w:rsidR="00C04D6C" w:rsidRPr="007F4CC8" w:rsidRDefault="00C04D6C" w:rsidP="00D819DE">
            <w:pPr>
              <w:autoSpaceDE w:val="0"/>
              <w:autoSpaceDN w:val="0"/>
              <w:adjustRightInd w:val="0"/>
              <w:spacing w:before="60" w:after="120"/>
              <w:jc w:val="center"/>
              <w:rPr>
                <w:sz w:val="24"/>
                <w:rFonts w:ascii="Times New Roman" w:hAnsi="Times New Roman" w:cs="Times New Roman"/>
              </w:rPr>
            </w:pPr>
            <w:r>
              <w:rPr>
                <w:sz w:val="24"/>
                <w:rFonts w:ascii="Times New Roman" w:hAnsi="Times New Roman"/>
              </w:rPr>
              <w:t xml:space="preserve">3</w:t>
            </w:r>
          </w:p>
        </w:tc>
        <w:tc>
          <w:tcPr>
            <w:tcW w:w="7655" w:type="dxa"/>
            <w:shd w:val="clear" w:color="auto" w:fill="FFFFFF" w:themeFill="background1"/>
          </w:tcPr>
          <w:p w14:paraId="28B60EAC" w14:textId="77777777" w:rsidR="00C04D6C" w:rsidRPr="007F4CC8" w:rsidRDefault="00C04D6C" w:rsidP="00D819DE">
            <w:pPr>
              <w:spacing w:before="60" w:after="120"/>
              <w:jc w:val="both"/>
              <w:rPr>
                <w:b/>
                <w:sz w:val="24"/>
                <w:rFonts w:ascii="Times New Roman" w:eastAsia="Times New Roman" w:hAnsi="Times New Roman" w:cs="Times New Roman"/>
              </w:rPr>
            </w:pPr>
            <w:r>
              <w:rPr>
                <w:b/>
                <w:sz w:val="24"/>
                <w:rFonts w:ascii="Times New Roman" w:hAnsi="Times New Roman"/>
              </w:rPr>
              <w:t xml:space="preserve">Varovaisuusperiaatteen mukaisen konsolidoinnin piiriin kuuluva yhteenlaskettu nettomäärä</w:t>
            </w:r>
            <w:r>
              <w:rPr>
                <w:b/>
                <w:sz w:val="24"/>
                <w:rFonts w:ascii="Times New Roman" w:hAnsi="Times New Roman"/>
              </w:rPr>
              <w:t xml:space="preserve"> </w:t>
            </w:r>
          </w:p>
          <w:p w14:paraId="6B5D974D" w14:textId="77777777" w:rsidR="00C04D6C" w:rsidRPr="007F4CC8" w:rsidRDefault="00C04D6C" w:rsidP="00D819DE">
            <w:pPr>
              <w:spacing w:before="60" w:after="120"/>
              <w:jc w:val="both"/>
              <w:rPr>
                <w:sz w:val="24"/>
                <w:rFonts w:ascii="Times New Roman" w:eastAsia="Times New Roman" w:hAnsi="Times New Roman" w:cs="Times New Roman"/>
              </w:rPr>
            </w:pPr>
            <w:r>
              <w:rPr>
                <w:sz w:val="24"/>
                <w:rFonts w:ascii="Times New Roman" w:hAnsi="Times New Roman"/>
              </w:rPr>
              <w:t xml:space="preserve">Taseeseen sisältyvien varojen ja velkojen välisen nettoutuksen jälkeinen varovaisuusperiaatteen mukaisen konsolidoinnin piiriin kuuluva määrä riippumatta siitä, sovelletaanko kyseisiin varoihin ja velkoihin erityisiä nettoutussääntöjä vakavaraisuusasetuksen kolmannen osan II osaston 4 ja 5 luvun sekä IV osaston nojalla.</w:t>
            </w:r>
          </w:p>
          <w:p w14:paraId="0082555F" w14:textId="77777777" w:rsidR="00C04D6C" w:rsidRPr="007F4CC8" w:rsidRDefault="00C04D6C" w:rsidP="00D819DE">
            <w:pPr>
              <w:spacing w:before="60" w:after="120"/>
              <w:jc w:val="both"/>
              <w:rPr>
                <w:color w:val="A8D08D" w:themeColor="accent6" w:themeTint="99"/>
                <w:sz w:val="24"/>
                <w:rFonts w:ascii="Times New Roman" w:eastAsia="Times New Roman" w:hAnsi="Times New Roman" w:cs="Times New Roman"/>
              </w:rPr>
            </w:pPr>
            <w:r>
              <w:rPr>
                <w:sz w:val="24"/>
                <w:rFonts w:ascii="Times New Roman" w:hAnsi="Times New Roman"/>
              </w:rPr>
              <w:t xml:space="preserve">Tällä rivillä ilmoitetun määrän on oltava yhtä suuri kuin rivillä 1 ilmoitettu arvo vähennettynä tämän lomakkeen rivillä 2 ilmoitetulla arvolla.</w:t>
            </w:r>
          </w:p>
        </w:tc>
      </w:tr>
      <w:tr w:rsidR="00C04D6C" w:rsidRPr="007F4CC8" w14:paraId="3CEA5481" w14:textId="77777777" w:rsidTr="00D819DE">
        <w:trPr>
          <w:trHeight w:val="238"/>
        </w:trPr>
        <w:tc>
          <w:tcPr>
            <w:tcW w:w="1384" w:type="dxa"/>
            <w:shd w:val="clear" w:color="auto" w:fill="FFFFFF" w:themeFill="background1"/>
          </w:tcPr>
          <w:p w14:paraId="7A71EF46" w14:textId="77777777" w:rsidR="00C04D6C" w:rsidRPr="007F4CC8" w:rsidRDefault="00C04D6C" w:rsidP="00D819DE">
            <w:pPr>
              <w:autoSpaceDE w:val="0"/>
              <w:autoSpaceDN w:val="0"/>
              <w:adjustRightInd w:val="0"/>
              <w:spacing w:before="60" w:after="120"/>
              <w:jc w:val="center"/>
              <w:rPr>
                <w:sz w:val="24"/>
                <w:rFonts w:ascii="Times New Roman" w:hAnsi="Times New Roman" w:cs="Times New Roman"/>
              </w:rPr>
            </w:pPr>
            <w:r>
              <w:rPr>
                <w:sz w:val="24"/>
                <w:rFonts w:ascii="Times New Roman" w:hAnsi="Times New Roman"/>
              </w:rPr>
              <w:t xml:space="preserve">4</w:t>
            </w:r>
          </w:p>
        </w:tc>
        <w:tc>
          <w:tcPr>
            <w:tcW w:w="7655" w:type="dxa"/>
            <w:shd w:val="clear" w:color="auto" w:fill="FFFFFF" w:themeFill="background1"/>
          </w:tcPr>
          <w:p w14:paraId="7FF54E31" w14:textId="77777777" w:rsidR="00C04D6C" w:rsidRPr="007F4CC8" w:rsidRDefault="00C04D6C" w:rsidP="00D819DE">
            <w:pPr>
              <w:spacing w:before="60" w:after="120"/>
              <w:jc w:val="both"/>
              <w:rPr>
                <w:b/>
                <w:sz w:val="24"/>
                <w:rFonts w:ascii="Times New Roman" w:eastAsia="Times New Roman" w:hAnsi="Times New Roman" w:cs="Times New Roman"/>
              </w:rPr>
            </w:pPr>
            <w:r>
              <w:rPr>
                <w:b/>
                <w:sz w:val="24"/>
                <w:rFonts w:ascii="Times New Roman" w:hAnsi="Times New Roman"/>
              </w:rPr>
              <w:t xml:space="preserve">Taseen ulkopuoliset määrät</w:t>
            </w:r>
          </w:p>
          <w:p w14:paraId="00C5BCD8" w14:textId="77777777" w:rsidR="00C04D6C" w:rsidRPr="007F4CC8" w:rsidRDefault="00C04D6C" w:rsidP="00D819DE">
            <w:pPr>
              <w:spacing w:before="60" w:after="120"/>
              <w:jc w:val="both"/>
              <w:rPr>
                <w:sz w:val="24"/>
                <w:rFonts w:ascii="Times New Roman" w:eastAsia="Times New Roman" w:hAnsi="Times New Roman" w:cs="Times New Roman"/>
              </w:rPr>
            </w:pPr>
            <w:r>
              <w:rPr>
                <w:sz w:val="24"/>
                <w:rFonts w:ascii="Times New Roman" w:hAnsi="Times New Roman"/>
              </w:rPr>
              <w:t xml:space="preserve">Tässä ilmoitetaan taseen ulkopuoliset alkuperäiset vastuut ennen luottovasta-arvokertoimen käyttöä, tarvittaessa laaditusta taseen ulkopuolisesta selvityksestä, tämän lomakkeen sarakkeissa a–d esitetyn varovaisuusperiaatteen mukaisen konsolidoinnin soveltamisalan mukaisesti.</w:t>
            </w:r>
            <w:r>
              <w:rPr>
                <w:sz w:val="24"/>
                <w:rFonts w:ascii="Times New Roman" w:hAnsi="Times New Roman"/>
              </w:rPr>
              <w:t xml:space="preserve"> </w:t>
            </w:r>
          </w:p>
        </w:tc>
      </w:tr>
      <w:tr w:rsidR="00C04D6C" w:rsidRPr="007F4CC8" w14:paraId="0215A6DC" w14:textId="77777777" w:rsidTr="00D819DE">
        <w:trPr>
          <w:trHeight w:val="238"/>
        </w:trPr>
        <w:tc>
          <w:tcPr>
            <w:tcW w:w="1384" w:type="dxa"/>
            <w:shd w:val="clear" w:color="auto" w:fill="FFFFFF" w:themeFill="background1"/>
          </w:tcPr>
          <w:p w14:paraId="04B8AEE3" w14:textId="77777777" w:rsidR="00C04D6C" w:rsidRPr="007F4CC8" w:rsidRDefault="00C04D6C" w:rsidP="00D819DE">
            <w:pPr>
              <w:autoSpaceDE w:val="0"/>
              <w:autoSpaceDN w:val="0"/>
              <w:adjustRightInd w:val="0"/>
              <w:spacing w:before="60" w:after="120"/>
              <w:jc w:val="center"/>
              <w:rPr>
                <w:sz w:val="24"/>
                <w:rFonts w:ascii="Times New Roman" w:hAnsi="Times New Roman" w:cs="Times New Roman"/>
              </w:rPr>
            </w:pPr>
            <w:r>
              <w:rPr>
                <w:sz w:val="24"/>
                <w:rFonts w:ascii="Times New Roman" w:hAnsi="Times New Roman"/>
              </w:rPr>
              <w:t xml:space="preserve">5</w:t>
            </w:r>
          </w:p>
        </w:tc>
        <w:tc>
          <w:tcPr>
            <w:tcW w:w="7655" w:type="dxa"/>
            <w:shd w:val="clear" w:color="auto" w:fill="FFFFFF" w:themeFill="background1"/>
          </w:tcPr>
          <w:p w14:paraId="3C19E71F" w14:textId="77777777" w:rsidR="00C04D6C" w:rsidRPr="007F4CC8" w:rsidRDefault="00C04D6C" w:rsidP="00D819DE">
            <w:pPr>
              <w:spacing w:before="60" w:after="120"/>
              <w:jc w:val="both"/>
              <w:rPr>
                <w:b/>
                <w:i/>
                <w:sz w:val="24"/>
                <w:rFonts w:ascii="Times New Roman" w:eastAsia="Times New Roman" w:hAnsi="Times New Roman" w:cs="Times New Roman"/>
              </w:rPr>
            </w:pPr>
            <w:r>
              <w:rPr>
                <w:b/>
                <w:i/>
                <w:sz w:val="24"/>
                <w:rFonts w:ascii="Times New Roman" w:hAnsi="Times New Roman"/>
              </w:rPr>
              <w:t xml:space="preserve">Arvostuserot</w:t>
            </w:r>
          </w:p>
          <w:p w14:paraId="48C473FE" w14:textId="77777777" w:rsidR="00C04D6C" w:rsidRPr="007F4CC8" w:rsidRDefault="00C04D6C" w:rsidP="00D819DE">
            <w:pPr>
              <w:spacing w:before="60" w:after="120"/>
              <w:jc w:val="both"/>
              <w:rPr>
                <w:sz w:val="24"/>
                <w:rFonts w:ascii="Times New Roman" w:eastAsia="Times New Roman" w:hAnsi="Times New Roman" w:cs="Times New Roman"/>
              </w:rPr>
            </w:pPr>
            <w:r>
              <w:rPr>
                <w:sz w:val="24"/>
                <w:rFonts w:ascii="Times New Roman" w:hAnsi="Times New Roman"/>
              </w:rPr>
              <w:t xml:space="preserve">Vakavaraisuusasetuksen toisen osan I osaston 2 luvussa olevan 34 artiklan ja vakavaraisuusasetuksen kolmannen osan I osaston 3 luvussa olevan 105 artiklan mukaisten arvonoikaisujen kirjanpitoarvon vaikutus kaupankäyntivarastoon kuuluviin ja kuulumattomiin vastuisiin, jotka on arvostettu käypään arvoon sovellettavan tilinpäätössäännöstön mukaisesti. </w:t>
            </w:r>
          </w:p>
          <w:p w14:paraId="33A2A80C" w14:textId="77777777" w:rsidR="00C04D6C" w:rsidRPr="007F4CC8" w:rsidRDefault="00C04D6C" w:rsidP="00D819DE">
            <w:pPr>
              <w:spacing w:before="60" w:after="120"/>
              <w:jc w:val="both"/>
              <w:rPr>
                <w:b/>
                <w:sz w:val="24"/>
                <w:rFonts w:ascii="Times New Roman" w:eastAsia="Times New Roman" w:hAnsi="Times New Roman" w:cs="Times New Roman"/>
              </w:rPr>
            </w:pPr>
            <w:r>
              <w:rPr>
                <w:sz w:val="24"/>
                <w:rFonts w:ascii="Times New Roman" w:hAnsi="Times New Roman"/>
              </w:rPr>
              <w:t xml:space="preserve">Tämän määrän on vastattava lomakkeen EU CC1 rivillä 7 ilmoitettua määrää sekä lomakkeen EU PV1 rivillä 12 sarakkeessa f ilmoitettua määrää.</w:t>
            </w:r>
          </w:p>
        </w:tc>
      </w:tr>
      <w:tr w:rsidR="00C04D6C" w:rsidRPr="007F4CC8" w14:paraId="2EDE1179" w14:textId="77777777" w:rsidTr="00D819DE">
        <w:trPr>
          <w:trHeight w:val="238"/>
        </w:trPr>
        <w:tc>
          <w:tcPr>
            <w:tcW w:w="1384" w:type="dxa"/>
            <w:shd w:val="clear" w:color="auto" w:fill="FFFFFF" w:themeFill="background1"/>
          </w:tcPr>
          <w:p w14:paraId="13AEF8E0" w14:textId="77777777" w:rsidR="00C04D6C" w:rsidRPr="007F4CC8" w:rsidRDefault="00C04D6C" w:rsidP="00D819DE">
            <w:pPr>
              <w:autoSpaceDE w:val="0"/>
              <w:autoSpaceDN w:val="0"/>
              <w:adjustRightInd w:val="0"/>
              <w:spacing w:before="60" w:after="120"/>
              <w:jc w:val="center"/>
              <w:rPr>
                <w:sz w:val="24"/>
                <w:rFonts w:ascii="Times New Roman" w:hAnsi="Times New Roman" w:cs="Times New Roman"/>
              </w:rPr>
            </w:pPr>
            <w:r>
              <w:rPr>
                <w:sz w:val="24"/>
                <w:rFonts w:ascii="Times New Roman" w:hAnsi="Times New Roman"/>
              </w:rPr>
              <w:t xml:space="preserve">6</w:t>
            </w:r>
          </w:p>
        </w:tc>
        <w:tc>
          <w:tcPr>
            <w:tcW w:w="7655" w:type="dxa"/>
            <w:shd w:val="clear" w:color="auto" w:fill="FFFFFF" w:themeFill="background1"/>
          </w:tcPr>
          <w:p w14:paraId="3A8E70A3" w14:textId="77777777" w:rsidR="00C04D6C" w:rsidRPr="007F4CC8" w:rsidRDefault="00C04D6C" w:rsidP="00D819DE">
            <w:pPr>
              <w:spacing w:before="60" w:after="120"/>
              <w:jc w:val="both"/>
              <w:rPr>
                <w:b/>
                <w:i/>
                <w:sz w:val="24"/>
                <w:rFonts w:ascii="Times New Roman" w:eastAsia="Times New Roman" w:hAnsi="Times New Roman" w:cs="Times New Roman"/>
              </w:rPr>
            </w:pPr>
            <w:r>
              <w:rPr>
                <w:b/>
                <w:i/>
                <w:sz w:val="24"/>
                <w:rFonts w:ascii="Times New Roman" w:hAnsi="Times New Roman"/>
              </w:rPr>
              <w:t xml:space="preserve">Eri nettoutussäännöistä johtuvat erot lukuun ottamatta tämän lomakkeen rivillä 2 jo esitettyjä</w:t>
            </w:r>
          </w:p>
          <w:p w14:paraId="0583DDBB" w14:textId="77777777" w:rsidR="00C04D6C" w:rsidRPr="007F4CC8" w:rsidRDefault="00C04D6C" w:rsidP="00D819DE">
            <w:pPr>
              <w:spacing w:before="60" w:after="120"/>
              <w:jc w:val="both"/>
              <w:rPr>
                <w:i/>
                <w:sz w:val="24"/>
                <w:rFonts w:ascii="Times New Roman" w:eastAsia="Times New Roman" w:hAnsi="Times New Roman" w:cs="Times New Roman"/>
              </w:rPr>
            </w:pPr>
            <w:r>
              <w:rPr>
                <w:sz w:val="24"/>
                <w:rFonts w:ascii="Times New Roman" w:hAnsi="Times New Roman"/>
              </w:rPr>
              <w:t xml:space="preserve">Tähän erään sisältyvät taseeseen kuuluvien ja taseen ulkopuolisten vastuuerien nettomäärät vakavaraisuusasetuksen kolmannen osan II osaston 4 ja 5 luvun sekä kolmannen osan IV osaston erityisten nettoutussääntöjen soveltamisen jälkeen.</w:t>
            </w:r>
            <w:r>
              <w:rPr>
                <w:sz w:val="24"/>
                <w:rFonts w:ascii="Times New Roman" w:hAnsi="Times New Roman"/>
              </w:rPr>
              <w:t xml:space="preserve"> </w:t>
            </w:r>
            <w:r>
              <w:rPr>
                <w:sz w:val="24"/>
                <w:rFonts w:ascii="Times New Roman" w:hAnsi="Times New Roman"/>
              </w:rPr>
              <w:t xml:space="preserve">Nettoutussääntöjen soveltamisen vaikutus voi olla negatiivinen (jos on nettoutettava useampia vastuita kuin tase-erien nettoutuksessa tämän lomakkeen rivillä 2) tai positiivinen (jos vakavaraisuusasetuksen nettoutussääntöjen soveltaminen johtaa pienemmän määrän nettouttamiseen kuin tase-erien nettoutuksessa tämän lomakkeen rivillä 2).</w:t>
            </w:r>
          </w:p>
        </w:tc>
      </w:tr>
      <w:tr w:rsidR="00C04D6C" w:rsidRPr="007F4CC8" w14:paraId="44759EAA" w14:textId="77777777" w:rsidTr="00D819DE">
        <w:trPr>
          <w:trHeight w:val="238"/>
        </w:trPr>
        <w:tc>
          <w:tcPr>
            <w:tcW w:w="1384" w:type="dxa"/>
            <w:shd w:val="clear" w:color="auto" w:fill="FFFFFF" w:themeFill="background1"/>
          </w:tcPr>
          <w:p w14:paraId="18510DD3" w14:textId="77777777" w:rsidR="00C04D6C" w:rsidRPr="007F4CC8" w:rsidRDefault="00C04D6C" w:rsidP="00D819DE">
            <w:pPr>
              <w:autoSpaceDE w:val="0"/>
              <w:autoSpaceDN w:val="0"/>
              <w:adjustRightInd w:val="0"/>
              <w:spacing w:before="60" w:after="120"/>
              <w:jc w:val="center"/>
              <w:rPr>
                <w:sz w:val="24"/>
                <w:rFonts w:ascii="Times New Roman" w:hAnsi="Times New Roman" w:cs="Times New Roman"/>
              </w:rPr>
            </w:pPr>
            <w:r>
              <w:rPr>
                <w:sz w:val="24"/>
                <w:rFonts w:ascii="Times New Roman" w:hAnsi="Times New Roman"/>
              </w:rPr>
              <w:t xml:space="preserve">7</w:t>
            </w:r>
          </w:p>
        </w:tc>
        <w:tc>
          <w:tcPr>
            <w:tcW w:w="7655" w:type="dxa"/>
            <w:shd w:val="clear" w:color="auto" w:fill="FFFFFF" w:themeFill="background1"/>
          </w:tcPr>
          <w:p w14:paraId="788C1A56" w14:textId="77777777" w:rsidR="00C04D6C" w:rsidRPr="007F4CC8" w:rsidRDefault="00C04D6C" w:rsidP="00D819DE">
            <w:pPr>
              <w:spacing w:before="60" w:after="120"/>
              <w:jc w:val="both"/>
              <w:rPr>
                <w:b/>
                <w:i/>
                <w:sz w:val="24"/>
                <w:rFonts w:ascii="Times New Roman" w:eastAsia="Times New Roman" w:hAnsi="Times New Roman" w:cs="Times New Roman"/>
              </w:rPr>
            </w:pPr>
            <w:r>
              <w:rPr>
                <w:b/>
                <w:i/>
                <w:sz w:val="24"/>
                <w:rFonts w:ascii="Times New Roman" w:hAnsi="Times New Roman"/>
              </w:rPr>
              <w:t xml:space="preserve">Varausten huomioon ottamisesta johtuvat erot</w:t>
            </w:r>
          </w:p>
          <w:p w14:paraId="31DB4868" w14:textId="77777777" w:rsidR="00C04D6C" w:rsidRPr="007F4CC8" w:rsidRDefault="00C04D6C" w:rsidP="00D819DE">
            <w:pPr>
              <w:spacing w:before="60" w:after="120"/>
              <w:jc w:val="both"/>
              <w:rPr>
                <w:b/>
                <w:sz w:val="24"/>
                <w:rFonts w:ascii="Times New Roman" w:eastAsia="Times New Roman" w:hAnsi="Times New Roman" w:cs="Times New Roman"/>
              </w:rPr>
            </w:pPr>
            <w:r>
              <w:rPr>
                <w:sz w:val="24"/>
                <w:rFonts w:ascii="Times New Roman" w:hAnsi="Times New Roman"/>
              </w:rPr>
              <w:t xml:space="preserve">Sellaisten erityisten ja yleisten luottoriskioikaisujen (sellaisina kuin ne on määritelty komission delegoidussa asetuksessa (EU) N:o 183/2014</w:t>
            </w:r>
            <w:r w:rsidRPr="007F4CC8">
              <w:rPr>
                <w:rStyle w:val="FootnoteReference"/>
                <w:rFonts w:eastAsia="Times New Roman" w:cs="Times New Roman"/>
              </w:rPr>
              <w:footnoteReference w:id="5"/>
            </w:r>
            <w:r>
              <w:rPr>
                <w:sz w:val="24"/>
                <w:rFonts w:ascii="Times New Roman" w:hAnsi="Times New Roman"/>
              </w:rPr>
              <w:t xml:space="preserve">) yhdistäminen uudelleen vastuuarvoon, jotka on vähennetty sovellettavan tilinpäätössäännöstön mukaisesti vakavaraisuusasetuksen kolmannen osan II osaston 3 lukuun kuuluvien vastuiden kirjanpitoarvosta riskipainotusta varten.</w:t>
            </w:r>
            <w:r>
              <w:rPr>
                <w:sz w:val="24"/>
                <w:rFonts w:ascii="Times New Roman" w:hAnsi="Times New Roman"/>
              </w:rPr>
              <w:t xml:space="preserve"> </w:t>
            </w:r>
            <w:r>
              <w:rPr>
                <w:sz w:val="24"/>
                <w:rFonts w:ascii="Times New Roman" w:hAnsi="Times New Roman"/>
              </w:rPr>
              <w:t xml:space="preserve">Vakavaraisuusasetuksen kolmannen osan II osaston 2 luvun mukaisesti riskipainotettujen vastuiden osalta, kun varovaisuusperiaatteen mukaiseen konsolidointiin perustuvien tilinpäätösten kirjanpitoarvoista on vähennetty yleisiksi luottoriskioikaisuiksi edellä mainitun delegoidun asetuksen nojalla katsottavat osat, kyseiset osat on liitettävä uudelleen vastuuarvoon.</w:t>
            </w:r>
            <w:r>
              <w:rPr>
                <w:sz w:val="24"/>
                <w:rFonts w:ascii="Times New Roman" w:hAnsi="Times New Roman"/>
              </w:rPr>
              <w:t xml:space="preserve"> </w:t>
            </w:r>
          </w:p>
        </w:tc>
      </w:tr>
      <w:tr w:rsidR="00C04D6C" w:rsidRPr="007F4CC8" w14:paraId="0A77124E" w14:textId="77777777" w:rsidTr="00D819DE">
        <w:trPr>
          <w:trHeight w:val="238"/>
        </w:trPr>
        <w:tc>
          <w:tcPr>
            <w:tcW w:w="1384" w:type="dxa"/>
            <w:shd w:val="clear" w:color="auto" w:fill="FFFFFF" w:themeFill="background1"/>
          </w:tcPr>
          <w:p w14:paraId="6F54B446" w14:textId="77777777" w:rsidR="00C04D6C" w:rsidRPr="007F4CC8" w:rsidRDefault="00C04D6C" w:rsidP="00D819DE">
            <w:pPr>
              <w:autoSpaceDE w:val="0"/>
              <w:autoSpaceDN w:val="0"/>
              <w:adjustRightInd w:val="0"/>
              <w:spacing w:before="60" w:after="120"/>
              <w:jc w:val="center"/>
              <w:rPr>
                <w:sz w:val="24"/>
                <w:rFonts w:ascii="Times New Roman" w:hAnsi="Times New Roman" w:cs="Times New Roman"/>
              </w:rPr>
            </w:pPr>
            <w:r>
              <w:rPr>
                <w:sz w:val="24"/>
                <w:rFonts w:ascii="Times New Roman" w:hAnsi="Times New Roman"/>
              </w:rPr>
              <w:t xml:space="preserve">8</w:t>
            </w:r>
          </w:p>
        </w:tc>
        <w:tc>
          <w:tcPr>
            <w:tcW w:w="7655" w:type="dxa"/>
            <w:shd w:val="clear" w:color="auto" w:fill="FFFFFF" w:themeFill="background1"/>
          </w:tcPr>
          <w:p w14:paraId="1F94DD70" w14:textId="77777777" w:rsidR="00C04D6C" w:rsidRPr="007F4CC8" w:rsidRDefault="00C04D6C" w:rsidP="00D819DE">
            <w:pPr>
              <w:jc w:val="both"/>
              <w:rPr>
                <w:b/>
                <w:i/>
                <w:sz w:val="24"/>
                <w:rFonts w:ascii="Times New Roman" w:eastAsia="Times New Roman" w:hAnsi="Times New Roman" w:cs="Times New Roman"/>
              </w:rPr>
            </w:pPr>
            <w:r>
              <w:rPr>
                <w:b/>
                <w:i/>
                <w:sz w:val="24"/>
                <w:rFonts w:ascii="Times New Roman" w:hAnsi="Times New Roman"/>
              </w:rPr>
              <w:t xml:space="preserve">Luottoriskin vähentämistekniikoiden käytöstä johtuvat erot</w:t>
            </w:r>
            <w:r>
              <w:rPr>
                <w:b/>
                <w:i/>
                <w:sz w:val="24"/>
                <w:rFonts w:ascii="Times New Roman" w:hAnsi="Times New Roman"/>
              </w:rPr>
              <w:t xml:space="preserve"> </w:t>
            </w:r>
          </w:p>
          <w:p w14:paraId="2CFFDCD8" w14:textId="77777777" w:rsidR="00C04D6C" w:rsidRPr="007F4CC8" w:rsidRDefault="00C04D6C" w:rsidP="00D819DE">
            <w:pPr>
              <w:jc w:val="both"/>
              <w:rPr>
                <w:rFonts w:ascii="Times New Roman" w:eastAsia="Times New Roman" w:hAnsi="Times New Roman" w:cs="Times New Roman"/>
                <w:b/>
                <w:i/>
                <w:sz w:val="24"/>
              </w:rPr>
            </w:pPr>
          </w:p>
          <w:p w14:paraId="6EC8050F" w14:textId="77777777" w:rsidR="00C04D6C" w:rsidRPr="007F4CC8" w:rsidRDefault="00C04D6C" w:rsidP="00D819DE">
            <w:pPr>
              <w:spacing w:after="120"/>
              <w:jc w:val="both"/>
              <w:rPr>
                <w:sz w:val="24"/>
                <w:rFonts w:ascii="Times New Roman" w:eastAsia="Times New Roman" w:hAnsi="Times New Roman" w:cs="Times New Roman"/>
              </w:rPr>
            </w:pPr>
            <w:r>
              <w:rPr>
                <w:sz w:val="24"/>
                <w:rFonts w:ascii="Times New Roman" w:hAnsi="Times New Roman"/>
              </w:rPr>
              <w:t xml:space="preserve">Vakavaraisuusasetuksessa määriteltyjen luottoriskin vähentämistekniikoiden soveltamisen vaikutus varovaisuusperiaatteen mukaisen konsolidoinnin piiriin kuuluvaan vastuuarvoon.</w:t>
            </w:r>
            <w:r>
              <w:rPr>
                <w:sz w:val="24"/>
                <w:rFonts w:ascii="Times New Roman" w:hAnsi="Times New Roman"/>
              </w:rPr>
              <w:t xml:space="preserve"> </w:t>
            </w:r>
          </w:p>
        </w:tc>
      </w:tr>
      <w:tr w:rsidR="00C04D6C" w:rsidRPr="007F4CC8" w14:paraId="05ED1EDD" w14:textId="77777777" w:rsidTr="00D819DE">
        <w:trPr>
          <w:trHeight w:val="238"/>
        </w:trPr>
        <w:tc>
          <w:tcPr>
            <w:tcW w:w="1384" w:type="dxa"/>
            <w:shd w:val="clear" w:color="auto" w:fill="FFFFFF" w:themeFill="background1"/>
          </w:tcPr>
          <w:p w14:paraId="1505E593" w14:textId="77777777" w:rsidR="00C04D6C" w:rsidRPr="007F4CC8" w:rsidRDefault="00C04D6C" w:rsidP="00D819DE">
            <w:pPr>
              <w:autoSpaceDE w:val="0"/>
              <w:autoSpaceDN w:val="0"/>
              <w:adjustRightInd w:val="0"/>
              <w:spacing w:before="60" w:after="120"/>
              <w:jc w:val="center"/>
              <w:rPr>
                <w:sz w:val="24"/>
                <w:rFonts w:ascii="Times New Roman" w:hAnsi="Times New Roman" w:cs="Times New Roman"/>
              </w:rPr>
            </w:pPr>
            <w:r>
              <w:rPr>
                <w:sz w:val="24"/>
                <w:rFonts w:ascii="Times New Roman" w:hAnsi="Times New Roman"/>
              </w:rPr>
              <w:t xml:space="preserve">9</w:t>
            </w:r>
          </w:p>
        </w:tc>
        <w:tc>
          <w:tcPr>
            <w:tcW w:w="7655" w:type="dxa"/>
            <w:shd w:val="clear" w:color="auto" w:fill="FFFFFF" w:themeFill="background1"/>
          </w:tcPr>
          <w:p w14:paraId="1E44E476" w14:textId="77777777" w:rsidR="00C04D6C" w:rsidRPr="007F4CC8" w:rsidRDefault="00C04D6C" w:rsidP="00D819DE">
            <w:pPr>
              <w:jc w:val="both"/>
              <w:rPr>
                <w:b/>
                <w:i/>
                <w:sz w:val="24"/>
                <w:rFonts w:ascii="Times New Roman" w:eastAsia="Times New Roman" w:hAnsi="Times New Roman" w:cs="Times New Roman"/>
              </w:rPr>
            </w:pPr>
            <w:r>
              <w:rPr>
                <w:b/>
                <w:i/>
                <w:sz w:val="24"/>
                <w:rFonts w:ascii="Times New Roman" w:hAnsi="Times New Roman"/>
              </w:rPr>
              <w:t xml:space="preserve">Luottovasta-arvokertoimista johtuvat erot</w:t>
            </w:r>
          </w:p>
          <w:p w14:paraId="53FD5536" w14:textId="77777777" w:rsidR="00C04D6C" w:rsidRPr="007F4CC8" w:rsidRDefault="00C04D6C" w:rsidP="00D819DE">
            <w:pPr>
              <w:jc w:val="both"/>
              <w:rPr>
                <w:rFonts w:ascii="Times New Roman" w:eastAsia="Times New Roman" w:hAnsi="Times New Roman" w:cs="Times New Roman"/>
                <w:b/>
                <w:i/>
                <w:sz w:val="24"/>
              </w:rPr>
            </w:pPr>
          </w:p>
          <w:p w14:paraId="38BAEA5C" w14:textId="77777777" w:rsidR="00C04D6C" w:rsidRPr="007F4CC8" w:rsidRDefault="00C04D6C" w:rsidP="00D819DE">
            <w:pPr>
              <w:spacing w:after="120"/>
              <w:jc w:val="both"/>
              <w:rPr>
                <w:sz w:val="24"/>
                <w:rFonts w:ascii="Times New Roman" w:eastAsia="Times New Roman" w:hAnsi="Times New Roman" w:cs="Times New Roman"/>
              </w:rPr>
            </w:pPr>
            <w:r>
              <w:rPr>
                <w:sz w:val="24"/>
                <w:rFonts w:ascii="Times New Roman" w:hAnsi="Times New Roman"/>
              </w:rPr>
              <w:t xml:space="preserve">Vakavaraisuusasetuksen mukaisten luottovasta-arvokerrointen soveltamisen vaikutus varovaisuusperiaatteen mukaisen konsolidoinnin piiriin kuuluvien taseen ulkopuolisten vastuiden vastuuarvoon.</w:t>
            </w:r>
          </w:p>
          <w:p w14:paraId="75BD9AEB" w14:textId="77777777" w:rsidR="00C04D6C" w:rsidRPr="007F4CC8" w:rsidRDefault="00C04D6C" w:rsidP="00D819DE">
            <w:pPr>
              <w:spacing w:after="120"/>
              <w:jc w:val="both"/>
              <w:rPr>
                <w:b/>
                <w:sz w:val="24"/>
                <w:rFonts w:ascii="Times New Roman" w:eastAsia="Times New Roman" w:hAnsi="Times New Roman" w:cs="Times New Roman"/>
              </w:rPr>
            </w:pPr>
            <w:r>
              <w:rPr>
                <w:sz w:val="24"/>
                <w:rFonts w:ascii="Times New Roman" w:hAnsi="Times New Roman"/>
              </w:rPr>
              <w:t xml:space="preserve">Vakavaraisuusasetuksen kolmannen osan II osaston mukaisesti riskipainotettavien taseen ulkopuolisten erien luottovasta-arvokerroin määritetään vakavaraisuusasetuksen 111, 166, 167 ja 182 (luottoriskin osalta) ja 246 artiklan (arvopaperistamisriskin osalta) mukaisesti.</w:t>
            </w:r>
          </w:p>
        </w:tc>
      </w:tr>
      <w:tr w:rsidR="00C04D6C" w:rsidRPr="007F4CC8" w14:paraId="72BAD6AF" w14:textId="77777777" w:rsidTr="00D819DE">
        <w:trPr>
          <w:trHeight w:val="238"/>
        </w:trPr>
        <w:tc>
          <w:tcPr>
            <w:tcW w:w="1384" w:type="dxa"/>
            <w:shd w:val="clear" w:color="auto" w:fill="FFFFFF" w:themeFill="background1"/>
          </w:tcPr>
          <w:p w14:paraId="74C5B091" w14:textId="77777777" w:rsidR="00C04D6C" w:rsidRPr="007F4CC8" w:rsidRDefault="00C04D6C" w:rsidP="00D819DE">
            <w:pPr>
              <w:autoSpaceDE w:val="0"/>
              <w:autoSpaceDN w:val="0"/>
              <w:adjustRightInd w:val="0"/>
              <w:spacing w:before="60" w:after="120"/>
              <w:jc w:val="center"/>
              <w:rPr>
                <w:sz w:val="24"/>
                <w:rFonts w:ascii="Times New Roman" w:hAnsi="Times New Roman" w:cs="Times New Roman"/>
              </w:rPr>
            </w:pPr>
            <w:r>
              <w:rPr>
                <w:sz w:val="24"/>
                <w:rFonts w:ascii="Times New Roman" w:hAnsi="Times New Roman"/>
              </w:rPr>
              <w:t xml:space="preserve">10</w:t>
            </w:r>
          </w:p>
        </w:tc>
        <w:tc>
          <w:tcPr>
            <w:tcW w:w="7655" w:type="dxa"/>
            <w:shd w:val="clear" w:color="auto" w:fill="FFFFFF" w:themeFill="background1"/>
          </w:tcPr>
          <w:p w14:paraId="5F1391ED" w14:textId="77777777" w:rsidR="00C04D6C" w:rsidRPr="007F4CC8" w:rsidRDefault="00C04D6C" w:rsidP="00D819DE">
            <w:pPr>
              <w:spacing w:after="240"/>
              <w:jc w:val="both"/>
              <w:rPr>
                <w:b/>
                <w:i/>
                <w:sz w:val="24"/>
                <w:rFonts w:ascii="Times New Roman" w:eastAsia="Times New Roman" w:hAnsi="Times New Roman" w:cs="Times New Roman"/>
              </w:rPr>
            </w:pPr>
            <w:r>
              <w:rPr>
                <w:b/>
                <w:i/>
                <w:sz w:val="24"/>
                <w:rFonts w:ascii="Times New Roman" w:hAnsi="Times New Roman"/>
              </w:rPr>
              <w:t xml:space="preserve">Sellaisesta arvopaperistamisesta, johon liittyy riskin siirto, johtuvat erot</w:t>
            </w:r>
          </w:p>
          <w:p w14:paraId="0CD216A1" w14:textId="77777777" w:rsidR="00C04D6C" w:rsidRPr="007F4CC8" w:rsidRDefault="00C04D6C" w:rsidP="00D819DE">
            <w:pPr>
              <w:spacing w:after="120"/>
              <w:jc w:val="both"/>
              <w:rPr>
                <w:sz w:val="24"/>
                <w:rFonts w:ascii="Times New Roman" w:eastAsia="Times New Roman" w:hAnsi="Times New Roman" w:cs="Times New Roman"/>
              </w:rPr>
            </w:pPr>
            <w:r>
              <w:rPr>
                <w:sz w:val="24"/>
                <w:rFonts w:ascii="Times New Roman" w:hAnsi="Times New Roman"/>
              </w:rPr>
              <w:t xml:space="preserve">Vaikutus, joka arvopaperistettujen liiketoimien käytöllä luottoriskin siirtämiseksi kolmansille osapuolille vakavaraisuusasetuksen mukaisesti on arvopaperistettujen vastuiden vastuuarvoon.</w:t>
            </w:r>
          </w:p>
        </w:tc>
      </w:tr>
      <w:tr w:rsidR="00C04D6C" w:rsidRPr="007F4CC8" w14:paraId="07DA820F" w14:textId="77777777" w:rsidTr="00D819DE">
        <w:trPr>
          <w:trHeight w:val="238"/>
        </w:trPr>
        <w:tc>
          <w:tcPr>
            <w:tcW w:w="1384" w:type="dxa"/>
            <w:shd w:val="clear" w:color="auto" w:fill="FFFFFF" w:themeFill="background1"/>
          </w:tcPr>
          <w:p w14:paraId="04CADA42" w14:textId="77777777" w:rsidR="00C04D6C" w:rsidRPr="007F4CC8" w:rsidRDefault="00C04D6C" w:rsidP="00D819DE">
            <w:pPr>
              <w:autoSpaceDE w:val="0"/>
              <w:autoSpaceDN w:val="0"/>
              <w:adjustRightInd w:val="0"/>
              <w:spacing w:before="60" w:after="120"/>
              <w:jc w:val="center"/>
              <w:rPr>
                <w:sz w:val="24"/>
                <w:rFonts w:ascii="Times New Roman" w:hAnsi="Times New Roman" w:cs="Times New Roman"/>
              </w:rPr>
            </w:pPr>
            <w:r>
              <w:rPr>
                <w:sz w:val="24"/>
                <w:rFonts w:ascii="Times New Roman" w:hAnsi="Times New Roman"/>
              </w:rPr>
              <w:t xml:space="preserve">11</w:t>
            </w:r>
          </w:p>
        </w:tc>
        <w:tc>
          <w:tcPr>
            <w:tcW w:w="7655" w:type="dxa"/>
            <w:shd w:val="clear" w:color="auto" w:fill="FFFFFF" w:themeFill="background1"/>
          </w:tcPr>
          <w:p w14:paraId="7523D1FE" w14:textId="77777777" w:rsidR="00C04D6C" w:rsidRPr="007F4CC8" w:rsidRDefault="00C04D6C" w:rsidP="00D819DE">
            <w:pPr>
              <w:spacing w:before="60" w:after="120"/>
              <w:jc w:val="both"/>
              <w:rPr>
                <w:b/>
                <w:i/>
                <w:sz w:val="24"/>
                <w:rFonts w:ascii="Times New Roman" w:eastAsia="Times New Roman" w:hAnsi="Times New Roman" w:cs="Times New Roman"/>
              </w:rPr>
            </w:pPr>
            <w:r>
              <w:rPr>
                <w:i/>
                <w:sz w:val="24"/>
                <w:b/>
                <w:rFonts w:ascii="Times New Roman" w:hAnsi="Times New Roman"/>
              </w:rPr>
              <w:t xml:space="preserve">Muut erot</w:t>
            </w:r>
            <w:r>
              <w:rPr>
                <w:i/>
                <w:sz w:val="24"/>
                <w:rFonts w:ascii="Times New Roman" w:hAnsi="Times New Roman"/>
              </w:rPr>
              <w:t xml:space="preserve"> (tarvittaessa)</w:t>
            </w:r>
          </w:p>
          <w:p w14:paraId="7A3BEA11" w14:textId="77777777" w:rsidR="00C04D6C" w:rsidRPr="007F4CC8" w:rsidRDefault="00C04D6C" w:rsidP="00D819DE">
            <w:pPr>
              <w:spacing w:before="60" w:after="120"/>
              <w:jc w:val="both"/>
              <w:rPr>
                <w:sz w:val="24"/>
                <w:rFonts w:ascii="Times New Roman" w:eastAsia="Times New Roman" w:hAnsi="Times New Roman" w:cs="Times New Roman"/>
              </w:rPr>
            </w:pPr>
            <w:r>
              <w:rPr>
                <w:sz w:val="24"/>
                <w:rFonts w:ascii="Times New Roman" w:hAnsi="Times New Roman"/>
              </w:rPr>
              <w:t xml:space="preserve">Muut merkitykselliset tekijät, jotka vaikuttavat vakavaraisuussääntelyn mukaiseen konsolidointiin perustuvan tilinpäätöksen kirjanpitoarvojen ja sääntelytarkoituksia varten käytettyjen vastuuerien määrien välisiin eroihin.</w:t>
            </w:r>
          </w:p>
          <w:p w14:paraId="678F847C" w14:textId="77777777" w:rsidR="00C04D6C" w:rsidRPr="007F4CC8" w:rsidRDefault="00C04D6C" w:rsidP="00D819DE">
            <w:pPr>
              <w:spacing w:before="60" w:after="120"/>
              <w:jc w:val="both"/>
              <w:rPr>
                <w:b/>
                <w:i/>
                <w:sz w:val="24"/>
                <w:rFonts w:ascii="Times New Roman" w:eastAsia="Times New Roman" w:hAnsi="Times New Roman" w:cs="Times New Roman"/>
              </w:rPr>
            </w:pPr>
            <w:r>
              <w:rPr>
                <w:sz w:val="24"/>
                <w:rFonts w:ascii="Times New Roman" w:hAnsi="Times New Roman"/>
              </w:rPr>
              <w:t xml:space="preserve">Laitosten on täydennettävä tähän riviin sisältyviä määrällisiä tietoja lomakkeessa EU LIA laadullisilla selityksillä, jotka koskevat näiden erojen tärkeimpiä syitä.</w:t>
            </w:r>
          </w:p>
        </w:tc>
      </w:tr>
      <w:tr w:rsidR="00C04D6C" w:rsidRPr="007F4CC8" w14:paraId="2957570B" w14:textId="77777777" w:rsidTr="00D819DE">
        <w:trPr>
          <w:trHeight w:val="238"/>
        </w:trPr>
        <w:tc>
          <w:tcPr>
            <w:tcW w:w="1384" w:type="dxa"/>
            <w:shd w:val="clear" w:color="auto" w:fill="FFFFFF" w:themeFill="background1"/>
          </w:tcPr>
          <w:p w14:paraId="64BC3A56" w14:textId="77777777" w:rsidR="00C04D6C" w:rsidRPr="007F4CC8" w:rsidRDefault="00C04D6C" w:rsidP="00D819DE">
            <w:pPr>
              <w:autoSpaceDE w:val="0"/>
              <w:autoSpaceDN w:val="0"/>
              <w:adjustRightInd w:val="0"/>
              <w:spacing w:before="60" w:after="120"/>
              <w:jc w:val="center"/>
              <w:rPr>
                <w:sz w:val="24"/>
                <w:rFonts w:ascii="Times New Roman" w:hAnsi="Times New Roman" w:cs="Times New Roman"/>
              </w:rPr>
            </w:pPr>
            <w:r>
              <w:rPr>
                <w:sz w:val="24"/>
                <w:rFonts w:ascii="Times New Roman" w:hAnsi="Times New Roman"/>
              </w:rPr>
              <w:t xml:space="preserve">12</w:t>
            </w:r>
          </w:p>
        </w:tc>
        <w:tc>
          <w:tcPr>
            <w:tcW w:w="7655" w:type="dxa"/>
            <w:shd w:val="clear" w:color="auto" w:fill="FFFFFF" w:themeFill="background1"/>
          </w:tcPr>
          <w:p w14:paraId="2416DA9F" w14:textId="77777777" w:rsidR="00C04D6C" w:rsidRPr="007F4CC8" w:rsidRDefault="00C04D6C" w:rsidP="00D819DE">
            <w:pPr>
              <w:spacing w:before="60" w:after="120"/>
              <w:jc w:val="both"/>
              <w:rPr>
                <w:b/>
                <w:sz w:val="24"/>
                <w:rFonts w:ascii="Times New Roman" w:eastAsia="Times New Roman" w:hAnsi="Times New Roman" w:cs="Times New Roman"/>
              </w:rPr>
            </w:pPr>
            <w:r>
              <w:rPr>
                <w:b/>
                <w:sz w:val="24"/>
                <w:rFonts w:ascii="Times New Roman" w:hAnsi="Times New Roman"/>
              </w:rPr>
              <w:t xml:space="preserve">Sääntelytarkoituksia varten käytetyt vastuuerien määrät</w:t>
            </w:r>
          </w:p>
          <w:p w14:paraId="1BCDD663" w14:textId="77777777" w:rsidR="00C04D6C" w:rsidRPr="007F4CC8" w:rsidRDefault="00C04D6C" w:rsidP="00D819DE">
            <w:pPr>
              <w:spacing w:before="60" w:after="120"/>
              <w:jc w:val="both"/>
              <w:rPr>
                <w:sz w:val="24"/>
                <w:rFonts w:ascii="Times New Roman" w:eastAsia="Times New Roman" w:hAnsi="Times New Roman" w:cs="Times New Roman"/>
              </w:rPr>
            </w:pPr>
            <w:r>
              <w:rPr>
                <w:sz w:val="24"/>
                <w:rFonts w:ascii="Times New Roman" w:hAnsi="Times New Roman"/>
              </w:rPr>
              <w:t xml:space="preserve">Yhteenlaskettu määrä, joka katsotaan lähtökohdaksi riskipainotettujen vastuuerien laskemiselle muun luottoriskin vähentämismenetelmän kuin vakavaraisuusasetuksen kolmannen osan II osaston 4 luvussa tarkoitetun nettoutuksen käytön jälkeen ja vakavaraisuusasetuksen kolmannen osan II osaston 4 ja 5 luvun sekä IV osaston nettoutusvaatimusten soveltamisen jälkeen kunkin riskiluokan osalta.</w:t>
            </w:r>
          </w:p>
          <w:p w14:paraId="42A65886" w14:textId="77777777" w:rsidR="00C04D6C" w:rsidRPr="007F4CC8" w:rsidRDefault="00C04D6C" w:rsidP="00D819DE">
            <w:pPr>
              <w:spacing w:before="60" w:after="120"/>
              <w:jc w:val="both"/>
              <w:rPr>
                <w:sz w:val="24"/>
                <w:rFonts w:ascii="Times New Roman" w:eastAsia="Times New Roman" w:hAnsi="Times New Roman" w:cs="Times New Roman"/>
              </w:rPr>
            </w:pPr>
            <w:r>
              <w:rPr>
                <w:sz w:val="24"/>
                <w:rFonts w:ascii="Times New Roman" w:hAnsi="Times New Roman"/>
              </w:rPr>
              <w:t xml:space="preserve">Jos sovelletaan standardimenetelmää, tämä on arvo vakavaraisuusasetuksen 34 ja 110 artiklan mukaisten erityisten luottoriskioikaisujen, muiden arvonoikaisujen ja muiden erään liittyvien omien varojen vähennysten jälkeen.</w:t>
            </w:r>
            <w:r>
              <w:rPr>
                <w:sz w:val="24"/>
                <w:rFonts w:ascii="Times New Roman" w:hAnsi="Times New Roman"/>
              </w:rPr>
              <w:t xml:space="preserve"> </w:t>
            </w:r>
            <w:r>
              <w:rPr>
                <w:sz w:val="24"/>
                <w:rFonts w:ascii="Times New Roman" w:hAnsi="Times New Roman"/>
              </w:rPr>
              <w:t xml:space="preserve">Tämän täytäntöönpanoasetuksen liitteessä I lueteltujen taseen ulkopuolisten erien vastuuarvo on erityisten luottoriskioikaisujen vähentämisen jälkeinen nimellisarvo kerrottuna vakavaraisuusasetuksen 111 artiklan 1 kohdan a ja d alakohdassa mainitulla sovellettavalla prosenttiosuudella.</w:t>
            </w:r>
          </w:p>
          <w:p w14:paraId="029EEE3E" w14:textId="77777777" w:rsidR="00C04D6C" w:rsidRPr="007F4CC8" w:rsidRDefault="00C04D6C" w:rsidP="00D819DE">
            <w:pPr>
              <w:spacing w:before="60" w:after="120"/>
              <w:jc w:val="both"/>
              <w:rPr>
                <w:sz w:val="24"/>
                <w:rFonts w:ascii="Times New Roman" w:eastAsia="Times New Roman" w:hAnsi="Times New Roman" w:cs="Times New Roman"/>
              </w:rPr>
            </w:pPr>
            <w:r>
              <w:rPr>
                <w:sz w:val="24"/>
                <w:rFonts w:ascii="Times New Roman" w:hAnsi="Times New Roman"/>
              </w:rPr>
              <w:t xml:space="preserve">IRB-menetelmän osalta julkistettava arvo on vakavaraisuusasetuksen 166, 167 ja 168 artiklassa tarkoitettu vastuuarvo.</w:t>
            </w:r>
          </w:p>
          <w:p w14:paraId="262660AB" w14:textId="77777777" w:rsidR="00C04D6C" w:rsidRPr="007F4CC8" w:rsidRDefault="00C04D6C" w:rsidP="00D819DE">
            <w:pPr>
              <w:spacing w:before="60" w:after="120"/>
              <w:jc w:val="both"/>
              <w:rPr>
                <w:sz w:val="24"/>
                <w:rFonts w:ascii="Times New Roman" w:eastAsia="Times New Roman" w:hAnsi="Times New Roman" w:cs="Times New Roman"/>
              </w:rPr>
            </w:pPr>
            <w:r>
              <w:rPr>
                <w:sz w:val="24"/>
                <w:rFonts w:ascii="Times New Roman" w:hAnsi="Times New Roman"/>
              </w:rPr>
              <w:t xml:space="preserve">Näin ollen varovaisuusperiaatteen mukaiseen konsolidointiin perustuvassa tilinpäätöksessä ilmoitetut kirjanpitoarvot on ilmoitettava tämän lomakkeen vastaavilla riveillä 1–3, kun taas taseen ulkopuoliset alkuperäiset vastuut on ilmoitettava tämän lomakkeen rivillä 4.</w:t>
            </w:r>
            <w:r>
              <w:rPr>
                <w:sz w:val="24"/>
                <w:rFonts w:ascii="Times New Roman" w:hAnsi="Times New Roman"/>
              </w:rPr>
              <w:t xml:space="preserve"> </w:t>
            </w:r>
            <w:r>
              <w:rPr>
                <w:sz w:val="24"/>
                <w:rFonts w:ascii="Times New Roman" w:hAnsi="Times New Roman"/>
              </w:rPr>
              <w:t xml:space="preserve">Näitä määriä koskevat erityiset sääntelytarkoituksissa tehdyt lisäykset tai vähennykset on sisällytettävä tämän lomakkeen riveille 5–11, jotta voidaan selittää, miten nämä määrät sovitetaan yhteen sen vastuumäärän kanssa, jota käytetään sääntelytarkoituksia varten lähtökohtana riskipainotettujen vastuuerien laskennassa kunkin tämän lomakkeen sarakkeissa b–e mainitun kehyksen mukaisesti.</w:t>
            </w:r>
            <w:r>
              <w:rPr>
                <w:sz w:val="24"/>
                <w:rFonts w:ascii="Times New Roman" w:hAnsi="Times New Roman"/>
              </w:rPr>
              <w:t xml:space="preserve"> </w:t>
            </w:r>
            <w:r>
              <w:rPr>
                <w:sz w:val="24"/>
                <w:rFonts w:ascii="Times New Roman" w:hAnsi="Times New Roman"/>
              </w:rPr>
              <w:t xml:space="preserve">Tämä tarkoittaa sitä, että erityisesti luottoriskin osalta tämän lomakkeen rivillä 12 julkistettavat sääntelytarkoituksia varten huomioon otettavat vastuumäärät eroavat kirjanpitoarvoista, jotka on ilmoitettu varovaisuusperiaatteen mukaiseen konsolidointiin perustuvissa tilinpäätöksissä, koska riskipainotettujen vastuuerien laskennassa sovelletaan erityistä kirjanpidollisten varausten sääntelykohtelua.</w:t>
            </w:r>
          </w:p>
        </w:tc>
      </w:tr>
    </w:tbl>
    <w:p w14:paraId="16B30017" w14:textId="77777777" w:rsidR="00C04D6C" w:rsidRPr="007F4CC8" w:rsidRDefault="00C04D6C" w:rsidP="00C04D6C">
      <w:pPr>
        <w:jc w:val="both"/>
        <w:rPr>
          <w:rFonts w:ascii="Times New Roman" w:hAnsi="Times New Roman" w:cs="Times New Roman"/>
          <w:sz w:val="24"/>
        </w:rPr>
      </w:pPr>
    </w:p>
    <w:p w14:paraId="6C172395" w14:textId="77777777" w:rsidR="00C04D6C" w:rsidRPr="007F4CC8" w:rsidRDefault="00C04D6C" w:rsidP="00C04D6C">
      <w:pPr>
        <w:jc w:val="both"/>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C04D6C" w:rsidRPr="007F4CC8" w14:paraId="419A1964" w14:textId="77777777" w:rsidTr="00D819DE">
        <w:trPr>
          <w:trHeight w:val="238"/>
        </w:trPr>
        <w:tc>
          <w:tcPr>
            <w:tcW w:w="9039" w:type="dxa"/>
            <w:gridSpan w:val="2"/>
            <w:shd w:val="clear" w:color="auto" w:fill="D9D9D9" w:themeFill="background1" w:themeFillShade="D9"/>
          </w:tcPr>
          <w:p w14:paraId="4EBCF1EE" w14:textId="77777777" w:rsidR="00C04D6C" w:rsidRPr="007F4CC8" w:rsidRDefault="00C04D6C" w:rsidP="00D819DE">
            <w:pPr>
              <w:autoSpaceDE w:val="0"/>
              <w:autoSpaceDN w:val="0"/>
              <w:adjustRightInd w:val="0"/>
              <w:rPr>
                <w:b/>
                <w:sz w:val="24"/>
                <w:rFonts w:ascii="Times New Roman" w:hAnsi="Times New Roman" w:cs="Times New Roman"/>
              </w:rPr>
            </w:pPr>
            <w:r>
              <w:rPr>
                <w:b/>
                <w:sz w:val="24"/>
                <w:rFonts w:ascii="Times New Roman" w:hAnsi="Times New Roman"/>
              </w:rPr>
              <w:t xml:space="preserve">Lainsäädäntöviitteet ja ohjeet</w:t>
            </w:r>
          </w:p>
        </w:tc>
      </w:tr>
      <w:tr w:rsidR="00C04D6C" w:rsidRPr="007F4CC8" w14:paraId="3E5C9001" w14:textId="77777777" w:rsidTr="00D819DE">
        <w:trPr>
          <w:trHeight w:val="238"/>
        </w:trPr>
        <w:tc>
          <w:tcPr>
            <w:tcW w:w="1384" w:type="dxa"/>
            <w:tcBorders>
              <w:bottom w:val="single" w:sz="4" w:space="0" w:color="auto"/>
            </w:tcBorders>
            <w:shd w:val="clear" w:color="auto" w:fill="D9D9D9" w:themeFill="background1" w:themeFillShade="D9"/>
          </w:tcPr>
          <w:p w14:paraId="4FCCFAAD" w14:textId="77777777" w:rsidR="00C04D6C" w:rsidRPr="007F4CC8" w:rsidRDefault="00C04D6C" w:rsidP="00D819DE">
            <w:pPr>
              <w:autoSpaceDE w:val="0"/>
              <w:autoSpaceDN w:val="0"/>
              <w:adjustRightInd w:val="0"/>
              <w:spacing w:before="60" w:after="120"/>
              <w:rPr>
                <w:b/>
                <w:sz w:val="24"/>
                <w:rFonts w:ascii="Times New Roman" w:hAnsi="Times New Roman" w:cs="Times New Roman"/>
              </w:rPr>
            </w:pPr>
            <w:r>
              <w:rPr>
                <w:b/>
                <w:sz w:val="24"/>
                <w:rFonts w:ascii="Times New Roman" w:hAnsi="Times New Roman"/>
              </w:rPr>
              <w:t xml:space="preserve">Sarakkeen viite</w:t>
            </w:r>
          </w:p>
        </w:tc>
        <w:tc>
          <w:tcPr>
            <w:tcW w:w="7655" w:type="dxa"/>
            <w:tcBorders>
              <w:bottom w:val="single" w:sz="4" w:space="0" w:color="auto"/>
            </w:tcBorders>
            <w:shd w:val="clear" w:color="auto" w:fill="D9D9D9" w:themeFill="background1" w:themeFillShade="D9"/>
          </w:tcPr>
          <w:p w14:paraId="05B9A787" w14:textId="77777777" w:rsidR="00C04D6C" w:rsidRPr="007F4CC8" w:rsidRDefault="00C04D6C" w:rsidP="00D819DE">
            <w:pPr>
              <w:autoSpaceDE w:val="0"/>
              <w:autoSpaceDN w:val="0"/>
              <w:adjustRightInd w:val="0"/>
              <w:spacing w:before="60" w:after="120"/>
              <w:rPr>
                <w:color w:val="000000"/>
                <w:sz w:val="24"/>
                <w:rFonts w:ascii="Times New Roman" w:hAnsi="Times New Roman" w:cs="Times New Roman"/>
              </w:rPr>
            </w:pPr>
            <w:r>
              <w:rPr>
                <w:b/>
                <w:sz w:val="24"/>
                <w:rFonts w:ascii="Times New Roman" w:hAnsi="Times New Roman"/>
              </w:rPr>
              <w:t xml:space="preserve">Selitys</w:t>
            </w:r>
          </w:p>
        </w:tc>
      </w:tr>
      <w:tr w:rsidR="00C04D6C" w:rsidRPr="007F4CC8" w14:paraId="6D075D12" w14:textId="77777777" w:rsidTr="00D819DE">
        <w:trPr>
          <w:trHeight w:val="238"/>
        </w:trPr>
        <w:tc>
          <w:tcPr>
            <w:tcW w:w="1384" w:type="dxa"/>
            <w:tcBorders>
              <w:bottom w:val="single" w:sz="4" w:space="0" w:color="auto"/>
            </w:tcBorders>
            <w:shd w:val="clear" w:color="auto" w:fill="FFFFFF" w:themeFill="background1"/>
          </w:tcPr>
          <w:p w14:paraId="000D456B" w14:textId="77777777" w:rsidR="00C04D6C" w:rsidRPr="007F4CC8" w:rsidRDefault="00C04D6C" w:rsidP="00D819DE">
            <w:pPr>
              <w:autoSpaceDE w:val="0"/>
              <w:autoSpaceDN w:val="0"/>
              <w:adjustRightInd w:val="0"/>
              <w:spacing w:before="60" w:after="120"/>
              <w:jc w:val="center"/>
              <w:rPr>
                <w:b/>
                <w:sz w:val="24"/>
                <w:rFonts w:ascii="Times New Roman" w:hAnsi="Times New Roman" w:cs="Times New Roman"/>
              </w:rPr>
            </w:pPr>
            <w:r>
              <w:rPr>
                <w:b/>
                <w:sz w:val="24"/>
                <w:rFonts w:ascii="Times New Roman" w:hAnsi="Times New Roman"/>
              </w:rPr>
              <w:t xml:space="preserve">a</w:t>
            </w:r>
          </w:p>
        </w:tc>
        <w:tc>
          <w:tcPr>
            <w:tcW w:w="7655" w:type="dxa"/>
            <w:tcBorders>
              <w:bottom w:val="single" w:sz="4" w:space="0" w:color="auto"/>
            </w:tcBorders>
            <w:shd w:val="clear" w:color="auto" w:fill="FFFFFF" w:themeFill="background1"/>
          </w:tcPr>
          <w:p w14:paraId="182CBF30" w14:textId="77777777" w:rsidR="00C04D6C" w:rsidRPr="007F4CC8" w:rsidRDefault="00C04D6C" w:rsidP="00D819DE">
            <w:pPr>
              <w:spacing w:before="60" w:after="120"/>
              <w:jc w:val="both"/>
              <w:rPr>
                <w:b/>
                <w:sz w:val="24"/>
                <w:rFonts w:ascii="Times New Roman" w:hAnsi="Times New Roman"/>
              </w:rPr>
            </w:pPr>
            <w:r>
              <w:rPr>
                <w:b/>
                <w:sz w:val="24"/>
                <w:rFonts w:ascii="Times New Roman" w:hAnsi="Times New Roman"/>
              </w:rPr>
              <w:t xml:space="preserve">Yhteensä</w:t>
            </w:r>
          </w:p>
          <w:p w14:paraId="07AF5974" w14:textId="77777777" w:rsidR="00C04D6C" w:rsidRPr="007F4CC8" w:rsidRDefault="00C04D6C" w:rsidP="00D819DE">
            <w:pPr>
              <w:spacing w:before="60" w:after="120"/>
              <w:jc w:val="both"/>
              <w:rPr>
                <w:sz w:val="24"/>
                <w:rFonts w:ascii="Times New Roman" w:eastAsia="Times New Roman" w:hAnsi="Times New Roman" w:cs="Times New Roman"/>
              </w:rPr>
            </w:pPr>
            <w:r>
              <w:rPr>
                <w:sz w:val="24"/>
                <w:rFonts w:ascii="Times New Roman" w:hAnsi="Times New Roman"/>
              </w:rPr>
              <w:t xml:space="preserve">’Yhteensä’ lomakkeen LI2 sarakkeessa a = lomakkeen EU LI1 sarakkeessa b olevat määrät – lomakkeen EU LI1 sarakkeessa g olevat määrät.</w:t>
            </w:r>
          </w:p>
        </w:tc>
      </w:tr>
      <w:tr w:rsidR="00C04D6C" w:rsidRPr="007F4CC8" w14:paraId="56B847F0" w14:textId="77777777" w:rsidTr="00D819DE">
        <w:trPr>
          <w:trHeight w:val="238"/>
        </w:trPr>
        <w:tc>
          <w:tcPr>
            <w:tcW w:w="1384" w:type="dxa"/>
            <w:tcBorders>
              <w:bottom w:val="single" w:sz="4" w:space="0" w:color="auto"/>
            </w:tcBorders>
            <w:shd w:val="clear" w:color="auto" w:fill="FFFFFF" w:themeFill="background1"/>
          </w:tcPr>
          <w:p w14:paraId="4E8A7072" w14:textId="77777777" w:rsidR="00C04D6C" w:rsidRPr="007F4CC8" w:rsidRDefault="00C04D6C" w:rsidP="00D819DE">
            <w:pPr>
              <w:autoSpaceDE w:val="0"/>
              <w:autoSpaceDN w:val="0"/>
              <w:adjustRightInd w:val="0"/>
              <w:spacing w:before="60" w:after="120"/>
              <w:jc w:val="center"/>
              <w:rPr>
                <w:rFonts w:ascii="Times New Roman" w:hAnsi="Times New Roman" w:cs="Times New Roman"/>
                <w:b/>
                <w:sz w:val="24"/>
              </w:rPr>
            </w:pPr>
          </w:p>
        </w:tc>
        <w:tc>
          <w:tcPr>
            <w:tcW w:w="7655" w:type="dxa"/>
            <w:tcBorders>
              <w:bottom w:val="single" w:sz="4" w:space="0" w:color="auto"/>
            </w:tcBorders>
            <w:shd w:val="clear" w:color="auto" w:fill="FFFFFF" w:themeFill="background1"/>
          </w:tcPr>
          <w:p w14:paraId="3008A540" w14:textId="77777777" w:rsidR="00C04D6C" w:rsidRPr="007F4CC8" w:rsidRDefault="00C04D6C" w:rsidP="00D819DE">
            <w:pPr>
              <w:spacing w:before="60" w:after="120"/>
              <w:jc w:val="both"/>
              <w:rPr>
                <w:sz w:val="24"/>
                <w:rFonts w:ascii="Times New Roman" w:eastAsia="Times New Roman" w:hAnsi="Times New Roman" w:cs="Times New Roman"/>
              </w:rPr>
            </w:pPr>
            <w:r>
              <w:rPr>
                <w:sz w:val="24"/>
                <w:rFonts w:ascii="Times New Roman" w:hAnsi="Times New Roman"/>
              </w:rPr>
              <w:t xml:space="preserve">Sarakkeiden jakaminen sääntelyn mukaisiin riskiluokkiin b–e vastaa vakavaraisuusasetuksen kolmannessa osassa esitettyä jaottelua:</w:t>
            </w:r>
            <w:r>
              <w:rPr>
                <w:sz w:val="24"/>
                <w:rFonts w:ascii="Times New Roman" w:hAnsi="Times New Roman"/>
              </w:rPr>
              <w:t xml:space="preserve"> </w:t>
            </w:r>
          </w:p>
        </w:tc>
      </w:tr>
      <w:tr w:rsidR="00C04D6C" w:rsidRPr="007F4CC8" w14:paraId="5D5071F3" w14:textId="77777777" w:rsidTr="00D819DE">
        <w:trPr>
          <w:trHeight w:val="238"/>
        </w:trPr>
        <w:tc>
          <w:tcPr>
            <w:tcW w:w="1384" w:type="dxa"/>
            <w:tcBorders>
              <w:top w:val="single" w:sz="4" w:space="0" w:color="auto"/>
              <w:bottom w:val="single" w:sz="4" w:space="0" w:color="auto"/>
            </w:tcBorders>
            <w:shd w:val="clear" w:color="auto" w:fill="FFFFFF" w:themeFill="background1"/>
          </w:tcPr>
          <w:p w14:paraId="76ACAB29" w14:textId="77777777" w:rsidR="00C04D6C" w:rsidRPr="007F4CC8" w:rsidRDefault="00C04D6C" w:rsidP="00D819DE">
            <w:pPr>
              <w:autoSpaceDE w:val="0"/>
              <w:autoSpaceDN w:val="0"/>
              <w:adjustRightInd w:val="0"/>
              <w:spacing w:before="60" w:after="120"/>
              <w:jc w:val="center"/>
              <w:rPr>
                <w:b/>
                <w:sz w:val="24"/>
                <w:rFonts w:ascii="Times New Roman" w:hAnsi="Times New Roman" w:cs="Times New Roman"/>
              </w:rPr>
            </w:pPr>
            <w:r>
              <w:rPr>
                <w:b/>
                <w:sz w:val="24"/>
                <w:rFonts w:ascii="Times New Roman" w:hAnsi="Times New Roman"/>
              </w:rPr>
              <w:t xml:space="preserve">b</w:t>
            </w:r>
          </w:p>
        </w:tc>
        <w:tc>
          <w:tcPr>
            <w:tcW w:w="7655" w:type="dxa"/>
            <w:tcBorders>
              <w:top w:val="single" w:sz="4" w:space="0" w:color="auto"/>
              <w:bottom w:val="single" w:sz="4" w:space="0" w:color="auto"/>
            </w:tcBorders>
            <w:shd w:val="clear" w:color="auto" w:fill="FFFFFF" w:themeFill="background1"/>
          </w:tcPr>
          <w:p w14:paraId="592F3017" w14:textId="77777777" w:rsidR="00C04D6C" w:rsidRPr="007F4CC8" w:rsidRDefault="00C04D6C" w:rsidP="00D819DE">
            <w:pPr>
              <w:spacing w:before="60" w:after="120"/>
              <w:jc w:val="both"/>
              <w:rPr>
                <w:b/>
                <w:sz w:val="24"/>
                <w:rFonts w:ascii="Times New Roman" w:eastAsia="Times New Roman" w:hAnsi="Times New Roman" w:cs="Times New Roman"/>
              </w:rPr>
            </w:pPr>
            <w:r>
              <w:rPr>
                <w:b/>
                <w:sz w:val="24"/>
                <w:rFonts w:ascii="Times New Roman" w:hAnsi="Times New Roman"/>
              </w:rPr>
              <w:t xml:space="preserve">Luottoriskikehys</w:t>
            </w:r>
          </w:p>
          <w:p w14:paraId="0254C74A" w14:textId="77777777" w:rsidR="00C04D6C" w:rsidRPr="007F4CC8" w:rsidRDefault="00C04D6C" w:rsidP="00D819DE">
            <w:pPr>
              <w:spacing w:before="60" w:after="120"/>
              <w:jc w:val="both"/>
              <w:rPr>
                <w:sz w:val="24"/>
                <w:rFonts w:ascii="Times New Roman" w:hAnsi="Times New Roman" w:cs="Times New Roman"/>
              </w:rPr>
            </w:pPr>
            <w:r>
              <w:rPr>
                <w:sz w:val="24"/>
                <w:rFonts w:ascii="Times New Roman" w:hAnsi="Times New Roman"/>
              </w:rPr>
              <w:t xml:space="preserve">Vakavaraisuusasetuksen kolmannen osan II osaston mukaiset vastuut</w:t>
            </w:r>
          </w:p>
          <w:p w14:paraId="096E08B3" w14:textId="77777777" w:rsidR="00C04D6C" w:rsidRPr="007F4CC8" w:rsidRDefault="00C04D6C" w:rsidP="00D819DE">
            <w:pPr>
              <w:spacing w:before="60" w:after="120"/>
              <w:jc w:val="both"/>
              <w:rPr>
                <w:sz w:val="24"/>
                <w:rFonts w:ascii="Times New Roman" w:eastAsia="Times New Roman" w:hAnsi="Times New Roman" w:cs="Times New Roman"/>
              </w:rPr>
            </w:pPr>
            <w:r>
              <w:rPr>
                <w:sz w:val="24"/>
                <w:rFonts w:ascii="Times New Roman" w:hAnsi="Times New Roman"/>
              </w:rPr>
              <w:t xml:space="preserve">Luottoriskikehyksen vastuiden on vastattava joko luottoriskin standardimenetelmässä sovellettua vastuumäärää (ks. vakavaraisuusasetuksen kolmannen osan II osaston 2 luvussa oleva 111 artikla) tai maksukyvyttömyystilassa olevia vastuita luottoriskiä koskevassa IRB-menetelmässä (ks. vakavaraisuusasetuksen kolmannen osan II osaston 3 luvussa olevat 166, 167 ja 168 artikla).</w:t>
            </w:r>
            <w:r>
              <w:rPr>
                <w:sz w:val="24"/>
                <w:rFonts w:ascii="Times New Roman" w:hAnsi="Times New Roman"/>
              </w:rPr>
              <w:t xml:space="preserve"> </w:t>
            </w:r>
          </w:p>
        </w:tc>
      </w:tr>
      <w:tr w:rsidR="00C04D6C" w:rsidRPr="007F4CC8" w14:paraId="2E656532" w14:textId="77777777" w:rsidTr="00D819DE">
        <w:trPr>
          <w:trHeight w:val="238"/>
        </w:trPr>
        <w:tc>
          <w:tcPr>
            <w:tcW w:w="1384" w:type="dxa"/>
            <w:tcBorders>
              <w:top w:val="single" w:sz="4" w:space="0" w:color="auto"/>
              <w:bottom w:val="single" w:sz="4" w:space="0" w:color="auto"/>
            </w:tcBorders>
            <w:shd w:val="clear" w:color="auto" w:fill="FFFFFF" w:themeFill="background1"/>
          </w:tcPr>
          <w:p w14:paraId="72306D94" w14:textId="77777777" w:rsidR="00C04D6C" w:rsidRPr="007F4CC8" w:rsidRDefault="00C04D6C" w:rsidP="00D819DE">
            <w:pPr>
              <w:autoSpaceDE w:val="0"/>
              <w:autoSpaceDN w:val="0"/>
              <w:adjustRightInd w:val="0"/>
              <w:spacing w:before="60" w:after="120"/>
              <w:jc w:val="center"/>
              <w:rPr>
                <w:b/>
                <w:sz w:val="24"/>
                <w:rFonts w:ascii="Times New Roman" w:hAnsi="Times New Roman" w:cs="Times New Roman"/>
              </w:rPr>
            </w:pPr>
            <w:r>
              <w:rPr>
                <w:b/>
                <w:sz w:val="24"/>
                <w:rFonts w:ascii="Times New Roman" w:hAnsi="Times New Roman"/>
              </w:rPr>
              <w:t xml:space="preserve">c</w:t>
            </w:r>
          </w:p>
        </w:tc>
        <w:tc>
          <w:tcPr>
            <w:tcW w:w="7655" w:type="dxa"/>
            <w:tcBorders>
              <w:top w:val="single" w:sz="4" w:space="0" w:color="auto"/>
              <w:bottom w:val="single" w:sz="4" w:space="0" w:color="auto"/>
            </w:tcBorders>
            <w:shd w:val="clear" w:color="auto" w:fill="FFFFFF" w:themeFill="background1"/>
          </w:tcPr>
          <w:p w14:paraId="46E8B06A" w14:textId="77777777" w:rsidR="00C04D6C" w:rsidRPr="007F4CC8" w:rsidRDefault="00C04D6C" w:rsidP="00D819DE">
            <w:pPr>
              <w:spacing w:before="60" w:after="120"/>
              <w:jc w:val="both"/>
              <w:rPr>
                <w:b/>
                <w:sz w:val="24"/>
                <w:rFonts w:ascii="Times New Roman" w:eastAsia="Times New Roman" w:hAnsi="Times New Roman" w:cs="Times New Roman"/>
              </w:rPr>
            </w:pPr>
            <w:r>
              <w:rPr>
                <w:b/>
                <w:sz w:val="24"/>
                <w:rFonts w:ascii="Times New Roman" w:hAnsi="Times New Roman"/>
              </w:rPr>
              <w:t xml:space="preserve">Arvopaperistamiskehys</w:t>
            </w:r>
            <w:r>
              <w:rPr>
                <w:b/>
                <w:sz w:val="24"/>
                <w:rFonts w:ascii="Times New Roman" w:hAnsi="Times New Roman"/>
              </w:rPr>
              <w:t xml:space="preserve"> </w:t>
            </w:r>
          </w:p>
          <w:p w14:paraId="67C4B0D7" w14:textId="77777777" w:rsidR="00C04D6C" w:rsidRPr="007F4CC8" w:rsidRDefault="00C04D6C" w:rsidP="00D819DE">
            <w:pPr>
              <w:spacing w:before="60" w:after="120"/>
              <w:jc w:val="both"/>
              <w:rPr>
                <w:color w:val="A8D08D" w:themeColor="accent6" w:themeTint="99"/>
                <w:sz w:val="24"/>
                <w:rFonts w:ascii="Times New Roman" w:eastAsia="Times New Roman" w:hAnsi="Times New Roman" w:cs="Times New Roman"/>
              </w:rPr>
            </w:pPr>
            <w:r>
              <w:rPr>
                <w:sz w:val="24"/>
                <w:rFonts w:ascii="Times New Roman" w:hAnsi="Times New Roman"/>
              </w:rPr>
              <w:t xml:space="preserve">Vakavaraisuusasetuksen kolmannen osan II osaston 5 luvun mukaiset kaupankäyntivaraston ulkopuoliset vastuut</w:t>
            </w:r>
          </w:p>
          <w:p w14:paraId="7FC11C3E" w14:textId="77777777" w:rsidR="00C04D6C" w:rsidRPr="007F4CC8" w:rsidRDefault="00C04D6C" w:rsidP="00D819DE">
            <w:pPr>
              <w:spacing w:before="60" w:after="120"/>
              <w:jc w:val="both"/>
              <w:rPr>
                <w:b/>
                <w:sz w:val="24"/>
                <w:rFonts w:ascii="Times New Roman" w:eastAsia="Times New Roman" w:hAnsi="Times New Roman" w:cs="Times New Roman"/>
              </w:rPr>
            </w:pPr>
            <w:r>
              <w:rPr>
                <w:sz w:val="24"/>
                <w:rFonts w:ascii="Times New Roman" w:hAnsi="Times New Roman"/>
              </w:rPr>
              <w:t xml:space="preserve">Arvopaperistamisvastuut on määritettävä vakavaraisuusasetuksen kolmannen osan II osaston 5 luvussa olevan 246 artiklan mukaisesti.</w:t>
            </w:r>
          </w:p>
        </w:tc>
      </w:tr>
      <w:tr w:rsidR="00C04D6C" w:rsidRPr="007F4CC8" w14:paraId="6C769D68" w14:textId="77777777" w:rsidTr="00D819DE">
        <w:trPr>
          <w:trHeight w:val="238"/>
        </w:trPr>
        <w:tc>
          <w:tcPr>
            <w:tcW w:w="1384" w:type="dxa"/>
            <w:tcBorders>
              <w:top w:val="single" w:sz="4" w:space="0" w:color="auto"/>
              <w:bottom w:val="single" w:sz="4" w:space="0" w:color="auto"/>
            </w:tcBorders>
            <w:shd w:val="clear" w:color="auto" w:fill="FFFFFF" w:themeFill="background1"/>
          </w:tcPr>
          <w:p w14:paraId="02E7ED95" w14:textId="77777777" w:rsidR="00C04D6C" w:rsidRPr="007F4CC8" w:rsidRDefault="00C04D6C" w:rsidP="00D819DE">
            <w:pPr>
              <w:autoSpaceDE w:val="0"/>
              <w:autoSpaceDN w:val="0"/>
              <w:adjustRightInd w:val="0"/>
              <w:spacing w:before="60" w:after="120"/>
              <w:jc w:val="center"/>
              <w:rPr>
                <w:b/>
                <w:sz w:val="24"/>
                <w:rFonts w:ascii="Times New Roman" w:hAnsi="Times New Roman" w:cs="Times New Roman"/>
              </w:rPr>
            </w:pPr>
            <w:r>
              <w:rPr>
                <w:b/>
                <w:sz w:val="24"/>
                <w:rFonts w:ascii="Times New Roman" w:hAnsi="Times New Roman"/>
              </w:rPr>
              <w:t xml:space="preserve">d</w:t>
            </w:r>
          </w:p>
        </w:tc>
        <w:tc>
          <w:tcPr>
            <w:tcW w:w="7655" w:type="dxa"/>
            <w:tcBorders>
              <w:top w:val="single" w:sz="4" w:space="0" w:color="auto"/>
              <w:bottom w:val="single" w:sz="4" w:space="0" w:color="auto"/>
            </w:tcBorders>
            <w:shd w:val="clear" w:color="auto" w:fill="FFFFFF" w:themeFill="background1"/>
          </w:tcPr>
          <w:p w14:paraId="16922C5F" w14:textId="77777777" w:rsidR="00C04D6C" w:rsidRPr="007F4CC8" w:rsidRDefault="00C04D6C" w:rsidP="00D819DE">
            <w:pPr>
              <w:spacing w:before="60" w:after="120"/>
              <w:jc w:val="both"/>
              <w:rPr>
                <w:b/>
                <w:sz w:val="24"/>
                <w:rFonts w:ascii="Times New Roman" w:eastAsia="Times New Roman" w:hAnsi="Times New Roman" w:cs="Times New Roman"/>
              </w:rPr>
            </w:pPr>
            <w:r>
              <w:rPr>
                <w:b/>
                <w:sz w:val="24"/>
                <w:rFonts w:ascii="Times New Roman" w:hAnsi="Times New Roman"/>
              </w:rPr>
              <w:t xml:space="preserve">Vastapuoliriskikehys</w:t>
            </w:r>
          </w:p>
          <w:p w14:paraId="00BCF7AF" w14:textId="77777777" w:rsidR="00C04D6C" w:rsidRPr="007F4CC8" w:rsidRDefault="00C04D6C" w:rsidP="00D819DE">
            <w:pPr>
              <w:spacing w:before="60" w:after="120"/>
              <w:jc w:val="both"/>
              <w:rPr>
                <w:b/>
                <w:sz w:val="24"/>
                <w:rFonts w:ascii="Times New Roman" w:hAnsi="Times New Roman"/>
              </w:rPr>
            </w:pPr>
            <w:r>
              <w:rPr>
                <w:sz w:val="24"/>
                <w:rFonts w:ascii="Times New Roman" w:hAnsi="Times New Roman"/>
              </w:rPr>
              <w:t xml:space="preserve">Vakavaraisuusasetuksen kolmannen osan II osaston 6 luvussa käsitellyt vastuut</w:t>
            </w:r>
          </w:p>
        </w:tc>
      </w:tr>
      <w:tr w:rsidR="00C04D6C" w:rsidRPr="007F4CC8" w14:paraId="43A437A0" w14:textId="77777777" w:rsidTr="00D819DE">
        <w:trPr>
          <w:trHeight w:val="238"/>
        </w:trPr>
        <w:tc>
          <w:tcPr>
            <w:tcW w:w="1384" w:type="dxa"/>
            <w:tcBorders>
              <w:top w:val="single" w:sz="4" w:space="0" w:color="auto"/>
              <w:bottom w:val="single" w:sz="4" w:space="0" w:color="auto"/>
            </w:tcBorders>
            <w:shd w:val="clear" w:color="auto" w:fill="FFFFFF" w:themeFill="background1"/>
          </w:tcPr>
          <w:p w14:paraId="1D819EC3" w14:textId="77777777" w:rsidR="00C04D6C" w:rsidRPr="007F4CC8" w:rsidRDefault="00C04D6C" w:rsidP="00D819DE">
            <w:pPr>
              <w:autoSpaceDE w:val="0"/>
              <w:autoSpaceDN w:val="0"/>
              <w:adjustRightInd w:val="0"/>
              <w:spacing w:before="60" w:after="120"/>
              <w:jc w:val="center"/>
              <w:rPr>
                <w:b/>
                <w:sz w:val="24"/>
                <w:rFonts w:ascii="Times New Roman" w:hAnsi="Times New Roman" w:cs="Times New Roman"/>
              </w:rPr>
            </w:pPr>
            <w:r>
              <w:rPr>
                <w:b/>
                <w:sz w:val="24"/>
                <w:rFonts w:ascii="Times New Roman" w:hAnsi="Times New Roman"/>
              </w:rPr>
              <w:t xml:space="preserve">e</w:t>
            </w:r>
          </w:p>
        </w:tc>
        <w:tc>
          <w:tcPr>
            <w:tcW w:w="7655" w:type="dxa"/>
            <w:tcBorders>
              <w:top w:val="single" w:sz="4" w:space="0" w:color="auto"/>
              <w:bottom w:val="single" w:sz="4" w:space="0" w:color="auto"/>
            </w:tcBorders>
            <w:shd w:val="clear" w:color="auto" w:fill="FFFFFF" w:themeFill="background1"/>
          </w:tcPr>
          <w:p w14:paraId="10B46726" w14:textId="77777777" w:rsidR="00C04D6C" w:rsidRPr="007F4CC8" w:rsidRDefault="00C04D6C" w:rsidP="00D819DE">
            <w:pPr>
              <w:spacing w:before="60" w:after="120"/>
              <w:jc w:val="both"/>
              <w:rPr>
                <w:b/>
                <w:sz w:val="24"/>
                <w:rFonts w:ascii="Times New Roman" w:eastAsia="Times New Roman" w:hAnsi="Times New Roman" w:cs="Times New Roman"/>
              </w:rPr>
            </w:pPr>
            <w:r>
              <w:rPr>
                <w:b/>
                <w:sz w:val="24"/>
                <w:rFonts w:ascii="Times New Roman" w:hAnsi="Times New Roman"/>
              </w:rPr>
              <w:t xml:space="preserve">Markkinariskikehys</w:t>
            </w:r>
          </w:p>
          <w:p w14:paraId="73E5DB24" w14:textId="77777777" w:rsidR="00C04D6C" w:rsidRPr="007F4CC8" w:rsidRDefault="00C04D6C" w:rsidP="00D819DE">
            <w:pPr>
              <w:spacing w:before="60" w:after="120"/>
              <w:jc w:val="both"/>
              <w:rPr>
                <w:sz w:val="24"/>
                <w:rFonts w:ascii="Times New Roman" w:hAnsi="Times New Roman"/>
              </w:rPr>
            </w:pPr>
            <w:r>
              <w:rPr>
                <w:sz w:val="24"/>
                <w:rFonts w:ascii="Times New Roman" w:hAnsi="Times New Roman"/>
              </w:rPr>
              <w:t xml:space="preserve">Markkinariskivastuut, jotka vastaavat vakavaraisuusasetuksen kolmannen osan IV osaston markkinariskikehyksen soveltamisalaan kuuluvia positioita.</w:t>
            </w:r>
          </w:p>
          <w:p w14:paraId="5414F913" w14:textId="77777777" w:rsidR="00C04D6C" w:rsidRPr="007F4CC8" w:rsidRDefault="00C04D6C" w:rsidP="00D819DE">
            <w:pPr>
              <w:spacing w:before="60" w:after="120"/>
              <w:jc w:val="both"/>
              <w:rPr>
                <w:sz w:val="24"/>
                <w:rFonts w:ascii="Times New Roman" w:eastAsia="Times New Roman" w:hAnsi="Times New Roman" w:cs="Times New Roman"/>
              </w:rPr>
            </w:pPr>
            <w:r>
              <w:rPr>
                <w:sz w:val="24"/>
                <w:rFonts w:ascii="Times New Roman" w:hAnsi="Times New Roman"/>
              </w:rPr>
              <w:t xml:space="preserve">Ainoastaan tämän lomakkeen rivit 1–3 ja 12 on täytettävä tässä sarakkeessa.</w:t>
            </w:r>
          </w:p>
        </w:tc>
      </w:tr>
      <w:tr w:rsidR="00C04D6C" w:rsidRPr="007F4CC8" w14:paraId="4C3ADD4C" w14:textId="77777777" w:rsidTr="00D819DE">
        <w:trPr>
          <w:trHeight w:val="238"/>
        </w:trPr>
        <w:tc>
          <w:tcPr>
            <w:tcW w:w="1384" w:type="dxa"/>
            <w:tcBorders>
              <w:top w:val="single" w:sz="4" w:space="0" w:color="auto"/>
              <w:left w:val="single" w:sz="4" w:space="0" w:color="auto"/>
              <w:bottom w:val="single" w:sz="4" w:space="0" w:color="auto"/>
              <w:right w:val="single" w:sz="4" w:space="0" w:color="auto"/>
            </w:tcBorders>
            <w:shd w:val="clear" w:color="auto" w:fill="FFFFFF" w:themeFill="background1"/>
          </w:tcPr>
          <w:p w14:paraId="0DF6DA48" w14:textId="77777777" w:rsidR="00C04D6C" w:rsidRPr="007F4CC8" w:rsidRDefault="00C04D6C" w:rsidP="00D819DE">
            <w:pPr>
              <w:autoSpaceDE w:val="0"/>
              <w:autoSpaceDN w:val="0"/>
              <w:adjustRightInd w:val="0"/>
              <w:spacing w:before="60" w:after="120"/>
              <w:jc w:val="center"/>
              <w:rPr>
                <w:sz w:val="24"/>
                <w:rFonts w:ascii="Times New Roman" w:hAnsi="Times New Roman" w:cs="Times New Roman"/>
              </w:rPr>
            </w:pPr>
            <w:r>
              <w:rPr>
                <w:sz w:val="24"/>
                <w:rFonts w:ascii="Times New Roman" w:hAnsi="Times New Roman"/>
              </w:rPr>
              <w:t xml:space="preserve">kaikki</w:t>
            </w:r>
          </w:p>
        </w:tc>
        <w:tc>
          <w:tcPr>
            <w:tcW w:w="7655" w:type="dxa"/>
            <w:tcBorders>
              <w:top w:val="single" w:sz="4" w:space="0" w:color="auto"/>
              <w:left w:val="single" w:sz="4" w:space="0" w:color="auto"/>
              <w:bottom w:val="single" w:sz="4" w:space="0" w:color="auto"/>
              <w:right w:val="single" w:sz="4" w:space="0" w:color="auto"/>
            </w:tcBorders>
            <w:shd w:val="clear" w:color="auto" w:fill="FFFFFF" w:themeFill="background1"/>
          </w:tcPr>
          <w:p w14:paraId="5220B7E0" w14:textId="77777777" w:rsidR="00C04D6C" w:rsidRPr="007F4CC8" w:rsidRDefault="00C04D6C" w:rsidP="00D819DE">
            <w:pPr>
              <w:spacing w:before="60" w:after="120"/>
              <w:jc w:val="both"/>
              <w:rPr>
                <w:sz w:val="24"/>
                <w:rFonts w:ascii="Times New Roman" w:eastAsia="Times New Roman" w:hAnsi="Times New Roman" w:cs="Times New Roman"/>
              </w:rPr>
            </w:pPr>
            <w:r>
              <w:rPr>
                <w:sz w:val="24"/>
                <w:rFonts w:ascii="Times New Roman" w:hAnsi="Times New Roman"/>
              </w:rPr>
              <w:t xml:space="preserve">Kun yhteen erään sovelletaan pääomavaatimuksia useamman kuin yhden riskikehyksen mukaisesti, se on ilmoitettava kaikissa niissä sarakkeissa, jotka liittyvät kyseessä oleviin pääomavaatimuksiin.</w:t>
            </w:r>
            <w:r>
              <w:rPr>
                <w:sz w:val="24"/>
                <w:rFonts w:ascii="Times New Roman" w:hAnsi="Times New Roman"/>
              </w:rPr>
              <w:t xml:space="preserve"> </w:t>
            </w:r>
            <w:r>
              <w:rPr>
                <w:sz w:val="24"/>
                <w:rFonts w:ascii="Times New Roman" w:hAnsi="Times New Roman"/>
              </w:rPr>
              <w:t xml:space="preserve">Sen vuoksi tämän lomakkeen sarakkeiden b–e määrien summa voi olla suurempi kuin tämän lomakkeen sarakkeessa a ilmoitettu määrä.</w:t>
            </w:r>
            <w:r>
              <w:rPr>
                <w:sz w:val="24"/>
                <w:rFonts w:ascii="Times New Roman" w:hAnsi="Times New Roman"/>
              </w:rPr>
              <w:t xml:space="preserve"> </w:t>
            </w:r>
            <w:r>
              <w:rPr>
                <w:sz w:val="24"/>
                <w:rFonts w:ascii="Times New Roman" w:hAnsi="Times New Roman"/>
              </w:rPr>
              <w:t xml:space="preserve">Laitosten on annettava laadullisia selityksiä varoista ja veloista, joihin sovelletaan pääomavaatimuksia useammassa kuin yhdessä vakavaraisuusasetuksen kolmannessa osassa luetellussa riskikehyksessä.</w:t>
            </w:r>
          </w:p>
        </w:tc>
      </w:tr>
    </w:tbl>
    <w:p w14:paraId="09488D0C" w14:textId="77777777" w:rsidR="00C04D6C" w:rsidRPr="007F4CC8" w:rsidRDefault="00C04D6C" w:rsidP="00C04D6C">
      <w:pPr>
        <w:jc w:val="both"/>
        <w:rPr>
          <w:rFonts w:ascii="Times New Roman" w:hAnsi="Times New Roman" w:cs="Times New Roman"/>
          <w:sz w:val="24"/>
        </w:rPr>
      </w:pPr>
    </w:p>
    <w:p w14:paraId="3F57B012" w14:textId="77777777" w:rsidR="00C04D6C" w:rsidRPr="007F4CC8" w:rsidRDefault="00C04D6C" w:rsidP="00C04D6C">
      <w:pPr>
        <w:jc w:val="both"/>
        <w:rPr>
          <w:b/>
          <w:sz w:val="24"/>
          <w:rFonts w:ascii="Times New Roman" w:hAnsi="Times New Roman" w:cs="Times New Roman"/>
        </w:rPr>
      </w:pPr>
      <w:r>
        <w:rPr>
          <w:b/>
          <w:sz w:val="24"/>
          <w:rFonts w:ascii="Times New Roman" w:hAnsi="Times New Roman"/>
        </w:rPr>
        <w:t xml:space="preserve">Lomake EU LI3 – Kaavio konsolidoinnin laajuuden eroista (yhteisö yhteisöltä)</w:t>
      </w:r>
    </w:p>
    <w:p w14:paraId="220A6A8C" w14:textId="77777777" w:rsidR="00C04D6C" w:rsidRPr="007F4CC8" w:rsidRDefault="00C04D6C" w:rsidP="00C04D6C">
      <w:pPr>
        <w:pStyle w:val="ListParagraph"/>
        <w:numPr>
          <w:ilvl w:val="0"/>
          <w:numId w:val="1"/>
        </w:numPr>
        <w:spacing w:before="120" w:after="120"/>
        <w:ind w:left="432"/>
        <w:jc w:val="both"/>
        <w:rPr>
          <w:color w:val="000000" w:themeColor="text1"/>
          <w:sz w:val="24"/>
          <w:rFonts w:ascii="Times New Roman" w:hAnsi="Times New Roman"/>
        </w:rPr>
      </w:pPr>
      <w:r>
        <w:rPr>
          <w:sz w:val="24"/>
          <w:color w:val="000000" w:themeColor="text1"/>
          <w:rFonts w:ascii="Times New Roman" w:hAnsi="Times New Roman"/>
        </w:rPr>
        <w:t xml:space="preserve">Laitosten on </w:t>
      </w:r>
      <w:r>
        <w:rPr>
          <w:sz w:val="24"/>
          <w:rFonts w:ascii="Times New Roman" w:hAnsi="Times New Roman"/>
        </w:rPr>
        <w:t xml:space="preserve">julkistettava vakavaraisuusasetuksen </w:t>
      </w:r>
      <w:r>
        <w:rPr>
          <w:sz w:val="24"/>
          <w:color w:val="000000" w:themeColor="text1"/>
          <w:rFonts w:ascii="Times New Roman" w:hAnsi="Times New Roman"/>
        </w:rPr>
        <w:t xml:space="preserve">436 artiklan b alakohdassa</w:t>
      </w:r>
      <w:r>
        <w:rPr>
          <w:sz w:val="24"/>
          <w:rFonts w:ascii="Times New Roman" w:hAnsi="Times New Roman"/>
        </w:rPr>
        <w:t xml:space="preserve"> tarkoitetut tiedot noudattamalla jäljempänä tässä liitteessä annettuja ohjeita täyttääkseen tämän täytäntöönpanoasetuksen liitteessä V olevan lomakkeen EU LI3.</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C04D6C" w:rsidRPr="007F4CC8" w14:paraId="79CC600E" w14:textId="77777777"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4A645B2" w14:textId="77777777" w:rsidR="00C04D6C" w:rsidRPr="007F4CC8" w:rsidRDefault="00C04D6C" w:rsidP="00D819DE">
            <w:pPr>
              <w:rPr>
                <w:b/>
                <w:sz w:val="24"/>
                <w:highlight w:val="yellow"/>
                <w:rFonts w:ascii="Times New Roman" w:hAnsi="Times New Roman" w:cs="Times New Roman"/>
              </w:rPr>
            </w:pPr>
            <w:r>
              <w:rPr>
                <w:b/>
                <w:sz w:val="24"/>
                <w:rFonts w:ascii="Times New Roman" w:hAnsi="Times New Roman"/>
              </w:rPr>
              <w:t xml:space="preserve">Lainsäädäntöviitteet ja ohjeet</w:t>
            </w:r>
          </w:p>
        </w:tc>
      </w:tr>
      <w:tr w:rsidR="00C04D6C" w:rsidRPr="007F4CC8" w14:paraId="7049E2D0" w14:textId="77777777" w:rsidTr="00D819DE">
        <w:trPr>
          <w:trHeight w:val="238"/>
        </w:trPr>
        <w:tc>
          <w:tcPr>
            <w:tcW w:w="1384" w:type="dxa"/>
            <w:shd w:val="clear" w:color="auto" w:fill="D9D9D9" w:themeFill="background1" w:themeFillShade="D9"/>
          </w:tcPr>
          <w:p w14:paraId="308DE13D" w14:textId="77777777" w:rsidR="00C04D6C" w:rsidRPr="007F4CC8" w:rsidRDefault="00C04D6C" w:rsidP="00D819DE">
            <w:pPr>
              <w:autoSpaceDE w:val="0"/>
              <w:autoSpaceDN w:val="0"/>
              <w:adjustRightInd w:val="0"/>
              <w:jc w:val="center"/>
              <w:rPr>
                <w:b/>
                <w:sz w:val="24"/>
                <w:rFonts w:ascii="Times New Roman" w:hAnsi="Times New Roman" w:cs="Times New Roman"/>
              </w:rPr>
            </w:pPr>
            <w:r>
              <w:rPr>
                <w:b/>
                <w:sz w:val="24"/>
                <w:rFonts w:ascii="Times New Roman" w:hAnsi="Times New Roman"/>
              </w:rPr>
              <w:t xml:space="preserve">Rivinumero</w:t>
            </w:r>
          </w:p>
        </w:tc>
        <w:tc>
          <w:tcPr>
            <w:tcW w:w="7655" w:type="dxa"/>
            <w:shd w:val="clear" w:color="auto" w:fill="D9D9D9" w:themeFill="background1" w:themeFillShade="D9"/>
          </w:tcPr>
          <w:p w14:paraId="4E06A738" w14:textId="77777777" w:rsidR="00C04D6C" w:rsidRPr="007F4CC8" w:rsidRDefault="00C04D6C" w:rsidP="00D819DE">
            <w:pPr>
              <w:autoSpaceDE w:val="0"/>
              <w:autoSpaceDN w:val="0"/>
              <w:adjustRightInd w:val="0"/>
              <w:rPr>
                <w:color w:val="000000"/>
                <w:sz w:val="24"/>
                <w:rFonts w:ascii="Times New Roman" w:hAnsi="Times New Roman" w:cs="Times New Roman"/>
              </w:rPr>
            </w:pPr>
            <w:r>
              <w:rPr>
                <w:b/>
                <w:sz w:val="24"/>
                <w:rFonts w:ascii="Times New Roman" w:hAnsi="Times New Roman"/>
              </w:rPr>
              <w:t xml:space="preserve">Selitys</w:t>
            </w:r>
          </w:p>
        </w:tc>
      </w:tr>
      <w:tr w:rsidR="00C04D6C" w:rsidRPr="007F4CC8" w14:paraId="1334C028" w14:textId="77777777" w:rsidTr="00D819DE">
        <w:trPr>
          <w:trHeight w:val="238"/>
        </w:trPr>
        <w:tc>
          <w:tcPr>
            <w:tcW w:w="1384" w:type="dxa"/>
            <w:shd w:val="clear" w:color="auto" w:fill="FFFFFF" w:themeFill="background1"/>
          </w:tcPr>
          <w:p w14:paraId="5D8F2CBD" w14:textId="77777777" w:rsidR="00C04D6C" w:rsidRPr="007F4CC8" w:rsidRDefault="00C04D6C" w:rsidP="00D819DE">
            <w:pPr>
              <w:autoSpaceDE w:val="0"/>
              <w:autoSpaceDN w:val="0"/>
              <w:adjustRightInd w:val="0"/>
              <w:spacing w:before="60" w:after="120"/>
              <w:jc w:val="both"/>
              <w:rPr>
                <w:rFonts w:ascii="Times New Roman" w:hAnsi="Times New Roman" w:cs="Times New Roman"/>
                <w:b/>
                <w:sz w:val="24"/>
              </w:rPr>
            </w:pPr>
          </w:p>
        </w:tc>
        <w:tc>
          <w:tcPr>
            <w:tcW w:w="7655" w:type="dxa"/>
            <w:shd w:val="clear" w:color="auto" w:fill="FFFFFF" w:themeFill="background1"/>
          </w:tcPr>
          <w:p w14:paraId="58B42D25" w14:textId="77777777" w:rsidR="00C04D6C" w:rsidRPr="007F4CC8" w:rsidRDefault="00C04D6C" w:rsidP="00D819DE">
            <w:pPr>
              <w:autoSpaceDE w:val="0"/>
              <w:autoSpaceDN w:val="0"/>
              <w:adjustRightInd w:val="0"/>
              <w:spacing w:before="60" w:after="120"/>
              <w:jc w:val="both"/>
              <w:rPr>
                <w:b/>
                <w:sz w:val="24"/>
                <w:rFonts w:ascii="Times New Roman" w:hAnsi="Times New Roman" w:cs="Times New Roman"/>
              </w:rPr>
            </w:pPr>
            <w:r>
              <w:rPr>
                <w:sz w:val="24"/>
                <w:rFonts w:ascii="Times New Roman" w:hAnsi="Times New Roman"/>
              </w:rPr>
              <w:t xml:space="preserve">Rivit ovat joustavia.</w:t>
            </w:r>
            <w:r>
              <w:rPr>
                <w:sz w:val="24"/>
                <w:rFonts w:ascii="Times New Roman" w:hAnsi="Times New Roman"/>
              </w:rPr>
              <w:t xml:space="preserve"> </w:t>
            </w:r>
            <w:r>
              <w:rPr>
                <w:sz w:val="24"/>
                <w:rFonts w:ascii="Times New Roman" w:hAnsi="Times New Roman"/>
              </w:rPr>
              <w:t xml:space="preserve">Tiedot on ilmoitettava yhteisöistä, jotka kuuluvat sovellettavan tilinpäätössäännöstön ja vakavaraisuusasetuksen ensimmäisen osan II osaston 2 ja 3 jakson mukaisesti määritettyyn tilinpäätössäännöstön mukaisen konsolidoinnin ja vakavaraisuussääntelyn mukaisen konsolidoinnin soveltamisalaan ja joiden tapauksessa tilinpäätössäännöstön mukaisen konsolidoinnin menetelmä eroaa vakavaraisuussääntelyn mukaisen konsolidoinnin menetelmästä.</w:t>
            </w:r>
            <w:r>
              <w:rPr>
                <w:sz w:val="24"/>
                <w:rFonts w:ascii="Times New Roman" w:hAnsi="Times New Roman"/>
              </w:rPr>
              <w:t xml:space="preserve"> </w:t>
            </w:r>
            <w:r>
              <w:rPr>
                <w:sz w:val="24"/>
                <w:rFonts w:ascii="Times New Roman" w:hAnsi="Times New Roman"/>
              </w:rPr>
              <w:t xml:space="preserve">Yksi rivi yhteisöä kohti.</w:t>
            </w:r>
          </w:p>
        </w:tc>
      </w:tr>
    </w:tbl>
    <w:p w14:paraId="69BC7E98" w14:textId="77777777" w:rsidR="00C04D6C" w:rsidRPr="007F4CC8" w:rsidRDefault="00C04D6C" w:rsidP="00C04D6C">
      <w:pPr>
        <w:rPr>
          <w:rFonts w:ascii="Times New Roman" w:hAnsi="Times New Roman" w:cs="Times New Roman"/>
          <w:sz w:val="24"/>
        </w:rPr>
      </w:pPr>
    </w:p>
    <w:p w14:paraId="7F5172AB" w14:textId="77777777" w:rsidR="00C04D6C" w:rsidRPr="007F4CC8" w:rsidRDefault="00C04D6C" w:rsidP="00C04D6C">
      <w:pPr>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C04D6C" w:rsidRPr="007F4CC8" w14:paraId="59A7A7C7" w14:textId="77777777"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2A90813" w14:textId="77777777" w:rsidR="00C04D6C" w:rsidRPr="007F4CC8" w:rsidRDefault="00C04D6C" w:rsidP="00D819DE">
            <w:pPr>
              <w:rPr>
                <w:b/>
                <w:sz w:val="24"/>
                <w:highlight w:val="yellow"/>
                <w:rFonts w:ascii="Times New Roman" w:hAnsi="Times New Roman" w:cs="Times New Roman"/>
              </w:rPr>
            </w:pPr>
            <w:r>
              <w:rPr>
                <w:b/>
                <w:sz w:val="24"/>
                <w:rFonts w:ascii="Times New Roman" w:hAnsi="Times New Roman"/>
              </w:rPr>
              <w:t xml:space="preserve">Lainsäädäntöviitteet ja ohjeet</w:t>
            </w:r>
          </w:p>
        </w:tc>
      </w:tr>
      <w:tr w:rsidR="00C04D6C" w:rsidRPr="007F4CC8" w14:paraId="26169E7C" w14:textId="77777777" w:rsidTr="00D819DE">
        <w:trPr>
          <w:trHeight w:val="238"/>
        </w:trPr>
        <w:tc>
          <w:tcPr>
            <w:tcW w:w="1384" w:type="dxa"/>
            <w:shd w:val="clear" w:color="auto" w:fill="D9D9D9" w:themeFill="background1" w:themeFillShade="D9"/>
          </w:tcPr>
          <w:p w14:paraId="0FDC6645" w14:textId="77777777" w:rsidR="00C04D6C" w:rsidRPr="007F4CC8" w:rsidRDefault="00C04D6C" w:rsidP="00D819DE">
            <w:pPr>
              <w:autoSpaceDE w:val="0"/>
              <w:autoSpaceDN w:val="0"/>
              <w:adjustRightInd w:val="0"/>
              <w:jc w:val="center"/>
              <w:rPr>
                <w:b/>
                <w:sz w:val="24"/>
                <w:rFonts w:ascii="Times New Roman" w:hAnsi="Times New Roman" w:cs="Times New Roman"/>
              </w:rPr>
            </w:pPr>
            <w:r>
              <w:rPr>
                <w:b/>
                <w:sz w:val="24"/>
                <w:rFonts w:ascii="Times New Roman" w:hAnsi="Times New Roman"/>
              </w:rPr>
              <w:t xml:space="preserve">Sarakkeen viite</w:t>
            </w:r>
          </w:p>
        </w:tc>
        <w:tc>
          <w:tcPr>
            <w:tcW w:w="7655" w:type="dxa"/>
            <w:shd w:val="clear" w:color="auto" w:fill="D9D9D9" w:themeFill="background1" w:themeFillShade="D9"/>
          </w:tcPr>
          <w:p w14:paraId="154C2AE7" w14:textId="77777777" w:rsidR="00C04D6C" w:rsidRPr="007F4CC8" w:rsidRDefault="00C04D6C" w:rsidP="00D819DE">
            <w:pPr>
              <w:autoSpaceDE w:val="0"/>
              <w:autoSpaceDN w:val="0"/>
              <w:adjustRightInd w:val="0"/>
              <w:rPr>
                <w:color w:val="000000"/>
                <w:sz w:val="24"/>
                <w:rFonts w:ascii="Times New Roman" w:hAnsi="Times New Roman" w:cs="Times New Roman"/>
              </w:rPr>
            </w:pPr>
            <w:r>
              <w:rPr>
                <w:b/>
                <w:sz w:val="24"/>
                <w:rFonts w:ascii="Times New Roman" w:hAnsi="Times New Roman"/>
              </w:rPr>
              <w:t xml:space="preserve">Selitys</w:t>
            </w:r>
          </w:p>
        </w:tc>
      </w:tr>
      <w:tr w:rsidR="00C04D6C" w:rsidRPr="007F4CC8" w14:paraId="3A2CC9C4" w14:textId="77777777" w:rsidTr="00D819DE">
        <w:trPr>
          <w:trHeight w:val="238"/>
        </w:trPr>
        <w:tc>
          <w:tcPr>
            <w:tcW w:w="1384" w:type="dxa"/>
            <w:shd w:val="clear" w:color="auto" w:fill="auto"/>
          </w:tcPr>
          <w:p w14:paraId="4CCAC839" w14:textId="77777777" w:rsidR="00C04D6C" w:rsidRPr="007F4CC8" w:rsidRDefault="00C04D6C" w:rsidP="00D819DE">
            <w:pPr>
              <w:autoSpaceDE w:val="0"/>
              <w:autoSpaceDN w:val="0"/>
              <w:adjustRightInd w:val="0"/>
              <w:spacing w:before="60" w:after="120"/>
              <w:jc w:val="center"/>
              <w:rPr>
                <w:sz w:val="24"/>
                <w:rFonts w:ascii="Times New Roman" w:hAnsi="Times New Roman" w:cs="Times New Roman"/>
              </w:rPr>
            </w:pPr>
            <w:r>
              <w:rPr>
                <w:sz w:val="24"/>
                <w:rFonts w:ascii="Times New Roman" w:hAnsi="Times New Roman"/>
              </w:rPr>
              <w:t xml:space="preserve">a</w:t>
            </w:r>
          </w:p>
        </w:tc>
        <w:tc>
          <w:tcPr>
            <w:tcW w:w="7655" w:type="dxa"/>
            <w:shd w:val="clear" w:color="auto" w:fill="auto"/>
          </w:tcPr>
          <w:p w14:paraId="1A700FFF" w14:textId="77777777" w:rsidR="00C04D6C" w:rsidRPr="007F4CC8" w:rsidRDefault="00C04D6C" w:rsidP="00D819DE">
            <w:pPr>
              <w:keepNext/>
              <w:spacing w:before="60" w:after="120"/>
              <w:jc w:val="both"/>
              <w:rPr>
                <w:b/>
                <w:sz w:val="24"/>
                <w:rFonts w:ascii="Times New Roman" w:eastAsia="Times New Roman" w:hAnsi="Times New Roman" w:cs="Times New Roman"/>
              </w:rPr>
            </w:pPr>
            <w:r>
              <w:rPr>
                <w:b/>
                <w:sz w:val="24"/>
                <w:rFonts w:ascii="Times New Roman" w:hAnsi="Times New Roman"/>
              </w:rPr>
              <w:t xml:space="preserve">Yhteisön nimi</w:t>
            </w:r>
          </w:p>
          <w:p w14:paraId="58226295" w14:textId="77777777" w:rsidR="00C04D6C" w:rsidRPr="007F4CC8" w:rsidRDefault="00C04D6C" w:rsidP="00D819DE">
            <w:pPr>
              <w:keepNext/>
              <w:spacing w:before="60" w:after="120"/>
              <w:jc w:val="both"/>
              <w:rPr>
                <w:b/>
                <w:sz w:val="24"/>
                <w:rFonts w:ascii="Times New Roman" w:hAnsi="Times New Roman" w:cs="Times New Roman"/>
              </w:rPr>
            </w:pPr>
            <w:r>
              <w:rPr>
                <w:sz w:val="24"/>
                <w:rFonts w:ascii="Times New Roman" w:hAnsi="Times New Roman"/>
              </w:rPr>
              <w:t xml:space="preserve">Laitoksen tilinpäätössäännöstön tai vakavaraisuussääntelyn mukaisen konsolidoinnin soveltamisalaan sisältyvän tai siitä vähennetyn yhteisön kaupallinen nimi</w:t>
            </w:r>
          </w:p>
        </w:tc>
      </w:tr>
      <w:tr w:rsidR="00C04D6C" w:rsidRPr="007F4CC8" w14:paraId="7D6C8905" w14:textId="77777777" w:rsidTr="00D819DE">
        <w:trPr>
          <w:trHeight w:val="238"/>
        </w:trPr>
        <w:tc>
          <w:tcPr>
            <w:tcW w:w="1384" w:type="dxa"/>
            <w:shd w:val="clear" w:color="auto" w:fill="auto"/>
          </w:tcPr>
          <w:p w14:paraId="634543A9" w14:textId="77777777" w:rsidR="00C04D6C" w:rsidRPr="007F4CC8" w:rsidRDefault="00C04D6C" w:rsidP="00D819DE">
            <w:pPr>
              <w:autoSpaceDE w:val="0"/>
              <w:autoSpaceDN w:val="0"/>
              <w:adjustRightInd w:val="0"/>
              <w:spacing w:before="60" w:after="120"/>
              <w:jc w:val="center"/>
              <w:rPr>
                <w:sz w:val="24"/>
                <w:rFonts w:ascii="Times New Roman" w:hAnsi="Times New Roman" w:cs="Times New Roman"/>
              </w:rPr>
            </w:pPr>
            <w:r>
              <w:rPr>
                <w:sz w:val="24"/>
                <w:rFonts w:ascii="Times New Roman" w:hAnsi="Times New Roman"/>
              </w:rPr>
              <w:t xml:space="preserve">b</w:t>
            </w:r>
          </w:p>
        </w:tc>
        <w:tc>
          <w:tcPr>
            <w:tcW w:w="7655" w:type="dxa"/>
            <w:shd w:val="clear" w:color="auto" w:fill="auto"/>
          </w:tcPr>
          <w:p w14:paraId="734193F7" w14:textId="77777777" w:rsidR="00C04D6C" w:rsidRPr="007F4CC8" w:rsidRDefault="00C04D6C" w:rsidP="00D819DE">
            <w:pPr>
              <w:keepNext/>
              <w:spacing w:before="60" w:after="120"/>
              <w:jc w:val="both"/>
              <w:rPr>
                <w:b/>
                <w:sz w:val="24"/>
                <w:rFonts w:ascii="Times New Roman" w:eastAsia="Times New Roman" w:hAnsi="Times New Roman" w:cs="Times New Roman"/>
              </w:rPr>
            </w:pPr>
            <w:r>
              <w:rPr>
                <w:b/>
                <w:sz w:val="24"/>
                <w:rFonts w:ascii="Times New Roman" w:hAnsi="Times New Roman"/>
              </w:rPr>
              <w:t xml:space="preserve">Tilinpäätössäännöstön mukaisen konsolidoinnin menetelmä</w:t>
            </w:r>
          </w:p>
          <w:p w14:paraId="35D66850" w14:textId="77777777" w:rsidR="00C04D6C" w:rsidRPr="007F4CC8" w:rsidRDefault="00C04D6C" w:rsidP="00D819DE">
            <w:pPr>
              <w:keepNext/>
              <w:spacing w:before="60" w:after="120"/>
              <w:jc w:val="both"/>
              <w:rPr>
                <w:b/>
                <w:sz w:val="24"/>
                <w:rFonts w:ascii="Times New Roman" w:hAnsi="Times New Roman" w:cs="Times New Roman"/>
              </w:rPr>
            </w:pPr>
            <w:r>
              <w:rPr>
                <w:sz w:val="24"/>
                <w:rFonts w:ascii="Times New Roman" w:hAnsi="Times New Roman"/>
              </w:rPr>
              <w:t xml:space="preserve">Konsolidointimenetelmä, jota käytetään sovellettavan tilinpäätössäännöstön mukaisesti</w:t>
            </w:r>
          </w:p>
        </w:tc>
      </w:tr>
      <w:tr w:rsidR="00C04D6C" w:rsidRPr="007F4CC8" w14:paraId="7823BE70" w14:textId="77777777" w:rsidTr="00D819DE">
        <w:trPr>
          <w:trHeight w:val="238"/>
        </w:trPr>
        <w:tc>
          <w:tcPr>
            <w:tcW w:w="1384" w:type="dxa"/>
            <w:shd w:val="clear" w:color="auto" w:fill="auto"/>
          </w:tcPr>
          <w:p w14:paraId="47D17B5A" w14:textId="77777777" w:rsidR="00C04D6C" w:rsidRPr="007F4CC8" w:rsidRDefault="00C04D6C" w:rsidP="00D819DE">
            <w:pPr>
              <w:autoSpaceDE w:val="0"/>
              <w:autoSpaceDN w:val="0"/>
              <w:adjustRightInd w:val="0"/>
              <w:spacing w:before="60" w:after="120"/>
              <w:jc w:val="center"/>
              <w:rPr>
                <w:sz w:val="24"/>
                <w:rFonts w:ascii="Times New Roman" w:hAnsi="Times New Roman" w:cs="Times New Roman"/>
              </w:rPr>
            </w:pPr>
            <w:r>
              <w:rPr>
                <w:sz w:val="24"/>
                <w:rFonts w:ascii="Times New Roman" w:hAnsi="Times New Roman"/>
              </w:rPr>
              <w:t xml:space="preserve">c–g</w:t>
            </w:r>
          </w:p>
        </w:tc>
        <w:tc>
          <w:tcPr>
            <w:tcW w:w="7655" w:type="dxa"/>
            <w:shd w:val="clear" w:color="auto" w:fill="auto"/>
          </w:tcPr>
          <w:p w14:paraId="4A761352" w14:textId="77777777" w:rsidR="00C04D6C" w:rsidRPr="007F4CC8" w:rsidRDefault="00C04D6C" w:rsidP="00D819DE">
            <w:pPr>
              <w:keepNext/>
              <w:spacing w:before="60" w:after="120"/>
              <w:jc w:val="both"/>
              <w:rPr>
                <w:b/>
                <w:sz w:val="24"/>
                <w:rFonts w:ascii="Times New Roman" w:eastAsia="Times New Roman" w:hAnsi="Times New Roman" w:cs="Times New Roman"/>
              </w:rPr>
            </w:pPr>
            <w:r>
              <w:rPr>
                <w:b/>
                <w:sz w:val="24"/>
                <w:rFonts w:ascii="Times New Roman" w:hAnsi="Times New Roman"/>
              </w:rPr>
              <w:t xml:space="preserve">Vakavaraisuussääntelyn mukaisen konsolidoinnin menetelmä</w:t>
            </w:r>
          </w:p>
          <w:p w14:paraId="2ED012A6" w14:textId="77777777" w:rsidR="00C04D6C" w:rsidRPr="007F4CC8" w:rsidRDefault="00C04D6C" w:rsidP="00D819DE">
            <w:pPr>
              <w:keepNext/>
              <w:spacing w:before="60" w:after="120"/>
              <w:jc w:val="both"/>
              <w:rPr>
                <w:sz w:val="24"/>
                <w:rFonts w:ascii="Times New Roman" w:eastAsia="Times New Roman" w:hAnsi="Times New Roman" w:cs="Times New Roman"/>
              </w:rPr>
            </w:pPr>
            <w:r>
              <w:rPr>
                <w:sz w:val="24"/>
                <w:rFonts w:ascii="Times New Roman" w:hAnsi="Times New Roman"/>
              </w:rPr>
              <w:t xml:space="preserve">Konsolidointimenetelmä, jota käytetään vakavaraisuusasetuksen ensimmäisen osan II osaston 2 luvun soveltamiseksi</w:t>
            </w:r>
          </w:p>
          <w:p w14:paraId="7F682652" w14:textId="77777777" w:rsidR="00C04D6C" w:rsidRPr="007F4CC8" w:rsidRDefault="00C04D6C" w:rsidP="00D819DE">
            <w:pPr>
              <w:keepNext/>
              <w:spacing w:before="60" w:after="120"/>
              <w:jc w:val="both"/>
              <w:rPr>
                <w:sz w:val="24"/>
                <w:rFonts w:ascii="Times New Roman" w:eastAsia="Times New Roman" w:hAnsi="Times New Roman" w:cs="Times New Roman"/>
              </w:rPr>
            </w:pPr>
            <w:r>
              <w:rPr>
                <w:sz w:val="24"/>
                <w:rFonts w:ascii="Times New Roman" w:hAnsi="Times New Roman"/>
              </w:rPr>
              <w:t xml:space="preserve">Vähintään on ilmoitettava vakavaraisuusasetuksen 436 artiklan b alakohdassa luetellut menetelmät.</w:t>
            </w:r>
          </w:p>
          <w:p w14:paraId="59930495" w14:textId="77777777" w:rsidR="00C04D6C" w:rsidRPr="007F4CC8" w:rsidRDefault="00C04D6C" w:rsidP="00D819DE">
            <w:pPr>
              <w:keepNext/>
              <w:spacing w:before="60" w:after="120"/>
              <w:jc w:val="both"/>
              <w:rPr>
                <w:b/>
                <w:sz w:val="24"/>
                <w:rFonts w:ascii="Times New Roman" w:hAnsi="Times New Roman" w:cs="Times New Roman"/>
              </w:rPr>
            </w:pPr>
            <w:r>
              <w:rPr>
                <w:sz w:val="24"/>
                <w:rFonts w:ascii="Times New Roman" w:hAnsi="Times New Roman"/>
              </w:rPr>
              <w:t xml:space="preserve">Laitosten on merkittävä rastilla sarakkeet, jotka ilmaisevat kunkin yhteisön tilinpäätössäännöstön mukaisen konsolidointimenetelmän ja sen, onko kukin varovaisuusperiaatteen mukaisen konsolidoinnin soveltamisalaan kuuluva yhteisö i) täysin konsolidoitu;</w:t>
            </w:r>
            <w:r>
              <w:rPr>
                <w:sz w:val="24"/>
                <w:rFonts w:ascii="Times New Roman" w:hAnsi="Times New Roman"/>
              </w:rPr>
              <w:t xml:space="preserve"> </w:t>
            </w:r>
            <w:r>
              <w:rPr>
                <w:sz w:val="24"/>
                <w:rFonts w:ascii="Times New Roman" w:hAnsi="Times New Roman"/>
              </w:rPr>
              <w:t xml:space="preserve">ii) osittain konsolidoitu;</w:t>
            </w:r>
            <w:r>
              <w:rPr>
                <w:sz w:val="24"/>
                <w:rFonts w:ascii="Times New Roman" w:hAnsi="Times New Roman"/>
              </w:rPr>
              <w:t xml:space="preserve"> </w:t>
            </w:r>
            <w:r>
              <w:rPr>
                <w:sz w:val="24"/>
                <w:rFonts w:ascii="Times New Roman" w:hAnsi="Times New Roman"/>
              </w:rPr>
              <w:t xml:space="preserve">iii) kirjattu pääomaosuusmenetelmällä;</w:t>
            </w:r>
            <w:r>
              <w:rPr>
                <w:sz w:val="24"/>
                <w:rFonts w:ascii="Times New Roman" w:hAnsi="Times New Roman"/>
              </w:rPr>
              <w:t xml:space="preserve"> </w:t>
            </w:r>
            <w:r>
              <w:rPr>
                <w:sz w:val="24"/>
                <w:rFonts w:ascii="Times New Roman" w:hAnsi="Times New Roman"/>
              </w:rPr>
              <w:t xml:space="preserve">iv) ei konsolidoitu eikä vähennetty; tai</w:t>
            </w:r>
            <w:r>
              <w:rPr>
                <w:sz w:val="24"/>
                <w:rFonts w:ascii="Times New Roman" w:hAnsi="Times New Roman"/>
              </w:rPr>
              <w:t xml:space="preserve"> </w:t>
            </w:r>
            <w:r>
              <w:rPr>
                <w:sz w:val="24"/>
                <w:rFonts w:ascii="Times New Roman" w:hAnsi="Times New Roman"/>
              </w:rPr>
              <w:t xml:space="preserve">v) vähennetty.</w:t>
            </w:r>
          </w:p>
        </w:tc>
      </w:tr>
      <w:tr w:rsidR="00C04D6C" w:rsidRPr="007F4CC8" w14:paraId="39E2D62B" w14:textId="77777777" w:rsidTr="00D819DE">
        <w:trPr>
          <w:trHeight w:val="238"/>
        </w:trPr>
        <w:tc>
          <w:tcPr>
            <w:tcW w:w="1384" w:type="dxa"/>
            <w:shd w:val="clear" w:color="auto" w:fill="auto"/>
          </w:tcPr>
          <w:p w14:paraId="0E4DC7A0" w14:textId="77777777" w:rsidR="00C04D6C" w:rsidRPr="007F4CC8" w:rsidRDefault="00C04D6C" w:rsidP="00D819DE">
            <w:pPr>
              <w:autoSpaceDE w:val="0"/>
              <w:autoSpaceDN w:val="0"/>
              <w:adjustRightInd w:val="0"/>
              <w:spacing w:before="60" w:after="120"/>
              <w:jc w:val="center"/>
              <w:rPr>
                <w:b/>
                <w:sz w:val="24"/>
                <w:rFonts w:ascii="Times New Roman" w:hAnsi="Times New Roman" w:cs="Times New Roman"/>
              </w:rPr>
            </w:pPr>
            <w:r>
              <w:rPr>
                <w:b/>
                <w:sz w:val="24"/>
                <w:rFonts w:ascii="Times New Roman" w:hAnsi="Times New Roman"/>
              </w:rPr>
              <w:t xml:space="preserve">h</w:t>
            </w:r>
          </w:p>
        </w:tc>
        <w:tc>
          <w:tcPr>
            <w:tcW w:w="7655" w:type="dxa"/>
            <w:shd w:val="clear" w:color="auto" w:fill="auto"/>
          </w:tcPr>
          <w:p w14:paraId="58EFFF31" w14:textId="77777777" w:rsidR="00C04D6C" w:rsidRPr="007F4CC8" w:rsidRDefault="00C04D6C" w:rsidP="00D819DE">
            <w:pPr>
              <w:spacing w:before="60" w:after="120"/>
              <w:jc w:val="both"/>
              <w:rPr>
                <w:b/>
                <w:sz w:val="24"/>
                <w:rFonts w:ascii="Times New Roman" w:eastAsia="Times New Roman" w:hAnsi="Times New Roman" w:cs="Times New Roman"/>
              </w:rPr>
            </w:pPr>
            <w:r>
              <w:rPr>
                <w:b/>
                <w:sz w:val="24"/>
                <w:rFonts w:ascii="Times New Roman" w:hAnsi="Times New Roman"/>
              </w:rPr>
              <w:t xml:space="preserve">Yhteisön kuvaus</w:t>
            </w:r>
          </w:p>
          <w:p w14:paraId="0A1DF23D" w14:textId="77777777" w:rsidR="00C04D6C" w:rsidRPr="007F4CC8" w:rsidRDefault="00C04D6C" w:rsidP="00D819DE">
            <w:pPr>
              <w:spacing w:before="60" w:after="120"/>
              <w:jc w:val="both"/>
              <w:rPr>
                <w:sz w:val="24"/>
                <w:rFonts w:ascii="Times New Roman" w:eastAsia="Times New Roman" w:hAnsi="Times New Roman" w:cs="Times New Roman"/>
              </w:rPr>
            </w:pPr>
            <w:r>
              <w:rPr>
                <w:sz w:val="24"/>
                <w:rFonts w:ascii="Times New Roman" w:hAnsi="Times New Roman"/>
              </w:rPr>
              <w:t xml:space="preserve">Lyhyt kuvaus yhteisöstä ja (vähintään) tiedot sen toiminta-alasta.</w:t>
            </w:r>
          </w:p>
        </w:tc>
      </w:tr>
    </w:tbl>
    <w:p w14:paraId="4E3EF873" w14:textId="77777777" w:rsidR="00C04D6C" w:rsidRPr="007F4CC8" w:rsidRDefault="00C04D6C" w:rsidP="00C04D6C">
      <w:pPr>
        <w:rPr>
          <w:rFonts w:ascii="Times New Roman" w:hAnsi="Times New Roman" w:cs="Times New Roman"/>
          <w:sz w:val="24"/>
        </w:rPr>
      </w:pPr>
    </w:p>
    <w:p w14:paraId="60CE42E5" w14:textId="77777777" w:rsidR="00C04D6C" w:rsidRPr="007F4CC8" w:rsidRDefault="00C04D6C" w:rsidP="00C04D6C">
      <w:pPr>
        <w:jc w:val="both"/>
        <w:rPr>
          <w:sz w:val="24"/>
          <w:rFonts w:ascii="Times New Roman" w:hAnsi="Times New Roman" w:cs="Times New Roman"/>
        </w:rPr>
      </w:pPr>
      <w:r>
        <w:rPr>
          <w:sz w:val="24"/>
          <w:b/>
          <w:rFonts w:ascii="Times New Roman" w:hAnsi="Times New Roman"/>
        </w:rPr>
        <w:t xml:space="preserve">Lomake EU LIA – Selvitykset tilinpäätökseen sisältyvien ja sääntelytarkoituksia varten käytettyjen vastuuerien määrien välisistä eroista.</w:t>
      </w:r>
      <w:r>
        <w:rPr>
          <w:sz w:val="24"/>
          <w:b/>
          <w:rFonts w:ascii="Times New Roman" w:hAnsi="Times New Roman"/>
        </w:rPr>
        <w:t xml:space="preserve"> </w:t>
      </w:r>
      <w:r>
        <w:rPr>
          <w:sz w:val="24"/>
          <w:rFonts w:ascii="Times New Roman" w:hAnsi="Times New Roman"/>
        </w:rPr>
        <w:t xml:space="preserve">Vapaamuotoiset tekstikentät laadullisten tietojen julkistamista varten</w:t>
      </w:r>
    </w:p>
    <w:p w14:paraId="63E93357" w14:textId="77777777" w:rsidR="00C04D6C" w:rsidRPr="007F4CC8" w:rsidRDefault="00C04D6C" w:rsidP="00C04D6C">
      <w:pPr>
        <w:jc w:val="both"/>
        <w:rPr>
          <w:rFonts w:ascii="Times New Roman" w:hAnsi="Times New Roman" w:cs="Times New Roman"/>
          <w:sz w:val="24"/>
        </w:rPr>
      </w:pPr>
    </w:p>
    <w:p w14:paraId="04637CE1" w14:textId="77777777" w:rsidR="00C04D6C" w:rsidRPr="007F4CC8" w:rsidRDefault="00C04D6C" w:rsidP="00C04D6C">
      <w:pPr>
        <w:pStyle w:val="ListParagraph"/>
        <w:numPr>
          <w:ilvl w:val="0"/>
          <w:numId w:val="1"/>
        </w:numPr>
        <w:spacing w:before="120" w:after="120"/>
        <w:ind w:left="425" w:hanging="357"/>
        <w:jc w:val="both"/>
        <w:rPr>
          <w:color w:val="000000" w:themeColor="text1"/>
          <w:sz w:val="24"/>
          <w:rFonts w:ascii="Times New Roman" w:hAnsi="Times New Roman"/>
        </w:rPr>
      </w:pPr>
      <w:r>
        <w:rPr>
          <w:sz w:val="24"/>
          <w:rFonts w:ascii="Times New Roman" w:hAnsi="Times New Roman"/>
        </w:rPr>
        <w:t xml:space="preserve">Laitosten</w:t>
      </w:r>
      <w:r>
        <w:rPr>
          <w:sz w:val="24"/>
          <w:color w:val="000000" w:themeColor="text1"/>
          <w:rFonts w:ascii="Times New Roman" w:hAnsi="Times New Roman"/>
        </w:rPr>
        <w:t xml:space="preserve"> on </w:t>
      </w:r>
      <w:r>
        <w:rPr>
          <w:sz w:val="24"/>
          <w:rFonts w:ascii="Times New Roman" w:hAnsi="Times New Roman"/>
        </w:rPr>
        <w:t xml:space="preserve">julkistettava vakavaraisuusasetuksen </w:t>
      </w:r>
      <w:r>
        <w:rPr>
          <w:sz w:val="24"/>
          <w:color w:val="000000" w:themeColor="text1"/>
          <w:rFonts w:ascii="Times New Roman" w:hAnsi="Times New Roman"/>
        </w:rPr>
        <w:t xml:space="preserve">436 artiklan b ja d alakohdassa</w:t>
      </w:r>
      <w:r>
        <w:rPr>
          <w:sz w:val="24"/>
          <w:rFonts w:ascii="Times New Roman" w:hAnsi="Times New Roman"/>
        </w:rPr>
        <w:t xml:space="preserve"> tarkoitetut tiedot noudattamalla jäljempänä tässä liitteessä annettuja ohjeita täyttääkseen tämän täytäntöönpanoasetuksen liitteessä V olevan lomakkeen EU LIA.</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C04D6C" w:rsidRPr="007F4CC8" w14:paraId="4A310B7C" w14:textId="77777777"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7BA8945" w14:textId="77777777" w:rsidR="00C04D6C" w:rsidRPr="007F4CC8" w:rsidRDefault="00C04D6C" w:rsidP="00D819DE">
            <w:pPr>
              <w:rPr>
                <w:b/>
                <w:sz w:val="24"/>
                <w:highlight w:val="yellow"/>
                <w:rFonts w:ascii="Times New Roman" w:hAnsi="Times New Roman" w:cs="Times New Roman"/>
              </w:rPr>
            </w:pPr>
            <w:r>
              <w:rPr>
                <w:b/>
                <w:sz w:val="24"/>
                <w:rFonts w:ascii="Times New Roman" w:hAnsi="Times New Roman"/>
              </w:rPr>
              <w:t xml:space="preserve">Lainsäädäntöviitteet ja ohjeet</w:t>
            </w:r>
          </w:p>
        </w:tc>
      </w:tr>
      <w:tr w:rsidR="00C04D6C" w:rsidRPr="007F4CC8" w14:paraId="3B97ED6B" w14:textId="77777777" w:rsidTr="00D819DE">
        <w:trPr>
          <w:trHeight w:val="238"/>
        </w:trPr>
        <w:tc>
          <w:tcPr>
            <w:tcW w:w="1384" w:type="dxa"/>
            <w:tcBorders>
              <w:bottom w:val="single" w:sz="4" w:space="0" w:color="auto"/>
            </w:tcBorders>
            <w:shd w:val="clear" w:color="auto" w:fill="D9D9D9" w:themeFill="background1" w:themeFillShade="D9"/>
          </w:tcPr>
          <w:p w14:paraId="569271C8" w14:textId="77777777" w:rsidR="00C04D6C" w:rsidRPr="007F4CC8" w:rsidRDefault="00C04D6C" w:rsidP="00D819DE">
            <w:pPr>
              <w:autoSpaceDE w:val="0"/>
              <w:autoSpaceDN w:val="0"/>
              <w:adjustRightInd w:val="0"/>
              <w:rPr>
                <w:b/>
                <w:sz w:val="24"/>
                <w:rFonts w:ascii="Times New Roman" w:hAnsi="Times New Roman" w:cs="Times New Roman"/>
              </w:rPr>
            </w:pPr>
            <w:r>
              <w:rPr>
                <w:b/>
                <w:sz w:val="24"/>
                <w:rFonts w:ascii="Times New Roman" w:hAnsi="Times New Roman"/>
              </w:rPr>
              <w:t xml:space="preserve">Rivinumero</w:t>
            </w:r>
          </w:p>
        </w:tc>
        <w:tc>
          <w:tcPr>
            <w:tcW w:w="7655" w:type="dxa"/>
            <w:tcBorders>
              <w:bottom w:val="single" w:sz="4" w:space="0" w:color="auto"/>
            </w:tcBorders>
            <w:shd w:val="clear" w:color="auto" w:fill="D9D9D9" w:themeFill="background1" w:themeFillShade="D9"/>
          </w:tcPr>
          <w:p w14:paraId="4B23E869" w14:textId="77777777" w:rsidR="00C04D6C" w:rsidRPr="007F4CC8" w:rsidRDefault="00C04D6C" w:rsidP="00D819DE">
            <w:pPr>
              <w:autoSpaceDE w:val="0"/>
              <w:autoSpaceDN w:val="0"/>
              <w:adjustRightInd w:val="0"/>
              <w:rPr>
                <w:color w:val="000000"/>
                <w:sz w:val="24"/>
                <w:rFonts w:ascii="Times New Roman" w:hAnsi="Times New Roman" w:cs="Times New Roman"/>
              </w:rPr>
            </w:pPr>
            <w:r>
              <w:rPr>
                <w:b/>
                <w:sz w:val="24"/>
                <w:rFonts w:ascii="Times New Roman" w:hAnsi="Times New Roman"/>
              </w:rPr>
              <w:t xml:space="preserve">Selitys</w:t>
            </w:r>
          </w:p>
        </w:tc>
      </w:tr>
      <w:tr w:rsidR="00C04D6C" w:rsidRPr="007F4CC8" w14:paraId="13ADFB4C" w14:textId="77777777" w:rsidTr="00D819DE">
        <w:trPr>
          <w:trHeight w:val="238"/>
        </w:trPr>
        <w:tc>
          <w:tcPr>
            <w:tcW w:w="1384" w:type="dxa"/>
            <w:tcBorders>
              <w:top w:val="nil"/>
              <w:bottom w:val="single" w:sz="4" w:space="0" w:color="auto"/>
            </w:tcBorders>
            <w:shd w:val="clear" w:color="auto" w:fill="FFFFFF" w:themeFill="background1"/>
            <w:vAlign w:val="center"/>
          </w:tcPr>
          <w:p w14:paraId="4E7C0394" w14:textId="77777777" w:rsidR="00C04D6C" w:rsidRPr="007F4CC8" w:rsidRDefault="00C04D6C" w:rsidP="00D819DE">
            <w:pPr>
              <w:spacing w:before="60" w:after="120"/>
              <w:jc w:val="center"/>
              <w:rPr>
                <w:sz w:val="24"/>
                <w:rFonts w:ascii="Times New Roman" w:hAnsi="Times New Roman" w:cs="Times New Roman"/>
              </w:rPr>
            </w:pPr>
            <w:r>
              <w:rPr>
                <w:sz w:val="24"/>
                <w:rFonts w:ascii="Times New Roman" w:hAnsi="Times New Roman"/>
              </w:rPr>
              <w:t xml:space="preserve">a</w:t>
            </w:r>
          </w:p>
        </w:tc>
        <w:tc>
          <w:tcPr>
            <w:tcW w:w="7655" w:type="dxa"/>
            <w:tcBorders>
              <w:top w:val="nil"/>
              <w:bottom w:val="single" w:sz="4" w:space="0" w:color="auto"/>
            </w:tcBorders>
            <w:shd w:val="clear" w:color="auto" w:fill="FFFFFF" w:themeFill="background1"/>
            <w:vAlign w:val="center"/>
          </w:tcPr>
          <w:p w14:paraId="06A21937" w14:textId="77777777" w:rsidR="00C04D6C" w:rsidRPr="007F4CC8" w:rsidRDefault="00C04D6C" w:rsidP="00D819DE">
            <w:pPr>
              <w:spacing w:after="120"/>
              <w:jc w:val="both"/>
              <w:rPr>
                <w:sz w:val="24"/>
                <w:rFonts w:ascii="Times New Roman" w:eastAsia="Times New Roman" w:hAnsi="Times New Roman" w:cs="Times New Roman"/>
              </w:rPr>
            </w:pPr>
            <w:r>
              <w:rPr>
                <w:sz w:val="24"/>
                <w:rFonts w:ascii="Times New Roman" w:hAnsi="Times New Roman"/>
              </w:rPr>
              <w:t xml:space="preserve">Laitosten on selitettävä ja määritettävä kaikki lomakkeen EU LI1 sarakkeissa a ja b olevien määrien huomattavien erojen lähteet riippumatta siitä, johtuvatko erot erilaisista konsolidointisäännöistä vai erilaisten tilinpäätösstandardien käytöstä tilinpäätössäännöstön mukaisessa konsolidoinnissa ja vakavaraisuussääntelyn mukaisessa konsolidoinnissa.</w:t>
            </w:r>
          </w:p>
        </w:tc>
      </w:tr>
      <w:tr w:rsidR="00C04D6C" w:rsidRPr="007F4CC8" w14:paraId="10A315AD" w14:textId="77777777" w:rsidTr="00D819DE">
        <w:trPr>
          <w:trHeight w:val="238"/>
        </w:trPr>
        <w:tc>
          <w:tcPr>
            <w:tcW w:w="1384" w:type="dxa"/>
            <w:tcBorders>
              <w:top w:val="single" w:sz="4" w:space="0" w:color="auto"/>
              <w:bottom w:val="single" w:sz="4" w:space="0" w:color="auto"/>
            </w:tcBorders>
            <w:shd w:val="clear" w:color="auto" w:fill="FFFFFF" w:themeFill="background1"/>
            <w:vAlign w:val="center"/>
          </w:tcPr>
          <w:p w14:paraId="148E3B73" w14:textId="77777777" w:rsidR="00C04D6C" w:rsidRPr="007F4CC8" w:rsidRDefault="00C04D6C" w:rsidP="00D819DE">
            <w:pPr>
              <w:spacing w:before="60" w:after="120"/>
              <w:jc w:val="center"/>
              <w:rPr>
                <w:sz w:val="24"/>
                <w:rFonts w:ascii="Times New Roman" w:hAnsi="Times New Roman" w:cs="Times New Roman"/>
              </w:rPr>
            </w:pPr>
            <w:r>
              <w:rPr>
                <w:sz w:val="24"/>
                <w:rFonts w:ascii="Times New Roman" w:hAnsi="Times New Roman"/>
              </w:rPr>
              <w:t xml:space="preserve">b</w:t>
            </w:r>
          </w:p>
        </w:tc>
        <w:tc>
          <w:tcPr>
            <w:tcW w:w="7655" w:type="dxa"/>
            <w:tcBorders>
              <w:top w:val="single" w:sz="4" w:space="0" w:color="auto"/>
              <w:bottom w:val="single" w:sz="4" w:space="0" w:color="auto"/>
            </w:tcBorders>
            <w:shd w:val="clear" w:color="auto" w:fill="FFFFFF" w:themeFill="background1"/>
            <w:vAlign w:val="center"/>
          </w:tcPr>
          <w:p w14:paraId="2F8B5E08" w14:textId="77777777" w:rsidR="00C04D6C" w:rsidRPr="007F4CC8" w:rsidRDefault="00C04D6C" w:rsidP="00D819DE">
            <w:pPr>
              <w:spacing w:after="120"/>
              <w:jc w:val="both"/>
              <w:rPr>
                <w:sz w:val="24"/>
                <w:rFonts w:ascii="Times New Roman" w:eastAsia="Times New Roman" w:hAnsi="Times New Roman" w:cs="Times New Roman"/>
              </w:rPr>
            </w:pPr>
            <w:r>
              <w:rPr>
                <w:sz w:val="24"/>
                <w:rFonts w:ascii="Times New Roman" w:hAnsi="Times New Roman"/>
              </w:rPr>
              <w:t xml:space="preserve">Laitosten on selitettävä, mistä lomakkeessa EU LI2 esitettyjen varovaisuusperiaatteen mukaiseen konsolidointiin perustuvien kirjanpitoarvojen ja sääntelytarkoituksia varten käytettyjen määrien väliset erot johtuvat.</w:t>
            </w:r>
          </w:p>
        </w:tc>
      </w:tr>
    </w:tbl>
    <w:p w14:paraId="5B834D3C" w14:textId="77777777" w:rsidR="00C04D6C" w:rsidRPr="007F4CC8" w:rsidRDefault="00C04D6C" w:rsidP="00C04D6C">
      <w:pPr>
        <w:ind w:left="360"/>
        <w:jc w:val="both"/>
        <w:rPr>
          <w:sz w:val="24"/>
          <w:rFonts w:ascii="Times New Roman" w:hAnsi="Times New Roman" w:cs="Times New Roman"/>
        </w:rPr>
      </w:pPr>
      <w:r>
        <w:rPr>
          <w:sz w:val="24"/>
          <w:rFonts w:ascii="Times New Roman" w:hAnsi="Times New Roman"/>
        </w:rPr>
        <w:t xml:space="preserve"> </w:t>
      </w:r>
    </w:p>
    <w:p w14:paraId="5736EA43" w14:textId="77777777" w:rsidR="00C04D6C" w:rsidRPr="007F4CC8" w:rsidRDefault="00C04D6C" w:rsidP="00C04D6C">
      <w:pPr>
        <w:spacing w:after="120"/>
        <w:rPr>
          <w:sz w:val="24"/>
          <w:rFonts w:ascii="Times New Roman" w:hAnsi="Times New Roman" w:cs="Times New Roman"/>
        </w:rPr>
      </w:pPr>
      <w:r>
        <w:rPr>
          <w:sz w:val="24"/>
          <w:b/>
          <w:rFonts w:ascii="Times New Roman" w:hAnsi="Times New Roman"/>
        </w:rPr>
        <w:t xml:space="preserve">Lomake EU LIB – Muut laadulliset tiedot soveltamisalasta.</w:t>
      </w:r>
      <w:r>
        <w:rPr>
          <w:sz w:val="24"/>
          <w:rFonts w:ascii="Times New Roman" w:hAnsi="Times New Roman"/>
        </w:rPr>
        <w:t xml:space="preserve"> </w:t>
      </w:r>
      <w:r>
        <w:rPr>
          <w:sz w:val="24"/>
          <w:rFonts w:ascii="Times New Roman" w:hAnsi="Times New Roman"/>
        </w:rPr>
        <w:t xml:space="preserve">Vapaamuotoiset tekstikentät laadullisten tietojen julkistamista varten</w:t>
      </w:r>
    </w:p>
    <w:p w14:paraId="70C5E2A8" w14:textId="77777777" w:rsidR="00C04D6C" w:rsidRPr="007F4CC8" w:rsidRDefault="00C04D6C" w:rsidP="00C04D6C">
      <w:pPr>
        <w:pStyle w:val="ListParagraph"/>
        <w:numPr>
          <w:ilvl w:val="0"/>
          <w:numId w:val="1"/>
        </w:numPr>
        <w:spacing w:before="120" w:after="120"/>
        <w:ind w:left="425" w:hanging="357"/>
        <w:jc w:val="both"/>
        <w:rPr>
          <w:sz w:val="24"/>
          <w:rFonts w:ascii="Times New Roman" w:hAnsi="Times New Roman"/>
        </w:rPr>
      </w:pPr>
      <w:r>
        <w:rPr>
          <w:sz w:val="24"/>
          <w:rFonts w:ascii="Times New Roman" w:hAnsi="Times New Roman"/>
        </w:rPr>
        <w:t xml:space="preserve">Laitosten on julkistettava vakavaraisuusasetuksen 436 artiklan f, g ja h alakohdassa tarkoitetut tiedot noudattamalla jäljempänä tässä liitteessä annettuja ohjeita täyttääkseen tämän täytäntöönpanoasetuksen liitteessä V olevan lomakkeen EU LIB.</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C04D6C" w:rsidRPr="007F4CC8" w14:paraId="5F8ACC34" w14:textId="77777777"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2952A75" w14:textId="77777777" w:rsidR="00C04D6C" w:rsidRPr="007F4CC8" w:rsidRDefault="00C04D6C" w:rsidP="00D819DE">
            <w:pPr>
              <w:rPr>
                <w:b/>
                <w:sz w:val="24"/>
                <w:rFonts w:ascii="Times New Roman" w:hAnsi="Times New Roman" w:cs="Times New Roman"/>
              </w:rPr>
            </w:pPr>
            <w:r>
              <w:rPr>
                <w:b/>
                <w:sz w:val="24"/>
                <w:rFonts w:ascii="Times New Roman" w:hAnsi="Times New Roman"/>
              </w:rPr>
              <w:t xml:space="preserve">Lainsäädäntöviitteet ja ohjeet</w:t>
            </w:r>
          </w:p>
        </w:tc>
      </w:tr>
      <w:tr w:rsidR="00C04D6C" w:rsidRPr="007F4CC8" w14:paraId="61AC473B" w14:textId="77777777" w:rsidTr="00D819DE">
        <w:trPr>
          <w:trHeight w:val="238"/>
        </w:trPr>
        <w:tc>
          <w:tcPr>
            <w:tcW w:w="1384" w:type="dxa"/>
            <w:shd w:val="clear" w:color="auto" w:fill="D9D9D9" w:themeFill="background1" w:themeFillShade="D9"/>
          </w:tcPr>
          <w:p w14:paraId="6AC8D0E9" w14:textId="77777777" w:rsidR="00C04D6C" w:rsidRPr="007F4CC8" w:rsidRDefault="00C04D6C" w:rsidP="00D819DE">
            <w:pPr>
              <w:autoSpaceDE w:val="0"/>
              <w:autoSpaceDN w:val="0"/>
              <w:adjustRightInd w:val="0"/>
              <w:rPr>
                <w:b/>
                <w:sz w:val="24"/>
                <w:rFonts w:ascii="Times New Roman" w:hAnsi="Times New Roman" w:cs="Times New Roman"/>
              </w:rPr>
            </w:pPr>
            <w:r>
              <w:rPr>
                <w:b/>
                <w:sz w:val="24"/>
                <w:rFonts w:ascii="Times New Roman" w:hAnsi="Times New Roman"/>
              </w:rPr>
              <w:t xml:space="preserve">Rivinumero</w:t>
            </w:r>
          </w:p>
        </w:tc>
        <w:tc>
          <w:tcPr>
            <w:tcW w:w="7655" w:type="dxa"/>
            <w:shd w:val="clear" w:color="auto" w:fill="D9D9D9" w:themeFill="background1" w:themeFillShade="D9"/>
          </w:tcPr>
          <w:p w14:paraId="35037BAC" w14:textId="77777777" w:rsidR="00C04D6C" w:rsidRPr="007F4CC8" w:rsidRDefault="00C04D6C" w:rsidP="00D819DE">
            <w:pPr>
              <w:autoSpaceDE w:val="0"/>
              <w:autoSpaceDN w:val="0"/>
              <w:adjustRightInd w:val="0"/>
              <w:rPr>
                <w:color w:val="000000"/>
                <w:sz w:val="24"/>
                <w:rFonts w:ascii="Times New Roman" w:hAnsi="Times New Roman" w:cs="Times New Roman"/>
              </w:rPr>
            </w:pPr>
            <w:r>
              <w:rPr>
                <w:b/>
                <w:sz w:val="24"/>
                <w:rFonts w:ascii="Times New Roman" w:hAnsi="Times New Roman"/>
              </w:rPr>
              <w:t xml:space="preserve">Selitys</w:t>
            </w:r>
          </w:p>
        </w:tc>
      </w:tr>
      <w:tr w:rsidR="00C04D6C" w:rsidRPr="007F4CC8" w14:paraId="3DBACA53" w14:textId="77777777" w:rsidTr="00D819DE">
        <w:trPr>
          <w:trHeight w:val="238"/>
        </w:trPr>
        <w:tc>
          <w:tcPr>
            <w:tcW w:w="1384" w:type="dxa"/>
            <w:shd w:val="clear" w:color="auto" w:fill="auto"/>
          </w:tcPr>
          <w:p w14:paraId="293582CB" w14:textId="77777777" w:rsidR="00C04D6C" w:rsidRPr="007F4CC8" w:rsidRDefault="00C04D6C" w:rsidP="00D819DE">
            <w:pPr>
              <w:autoSpaceDE w:val="0"/>
              <w:autoSpaceDN w:val="0"/>
              <w:adjustRightInd w:val="0"/>
              <w:jc w:val="center"/>
              <w:rPr>
                <w:b/>
                <w:sz w:val="24"/>
                <w:rFonts w:ascii="Times New Roman" w:hAnsi="Times New Roman" w:cs="Times New Roman"/>
              </w:rPr>
            </w:pPr>
            <w:r>
              <w:rPr>
                <w:sz w:val="24"/>
                <w:rFonts w:ascii="Times New Roman" w:hAnsi="Times New Roman"/>
              </w:rPr>
              <w:t xml:space="preserve">a</w:t>
            </w:r>
          </w:p>
        </w:tc>
        <w:tc>
          <w:tcPr>
            <w:tcW w:w="7655" w:type="dxa"/>
            <w:shd w:val="clear" w:color="auto" w:fill="auto"/>
          </w:tcPr>
          <w:p w14:paraId="04E76FDB" w14:textId="77777777" w:rsidR="00C04D6C" w:rsidRPr="007F4CC8" w:rsidRDefault="00C04D6C" w:rsidP="00D819DE">
            <w:pPr>
              <w:autoSpaceDE w:val="0"/>
              <w:autoSpaceDN w:val="0"/>
              <w:adjustRightInd w:val="0"/>
              <w:spacing w:before="60" w:after="60"/>
              <w:jc w:val="both"/>
              <w:rPr>
                <w:b/>
                <w:sz w:val="24"/>
                <w:rFonts w:ascii="Times New Roman" w:hAnsi="Times New Roman" w:cs="Times New Roman"/>
              </w:rPr>
            </w:pPr>
            <w:r>
              <w:rPr>
                <w:sz w:val="24"/>
                <w:rFonts w:ascii="Times New Roman" w:hAnsi="Times New Roman"/>
              </w:rPr>
              <w:t xml:space="preserve">Laitosten on ilmoitettava nykyiset tai odotetut olennaiset käytännölliset tai oikeudelliset esteet, jotka haittaavat omien varojen nopeaa siirtoa tai vastuiden maksamista emoyrityksen ja sen tytäryritysten välillä.</w:t>
            </w:r>
          </w:p>
        </w:tc>
      </w:tr>
      <w:tr w:rsidR="00C04D6C" w:rsidRPr="007F4CC8" w14:paraId="237826AC" w14:textId="77777777" w:rsidTr="00D819DE">
        <w:trPr>
          <w:trHeight w:val="238"/>
        </w:trPr>
        <w:tc>
          <w:tcPr>
            <w:tcW w:w="1384" w:type="dxa"/>
            <w:shd w:val="clear" w:color="auto" w:fill="auto"/>
          </w:tcPr>
          <w:p w14:paraId="41F09A9C" w14:textId="77777777" w:rsidR="00C04D6C" w:rsidRPr="007F4CC8" w:rsidRDefault="00C04D6C" w:rsidP="00D819DE">
            <w:pPr>
              <w:autoSpaceDE w:val="0"/>
              <w:autoSpaceDN w:val="0"/>
              <w:adjustRightInd w:val="0"/>
              <w:jc w:val="center"/>
              <w:rPr>
                <w:b/>
                <w:sz w:val="24"/>
                <w:rFonts w:ascii="Times New Roman" w:hAnsi="Times New Roman" w:cs="Times New Roman"/>
              </w:rPr>
            </w:pPr>
            <w:r>
              <w:rPr>
                <w:sz w:val="24"/>
                <w:rFonts w:ascii="Times New Roman" w:hAnsi="Times New Roman"/>
              </w:rPr>
              <w:t xml:space="preserve">b</w:t>
            </w:r>
          </w:p>
        </w:tc>
        <w:tc>
          <w:tcPr>
            <w:tcW w:w="7655" w:type="dxa"/>
            <w:shd w:val="clear" w:color="auto" w:fill="auto"/>
          </w:tcPr>
          <w:p w14:paraId="46681EF3" w14:textId="77777777" w:rsidR="00C04D6C" w:rsidRPr="007F4CC8" w:rsidRDefault="00C04D6C" w:rsidP="00D819DE">
            <w:pPr>
              <w:autoSpaceDE w:val="0"/>
              <w:autoSpaceDN w:val="0"/>
              <w:adjustRightInd w:val="0"/>
              <w:spacing w:before="60" w:after="60"/>
              <w:jc w:val="both"/>
              <w:rPr>
                <w:b/>
                <w:sz w:val="24"/>
                <w:rFonts w:ascii="Times New Roman" w:hAnsi="Times New Roman" w:cs="Times New Roman"/>
              </w:rPr>
            </w:pPr>
            <w:r>
              <w:rPr>
                <w:sz w:val="24"/>
                <w:rFonts w:ascii="Times New Roman" w:hAnsi="Times New Roman"/>
              </w:rPr>
              <w:t xml:space="preserve">Laitosten on tarvittaessa ilmoitettava konsolidoinnin ulkopuolelle jäävien tytäryritysten nimet.</w:t>
            </w:r>
          </w:p>
        </w:tc>
      </w:tr>
      <w:tr w:rsidR="00C04D6C" w:rsidRPr="007F4CC8" w14:paraId="6F7114DB" w14:textId="77777777" w:rsidTr="00D819DE">
        <w:trPr>
          <w:trHeight w:val="238"/>
        </w:trPr>
        <w:tc>
          <w:tcPr>
            <w:tcW w:w="1384" w:type="dxa"/>
            <w:shd w:val="clear" w:color="auto" w:fill="auto"/>
          </w:tcPr>
          <w:p w14:paraId="53705885" w14:textId="77777777" w:rsidR="00C04D6C" w:rsidRPr="007F4CC8" w:rsidRDefault="00C04D6C" w:rsidP="00D819DE">
            <w:pPr>
              <w:autoSpaceDE w:val="0"/>
              <w:autoSpaceDN w:val="0"/>
              <w:adjustRightInd w:val="0"/>
              <w:jc w:val="center"/>
              <w:rPr>
                <w:b/>
                <w:sz w:val="24"/>
                <w:rFonts w:ascii="Times New Roman" w:hAnsi="Times New Roman" w:cs="Times New Roman"/>
              </w:rPr>
            </w:pPr>
            <w:r>
              <w:rPr>
                <w:sz w:val="24"/>
                <w:rFonts w:ascii="Times New Roman" w:hAnsi="Times New Roman"/>
              </w:rPr>
              <w:t xml:space="preserve">c</w:t>
            </w:r>
          </w:p>
        </w:tc>
        <w:tc>
          <w:tcPr>
            <w:tcW w:w="7655" w:type="dxa"/>
            <w:shd w:val="clear" w:color="auto" w:fill="auto"/>
          </w:tcPr>
          <w:p w14:paraId="1800BD76" w14:textId="77777777" w:rsidR="00C04D6C" w:rsidRPr="007F4CC8" w:rsidRDefault="00C04D6C" w:rsidP="00D819DE">
            <w:pPr>
              <w:autoSpaceDE w:val="0"/>
              <w:autoSpaceDN w:val="0"/>
              <w:adjustRightInd w:val="0"/>
              <w:spacing w:before="60" w:after="60"/>
              <w:jc w:val="both"/>
              <w:rPr>
                <w:b/>
                <w:sz w:val="24"/>
                <w:rFonts w:ascii="Times New Roman" w:hAnsi="Times New Roman" w:cs="Times New Roman"/>
              </w:rPr>
            </w:pPr>
            <w:r>
              <w:rPr>
                <w:sz w:val="24"/>
                <w:rFonts w:ascii="Times New Roman" w:hAnsi="Times New Roman"/>
              </w:rPr>
              <w:t xml:space="preserve">Laitosten on tarvittaessa ilmoitettava olosuhteet, joissa käytetään vakavaraisuusasetuksen 7 artiklassa tarkoitettua poikkeusta tai vakavaraisuusasetuksen 9 artiklassa säädettyä yksilöllistä konsolidointimenetelmää.</w:t>
            </w:r>
          </w:p>
        </w:tc>
      </w:tr>
      <w:tr w:rsidR="00C04D6C" w:rsidRPr="007F4CC8" w14:paraId="70A5DDF0" w14:textId="77777777" w:rsidTr="00D819DE">
        <w:trPr>
          <w:trHeight w:val="238"/>
        </w:trPr>
        <w:tc>
          <w:tcPr>
            <w:tcW w:w="1384" w:type="dxa"/>
            <w:tcBorders>
              <w:bottom w:val="single" w:sz="4" w:space="0" w:color="auto"/>
            </w:tcBorders>
            <w:shd w:val="clear" w:color="auto" w:fill="auto"/>
          </w:tcPr>
          <w:p w14:paraId="603A1037" w14:textId="77777777" w:rsidR="00C04D6C" w:rsidRPr="007F4CC8" w:rsidRDefault="00C04D6C" w:rsidP="00D819DE">
            <w:pPr>
              <w:autoSpaceDE w:val="0"/>
              <w:autoSpaceDN w:val="0"/>
              <w:adjustRightInd w:val="0"/>
              <w:jc w:val="center"/>
              <w:rPr>
                <w:b/>
                <w:sz w:val="24"/>
                <w:rFonts w:ascii="Times New Roman" w:hAnsi="Times New Roman" w:cs="Times New Roman"/>
              </w:rPr>
            </w:pPr>
            <w:r>
              <w:rPr>
                <w:sz w:val="24"/>
                <w:rFonts w:ascii="Times New Roman" w:hAnsi="Times New Roman"/>
              </w:rPr>
              <w:t xml:space="preserve">d</w:t>
            </w:r>
          </w:p>
        </w:tc>
        <w:tc>
          <w:tcPr>
            <w:tcW w:w="7655" w:type="dxa"/>
            <w:tcBorders>
              <w:bottom w:val="single" w:sz="4" w:space="0" w:color="auto"/>
            </w:tcBorders>
            <w:shd w:val="clear" w:color="auto" w:fill="auto"/>
          </w:tcPr>
          <w:p w14:paraId="2E8CF528" w14:textId="77777777" w:rsidR="00C04D6C" w:rsidRPr="007F4CC8" w:rsidRDefault="00C04D6C" w:rsidP="00D819DE">
            <w:pPr>
              <w:autoSpaceDE w:val="0"/>
              <w:autoSpaceDN w:val="0"/>
              <w:adjustRightInd w:val="0"/>
              <w:spacing w:before="60" w:after="60"/>
              <w:jc w:val="both"/>
              <w:rPr>
                <w:b/>
                <w:sz w:val="24"/>
                <w:rFonts w:ascii="Times New Roman" w:hAnsi="Times New Roman" w:cs="Times New Roman"/>
              </w:rPr>
            </w:pPr>
            <w:r>
              <w:rPr>
                <w:sz w:val="24"/>
                <w:rFonts w:ascii="Times New Roman" w:hAnsi="Times New Roman"/>
              </w:rPr>
              <w:t xml:space="preserve">Laitosten on tarvittaessa ilmoitettava kokonaismäärä, jolla todelliset omat varat alittavat kaikilta konsolidoinnin ulkopuolisilta tytäryrityksiltä vaaditun määrän, sekä kyseisen tytäryrityksen nimi tai kyseisten tytäryritysten nimet.</w:t>
            </w:r>
          </w:p>
        </w:tc>
      </w:tr>
    </w:tbl>
    <w:p w14:paraId="26403B4C" w14:textId="77777777" w:rsidR="00C04D6C" w:rsidRPr="007F4CC8" w:rsidRDefault="00C04D6C" w:rsidP="00C04D6C">
      <w:pPr>
        <w:rPr>
          <w:rFonts w:ascii="Times New Roman" w:hAnsi="Times New Roman" w:cs="Times New Roman"/>
          <w:sz w:val="24"/>
        </w:rPr>
      </w:pPr>
    </w:p>
    <w:p w14:paraId="092F96DF" w14:textId="77777777" w:rsidR="00C04D6C" w:rsidRPr="00DD0C4D" w:rsidRDefault="00C04D6C" w:rsidP="00C04D6C">
      <w:pPr>
        <w:spacing w:after="120"/>
        <w:jc w:val="both"/>
        <w:rPr>
          <w:sz w:val="24"/>
          <w:rFonts w:ascii="Times New Roman" w:hAnsi="Times New Roman" w:cs="Times New Roman"/>
        </w:rPr>
      </w:pPr>
      <w:r>
        <w:rPr>
          <w:sz w:val="24"/>
          <w:b/>
          <w:rFonts w:ascii="Times New Roman" w:hAnsi="Times New Roman"/>
        </w:rPr>
        <w:t xml:space="preserve">Lomake EU PV1 – Varovaiset arvonoikaisut:</w:t>
      </w:r>
      <w:r>
        <w:rPr>
          <w:sz w:val="24"/>
          <w:b/>
          <w:rFonts w:ascii="Times New Roman" w:hAnsi="Times New Roman"/>
        </w:rPr>
        <w:t xml:space="preserve"> </w:t>
      </w:r>
      <w:r>
        <w:rPr>
          <w:sz w:val="24"/>
          <w:rFonts w:ascii="Times New Roman" w:hAnsi="Times New Roman"/>
        </w:rPr>
        <w:t xml:space="preserve">Vakiomuotoinen lomake.</w:t>
      </w:r>
    </w:p>
    <w:p w14:paraId="01BBAEB3" w14:textId="77777777" w:rsidR="00C04D6C" w:rsidRPr="007F4CC8" w:rsidRDefault="00C04D6C" w:rsidP="00C04D6C">
      <w:pPr>
        <w:pStyle w:val="ListParagraph"/>
        <w:numPr>
          <w:ilvl w:val="0"/>
          <w:numId w:val="1"/>
        </w:numPr>
        <w:spacing w:before="60" w:after="120"/>
        <w:jc w:val="both"/>
        <w:rPr>
          <w:sz w:val="24"/>
          <w:rFonts w:ascii="Times New Roman" w:hAnsi="Times New Roman"/>
        </w:rPr>
      </w:pPr>
      <w:r>
        <w:rPr>
          <w:sz w:val="24"/>
          <w:rFonts w:ascii="Times New Roman" w:hAnsi="Times New Roman"/>
        </w:rPr>
        <w:t xml:space="preserve">Laitosten, jotka soveltavat pääasiallista menetelmää muiden arvonoikaisujen määritykseen varovaista arvostusta varten komission delegoidun asetuksen (EU) 2016/101</w:t>
      </w:r>
      <w:r w:rsidRPr="007F4CC8">
        <w:rPr>
          <w:rStyle w:val="FootnoteReference"/>
          <w:rFonts w:ascii="Times New Roman" w:hAnsi="Times New Roman"/>
          <w:bCs/>
          <w:sz w:val="24"/>
          <w:szCs w:val="24"/>
        </w:rPr>
        <w:footnoteReference w:id="6"/>
      </w:r>
      <w:r>
        <w:rPr>
          <w:sz w:val="24"/>
          <w:rFonts w:ascii="Times New Roman" w:hAnsi="Times New Roman"/>
        </w:rPr>
        <w:t xml:space="preserve"> III luvun mukaisesti, on julkistettava vakavaraisuusasetuksen 436 artiklan e alakohdassa tarkoitetut tiedot noudattamalla jäljempänä tässä liitteessä annettuja ohjeita täyttääkseen tämän täytäntöönpanoasetuksen liitteessä V olevan lomakkeen EU PV1.</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C04D6C" w:rsidRPr="007F4CC8" w14:paraId="13C43774" w14:textId="77777777"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829B9A9" w14:textId="77777777" w:rsidR="00C04D6C" w:rsidRPr="007F4CC8" w:rsidRDefault="00C04D6C" w:rsidP="00D819DE">
            <w:pPr>
              <w:rPr>
                <w:b/>
                <w:sz w:val="24"/>
                <w:rFonts w:ascii="Times New Roman" w:hAnsi="Times New Roman" w:cs="Times New Roman"/>
              </w:rPr>
            </w:pPr>
            <w:r>
              <w:rPr>
                <w:b/>
                <w:sz w:val="24"/>
                <w:rFonts w:ascii="Times New Roman" w:hAnsi="Times New Roman"/>
              </w:rPr>
              <w:t xml:space="preserve">Lainsäädäntöviitteet ja ohjeet</w:t>
            </w:r>
          </w:p>
        </w:tc>
      </w:tr>
      <w:tr w:rsidR="00C04D6C" w:rsidRPr="007F4CC8" w14:paraId="50701F6D" w14:textId="77777777" w:rsidTr="00D819DE">
        <w:trPr>
          <w:trHeight w:val="238"/>
        </w:trPr>
        <w:tc>
          <w:tcPr>
            <w:tcW w:w="1384" w:type="dxa"/>
            <w:shd w:val="clear" w:color="auto" w:fill="D9D9D9" w:themeFill="background1" w:themeFillShade="D9"/>
          </w:tcPr>
          <w:p w14:paraId="69902A51" w14:textId="77777777" w:rsidR="00C04D6C" w:rsidRPr="007F4CC8" w:rsidRDefault="00C04D6C" w:rsidP="00D819DE">
            <w:pPr>
              <w:autoSpaceDE w:val="0"/>
              <w:autoSpaceDN w:val="0"/>
              <w:adjustRightInd w:val="0"/>
              <w:rPr>
                <w:b/>
                <w:sz w:val="24"/>
                <w:rFonts w:ascii="Times New Roman" w:hAnsi="Times New Roman" w:cs="Times New Roman"/>
              </w:rPr>
            </w:pPr>
            <w:r>
              <w:rPr>
                <w:b/>
                <w:sz w:val="24"/>
                <w:rFonts w:ascii="Times New Roman" w:hAnsi="Times New Roman"/>
              </w:rPr>
              <w:t xml:space="preserve">Rivinumero</w:t>
            </w:r>
          </w:p>
        </w:tc>
        <w:tc>
          <w:tcPr>
            <w:tcW w:w="7655" w:type="dxa"/>
            <w:shd w:val="clear" w:color="auto" w:fill="D9D9D9" w:themeFill="background1" w:themeFillShade="D9"/>
          </w:tcPr>
          <w:p w14:paraId="5AB442B6" w14:textId="77777777" w:rsidR="00C04D6C" w:rsidRPr="007F4CC8" w:rsidRDefault="00C04D6C" w:rsidP="00D819DE">
            <w:pPr>
              <w:autoSpaceDE w:val="0"/>
              <w:autoSpaceDN w:val="0"/>
              <w:adjustRightInd w:val="0"/>
              <w:rPr>
                <w:color w:val="000000"/>
                <w:sz w:val="24"/>
                <w:rFonts w:ascii="Times New Roman" w:hAnsi="Times New Roman" w:cs="Times New Roman"/>
              </w:rPr>
            </w:pPr>
            <w:r>
              <w:rPr>
                <w:b/>
                <w:sz w:val="24"/>
                <w:rFonts w:ascii="Times New Roman" w:hAnsi="Times New Roman"/>
              </w:rPr>
              <w:t xml:space="preserve">Selitys</w:t>
            </w:r>
          </w:p>
        </w:tc>
      </w:tr>
      <w:tr w:rsidR="00C04D6C" w:rsidRPr="007F4CC8" w14:paraId="036FD0C7" w14:textId="77777777" w:rsidTr="00D819DE">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872743B" w14:textId="77777777" w:rsidR="00C04D6C" w:rsidRPr="007F4CC8" w:rsidRDefault="00C04D6C" w:rsidP="00D819DE">
            <w:pPr>
              <w:autoSpaceDE w:val="0"/>
              <w:autoSpaceDN w:val="0"/>
              <w:adjustRightInd w:val="0"/>
              <w:jc w:val="center"/>
              <w:rPr>
                <w:sz w:val="24"/>
                <w:rFonts w:ascii="Times New Roman" w:hAnsi="Times New Roman" w:cs="Times New Roman"/>
              </w:rPr>
            </w:pPr>
            <w:r>
              <w:rPr>
                <w:sz w:val="24"/>
                <w:rFonts w:ascii="Times New Roman" w:hAnsi="Times New Roman"/>
              </w:rPr>
              <w:t xml:space="preserve">Rivit 1–10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59E20141" w14:textId="77777777" w:rsidR="00C04D6C" w:rsidRPr="007F4CC8" w:rsidRDefault="00C04D6C" w:rsidP="00D819DE">
            <w:pPr>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Luokkatason muut arvonoikaisut</w:t>
            </w:r>
          </w:p>
          <w:p w14:paraId="4E570456" w14:textId="77777777" w:rsidR="00C04D6C" w:rsidRPr="007F4CC8" w:rsidRDefault="00C04D6C" w:rsidP="00D819DE">
            <w:pPr>
              <w:spacing w:beforeLines="60" w:before="144" w:afterLines="60" w:after="144"/>
              <w:jc w:val="both"/>
              <w:rPr>
                <w:sz w:val="24"/>
                <w:rFonts w:ascii="Times New Roman" w:hAnsi="Times New Roman" w:cs="Times New Roman"/>
              </w:rPr>
            </w:pPr>
            <w:r>
              <w:rPr>
                <w:sz w:val="24"/>
                <w:rFonts w:ascii="Times New Roman" w:hAnsi="Times New Roman"/>
              </w:rPr>
              <w:t xml:space="preserve">Markkinahintojen epävarmuuteen, positioiden sulkemiskustannuksiin, malliriskeihin, keskittyneisiin positioihin, tuleviin hallintokustannuksiin, sopimusten ennenaikaiseen päättämiseen ja operatiivisiin riskeihin liittyvät luokkatason muut arvonoikaisut on määritettävä komission delegoidun asetuksen (EU) 2016/101 9–11 ja 14–17 artiklassa kuvatulla tavalla.</w:t>
            </w:r>
          </w:p>
          <w:p w14:paraId="7B4E3C64" w14:textId="77777777" w:rsidR="00C04D6C" w:rsidRPr="007F4CC8" w:rsidRDefault="00C04D6C" w:rsidP="00D819DE">
            <w:pPr>
              <w:spacing w:beforeLines="60" w:before="144" w:afterLines="60" w:after="144"/>
              <w:jc w:val="both"/>
              <w:rPr>
                <w:sz w:val="24"/>
                <w:rFonts w:ascii="Times New Roman" w:hAnsi="Times New Roman" w:cs="Times New Roman"/>
              </w:rPr>
            </w:pPr>
            <w:r>
              <w:rPr>
                <w:sz w:val="24"/>
                <w:rFonts w:ascii="Times New Roman" w:hAnsi="Times New Roman"/>
              </w:rPr>
              <w:t xml:space="preserve">Kun on kyse markkinahintojen epävarmuutta, positioiden sulkemiskustannuksia ja malliriskejä koskevista luokista, joihin sovelletaan hajautusetuja delegoidun asetuksen (EU) 2016/101 9 artiklan 6 kohdan, 10 artiklan 7 kohdan ja 11 artiklan 7 kohdan mukaisesti, luokkatason muut arvonoikaisut on ilmoitettava tämän lomakkeen sarakkeissa a–EU-e2 yksittäisten muiden arvonoikaisujen yksinkertaisena summana ennen hajautusetua.</w:t>
            </w:r>
            <w:r>
              <w:rPr>
                <w:sz w:val="24"/>
                <w:rFonts w:ascii="Times New Roman" w:hAnsi="Times New Roman"/>
              </w:rPr>
              <w:t xml:space="preserve"> </w:t>
            </w:r>
            <w:r>
              <w:rPr>
                <w:sz w:val="24"/>
                <w:rFonts w:ascii="Times New Roman" w:hAnsi="Times New Roman"/>
              </w:rPr>
              <w:t xml:space="preserve">Komission delegoidun asetuksen (EU) 2016/101 9 artiklan 6 kohdan, 10 artiklan 7 kohdan ja 11 artiklan 7 kohdan mukaiset hajautusedut on sisällytettävä tämän lomakkeen sarakkeeseen f.</w:t>
            </w:r>
          </w:p>
        </w:tc>
      </w:tr>
      <w:tr w:rsidR="00C04D6C" w:rsidRPr="007F4CC8" w14:paraId="1A1E11FE" w14:textId="77777777" w:rsidTr="00D819DE">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3A90CED" w14:textId="77777777" w:rsidR="00C04D6C" w:rsidRPr="007F4CC8" w:rsidRDefault="00C04D6C" w:rsidP="00D819DE">
            <w:pPr>
              <w:autoSpaceDE w:val="0"/>
              <w:autoSpaceDN w:val="0"/>
              <w:adjustRightInd w:val="0"/>
              <w:jc w:val="both"/>
              <w:rPr>
                <w:sz w:val="24"/>
                <w:rFonts w:ascii="Times New Roman" w:hAnsi="Times New Roman" w:cs="Times New Roman"/>
              </w:rPr>
            </w:pPr>
            <w:r>
              <w:rPr>
                <w:sz w:val="24"/>
                <w:rFonts w:ascii="Times New Roman" w:hAnsi="Times New Roman"/>
              </w:rPr>
              <w:t xml:space="preserve">1</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3761C780" w14:textId="77777777" w:rsidR="00C04D6C" w:rsidRPr="007F4CC8" w:rsidRDefault="00C04D6C" w:rsidP="00D819DE">
            <w:pPr>
              <w:spacing w:beforeLines="60" w:before="144" w:afterLines="60" w:after="144"/>
              <w:jc w:val="both"/>
              <w:rPr>
                <w:rStyle w:val="InstructionsTabelleberschrift"/>
                <w:sz w:val="24"/>
                <w:rFonts w:ascii="Times New Roman" w:hAnsi="Times New Roman"/>
              </w:rPr>
            </w:pPr>
            <w:r>
              <w:rPr>
                <w:rStyle w:val="InstructionsTabelleberschrift"/>
                <w:sz w:val="24"/>
                <w:rFonts w:ascii="Times New Roman" w:hAnsi="Times New Roman"/>
              </w:rPr>
              <w:t xml:space="preserve">Markkinahintojen epävarmuus</w:t>
            </w:r>
          </w:p>
          <w:p w14:paraId="3D2F4674" w14:textId="77777777" w:rsidR="00C04D6C" w:rsidRPr="007F4CC8" w:rsidRDefault="00C04D6C" w:rsidP="00D819DE">
            <w:pPr>
              <w:spacing w:beforeLines="60" w:before="144" w:afterLines="60" w:after="144"/>
              <w:jc w:val="both"/>
              <w:rPr>
                <w:sz w:val="24"/>
                <w:rFonts w:ascii="Times New Roman" w:hAnsi="Times New Roman" w:cs="Times New Roman"/>
              </w:rPr>
            </w:pPr>
            <w:r>
              <w:rPr>
                <w:sz w:val="24"/>
                <w:rFonts w:ascii="Times New Roman" w:hAnsi="Times New Roman"/>
              </w:rPr>
              <w:t xml:space="preserve">Vakavaraisuusasetuksen 105 artiklan 10 kohta</w:t>
            </w:r>
          </w:p>
          <w:p w14:paraId="59AE9885" w14:textId="77777777" w:rsidR="00C04D6C" w:rsidRPr="007F4CC8" w:rsidRDefault="00C04D6C" w:rsidP="00D819DE">
            <w:pPr>
              <w:autoSpaceDE w:val="0"/>
              <w:autoSpaceDN w:val="0"/>
              <w:adjustRightInd w:val="0"/>
              <w:spacing w:after="120"/>
              <w:jc w:val="both"/>
              <w:rPr>
                <w:sz w:val="24"/>
                <w:rFonts w:ascii="Times New Roman" w:hAnsi="Times New Roman" w:cs="Times New Roman"/>
              </w:rPr>
            </w:pPr>
            <w:r>
              <w:rPr>
                <w:sz w:val="24"/>
                <w:rFonts w:ascii="Times New Roman" w:hAnsi="Times New Roman"/>
              </w:rPr>
              <w:t xml:space="preserve">Markkinahintojen epävarmuuteen liittyvät muut arvonoikaisut on laskettava komission delegoidun asetuksen (EU) 2016/101 9 artiklan mukaisesti.</w:t>
            </w:r>
          </w:p>
        </w:tc>
      </w:tr>
      <w:tr w:rsidR="00C04D6C" w:rsidRPr="007F4CC8" w14:paraId="5ACD0CA3" w14:textId="77777777" w:rsidTr="00D819DE">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0EA4F16D" w14:textId="77777777" w:rsidR="00C04D6C" w:rsidRPr="007F4CC8" w:rsidRDefault="00C04D6C" w:rsidP="00D819DE">
            <w:pPr>
              <w:autoSpaceDE w:val="0"/>
              <w:autoSpaceDN w:val="0"/>
              <w:adjustRightInd w:val="0"/>
              <w:jc w:val="both"/>
              <w:rPr>
                <w:sz w:val="24"/>
                <w:rFonts w:ascii="Times New Roman" w:hAnsi="Times New Roman" w:cs="Times New Roman"/>
              </w:rPr>
            </w:pPr>
            <w:r>
              <w:rPr>
                <w:sz w:val="24"/>
                <w:rFonts w:ascii="Times New Roman" w:hAnsi="Times New Roman"/>
              </w:rPr>
              <w:t xml:space="preserve">2</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68CEA641" w14:textId="77777777" w:rsidR="00C04D6C" w:rsidRPr="007F4CC8" w:rsidRDefault="00C04D6C" w:rsidP="00D819DE">
            <w:pPr>
              <w:autoSpaceDE w:val="0"/>
              <w:autoSpaceDN w:val="0"/>
              <w:adjustRightInd w:val="0"/>
              <w:spacing w:before="60" w:after="120"/>
              <w:jc w:val="both"/>
              <w:rPr>
                <w:b/>
                <w:sz w:val="24"/>
                <w:rFonts w:ascii="Times New Roman" w:hAnsi="Times New Roman" w:cs="Times New Roman"/>
              </w:rPr>
            </w:pPr>
            <w:r>
              <w:rPr>
                <w:rStyle w:val="InstructionsTabelleberschrift"/>
                <w:sz w:val="24"/>
                <w:rFonts w:ascii="Times New Roman" w:hAnsi="Times New Roman"/>
              </w:rPr>
              <w:t xml:space="preserve">Ei sovelleta</w:t>
            </w:r>
          </w:p>
        </w:tc>
      </w:tr>
      <w:tr w:rsidR="00C04D6C" w:rsidRPr="007F4CC8" w14:paraId="3750419D" w14:textId="77777777" w:rsidTr="00D819DE">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076AC12E" w14:textId="77777777" w:rsidR="00C04D6C" w:rsidRPr="007F4CC8" w:rsidRDefault="00C04D6C" w:rsidP="00D819DE">
            <w:pPr>
              <w:autoSpaceDE w:val="0"/>
              <w:autoSpaceDN w:val="0"/>
              <w:adjustRightInd w:val="0"/>
              <w:jc w:val="both"/>
              <w:rPr>
                <w:sz w:val="24"/>
                <w:rFonts w:ascii="Times New Roman" w:hAnsi="Times New Roman" w:cs="Times New Roman"/>
              </w:rPr>
            </w:pPr>
            <w:r>
              <w:rPr>
                <w:sz w:val="24"/>
                <w:rFonts w:ascii="Times New Roman" w:hAnsi="Times New Roman"/>
              </w:rPr>
              <w:t xml:space="preserve">3</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2581ADC5" w14:textId="77777777" w:rsidR="00C04D6C" w:rsidRPr="007F4CC8" w:rsidRDefault="00C04D6C" w:rsidP="00D819DE">
            <w:pPr>
              <w:spacing w:beforeLines="60" w:before="144" w:afterLines="60" w:after="144"/>
              <w:jc w:val="both"/>
              <w:rPr>
                <w:rStyle w:val="InstructionsTabelleberschrift"/>
                <w:sz w:val="24"/>
                <w:rFonts w:ascii="Times New Roman" w:hAnsi="Times New Roman"/>
              </w:rPr>
            </w:pPr>
            <w:r>
              <w:rPr>
                <w:rStyle w:val="InstructionsTabelleberschrift"/>
                <w:sz w:val="24"/>
                <w:rFonts w:ascii="Times New Roman" w:hAnsi="Times New Roman"/>
              </w:rPr>
              <w:t xml:space="preserve">Positioiden sulkemiskustannukset</w:t>
            </w:r>
          </w:p>
          <w:p w14:paraId="7AF430E9" w14:textId="77777777" w:rsidR="00C04D6C" w:rsidRPr="007F4CC8" w:rsidRDefault="00C04D6C" w:rsidP="00D819DE">
            <w:pPr>
              <w:spacing w:beforeLines="60" w:before="144" w:afterLines="60" w:after="144"/>
              <w:jc w:val="both"/>
              <w:rPr>
                <w:sz w:val="24"/>
                <w:rFonts w:ascii="Times New Roman" w:hAnsi="Times New Roman" w:cs="Times New Roman"/>
              </w:rPr>
            </w:pPr>
            <w:r>
              <w:rPr>
                <w:sz w:val="24"/>
                <w:rFonts w:ascii="Times New Roman" w:hAnsi="Times New Roman"/>
              </w:rPr>
              <w:t xml:space="preserve">Vakavaraisuusasetuksen 105 artiklan 10 kohta</w:t>
            </w:r>
          </w:p>
          <w:p w14:paraId="05054C64" w14:textId="77777777" w:rsidR="00C04D6C" w:rsidRPr="007F4CC8" w:rsidRDefault="00C04D6C" w:rsidP="00D819DE">
            <w:pPr>
              <w:autoSpaceDE w:val="0"/>
              <w:autoSpaceDN w:val="0"/>
              <w:adjustRightInd w:val="0"/>
              <w:spacing w:before="60" w:after="120"/>
              <w:jc w:val="both"/>
              <w:rPr>
                <w:sz w:val="24"/>
                <w:rFonts w:ascii="Times New Roman" w:hAnsi="Times New Roman" w:cs="Times New Roman"/>
              </w:rPr>
            </w:pPr>
            <w:r>
              <w:rPr>
                <w:sz w:val="24"/>
                <w:rFonts w:ascii="Times New Roman" w:hAnsi="Times New Roman"/>
              </w:rPr>
              <w:t xml:space="preserve">Positioiden sulkemiskustannuksiin liittyvät muut arvonoikaisut on laskettava komission delegoidun asetuksen (EU) 2016/101 10 artiklan mukaisesti.</w:t>
            </w:r>
          </w:p>
        </w:tc>
      </w:tr>
      <w:tr w:rsidR="00C04D6C" w:rsidRPr="007F4CC8" w14:paraId="680DDF70" w14:textId="77777777" w:rsidTr="00D819DE">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1CF20119" w14:textId="77777777" w:rsidR="00C04D6C" w:rsidRPr="007F4CC8" w:rsidRDefault="00C04D6C" w:rsidP="00D819DE">
            <w:pPr>
              <w:autoSpaceDE w:val="0"/>
              <w:autoSpaceDN w:val="0"/>
              <w:adjustRightInd w:val="0"/>
              <w:jc w:val="both"/>
              <w:rPr>
                <w:sz w:val="24"/>
                <w:rFonts w:ascii="Times New Roman" w:hAnsi="Times New Roman" w:cs="Times New Roman"/>
              </w:rPr>
            </w:pPr>
            <w:r>
              <w:rPr>
                <w:sz w:val="24"/>
                <w:rFonts w:ascii="Times New Roman" w:hAnsi="Times New Roman"/>
              </w:rPr>
              <w:t xml:space="preserve">4</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0B20E67D" w14:textId="77777777" w:rsidR="00C04D6C" w:rsidRPr="007F4CC8" w:rsidRDefault="00C04D6C" w:rsidP="00D819DE">
            <w:pPr>
              <w:spacing w:beforeLines="60" w:before="144" w:afterLines="60" w:after="144"/>
              <w:jc w:val="both"/>
              <w:rPr>
                <w:rStyle w:val="InstructionsTabelleberschrift"/>
                <w:sz w:val="24"/>
                <w:rFonts w:ascii="Times New Roman" w:hAnsi="Times New Roman"/>
              </w:rPr>
            </w:pPr>
            <w:r>
              <w:rPr>
                <w:rStyle w:val="InstructionsTabelleberschrift"/>
                <w:sz w:val="24"/>
                <w:rFonts w:ascii="Times New Roman" w:hAnsi="Times New Roman"/>
              </w:rPr>
              <w:t xml:space="preserve">Keskittyneet positiot</w:t>
            </w:r>
          </w:p>
          <w:p w14:paraId="08370B0D" w14:textId="77777777" w:rsidR="00C04D6C" w:rsidRPr="007F4CC8" w:rsidRDefault="00C04D6C" w:rsidP="00D819DE">
            <w:pPr>
              <w:spacing w:beforeLines="60" w:before="144" w:afterLines="60" w:after="144"/>
              <w:jc w:val="both"/>
              <w:rPr>
                <w:sz w:val="24"/>
                <w:rFonts w:ascii="Times New Roman" w:hAnsi="Times New Roman" w:cs="Times New Roman"/>
              </w:rPr>
            </w:pPr>
            <w:r>
              <w:rPr>
                <w:sz w:val="24"/>
                <w:rFonts w:ascii="Times New Roman" w:hAnsi="Times New Roman"/>
              </w:rPr>
              <w:t xml:space="preserve">Vakavaraisuusasetuksen 105 artiklan 11 kohta</w:t>
            </w:r>
          </w:p>
          <w:p w14:paraId="42AFA9B2" w14:textId="77777777" w:rsidR="00C04D6C" w:rsidRPr="007F4CC8" w:rsidRDefault="00C04D6C" w:rsidP="00D819DE">
            <w:pPr>
              <w:pStyle w:val="Default"/>
              <w:spacing w:after="120"/>
              <w:jc w:val="both"/>
              <w:rPr>
                <w:rFonts w:ascii="Times New Roman" w:hAnsi="Times New Roman" w:cs="Times New Roman"/>
              </w:rPr>
            </w:pPr>
            <w:r>
              <w:rPr>
                <w:rFonts w:ascii="Times New Roman" w:hAnsi="Times New Roman"/>
              </w:rPr>
              <w:t xml:space="preserve">Keskittyneisiin positioihin liittyvät muut arvonoikaisut on laskettava komission delegoidun asetuksen (EU) 2016/101 14 artiklan mukaisesti.</w:t>
            </w:r>
          </w:p>
        </w:tc>
      </w:tr>
      <w:tr w:rsidR="00C04D6C" w:rsidRPr="007F4CC8" w14:paraId="358FA37F" w14:textId="77777777" w:rsidTr="00D819DE">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741BA5B" w14:textId="77777777" w:rsidR="00C04D6C" w:rsidRPr="007F4CC8" w:rsidRDefault="00C04D6C" w:rsidP="00D819DE">
            <w:pPr>
              <w:autoSpaceDE w:val="0"/>
              <w:autoSpaceDN w:val="0"/>
              <w:adjustRightInd w:val="0"/>
              <w:jc w:val="both"/>
              <w:rPr>
                <w:sz w:val="24"/>
                <w:rFonts w:ascii="Times New Roman" w:hAnsi="Times New Roman" w:cs="Times New Roman"/>
              </w:rPr>
            </w:pPr>
            <w:r>
              <w:rPr>
                <w:sz w:val="24"/>
                <w:rFonts w:ascii="Times New Roman" w:hAnsi="Times New Roman"/>
              </w:rPr>
              <w:t xml:space="preserve">5</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2F9719C3" w14:textId="77777777" w:rsidR="00C04D6C" w:rsidRPr="007F4CC8" w:rsidRDefault="00C04D6C" w:rsidP="00D819DE">
            <w:pPr>
              <w:spacing w:beforeLines="60" w:before="144" w:afterLines="60" w:after="144"/>
              <w:jc w:val="both"/>
              <w:rPr>
                <w:rStyle w:val="InstructionsTabelleberschrift"/>
                <w:sz w:val="24"/>
                <w:rFonts w:ascii="Times New Roman" w:hAnsi="Times New Roman"/>
              </w:rPr>
            </w:pPr>
            <w:r>
              <w:rPr>
                <w:rStyle w:val="InstructionsTabelleberschrift"/>
                <w:sz w:val="24"/>
                <w:rFonts w:ascii="Times New Roman" w:hAnsi="Times New Roman"/>
              </w:rPr>
              <w:t xml:space="preserve">Sopimusten ennenaikainen päättäminen</w:t>
            </w:r>
          </w:p>
          <w:p w14:paraId="52C42C79" w14:textId="77777777" w:rsidR="00C04D6C" w:rsidRPr="007F4CC8" w:rsidRDefault="00C04D6C" w:rsidP="00D819DE">
            <w:pPr>
              <w:spacing w:beforeLines="60" w:before="144" w:afterLines="60" w:after="144"/>
              <w:jc w:val="both"/>
              <w:rPr>
                <w:sz w:val="24"/>
                <w:rFonts w:ascii="Times New Roman" w:hAnsi="Times New Roman" w:cs="Times New Roman"/>
              </w:rPr>
            </w:pPr>
            <w:r>
              <w:rPr>
                <w:sz w:val="24"/>
                <w:rFonts w:ascii="Times New Roman" w:hAnsi="Times New Roman"/>
              </w:rPr>
              <w:t xml:space="preserve">Vakavaraisuusasetuksen 105 artiklan 10 kohta</w:t>
            </w:r>
          </w:p>
          <w:p w14:paraId="4AEB079B" w14:textId="77777777" w:rsidR="00C04D6C" w:rsidRPr="007F4CC8" w:rsidRDefault="00C04D6C" w:rsidP="00D819DE">
            <w:pPr>
              <w:pStyle w:val="Default"/>
              <w:spacing w:before="60" w:after="120"/>
              <w:jc w:val="both"/>
              <w:rPr>
                <w:rFonts w:ascii="Times New Roman" w:hAnsi="Times New Roman" w:cs="Times New Roman"/>
              </w:rPr>
            </w:pPr>
            <w:r>
              <w:rPr>
                <w:rFonts w:ascii="Times New Roman" w:hAnsi="Times New Roman"/>
              </w:rPr>
              <w:t xml:space="preserve">Sopimusten ennenaikaiseen päättämiseen liittyvät muut arvonoikaisut on laskettava komission delegoidun asetuksen (EU) 2016/101 16 artiklan mukaisesti.</w:t>
            </w:r>
          </w:p>
        </w:tc>
      </w:tr>
      <w:tr w:rsidR="00C04D6C" w:rsidRPr="007F4CC8" w14:paraId="25315BC3" w14:textId="77777777" w:rsidTr="00D819DE">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627FFEF9" w14:textId="77777777" w:rsidR="00C04D6C" w:rsidRPr="007F4CC8" w:rsidRDefault="00C04D6C" w:rsidP="00D819DE">
            <w:pPr>
              <w:autoSpaceDE w:val="0"/>
              <w:autoSpaceDN w:val="0"/>
              <w:adjustRightInd w:val="0"/>
              <w:jc w:val="both"/>
              <w:rPr>
                <w:sz w:val="24"/>
                <w:rFonts w:ascii="Times New Roman" w:hAnsi="Times New Roman" w:cs="Times New Roman"/>
              </w:rPr>
            </w:pPr>
            <w:r>
              <w:rPr>
                <w:sz w:val="24"/>
                <w:rFonts w:ascii="Times New Roman" w:hAnsi="Times New Roman"/>
              </w:rPr>
              <w:t xml:space="preserve">6</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63658D5E" w14:textId="77777777" w:rsidR="00C04D6C" w:rsidRPr="007F4CC8" w:rsidRDefault="00C04D6C" w:rsidP="00D819DE">
            <w:pPr>
              <w:spacing w:beforeLines="60" w:before="144" w:afterLines="60" w:after="144"/>
              <w:jc w:val="both"/>
              <w:rPr>
                <w:rStyle w:val="InstructionsTabelleberschrift"/>
                <w:sz w:val="24"/>
                <w:rFonts w:ascii="Times New Roman" w:hAnsi="Times New Roman"/>
              </w:rPr>
            </w:pPr>
            <w:r>
              <w:rPr>
                <w:rStyle w:val="InstructionsTabelleberschrift"/>
                <w:sz w:val="24"/>
                <w:rFonts w:ascii="Times New Roman" w:hAnsi="Times New Roman"/>
              </w:rPr>
              <w:t xml:space="preserve">Malliriskit</w:t>
            </w:r>
          </w:p>
          <w:p w14:paraId="49ED331A" w14:textId="77777777" w:rsidR="00C04D6C" w:rsidRPr="007F4CC8" w:rsidRDefault="00C04D6C" w:rsidP="00D819DE">
            <w:pPr>
              <w:spacing w:beforeLines="60" w:before="144" w:afterLines="60" w:after="144"/>
              <w:jc w:val="both"/>
              <w:rPr>
                <w:sz w:val="24"/>
                <w:rFonts w:ascii="Times New Roman" w:hAnsi="Times New Roman" w:cs="Times New Roman"/>
              </w:rPr>
            </w:pPr>
            <w:r>
              <w:rPr>
                <w:sz w:val="24"/>
                <w:rFonts w:ascii="Times New Roman" w:hAnsi="Times New Roman"/>
              </w:rPr>
              <w:t xml:space="preserve">Vakavaraisuusasetuksen 105 artiklan 10 kohta</w:t>
            </w:r>
          </w:p>
          <w:p w14:paraId="2BCE5220" w14:textId="77777777" w:rsidR="00C04D6C" w:rsidRPr="007F4CC8" w:rsidRDefault="00C04D6C" w:rsidP="00D819DE">
            <w:pPr>
              <w:pStyle w:val="Default"/>
              <w:spacing w:before="60" w:after="120"/>
              <w:jc w:val="both"/>
              <w:rPr>
                <w:rFonts w:ascii="Times New Roman" w:hAnsi="Times New Roman" w:cs="Times New Roman"/>
              </w:rPr>
            </w:pPr>
            <w:r>
              <w:rPr>
                <w:rFonts w:ascii="Times New Roman" w:hAnsi="Times New Roman"/>
              </w:rPr>
              <w:t xml:space="preserve">Malliriskeihin liittyvät muut arvonoikaisut on laskettava komission delegoidun asetuksen (EU) 2016/101 11 artiklan mukaisesti.</w:t>
            </w:r>
            <w:r>
              <w:rPr>
                <w:rFonts w:ascii="Times New Roman" w:hAnsi="Times New Roman"/>
              </w:rPr>
              <w:t xml:space="preserve"> </w:t>
            </w:r>
          </w:p>
        </w:tc>
      </w:tr>
      <w:tr w:rsidR="00C04D6C" w:rsidRPr="007F4CC8" w14:paraId="0F5BA190" w14:textId="77777777" w:rsidTr="00D819DE">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199FBEA" w14:textId="77777777" w:rsidR="00C04D6C" w:rsidRPr="007F4CC8" w:rsidRDefault="00C04D6C" w:rsidP="00D819DE">
            <w:pPr>
              <w:autoSpaceDE w:val="0"/>
              <w:autoSpaceDN w:val="0"/>
              <w:adjustRightInd w:val="0"/>
              <w:jc w:val="both"/>
              <w:rPr>
                <w:sz w:val="24"/>
                <w:rFonts w:ascii="Times New Roman" w:hAnsi="Times New Roman" w:cs="Times New Roman"/>
              </w:rPr>
            </w:pPr>
            <w:r>
              <w:rPr>
                <w:sz w:val="24"/>
                <w:rFonts w:ascii="Times New Roman" w:hAnsi="Times New Roman"/>
              </w:rPr>
              <w:t xml:space="preserve">7</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3B622310" w14:textId="77777777" w:rsidR="00C04D6C" w:rsidRPr="007F4CC8" w:rsidRDefault="00C04D6C" w:rsidP="00D819DE">
            <w:pPr>
              <w:spacing w:beforeLines="60" w:before="144" w:afterLines="60" w:after="144"/>
              <w:jc w:val="both"/>
              <w:rPr>
                <w:rStyle w:val="InstructionsTabelleberschrift"/>
                <w:sz w:val="24"/>
                <w:rFonts w:ascii="Times New Roman" w:hAnsi="Times New Roman"/>
              </w:rPr>
            </w:pPr>
            <w:r>
              <w:rPr>
                <w:rStyle w:val="InstructionsTabelleberschrift"/>
                <w:sz w:val="24"/>
                <w:rFonts w:ascii="Times New Roman" w:hAnsi="Times New Roman"/>
              </w:rPr>
              <w:t xml:space="preserve">Operatiiviset riskit</w:t>
            </w:r>
          </w:p>
          <w:p w14:paraId="3EE7FBBF" w14:textId="77777777" w:rsidR="00C04D6C" w:rsidRPr="007F4CC8" w:rsidRDefault="00C04D6C" w:rsidP="00D819DE">
            <w:pPr>
              <w:spacing w:beforeLines="60" w:before="144" w:afterLines="60" w:after="144"/>
              <w:jc w:val="both"/>
              <w:rPr>
                <w:sz w:val="24"/>
                <w:rFonts w:ascii="Times New Roman" w:hAnsi="Times New Roman" w:cs="Times New Roman"/>
              </w:rPr>
            </w:pPr>
            <w:r>
              <w:rPr>
                <w:sz w:val="24"/>
                <w:rFonts w:ascii="Times New Roman" w:hAnsi="Times New Roman"/>
              </w:rPr>
              <w:t xml:space="preserve">Vakavaraisuusasetuksen 105 artiklan 10 kohta</w:t>
            </w:r>
          </w:p>
          <w:p w14:paraId="64B1AD8B" w14:textId="77777777" w:rsidR="00C04D6C" w:rsidRPr="007F4CC8" w:rsidRDefault="00C04D6C" w:rsidP="00D819DE">
            <w:pPr>
              <w:pStyle w:val="Default"/>
              <w:spacing w:before="60" w:after="120"/>
              <w:jc w:val="both"/>
              <w:rPr>
                <w:i/>
                <w:rFonts w:ascii="Times New Roman" w:hAnsi="Times New Roman" w:cs="Times New Roman"/>
              </w:rPr>
            </w:pPr>
            <w:r>
              <w:rPr>
                <w:rFonts w:ascii="Times New Roman" w:hAnsi="Times New Roman"/>
              </w:rPr>
              <w:t xml:space="preserve">Operatiivisiin riskeihin liittyvät muut arvonoikaisut on laskettava komission delegoidun asetuksen (EU) 2016/101 17 artiklan mukaisesti.</w:t>
            </w:r>
          </w:p>
        </w:tc>
      </w:tr>
      <w:tr w:rsidR="00C04D6C" w:rsidRPr="007F4CC8" w14:paraId="3AE9B740" w14:textId="77777777" w:rsidTr="00D819DE">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4951D2A6" w14:textId="77777777" w:rsidR="00C04D6C" w:rsidRPr="007F4CC8" w:rsidRDefault="00C04D6C" w:rsidP="00D819DE">
            <w:pPr>
              <w:autoSpaceDE w:val="0"/>
              <w:autoSpaceDN w:val="0"/>
              <w:adjustRightInd w:val="0"/>
              <w:jc w:val="both"/>
              <w:rPr>
                <w:sz w:val="24"/>
                <w:rFonts w:ascii="Times New Roman" w:hAnsi="Times New Roman" w:cs="Times New Roman"/>
              </w:rPr>
            </w:pPr>
            <w:r>
              <w:rPr>
                <w:sz w:val="24"/>
                <w:rFonts w:ascii="Times New Roman" w:hAnsi="Times New Roman"/>
              </w:rPr>
              <w:t xml:space="preserve">8</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630B1321" w14:textId="77777777" w:rsidR="00C04D6C" w:rsidRPr="007F4CC8" w:rsidRDefault="00C04D6C" w:rsidP="00D819DE">
            <w:pPr>
              <w:pStyle w:val="Default"/>
              <w:spacing w:after="120"/>
              <w:jc w:val="both"/>
              <w:rPr>
                <w:rFonts w:ascii="Times New Roman" w:hAnsi="Times New Roman" w:cs="Times New Roman"/>
              </w:rPr>
            </w:pPr>
            <w:r>
              <w:rPr>
                <w:rStyle w:val="InstructionsTabelleberschrift"/>
                <w:rFonts w:ascii="Times New Roman" w:hAnsi="Times New Roman"/>
              </w:rPr>
              <w:t xml:space="preserve">Ei sovelleta</w:t>
            </w:r>
          </w:p>
        </w:tc>
      </w:tr>
      <w:tr w:rsidR="00C04D6C" w:rsidRPr="007F4CC8" w14:paraId="27C5D5B5" w14:textId="77777777" w:rsidTr="00D819DE">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327D90F" w14:textId="77777777" w:rsidR="00C04D6C" w:rsidRPr="007F4CC8" w:rsidRDefault="00C04D6C" w:rsidP="00D819DE">
            <w:pPr>
              <w:autoSpaceDE w:val="0"/>
              <w:autoSpaceDN w:val="0"/>
              <w:adjustRightInd w:val="0"/>
              <w:jc w:val="both"/>
              <w:rPr>
                <w:sz w:val="24"/>
                <w:rFonts w:ascii="Times New Roman" w:hAnsi="Times New Roman" w:cs="Times New Roman"/>
              </w:rPr>
            </w:pPr>
            <w:r>
              <w:rPr>
                <w:sz w:val="24"/>
                <w:rFonts w:ascii="Times New Roman" w:hAnsi="Times New Roman"/>
              </w:rPr>
              <w:t xml:space="preserve">9</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1ABEE0E1" w14:textId="77777777" w:rsidR="00C04D6C" w:rsidRPr="007F4CC8" w:rsidRDefault="00C04D6C" w:rsidP="00D819DE">
            <w:pPr>
              <w:pStyle w:val="Default"/>
              <w:spacing w:after="120"/>
              <w:jc w:val="both"/>
              <w:rPr>
                <w:rFonts w:ascii="Times New Roman" w:hAnsi="Times New Roman" w:cs="Times New Roman"/>
              </w:rPr>
            </w:pPr>
            <w:r>
              <w:rPr>
                <w:rStyle w:val="InstructionsTabelleberschrift"/>
                <w:rFonts w:ascii="Times New Roman" w:hAnsi="Times New Roman"/>
              </w:rPr>
              <w:t xml:space="preserve">Ei sovelleta</w:t>
            </w:r>
          </w:p>
        </w:tc>
      </w:tr>
      <w:tr w:rsidR="00C04D6C" w:rsidRPr="007F4CC8" w14:paraId="0D4A7BB8" w14:textId="77777777" w:rsidTr="00D819DE">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6BA43C8B" w14:textId="77777777" w:rsidR="00C04D6C" w:rsidRPr="007F4CC8" w:rsidRDefault="00C04D6C" w:rsidP="00D819DE">
            <w:pPr>
              <w:autoSpaceDE w:val="0"/>
              <w:autoSpaceDN w:val="0"/>
              <w:adjustRightInd w:val="0"/>
              <w:jc w:val="both"/>
              <w:rPr>
                <w:sz w:val="24"/>
                <w:rFonts w:ascii="Times New Roman" w:hAnsi="Times New Roman" w:cs="Times New Roman"/>
              </w:rPr>
            </w:pPr>
            <w:r>
              <w:rPr>
                <w:sz w:val="24"/>
                <w:rFonts w:ascii="Times New Roman" w:hAnsi="Times New Roman"/>
              </w:rPr>
              <w:t xml:space="preserve">10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16B39EC1" w14:textId="77777777" w:rsidR="00C04D6C" w:rsidRPr="007F4CC8" w:rsidRDefault="00C04D6C" w:rsidP="00D819DE">
            <w:pPr>
              <w:spacing w:beforeLines="60" w:before="144" w:afterLines="60" w:after="144"/>
              <w:jc w:val="both"/>
              <w:rPr>
                <w:rStyle w:val="InstructionsTabelleberschrift"/>
                <w:sz w:val="24"/>
                <w:rFonts w:ascii="Times New Roman" w:hAnsi="Times New Roman"/>
              </w:rPr>
            </w:pPr>
            <w:r>
              <w:rPr>
                <w:rStyle w:val="InstructionsTabelleberschrift"/>
                <w:sz w:val="24"/>
                <w:rFonts w:ascii="Times New Roman" w:hAnsi="Times New Roman"/>
              </w:rPr>
              <w:t xml:space="preserve">Tulevat hallintokustannukset</w:t>
            </w:r>
          </w:p>
          <w:p w14:paraId="03DE0824" w14:textId="77777777" w:rsidR="00C04D6C" w:rsidRPr="007F4CC8" w:rsidRDefault="00C04D6C" w:rsidP="00D819DE">
            <w:pPr>
              <w:spacing w:beforeLines="60" w:before="144" w:afterLines="60" w:after="144"/>
              <w:jc w:val="both"/>
              <w:rPr>
                <w:sz w:val="24"/>
                <w:rFonts w:ascii="Times New Roman" w:hAnsi="Times New Roman" w:cs="Times New Roman"/>
              </w:rPr>
            </w:pPr>
            <w:r>
              <w:rPr>
                <w:sz w:val="24"/>
                <w:rFonts w:ascii="Times New Roman" w:hAnsi="Times New Roman"/>
              </w:rPr>
              <w:t xml:space="preserve">Vakavaraisuusasetuksen 105 artiklan 10 kohta</w:t>
            </w:r>
          </w:p>
          <w:p w14:paraId="77EAFF21" w14:textId="77777777" w:rsidR="00C04D6C" w:rsidRPr="007F4CC8" w:rsidRDefault="00C04D6C" w:rsidP="00D819DE">
            <w:pPr>
              <w:pStyle w:val="Default"/>
              <w:spacing w:after="120"/>
              <w:jc w:val="both"/>
              <w:rPr>
                <w:rFonts w:ascii="Times New Roman" w:hAnsi="Times New Roman" w:cs="Times New Roman"/>
              </w:rPr>
            </w:pPr>
            <w:r>
              <w:rPr>
                <w:rFonts w:ascii="Times New Roman" w:hAnsi="Times New Roman"/>
              </w:rPr>
              <w:t xml:space="preserve">Tuleviin hallintokustannuksiin liittyvät muut arvonoikaisut on laskettava komission delegoidun asetuksen (EU) 2016/101 15 artiklan mukaisesti.</w:t>
            </w:r>
          </w:p>
        </w:tc>
      </w:tr>
      <w:tr w:rsidR="00C04D6C" w:rsidRPr="007F4CC8" w14:paraId="2D7F52A9" w14:textId="77777777" w:rsidTr="00D819DE">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D78F684" w14:textId="77777777" w:rsidR="00C04D6C" w:rsidRPr="007F4CC8" w:rsidRDefault="00C04D6C" w:rsidP="00D819DE">
            <w:pPr>
              <w:autoSpaceDE w:val="0"/>
              <w:autoSpaceDN w:val="0"/>
              <w:adjustRightInd w:val="0"/>
              <w:jc w:val="both"/>
              <w:rPr>
                <w:sz w:val="24"/>
                <w:rFonts w:ascii="Times New Roman" w:hAnsi="Times New Roman" w:cs="Times New Roman"/>
              </w:rPr>
            </w:pPr>
            <w:r>
              <w:rPr>
                <w:sz w:val="24"/>
                <w:rFonts w:ascii="Times New Roman" w:hAnsi="Times New Roman"/>
              </w:rPr>
              <w:t xml:space="preserve">11</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24961A65" w14:textId="77777777" w:rsidR="00C04D6C" w:rsidRPr="007F4CC8" w:rsidRDefault="00C04D6C" w:rsidP="00D819DE">
            <w:pPr>
              <w:pStyle w:val="Default"/>
              <w:spacing w:after="120"/>
              <w:jc w:val="both"/>
              <w:rPr>
                <w:rFonts w:ascii="Times New Roman" w:hAnsi="Times New Roman" w:cs="Times New Roman"/>
              </w:rPr>
            </w:pPr>
            <w:r>
              <w:rPr>
                <w:rFonts w:ascii="Times New Roman" w:hAnsi="Times New Roman"/>
              </w:rPr>
              <w:t xml:space="preserve">Ei sovelleta</w:t>
            </w:r>
          </w:p>
        </w:tc>
      </w:tr>
      <w:tr w:rsidR="00C04D6C" w:rsidRPr="007F4CC8" w14:paraId="1996F9F1" w14:textId="77777777" w:rsidTr="00D819DE">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0892D931" w14:textId="77777777" w:rsidR="00C04D6C" w:rsidRPr="007F4CC8" w:rsidRDefault="00C04D6C" w:rsidP="00D819DE">
            <w:pPr>
              <w:autoSpaceDE w:val="0"/>
              <w:autoSpaceDN w:val="0"/>
              <w:adjustRightInd w:val="0"/>
              <w:jc w:val="both"/>
              <w:rPr>
                <w:sz w:val="24"/>
                <w:rFonts w:ascii="Times New Roman" w:hAnsi="Times New Roman" w:cs="Times New Roman"/>
              </w:rPr>
            </w:pPr>
            <w:r>
              <w:rPr>
                <w:sz w:val="24"/>
                <w:rFonts w:ascii="Times New Roman" w:hAnsi="Times New Roman"/>
              </w:rPr>
              <w:t xml:space="preserve">12</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04A2DE55" w14:textId="77777777" w:rsidR="00C04D6C" w:rsidRPr="007F4CC8" w:rsidRDefault="00C04D6C" w:rsidP="00D819DE">
            <w:pPr>
              <w:spacing w:beforeLines="60" w:before="144" w:afterLines="60" w:after="144"/>
              <w:jc w:val="both"/>
              <w:rPr>
                <w:rStyle w:val="InstructionsTabelleberschrift"/>
                <w:sz w:val="24"/>
                <w:rFonts w:ascii="Times New Roman" w:hAnsi="Times New Roman"/>
              </w:rPr>
            </w:pPr>
            <w:r>
              <w:rPr>
                <w:rStyle w:val="InstructionsTabelleberschrift"/>
                <w:sz w:val="24"/>
                <w:rFonts w:ascii="Times New Roman" w:hAnsi="Times New Roman"/>
              </w:rPr>
              <w:t xml:space="preserve">Muut arvonoikaisut yhteensä</w:t>
            </w:r>
          </w:p>
          <w:p w14:paraId="773818D3" w14:textId="77777777" w:rsidR="00C04D6C" w:rsidRPr="007F4CC8" w:rsidRDefault="00C04D6C" w:rsidP="00D819DE">
            <w:pPr>
              <w:pStyle w:val="Default"/>
              <w:spacing w:after="120"/>
              <w:jc w:val="both"/>
              <w:rPr>
                <w:color w:val="auto"/>
                <w:rFonts w:ascii="Times New Roman" w:hAnsi="Times New Roman" w:cs="Times New Roman"/>
              </w:rPr>
            </w:pPr>
            <w:r>
              <w:rPr>
                <w:rFonts w:ascii="Times New Roman" w:hAnsi="Times New Roman"/>
              </w:rPr>
              <w:t xml:space="preserve">Omista varoista vakavaraisuusasetuksen 34 ja 105 artiklan mukaisesti vähennettävien muiden arvonoikaisujen kokonaismäärä on ilmoitettava tämän lomakkeen rivillä 12 sarakkeessa f.</w:t>
            </w:r>
            <w:r>
              <w:rPr>
                <w:color w:val="auto"/>
                <w:rFonts w:ascii="Times New Roman" w:hAnsi="Times New Roman"/>
              </w:rPr>
              <w:t xml:space="preserve"> </w:t>
            </w:r>
            <w:r>
              <w:rPr>
                <w:color w:val="auto"/>
                <w:rFonts w:ascii="Times New Roman" w:hAnsi="Times New Roman"/>
              </w:rPr>
              <w:t xml:space="preserve">Tämän määrän on vastattava lomakkeen EU CC1 rivillä 7 ilmoitettua määrää sekä lomakkeen EU LI2 rivillä 5 sarakkeessa a ilmoitettua määrää.</w:t>
            </w:r>
            <w:r>
              <w:rPr>
                <w:color w:val="auto"/>
                <w:rFonts w:ascii="Times New Roman" w:hAnsi="Times New Roman"/>
              </w:rPr>
              <w:t xml:space="preserve"> </w:t>
            </w:r>
          </w:p>
          <w:p w14:paraId="3E1D4E77" w14:textId="77777777" w:rsidR="00C04D6C" w:rsidRPr="007F4CC8" w:rsidRDefault="00C04D6C" w:rsidP="00D819DE">
            <w:pPr>
              <w:pStyle w:val="Default"/>
              <w:spacing w:after="120"/>
              <w:jc w:val="both"/>
              <w:rPr>
                <w:color w:val="auto"/>
                <w:rFonts w:ascii="Times New Roman" w:hAnsi="Times New Roman" w:cs="Times New Roman"/>
              </w:rPr>
            </w:pPr>
            <w:r>
              <w:rPr>
                <w:color w:val="auto"/>
                <w:rFonts w:ascii="Times New Roman" w:hAnsi="Times New Roman"/>
              </w:rPr>
              <w:t xml:space="preserve">Muiden arvonoikaisujen kokonaismäärä on tämän lomakkeen riveillä 1–10 olevien määrien summa sellaisten salkkujen osalta, joihin sovelletaan varovaista arvostusta koskevan delegoidun asetuksen (EU) 2016/101 III luvun mukaista pääasiallista menetelmää, ja delegoidun asetuksen (EU) 2016/101 7 artiklan 2 kohdan b alakohdan i–iii alakohdan mukaisesti laskettujen määrien summa sellaisten salkkujen osalta, joihin mahdollisesti sovelletaan vaihtoehtoista menetelmää (fall-back approach).</w:t>
            </w:r>
            <w:r>
              <w:rPr>
                <w:color w:val="auto"/>
                <w:rFonts w:ascii="Times New Roman" w:hAnsi="Times New Roman"/>
              </w:rPr>
              <w:t xml:space="preserve"> </w:t>
            </w:r>
          </w:p>
          <w:p w14:paraId="0557EFCB" w14:textId="77777777" w:rsidR="00C04D6C" w:rsidRPr="007F4CC8" w:rsidRDefault="00C04D6C" w:rsidP="00D819DE">
            <w:pPr>
              <w:pStyle w:val="Default"/>
              <w:spacing w:after="120"/>
              <w:jc w:val="both"/>
              <w:rPr>
                <w:rFonts w:ascii="Times New Roman" w:hAnsi="Times New Roman" w:cs="Times New Roman"/>
              </w:rPr>
            </w:pPr>
            <w:r>
              <w:rPr>
                <w:color w:val="auto"/>
                <w:rFonts w:ascii="Times New Roman" w:hAnsi="Times New Roman"/>
              </w:rPr>
              <w:t xml:space="preserve">Niiden salkkujen osalta, joihin sovelletaan varovaista arvostusta koskevan delegoidun asetuksen (EU) 2016/101 II luvun mukaista yksinkertaistettua menetelmää, tämän lomakkeen sarakkeeseen f sisältyvä muiden arvonoikaisujen kokonaismäärä on kyseisen luvun 5 artiklan mukaisesti laskettu määrä.</w:t>
            </w:r>
          </w:p>
        </w:tc>
      </w:tr>
      <w:tr w:rsidR="00C04D6C" w:rsidRPr="007F4CC8" w14:paraId="680BC399" w14:textId="77777777" w:rsidTr="00D819DE">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FF590F" w14:textId="77777777" w:rsidR="00C04D6C" w:rsidRPr="007F4CC8" w:rsidRDefault="00C04D6C" w:rsidP="00D819DE">
            <w:pPr>
              <w:pStyle w:val="Applicationdirecte"/>
              <w:spacing w:before="0"/>
              <w:rPr>
                <w:b/>
              </w:rPr>
            </w:pPr>
            <w:r>
              <w:rPr>
                <w:b/>
              </w:rPr>
              <w:t xml:space="preserve">Sarakkeen kirjain</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086B5F" w14:textId="77777777" w:rsidR="00C04D6C" w:rsidRPr="007F4CC8" w:rsidRDefault="00C04D6C" w:rsidP="00D819DE">
            <w:pPr>
              <w:pStyle w:val="TableMainHeading"/>
              <w:spacing w:before="60"/>
              <w:jc w:val="both"/>
              <w:rPr>
                <w:b/>
                <w:sz w:val="24"/>
                <w:szCs w:val="24"/>
                <w:rFonts w:ascii="Times New Roman" w:hAnsi="Times New Roman"/>
              </w:rPr>
            </w:pPr>
            <w:r>
              <w:rPr>
                <w:b/>
                <w:sz w:val="24"/>
                <w:rFonts w:ascii="Times New Roman" w:hAnsi="Times New Roman"/>
              </w:rPr>
              <w:t xml:space="preserve">Selitys</w:t>
            </w:r>
          </w:p>
        </w:tc>
      </w:tr>
      <w:tr w:rsidR="00C04D6C" w:rsidRPr="007F4CC8" w14:paraId="4C8AA773" w14:textId="77777777" w:rsidTr="00D819DE">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265BA53E" w14:textId="77777777" w:rsidR="00C04D6C" w:rsidRPr="007F4CC8" w:rsidRDefault="00C04D6C" w:rsidP="00D819DE">
            <w:pPr>
              <w:autoSpaceDE w:val="0"/>
              <w:autoSpaceDN w:val="0"/>
              <w:adjustRightInd w:val="0"/>
              <w:jc w:val="both"/>
              <w:rPr>
                <w:sz w:val="24"/>
                <w:rFonts w:ascii="Times New Roman" w:hAnsi="Times New Roman" w:cs="Times New Roman"/>
              </w:rPr>
            </w:pPr>
            <w:r>
              <w:rPr>
                <w:sz w:val="24"/>
                <w:rFonts w:ascii="Times New Roman" w:hAnsi="Times New Roman"/>
              </w:rPr>
              <w:t xml:space="preserve">a–e</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24DEFB24" w14:textId="77777777" w:rsidR="00C04D6C" w:rsidRPr="007F4CC8" w:rsidRDefault="00C04D6C" w:rsidP="00D819DE">
            <w:pPr>
              <w:autoSpaceDE w:val="0"/>
              <w:autoSpaceDN w:val="0"/>
              <w:adjustRightInd w:val="0"/>
              <w:spacing w:before="60" w:after="120"/>
              <w:jc w:val="both"/>
              <w:rPr>
                <w:b/>
                <w:sz w:val="24"/>
                <w:u w:val="single"/>
                <w:rFonts w:ascii="Times New Roman" w:hAnsi="Times New Roman" w:cs="Times New Roman"/>
              </w:rPr>
            </w:pPr>
            <w:r>
              <w:rPr>
                <w:b/>
                <w:sz w:val="24"/>
                <w:u w:val="single"/>
                <w:rFonts w:ascii="Times New Roman" w:hAnsi="Times New Roman"/>
              </w:rPr>
              <w:t xml:space="preserve">Jaottelu RISKILUOKITTAIN</w:t>
            </w:r>
          </w:p>
          <w:p w14:paraId="19554FB9" w14:textId="77777777" w:rsidR="00C04D6C" w:rsidRPr="007F4CC8" w:rsidRDefault="00C04D6C" w:rsidP="00D819DE">
            <w:pPr>
              <w:spacing w:beforeLines="60" w:before="144" w:afterLines="60" w:after="144"/>
              <w:jc w:val="both"/>
              <w:rPr>
                <w:sz w:val="24"/>
                <w:rFonts w:ascii="Times New Roman" w:hAnsi="Times New Roman" w:cs="Times New Roman"/>
              </w:rPr>
            </w:pPr>
            <w:r>
              <w:rPr>
                <w:sz w:val="24"/>
                <w:rFonts w:ascii="Times New Roman" w:hAnsi="Times New Roman"/>
              </w:rPr>
              <w:t xml:space="preserve">Laitosten on jaoteltava sellaiset käypään arvoon arvostetut varat ja velat, jotka sisältyvät kynnysarvon laskentaan komission delegoidun asetuksen (EU) 2016/101 4 artiklan 1 kohdan mukaisesti (kaupankäyntivarastoon kuuluvat ja kaupankäyntivaraston ulkopuoliset varat ja velat), seuraavien riskiluokkien mukaan:</w:t>
            </w:r>
            <w:r>
              <w:rPr>
                <w:sz w:val="24"/>
                <w:rFonts w:ascii="Times New Roman" w:hAnsi="Times New Roman"/>
              </w:rPr>
              <w:t xml:space="preserve"> </w:t>
            </w:r>
            <w:r>
              <w:rPr>
                <w:sz w:val="24"/>
                <w:rFonts w:ascii="Times New Roman" w:hAnsi="Times New Roman"/>
              </w:rPr>
              <w:t xml:space="preserve">korot, ulkomaanvaluutta, luotto, osakkeet, hyödykkeet.</w:t>
            </w:r>
            <w:r>
              <w:rPr>
                <w:sz w:val="24"/>
                <w:rFonts w:ascii="Times New Roman" w:hAnsi="Times New Roman"/>
              </w:rPr>
              <w:t xml:space="preserve"> </w:t>
            </w:r>
          </w:p>
          <w:p w14:paraId="78E03628" w14:textId="77777777" w:rsidR="00C04D6C" w:rsidRPr="007F4CC8" w:rsidRDefault="00C04D6C" w:rsidP="00D819DE">
            <w:pPr>
              <w:spacing w:beforeLines="60" w:before="144" w:afterLines="60" w:after="144"/>
              <w:jc w:val="both"/>
              <w:rPr>
                <w:b/>
                <w:sz w:val="24"/>
                <w:u w:val="single"/>
                <w:rFonts w:ascii="Times New Roman" w:hAnsi="Times New Roman" w:cs="Times New Roman"/>
              </w:rPr>
            </w:pPr>
            <w:r>
              <w:rPr>
                <w:sz w:val="24"/>
                <w:rFonts w:ascii="Times New Roman" w:hAnsi="Times New Roman"/>
              </w:rPr>
              <w:t xml:space="preserve">Näissä sarakkeissa ei ilmoiteta komission delegoidun asetuksen (EU) 2016/101 12 ja 13 artiklan mukaisesti laskettuja muita arvonoikaisuja, jotka ilmoitetaan tämän lomakkeen sarakkeissa EU-e1 ja EU-e2.</w:t>
            </w:r>
          </w:p>
        </w:tc>
      </w:tr>
      <w:tr w:rsidR="00C04D6C" w:rsidRPr="007F4CC8" w14:paraId="56262415" w14:textId="77777777" w:rsidTr="00D819DE">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E46B79F" w14:textId="77777777" w:rsidR="00C04D6C" w:rsidRPr="007F4CC8" w:rsidRDefault="00C04D6C" w:rsidP="00D819DE">
            <w:pPr>
              <w:autoSpaceDE w:val="0"/>
              <w:autoSpaceDN w:val="0"/>
              <w:adjustRightInd w:val="0"/>
              <w:jc w:val="both"/>
              <w:rPr>
                <w:rFonts w:ascii="Times New Roman" w:hAnsi="Times New Roman" w:cs="Times New Roman"/>
                <w:sz w:val="24"/>
              </w:rPr>
            </w:pPr>
          </w:p>
          <w:p w14:paraId="79FF4E96" w14:textId="77777777" w:rsidR="00C04D6C" w:rsidRPr="007F4CC8" w:rsidRDefault="00C04D6C" w:rsidP="00D819DE">
            <w:pPr>
              <w:jc w:val="both"/>
              <w:rPr>
                <w:color w:val="000000"/>
                <w:sz w:val="24"/>
                <w:rFonts w:ascii="Times New Roman" w:hAnsi="Times New Roman" w:cs="Times New Roman"/>
              </w:rPr>
            </w:pPr>
            <w:r>
              <w:rPr>
                <w:color w:val="000000"/>
                <w:sz w:val="24"/>
                <w:rFonts w:ascii="Times New Roman" w:hAnsi="Times New Roman"/>
              </w:rPr>
              <w:t xml:space="preserve">EU e1</w:t>
            </w:r>
          </w:p>
          <w:p w14:paraId="5276CC33" w14:textId="77777777" w:rsidR="00C04D6C" w:rsidRPr="007F4CC8" w:rsidRDefault="00C04D6C" w:rsidP="00D819DE">
            <w:pPr>
              <w:autoSpaceDE w:val="0"/>
              <w:autoSpaceDN w:val="0"/>
              <w:adjustRightInd w:val="0"/>
              <w:jc w:val="both"/>
              <w:rPr>
                <w:rFonts w:ascii="Times New Roman" w:hAnsi="Times New Roman" w:cs="Times New Roman"/>
                <w:sz w:val="24"/>
              </w:rPr>
            </w:pP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3284962C" w14:textId="77777777" w:rsidR="00C04D6C" w:rsidRPr="007F4CC8" w:rsidRDefault="00C04D6C" w:rsidP="00D819DE">
            <w:pPr>
              <w:autoSpaceDE w:val="0"/>
              <w:autoSpaceDN w:val="0"/>
              <w:adjustRightInd w:val="0"/>
              <w:spacing w:before="60" w:after="120"/>
              <w:jc w:val="both"/>
              <w:rPr>
                <w:b/>
                <w:sz w:val="24"/>
                <w:u w:val="single"/>
                <w:rFonts w:ascii="Times New Roman" w:hAnsi="Times New Roman" w:cs="Times New Roman"/>
              </w:rPr>
            </w:pPr>
            <w:r>
              <w:rPr>
                <w:b/>
                <w:sz w:val="24"/>
                <w:u w:val="single"/>
                <w:rFonts w:ascii="Times New Roman" w:hAnsi="Times New Roman"/>
              </w:rPr>
              <w:t xml:space="preserve">Luokkatason muut arvonoikaisut – Arvostuksen epävarmuus:</w:t>
            </w:r>
            <w:r>
              <w:rPr>
                <w:b/>
                <w:sz w:val="24"/>
                <w:u w:val="single"/>
                <w:rFonts w:ascii="Times New Roman" w:hAnsi="Times New Roman"/>
              </w:rPr>
              <w:t xml:space="preserve"> </w:t>
            </w:r>
            <w:r>
              <w:rPr>
                <w:b/>
                <w:sz w:val="24"/>
                <w:u w:val="single"/>
                <w:rFonts w:ascii="Times New Roman" w:hAnsi="Times New Roman"/>
              </w:rPr>
              <w:t xml:space="preserve">Tulevaisuuden luottoriskimarginaaleihin liittyvät muut arvonoikaisut</w:t>
            </w:r>
          </w:p>
          <w:p w14:paraId="2381E111" w14:textId="77777777" w:rsidR="00C04D6C" w:rsidRPr="007F4CC8" w:rsidRDefault="00C04D6C" w:rsidP="00D819DE">
            <w:pPr>
              <w:spacing w:beforeLines="60" w:before="144" w:afterLines="60" w:after="144"/>
              <w:rPr>
                <w:sz w:val="24"/>
                <w:rFonts w:ascii="Times New Roman" w:hAnsi="Times New Roman" w:cs="Times New Roman"/>
              </w:rPr>
            </w:pPr>
            <w:r>
              <w:rPr>
                <w:sz w:val="24"/>
                <w:rFonts w:ascii="Times New Roman" w:hAnsi="Times New Roman"/>
              </w:rPr>
              <w:t xml:space="preserve">Vakavaraisuusasetuksen 105 artiklan 10 kohta, komission delegoidun asetuksen (EU) 2016/101 12 artikla.</w:t>
            </w:r>
            <w:r>
              <w:rPr>
                <w:sz w:val="24"/>
                <w:rFonts w:ascii="Times New Roman" w:hAnsi="Times New Roman"/>
              </w:rPr>
              <w:t xml:space="preserve"> </w:t>
            </w:r>
          </w:p>
          <w:p w14:paraId="48A3FCCD" w14:textId="77777777" w:rsidR="00C04D6C" w:rsidRPr="007F4CC8" w:rsidRDefault="00C04D6C" w:rsidP="00D819DE">
            <w:pPr>
              <w:spacing w:beforeLines="60" w:before="144" w:afterLines="60" w:after="144"/>
              <w:jc w:val="both"/>
              <w:rPr>
                <w:b/>
                <w:sz w:val="24"/>
                <w:u w:val="single"/>
                <w:rFonts w:ascii="Times New Roman" w:hAnsi="Times New Roman" w:cs="Times New Roman"/>
              </w:rPr>
            </w:pPr>
            <w:r>
              <w:rPr>
                <w:sz w:val="24"/>
                <w:rFonts w:ascii="Times New Roman" w:hAnsi="Times New Roman"/>
              </w:rPr>
              <w:t xml:space="preserve">Tulevaisuuden luottoriskimarginaaleihin liittyvien muiden arvonoikaisujen kokonaismäärä ja sen jakautuminen markkinahintojen epävarmuuteen, positioiden sulkemiskustannuksiin tai malliriskeihin liittyvien muiden arvonoikaisujen kesken on määritettävä komission delegoidun asetuksen (EU) 2016/101 12 artiklan mukaisesti.</w:t>
            </w:r>
          </w:p>
        </w:tc>
      </w:tr>
      <w:tr w:rsidR="00C04D6C" w:rsidRPr="007F4CC8" w14:paraId="3D6EAD40" w14:textId="77777777" w:rsidTr="00D819DE">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10430AC8" w14:textId="77777777" w:rsidR="00C04D6C" w:rsidRPr="007F4CC8" w:rsidRDefault="00C04D6C" w:rsidP="00D819DE">
            <w:pPr>
              <w:autoSpaceDE w:val="0"/>
              <w:autoSpaceDN w:val="0"/>
              <w:adjustRightInd w:val="0"/>
              <w:jc w:val="both"/>
              <w:rPr>
                <w:rFonts w:ascii="Times New Roman" w:hAnsi="Times New Roman" w:cs="Times New Roman"/>
                <w:sz w:val="24"/>
              </w:rPr>
            </w:pPr>
          </w:p>
          <w:p w14:paraId="77014344" w14:textId="77777777" w:rsidR="00C04D6C" w:rsidRPr="007F4CC8" w:rsidRDefault="00C04D6C" w:rsidP="00D819DE">
            <w:pPr>
              <w:jc w:val="both"/>
              <w:rPr>
                <w:color w:val="000000"/>
                <w:sz w:val="24"/>
                <w:rFonts w:ascii="Times New Roman" w:hAnsi="Times New Roman" w:cs="Times New Roman"/>
              </w:rPr>
            </w:pPr>
            <w:r>
              <w:rPr>
                <w:color w:val="000000"/>
                <w:sz w:val="24"/>
                <w:rFonts w:ascii="Times New Roman" w:hAnsi="Times New Roman"/>
              </w:rPr>
              <w:t xml:space="preserve">EU e2</w:t>
            </w:r>
          </w:p>
          <w:p w14:paraId="067E72C8" w14:textId="77777777" w:rsidR="00C04D6C" w:rsidRPr="007F4CC8" w:rsidRDefault="00C04D6C" w:rsidP="00D819DE">
            <w:pPr>
              <w:autoSpaceDE w:val="0"/>
              <w:autoSpaceDN w:val="0"/>
              <w:adjustRightInd w:val="0"/>
              <w:jc w:val="both"/>
              <w:rPr>
                <w:rFonts w:ascii="Times New Roman" w:hAnsi="Times New Roman" w:cs="Times New Roman"/>
                <w:sz w:val="24"/>
              </w:rPr>
            </w:pP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3C060580" w14:textId="77777777" w:rsidR="00C04D6C" w:rsidRPr="007F4CC8" w:rsidRDefault="00C04D6C" w:rsidP="00D819DE">
            <w:pPr>
              <w:autoSpaceDE w:val="0"/>
              <w:autoSpaceDN w:val="0"/>
              <w:adjustRightInd w:val="0"/>
              <w:spacing w:before="60" w:after="120"/>
              <w:jc w:val="both"/>
              <w:rPr>
                <w:b/>
                <w:sz w:val="24"/>
                <w:u w:val="single"/>
                <w:rFonts w:ascii="Times New Roman" w:hAnsi="Times New Roman" w:cs="Times New Roman"/>
              </w:rPr>
            </w:pPr>
            <w:r>
              <w:rPr>
                <w:b/>
                <w:sz w:val="24"/>
                <w:u w:val="single"/>
                <w:rFonts w:ascii="Times New Roman" w:hAnsi="Times New Roman"/>
              </w:rPr>
              <w:t xml:space="preserve">Luokkatason muut arvonoikaisut – Sijoitus- ja rahoituskustannuksiin liittyvät muut arvonoikaisut</w:t>
            </w:r>
          </w:p>
          <w:p w14:paraId="4E0DC4BC" w14:textId="77777777" w:rsidR="00C04D6C" w:rsidRPr="007F4CC8" w:rsidRDefault="00C04D6C" w:rsidP="00D819DE">
            <w:pPr>
              <w:spacing w:beforeLines="60" w:before="144" w:afterLines="60" w:after="144"/>
              <w:rPr>
                <w:caps/>
                <w:sz w:val="24"/>
                <w:u w:val="single"/>
                <w:rFonts w:ascii="Times New Roman" w:hAnsi="Times New Roman" w:cs="Times New Roman"/>
              </w:rPr>
            </w:pPr>
            <w:r>
              <w:rPr>
                <w:sz w:val="24"/>
                <w:rFonts w:ascii="Times New Roman" w:hAnsi="Times New Roman"/>
              </w:rPr>
              <w:t xml:space="preserve">Vakavaraisuusasetuksen 105 artiklan 10 kohta, komission delegoidun asetuksen (EU) 2016/101 13 artikla.</w:t>
            </w:r>
          </w:p>
          <w:p w14:paraId="014133D9" w14:textId="77777777" w:rsidR="00C04D6C" w:rsidRPr="007F4CC8" w:rsidRDefault="00C04D6C" w:rsidP="00D819DE">
            <w:pPr>
              <w:spacing w:beforeLines="60" w:before="144" w:afterLines="60" w:after="144"/>
              <w:jc w:val="both"/>
              <w:rPr>
                <w:b/>
                <w:sz w:val="24"/>
                <w:u w:val="single"/>
                <w:rFonts w:ascii="Times New Roman" w:hAnsi="Times New Roman" w:cs="Times New Roman"/>
              </w:rPr>
            </w:pPr>
            <w:r>
              <w:rPr>
                <w:sz w:val="24"/>
                <w:rFonts w:ascii="Times New Roman" w:hAnsi="Times New Roman"/>
              </w:rPr>
              <w:t xml:space="preserve">Sijoitus- ja rahoituskustannuksiin liittyvien muiden arvonoikaisujen kokonaismäärä ja sen jakautuminen markkinahintojen epävarmuuteen, positioiden sulkemiskustannuksiin tai malliriskeihin liittyvien muiden arvonoikaisujen kesken on määritettävä komission delegoidun asetuksen (EU) 2016/101 13 artiklan mukaisesti.</w:t>
            </w:r>
          </w:p>
        </w:tc>
      </w:tr>
      <w:tr w:rsidR="00C04D6C" w:rsidRPr="007F4CC8" w14:paraId="7AF131EB" w14:textId="77777777" w:rsidTr="00D819DE">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59F94A8A" w14:textId="77777777" w:rsidR="00C04D6C" w:rsidRPr="007F4CC8" w:rsidRDefault="00C04D6C" w:rsidP="00D819DE">
            <w:pPr>
              <w:jc w:val="both"/>
              <w:rPr>
                <w:color w:val="000000"/>
                <w:sz w:val="24"/>
                <w:rFonts w:ascii="Times New Roman" w:hAnsi="Times New Roman" w:cs="Times New Roman"/>
              </w:rPr>
            </w:pPr>
            <w:r>
              <w:rPr>
                <w:color w:val="000000"/>
                <w:sz w:val="24"/>
                <w:rFonts w:ascii="Times New Roman" w:hAnsi="Times New Roman"/>
              </w:rPr>
              <w:t xml:space="preserve">f</w:t>
            </w:r>
          </w:p>
          <w:p w14:paraId="4BAD70B7" w14:textId="77777777" w:rsidR="00C04D6C" w:rsidRPr="007F4CC8" w:rsidRDefault="00C04D6C" w:rsidP="00D819DE">
            <w:pPr>
              <w:autoSpaceDE w:val="0"/>
              <w:autoSpaceDN w:val="0"/>
              <w:adjustRightInd w:val="0"/>
              <w:jc w:val="both"/>
              <w:rPr>
                <w:rFonts w:ascii="Times New Roman" w:hAnsi="Times New Roman" w:cs="Times New Roman"/>
                <w:sz w:val="24"/>
              </w:rPr>
            </w:pP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57C9FB7D" w14:textId="77777777" w:rsidR="00C04D6C" w:rsidRPr="007F4CC8" w:rsidRDefault="00C04D6C" w:rsidP="00D819DE">
            <w:pPr>
              <w:autoSpaceDE w:val="0"/>
              <w:autoSpaceDN w:val="0"/>
              <w:adjustRightInd w:val="0"/>
              <w:spacing w:before="60" w:after="120"/>
              <w:jc w:val="both"/>
              <w:rPr>
                <w:b/>
                <w:sz w:val="24"/>
                <w:u w:val="single"/>
                <w:rFonts w:ascii="Times New Roman" w:hAnsi="Times New Roman" w:cs="Times New Roman"/>
              </w:rPr>
            </w:pPr>
            <w:r>
              <w:rPr>
                <w:b/>
                <w:sz w:val="24"/>
                <w:u w:val="single"/>
                <w:rFonts w:ascii="Times New Roman" w:hAnsi="Times New Roman"/>
              </w:rPr>
              <w:t xml:space="preserve">Luokkatason kokonaismäärä hajautuksen jälkeen</w:t>
            </w:r>
          </w:p>
          <w:p w14:paraId="7AC1D089" w14:textId="77777777" w:rsidR="00C04D6C" w:rsidRPr="007F4CC8" w:rsidRDefault="00C04D6C" w:rsidP="00D819DE">
            <w:pPr>
              <w:autoSpaceDE w:val="0"/>
              <w:autoSpaceDN w:val="0"/>
              <w:adjustRightInd w:val="0"/>
              <w:spacing w:before="60" w:after="120"/>
              <w:jc w:val="both"/>
              <w:rPr>
                <w:sz w:val="24"/>
                <w:rFonts w:ascii="Times New Roman" w:hAnsi="Times New Roman" w:cs="Times New Roman"/>
              </w:rPr>
            </w:pPr>
            <w:r>
              <w:rPr>
                <w:sz w:val="24"/>
                <w:rFonts w:ascii="Times New Roman" w:hAnsi="Times New Roman"/>
              </w:rPr>
              <w:t xml:space="preserve">Sellaisten salkkujen osalta, joihin sovelletaan komission delegoidun asetuksen (EU) 2016/101 III luvun mukaista pääasiallista menetelmää, hajautuksen jälkeisen luokkatason kokonaismäärän on sisällettävä muiden arvonoikaisujen kokonaismäärät, jotka on laskettu komission delegoidun asetuksen (EU) 2016/101 4 artiklan 1 kohdan mukaiseen kynnysarvon laskentaan sisältyviin käypään arvoon arvostettuihin varoihin ja velkoihin sovellettavan pääasiallisen menetelmän mukaisesti.</w:t>
            </w:r>
            <w:r>
              <w:rPr>
                <w:sz w:val="24"/>
                <w:rFonts w:ascii="Times New Roman" w:hAnsi="Times New Roman"/>
              </w:rPr>
              <w:t xml:space="preserve"> </w:t>
            </w:r>
            <w:r>
              <w:rPr>
                <w:sz w:val="24"/>
                <w:rFonts w:ascii="Times New Roman" w:hAnsi="Times New Roman"/>
              </w:rPr>
              <w:t xml:space="preserve">Tähän kokonaismäärään sisältyvät komission delegoidun asetuksen (EU) 2016/101 9 artiklan 6 kohdan, 10 artiklan 7 kohdan ja 11 artiklan 7 kohdan mukaisesti määritellyt hajautusedut.</w:t>
            </w:r>
          </w:p>
          <w:p w14:paraId="786A07B6" w14:textId="77777777" w:rsidR="00C04D6C" w:rsidRPr="007F4CC8" w:rsidRDefault="00C04D6C" w:rsidP="00D819DE">
            <w:pPr>
              <w:autoSpaceDE w:val="0"/>
              <w:autoSpaceDN w:val="0"/>
              <w:adjustRightInd w:val="0"/>
              <w:spacing w:before="60" w:after="120"/>
              <w:jc w:val="both"/>
              <w:rPr>
                <w:sz w:val="24"/>
                <w:rFonts w:ascii="Times New Roman" w:hAnsi="Times New Roman" w:cs="Times New Roman"/>
              </w:rPr>
            </w:pPr>
            <w:r>
              <w:rPr>
                <w:sz w:val="24"/>
                <w:rFonts w:ascii="Times New Roman" w:hAnsi="Times New Roman"/>
              </w:rPr>
              <w:t xml:space="preserve">Tämän lomakkeen rivillä 12 sarakkeessa f ilmoitetun muiden arvonoikaisujen kokonaismäärän on sisällettävä delegoidun asetuksen (EU) 2016/101 7 artiklan 2 kohdan b alakohdan i–iii alakohdan mukaisesti lasketut määrät sellaisten salkkujen osalta, joihin mahdollisesti sovelletaan vaihtoehtoista menetelmää.</w:t>
            </w:r>
          </w:p>
          <w:p w14:paraId="16B6B958" w14:textId="77777777" w:rsidR="00C04D6C" w:rsidRPr="00CA31E6" w:rsidRDefault="00C04D6C" w:rsidP="00D819DE">
            <w:pPr>
              <w:autoSpaceDE w:val="0"/>
              <w:autoSpaceDN w:val="0"/>
              <w:adjustRightInd w:val="0"/>
              <w:spacing w:before="60" w:after="120"/>
              <w:jc w:val="both"/>
              <w:rPr>
                <w:i/>
                <w:sz w:val="24"/>
                <w:rFonts w:ascii="Times New Roman" w:hAnsi="Times New Roman" w:cs="Times New Roman"/>
              </w:rPr>
            </w:pPr>
            <w:r>
              <w:rPr>
                <w:sz w:val="24"/>
                <w:rFonts w:ascii="Times New Roman" w:hAnsi="Times New Roman"/>
              </w:rPr>
              <w:t xml:space="preserve">Niiden salkkujen osalta, joihin sovelletaan varovaista arvostusta koskevan delegoidun asetuksen (EU) 2016/101 II luvun mukaista yksinkertaistettua menetelmää, tämän lomakkeen rivillä 12 oleva muiden arvonoikaisujen kokonaismäärä on kyseisen luvun 5 artiklan mukaisesti laskettu määrä.</w:t>
            </w:r>
          </w:p>
        </w:tc>
      </w:tr>
      <w:tr w:rsidR="00C04D6C" w:rsidRPr="007F4CC8" w14:paraId="7A68CB36" w14:textId="77777777" w:rsidTr="00D819DE">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1214F31E" w14:textId="77777777" w:rsidR="00C04D6C" w:rsidRPr="007F4CC8" w:rsidRDefault="00C04D6C" w:rsidP="00D819DE">
            <w:pPr>
              <w:autoSpaceDE w:val="0"/>
              <w:autoSpaceDN w:val="0"/>
              <w:adjustRightInd w:val="0"/>
              <w:jc w:val="both"/>
              <w:rPr>
                <w:sz w:val="24"/>
                <w:rFonts w:ascii="Times New Roman" w:hAnsi="Times New Roman" w:cs="Times New Roman"/>
              </w:rPr>
            </w:pPr>
            <w:r>
              <w:rPr>
                <w:sz w:val="24"/>
                <w:rFonts w:ascii="Times New Roman" w:hAnsi="Times New Roman"/>
              </w:rPr>
              <w:t xml:space="preserve">g</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48BF8B5B" w14:textId="77777777" w:rsidR="00C04D6C" w:rsidRPr="007F4CC8" w:rsidRDefault="00C04D6C" w:rsidP="00D819DE">
            <w:pPr>
              <w:autoSpaceDE w:val="0"/>
              <w:autoSpaceDN w:val="0"/>
              <w:adjustRightInd w:val="0"/>
              <w:spacing w:before="60" w:after="120"/>
              <w:jc w:val="both"/>
              <w:rPr>
                <w:b/>
                <w:sz w:val="24"/>
                <w:u w:val="single"/>
                <w:rFonts w:ascii="Times New Roman" w:hAnsi="Times New Roman" w:cs="Times New Roman"/>
              </w:rPr>
            </w:pPr>
            <w:r>
              <w:rPr>
                <w:b/>
                <w:sz w:val="24"/>
                <w:u w:val="single"/>
                <w:rFonts w:ascii="Times New Roman" w:hAnsi="Times New Roman"/>
              </w:rPr>
              <w:t xml:space="preserve">Josta:</w:t>
            </w:r>
            <w:r>
              <w:rPr>
                <w:b/>
                <w:sz w:val="24"/>
                <w:u w:val="single"/>
                <w:rFonts w:ascii="Times New Roman" w:hAnsi="Times New Roman"/>
              </w:rPr>
              <w:t xml:space="preserve"> </w:t>
            </w:r>
            <w:r>
              <w:rPr>
                <w:b/>
                <w:sz w:val="24"/>
                <w:u w:val="single"/>
                <w:rFonts w:ascii="Times New Roman" w:hAnsi="Times New Roman"/>
              </w:rPr>
              <w:t xml:space="preserve">pääasiallisen menetelmän mukainen kokonaismäärä kaupankäyntivarastossa</w:t>
            </w:r>
          </w:p>
          <w:p w14:paraId="77520A81" w14:textId="77777777" w:rsidR="00C04D6C" w:rsidRPr="007F4CC8" w:rsidRDefault="00C04D6C" w:rsidP="00D819DE">
            <w:pPr>
              <w:autoSpaceDE w:val="0"/>
              <w:autoSpaceDN w:val="0"/>
              <w:adjustRightInd w:val="0"/>
              <w:spacing w:before="60" w:after="120"/>
              <w:jc w:val="both"/>
              <w:rPr>
                <w:sz w:val="24"/>
                <w:rFonts w:ascii="Times New Roman" w:hAnsi="Times New Roman" w:cs="Times New Roman"/>
              </w:rPr>
            </w:pPr>
            <w:r>
              <w:rPr>
                <w:sz w:val="24"/>
                <w:rFonts w:ascii="Times New Roman" w:hAnsi="Times New Roman"/>
              </w:rPr>
              <w:t xml:space="preserve">Tässä ilmoitetaan muiden arvonoikaisujen kussakin asianomaisessa luokassa sellaisten salkkujen osalta, joihin sovelletaan komission delegoidun asetuksen (EU) 2016/101 III luvussa säädettyä pääasiallista menetelmää, sellaisten muiden arvonoikaisujen osuus, jotka ovat peräisin ’kaupankäyntivarastossa’ olevista positioista:</w:t>
            </w:r>
            <w:r>
              <w:rPr>
                <w:sz w:val="24"/>
                <w:rFonts w:ascii="Times New Roman" w:hAnsi="Times New Roman"/>
              </w:rPr>
              <w:t xml:space="preserve"> </w:t>
            </w:r>
            <w:r>
              <w:rPr>
                <w:sz w:val="24"/>
                <w:rFonts w:ascii="Times New Roman" w:hAnsi="Times New Roman"/>
              </w:rPr>
              <w:t xml:space="preserve">kaikki positiot, jotka laitos on ottanut rahoitusvälineissä ja hyödykkeissä käydäkseen kauppaa tai suojatakseen positioita, jotka on otettu kaupankäyntitarkoituksessa vakavaraisuusasetuksen 104 artiklan mukaisesti.</w:t>
            </w:r>
            <w:r>
              <w:rPr>
                <w:sz w:val="24"/>
                <w:rFonts w:ascii="Times New Roman" w:hAnsi="Times New Roman"/>
              </w:rPr>
              <w:t xml:space="preserve"> </w:t>
            </w:r>
          </w:p>
          <w:p w14:paraId="2169FF03" w14:textId="77777777" w:rsidR="00C04D6C" w:rsidRPr="007F4CC8" w:rsidRDefault="00C04D6C" w:rsidP="00D819DE">
            <w:pPr>
              <w:autoSpaceDE w:val="0"/>
              <w:autoSpaceDN w:val="0"/>
              <w:adjustRightInd w:val="0"/>
              <w:spacing w:before="60" w:after="120"/>
              <w:jc w:val="both"/>
              <w:rPr>
                <w:b/>
                <w:sz w:val="24"/>
                <w:u w:val="single"/>
                <w:rFonts w:ascii="Times New Roman" w:hAnsi="Times New Roman" w:cs="Times New Roman"/>
              </w:rPr>
            </w:pPr>
            <w:r>
              <w:rPr>
                <w:sz w:val="24"/>
                <w:rFonts w:ascii="Times New Roman" w:hAnsi="Times New Roman"/>
              </w:rPr>
              <w:t xml:space="preserve">Julkistettavaan määrään on sisällyttävä komission delegoidun asetuksen (EU) 2016/101 9 artiklan 6 kohdan, 10 artiklan 7 kohdan ja 11 artiklan 7 kohdan mukaisesti määritellyt hajautusedut.</w:t>
            </w:r>
          </w:p>
        </w:tc>
      </w:tr>
      <w:tr w:rsidR="00C04D6C" w:rsidRPr="007F4CC8" w14:paraId="2EBCD7A6" w14:textId="77777777" w:rsidTr="00D819DE">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2148CE81" w14:textId="77777777" w:rsidR="00C04D6C" w:rsidRPr="007F4CC8" w:rsidRDefault="00C04D6C" w:rsidP="00D819DE">
            <w:pPr>
              <w:autoSpaceDE w:val="0"/>
              <w:autoSpaceDN w:val="0"/>
              <w:adjustRightInd w:val="0"/>
              <w:jc w:val="both"/>
              <w:rPr>
                <w:sz w:val="24"/>
                <w:rFonts w:ascii="Times New Roman" w:hAnsi="Times New Roman" w:cs="Times New Roman"/>
              </w:rPr>
            </w:pPr>
            <w:r>
              <w:rPr>
                <w:sz w:val="24"/>
                <w:rFonts w:ascii="Times New Roman" w:hAnsi="Times New Roman"/>
              </w:rPr>
              <w:t xml:space="preserve">h</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0126F652" w14:textId="77777777" w:rsidR="00C04D6C" w:rsidRPr="007F4CC8" w:rsidRDefault="00C04D6C" w:rsidP="00D819DE">
            <w:pPr>
              <w:autoSpaceDE w:val="0"/>
              <w:autoSpaceDN w:val="0"/>
              <w:adjustRightInd w:val="0"/>
              <w:spacing w:before="60" w:after="120"/>
              <w:jc w:val="both"/>
              <w:rPr>
                <w:b/>
                <w:sz w:val="24"/>
                <w:u w:val="single"/>
                <w:rFonts w:ascii="Times New Roman" w:hAnsi="Times New Roman" w:cs="Times New Roman"/>
              </w:rPr>
            </w:pPr>
            <w:r>
              <w:rPr>
                <w:b/>
                <w:sz w:val="24"/>
                <w:u w:val="single"/>
                <w:rFonts w:ascii="Times New Roman" w:hAnsi="Times New Roman"/>
              </w:rPr>
              <w:t xml:space="preserve">Josta:</w:t>
            </w:r>
            <w:r>
              <w:rPr>
                <w:b/>
                <w:sz w:val="24"/>
                <w:u w:val="single"/>
                <w:rFonts w:ascii="Times New Roman" w:hAnsi="Times New Roman"/>
              </w:rPr>
              <w:t xml:space="preserve"> </w:t>
            </w:r>
            <w:r>
              <w:rPr>
                <w:b/>
                <w:sz w:val="24"/>
                <w:u w:val="single"/>
                <w:rFonts w:ascii="Times New Roman" w:hAnsi="Times New Roman"/>
              </w:rPr>
              <w:t xml:space="preserve">pääasiallisen menetelmän mukainen kokonaismäärä kaupankäyntivaraston ulkopuolella</w:t>
            </w:r>
          </w:p>
          <w:p w14:paraId="4EC457E4" w14:textId="77777777" w:rsidR="00C04D6C" w:rsidRPr="007F4CC8" w:rsidRDefault="00C04D6C" w:rsidP="00D819DE">
            <w:pPr>
              <w:autoSpaceDE w:val="0"/>
              <w:autoSpaceDN w:val="0"/>
              <w:adjustRightInd w:val="0"/>
              <w:spacing w:before="60" w:after="120"/>
              <w:jc w:val="both"/>
              <w:rPr>
                <w:color w:val="000000"/>
                <w:sz w:val="24"/>
                <w:rFonts w:ascii="Times New Roman" w:hAnsi="Times New Roman" w:cs="Times New Roman"/>
              </w:rPr>
            </w:pPr>
            <w:r>
              <w:rPr>
                <w:sz w:val="24"/>
                <w:rFonts w:ascii="Times New Roman" w:hAnsi="Times New Roman"/>
              </w:rPr>
              <w:t xml:space="preserve">Tässä ilmoitetaan muiden arvonoikaisujen kussakin asianomaisessa luokassa sellaisten salkkujen osalta, joihin sovelletaan komission delegoidun asetuksen (EU) 2016/101 III luvussa säädettyä pääasiallista menetelmää, sellaisten muiden arvonoikaisujen osuus, jotka ovat peräisin </w:t>
            </w:r>
            <w:r>
              <w:rPr>
                <w:sz w:val="24"/>
                <w:color w:val="000000"/>
                <w:rFonts w:ascii="Times New Roman" w:hAnsi="Times New Roman"/>
              </w:rPr>
              <w:t xml:space="preserve">kaupankäyntivaraston ulkopuolisista</w:t>
            </w:r>
            <w:r>
              <w:rPr>
                <w:sz w:val="24"/>
                <w:rFonts w:ascii="Times New Roman" w:hAnsi="Times New Roman"/>
              </w:rPr>
              <w:t xml:space="preserve"> </w:t>
            </w:r>
            <w:r>
              <w:rPr>
                <w:sz w:val="24"/>
                <w:color w:val="000000"/>
                <w:rFonts w:ascii="Times New Roman" w:hAnsi="Times New Roman"/>
              </w:rPr>
              <w:t xml:space="preserve">käypään arvoon arvostetuista positioista</w:t>
            </w:r>
            <w:r>
              <w:rPr>
                <w:sz w:val="24"/>
                <w:rFonts w:ascii="Times New Roman" w:hAnsi="Times New Roman"/>
              </w:rPr>
              <w:t xml:space="preserve"> rahoitusvälineissä ja hyödykkeissä.</w:t>
            </w:r>
          </w:p>
          <w:p w14:paraId="5D6CB732" w14:textId="77777777" w:rsidR="00C04D6C" w:rsidRPr="007F4CC8" w:rsidRDefault="00C04D6C" w:rsidP="00D819DE">
            <w:pPr>
              <w:autoSpaceDE w:val="0"/>
              <w:autoSpaceDN w:val="0"/>
              <w:adjustRightInd w:val="0"/>
              <w:spacing w:before="60" w:after="120"/>
              <w:jc w:val="both"/>
              <w:rPr>
                <w:sz w:val="24"/>
                <w:rFonts w:ascii="Times New Roman" w:hAnsi="Times New Roman" w:cs="Times New Roman"/>
              </w:rPr>
            </w:pPr>
            <w:r>
              <w:rPr>
                <w:sz w:val="24"/>
                <w:rFonts w:ascii="Times New Roman" w:hAnsi="Times New Roman"/>
              </w:rPr>
              <w:t xml:space="preserve">Julkistettavaan määrään on sisällyttävä komission delegoidun asetuksen (EU) 2016/101 9 artiklan 6 kohdan, 10 artiklan 7 kohdan ja 11 artiklan 7 kohdan mukaisesti määritetyt hajautusedut.</w:t>
            </w:r>
          </w:p>
        </w:tc>
      </w:tr>
    </w:tbl>
    <w:p w14:paraId="1DA9D705" w14:textId="77777777" w:rsidR="004E3F4D" w:rsidRDefault="004E3F4D" w:rsidP="00C04D6C"/>
    <w:sectPr w:rsidR="004E3F4D">
      <w:headerReference w:type="even" r:id="rId7"/>
      <w:headerReference w:type="default" r:id="rId8"/>
      <w:footerReference w:type="default" r:id="rId9"/>
      <w:headerReference w:type="first" r:id="rId1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D6ACB9" w14:textId="77777777" w:rsidR="00ED3B2B" w:rsidRDefault="00ED3B2B" w:rsidP="00C04D6C">
      <w:r>
        <w:separator/>
      </w:r>
    </w:p>
  </w:endnote>
  <w:endnote w:type="continuationSeparator" w:id="0">
    <w:p w14:paraId="595845DA" w14:textId="77777777" w:rsidR="00ED3B2B" w:rsidRDefault="00ED3B2B" w:rsidP="00C04D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roman"/>
    <w:pitch w:val="fixed"/>
    <w:sig w:usb0="00000001" w:usb1="08070000" w:usb2="00000010" w:usb3="00000000" w:csb0="00020000" w:csb1="00000000"/>
  </w:font>
  <w:font w:name="Verdana">
    <w:panose1 w:val="020B0604030504040204"/>
    <w:charset w:val="00"/>
    <w:family w:val="swiss"/>
    <w:pitch w:val="variable"/>
    <w:sig w:usb0="A00006FF" w:usb1="4000205B" w:usb2="00000010" w:usb3="00000000" w:csb0="0000019F" w:csb1="00000000"/>
  </w:font>
  <w:font w:name="PMingLiU">
    <w:altName w:val="新細明體"/>
    <w:panose1 w:val="02010601000101010101"/>
    <w:charset w:val="88"/>
    <w:family w:val="auto"/>
    <w:pitch w:val="variable"/>
    <w:sig w:usb0="00000001" w:usb1="08080000" w:usb2="00000010" w:usb3="00000000" w:csb0="001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81644917"/>
      <w:docPartObj>
        <w:docPartGallery w:val="Page Numbers (Bottom of Page)"/>
        <w:docPartUnique/>
      </w:docPartObj>
    </w:sdtPr>
    <w:sdtEndPr>
      <w:rPr>
        <w:noProof/>
      </w:rPr>
    </w:sdtEndPr>
    <w:sdtContent>
      <w:p w14:paraId="0A357631" w14:textId="77777777" w:rsidR="002C7922" w:rsidRDefault="002C7922">
        <w:pPr>
          <w:pStyle w:val="Footer"/>
          <w:jc w:val="right"/>
        </w:pPr>
        <w:r>
          <w:fldChar w:fldCharType="begin"/>
        </w:r>
        <w:r>
          <w:instrText xml:space="preserve"> PAGE   \* MERGEFORMAT </w:instrText>
        </w:r>
        <w:r>
          <w:fldChar w:fldCharType="separate"/>
        </w:r>
        <w:r>
          <w:t>4</w:t>
        </w:r>
        <w:r>
          <w:fldChar w:fldCharType="end"/>
        </w:r>
      </w:p>
    </w:sdtContent>
  </w:sdt>
  <w:p w14:paraId="4003F916" w14:textId="77777777" w:rsidR="002C7922" w:rsidRDefault="002C792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048F32" w14:textId="77777777" w:rsidR="00ED3B2B" w:rsidRDefault="00ED3B2B" w:rsidP="00C04D6C">
      <w:r>
        <w:separator/>
      </w:r>
    </w:p>
  </w:footnote>
  <w:footnote w:type="continuationSeparator" w:id="0">
    <w:p w14:paraId="01923D22" w14:textId="77777777" w:rsidR="00ED3B2B" w:rsidRDefault="00ED3B2B" w:rsidP="00C04D6C">
      <w:r>
        <w:continuationSeparator/>
      </w:r>
    </w:p>
  </w:footnote>
  <w:footnote w:id="1">
    <w:p w14:paraId="75EB5CC5" w14:textId="63915B84" w:rsidR="00C04D6C" w:rsidRPr="00346640" w:rsidRDefault="00C04D6C" w:rsidP="00C04D6C">
      <w:pPr>
        <w:pStyle w:val="FootnoteText"/>
        <w:rPr>
          <w:rFonts w:eastAsia="Calibri" w:cstheme="minorHAnsi"/>
        </w:rPr>
      </w:pPr>
      <w:r>
        <w:rPr>
          <w:rStyle w:val="FootnoteReference"/>
          <w:rFonts w:cstheme="minorHAnsi"/>
          <w:lang w:val="en-GB"/>
        </w:rPr>
        <w:footnoteRef/>
      </w:r>
      <w:r>
        <w:tab/>
      </w:r>
      <w:r>
        <w:t xml:space="preserve">Euroopan parlamentin ja neuvoston asetus (EU) N:o 575/2013, annettu 26 päivänä kesäkuuta 2013, luottolaitosten ja sijoituspalveluyritysten vakavaraisuusvaatimuksista ja asetuksen (EU) N:o 648/2012 muuttamisesta, sellaisena kuin se on muutettuna asetuksella (EU) 2024/1623</w:t>
      </w:r>
      <w:r>
        <w:rPr>
          <w:color w:val="444444"/>
        </w:rPr>
        <w:t xml:space="preserve"> (</w:t>
      </w:r>
      <w:hyperlink r:id="rId1" w:history="1">
        <w:r>
          <w:rPr>
            <w:rStyle w:val="Hyperlink"/>
            <w:color w:val="800080"/>
          </w:rPr>
          <w:t xml:space="preserve">EUVL L 176, 27.6.2013, s. 1</w:t>
        </w:r>
      </w:hyperlink>
      <w:r>
        <w:rPr>
          <w:color w:val="800080"/>
          <w:u w:val="single"/>
        </w:rPr>
        <w:t xml:space="preserve">;</w:t>
      </w:r>
      <w:r>
        <w:rPr>
          <w:color w:val="800080"/>
          <w:u w:val="single"/>
        </w:rPr>
        <w:t xml:space="preserve"> </w:t>
      </w:r>
      <w:hyperlink r:id="rId2" w:history="1">
        <w:r>
          <w:rPr>
            <w:rStyle w:val="Hyperlink"/>
          </w:rPr>
          <w:t xml:space="preserve">asetus - EU - 2024/1623 - FI - EUR-Lex (europa.eu)</w:t>
        </w:r>
      </w:hyperlink>
      <w:r>
        <w:rPr>
          <w:color w:val="444444"/>
        </w:rPr>
        <w:t xml:space="preserve">).</w:t>
      </w:r>
    </w:p>
  </w:footnote>
  <w:footnote w:id="2">
    <w:p w14:paraId="6152D585" w14:textId="77777777" w:rsidR="00C04D6C" w:rsidRPr="00BB5993" w:rsidRDefault="00C04D6C" w:rsidP="00C04D6C">
      <w:pPr>
        <w:pStyle w:val="FootnoteText"/>
        <w:rPr>
          <w:rFonts w:cstheme="minorHAnsi"/>
        </w:rPr>
      </w:pPr>
      <w:r>
        <w:rPr>
          <w:rStyle w:val="FootnoteReference"/>
          <w:rFonts w:cstheme="minorHAnsi"/>
        </w:rPr>
        <w:footnoteRef/>
      </w:r>
      <w:r>
        <w:tab/>
      </w:r>
      <w:r>
        <w:t xml:space="preserve">Euroopan parlamentin ja neuvoston direktiivi 2013/34/EU, annettu 26 päivänä kesäkuuta 2013, tietyntyyppisten yritysten vuositilinpäätöksistä, konsernitilinpäätöksistä ja niihin liittyvistä kertomuksista, Euroopan parlamentin ja neuvoston direktiivin 2006/43/EY muuttamisesta ja neuvoston direktiivien 78/660/ETY ja 83/349/ETY kumoamisesta (EUVL L 182, 29.6.2013, s. 19).</w:t>
      </w:r>
    </w:p>
  </w:footnote>
  <w:footnote w:id="3">
    <w:p w14:paraId="41D63525" w14:textId="77777777" w:rsidR="00C04D6C" w:rsidRPr="00222AAB" w:rsidRDefault="00C04D6C" w:rsidP="00C04D6C">
      <w:pPr>
        <w:pStyle w:val="FootnoteText"/>
        <w:rPr>
          <w:rFonts w:cstheme="minorHAnsi"/>
        </w:rPr>
      </w:pPr>
      <w:r>
        <w:rPr>
          <w:rStyle w:val="FootnoteReference"/>
          <w:rFonts w:cstheme="minorHAnsi"/>
        </w:rPr>
        <w:footnoteRef/>
      </w:r>
      <w:r>
        <w:tab/>
      </w:r>
      <w:r>
        <w:t xml:space="preserve">Euroopan parlamentin ja neuvoston asetus (EY) N:o 1606/2002, annettu 19 päivänä heinäkuuta 2002, kansainvälisten tilinpäätösstandardien soveltamisesta (EYVL L 243, 11.9.2002, s. 1).</w:t>
      </w:r>
    </w:p>
  </w:footnote>
  <w:footnote w:id="4">
    <w:p w14:paraId="51C1A083" w14:textId="77777777" w:rsidR="00C04D6C" w:rsidRPr="00222AAB" w:rsidRDefault="00C04D6C" w:rsidP="00C04D6C">
      <w:pPr>
        <w:pStyle w:val="FootnoteText"/>
        <w:rPr>
          <w:rFonts w:cstheme="minorHAnsi"/>
        </w:rPr>
      </w:pPr>
      <w:r>
        <w:rPr>
          <w:rStyle w:val="FootnoteReference"/>
          <w:rFonts w:cstheme="minorHAnsi"/>
        </w:rPr>
        <w:footnoteRef/>
      </w:r>
      <w:r>
        <w:tab/>
      </w:r>
      <w:r>
        <w:t xml:space="preserve">Neuvoston direktiivi 86/635/ETY, annettu 8 päivänä joulukuuta 1986, pankkien ja muiden rahoituslaitosten tilinpäätöksestä ja konsolidoidusta tilinpäätöksestä (EYVL L 372, 31.12.1986, s. 1).</w:t>
      </w:r>
    </w:p>
  </w:footnote>
  <w:footnote w:id="5">
    <w:p w14:paraId="0C3793CA" w14:textId="77777777" w:rsidR="00C04D6C" w:rsidRPr="00222AAB" w:rsidRDefault="00C04D6C" w:rsidP="00C04D6C">
      <w:pPr>
        <w:pStyle w:val="FootnoteText"/>
        <w:rPr>
          <w:rFonts w:cstheme="minorHAnsi"/>
        </w:rPr>
      </w:pPr>
      <w:r>
        <w:rPr>
          <w:rStyle w:val="FootnoteReference"/>
          <w:rFonts w:cstheme="minorHAnsi"/>
        </w:rPr>
        <w:footnoteRef/>
      </w:r>
      <w:r>
        <w:tab/>
      </w:r>
      <w:r>
        <w:t xml:space="preserve">Komission delegoitu asetus (EU) N:o 183/2014, annettu 20 päivänä joulukuuta 2013, luottolaitosten ja sijoituspalveluyritysten vakavaraisuusvaatimuksista annetun Euroopan parlamentin ja neuvoston asetuksen (EU) N:o 575/2013 täydentämisestä teknisillä sääntelystandardeilla erityisten ja yleisten luottoriskioikaisujen laskennan täsmentämiseksi (EUVL L 57, 27.2.2014, s. 3).</w:t>
      </w:r>
    </w:p>
  </w:footnote>
  <w:footnote w:id="6">
    <w:p w14:paraId="4B2D69D3" w14:textId="77777777" w:rsidR="00C04D6C" w:rsidRPr="00222AAB" w:rsidRDefault="00C04D6C" w:rsidP="00C04D6C">
      <w:pPr>
        <w:pStyle w:val="FootnoteText"/>
        <w:rPr>
          <w:rFonts w:cstheme="minorHAnsi"/>
        </w:rPr>
      </w:pPr>
      <w:r>
        <w:rPr>
          <w:rStyle w:val="FootnoteReference"/>
          <w:rFonts w:cstheme="minorHAnsi"/>
        </w:rPr>
        <w:footnoteRef/>
      </w:r>
      <w:r>
        <w:tab/>
      </w:r>
      <w:r>
        <w:t xml:space="preserve">Komission delegoitu asetus (EU) 2016/101, annettu 26 päivänä lokakuuta 2015, Euroopan parlamentin ja neuvoston asetuksen (EU) N:o 575/2013 täydentämisestä 105 artiklan 14 kohdan mukaista varovaista arvostusta koskevilla teknisillä sääntelystandardeilla (EUVL L 21, 28.1.2016, s. 54).</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050878" w14:textId="4C534AD7" w:rsidR="009F69A4" w:rsidRDefault="009F69A4">
    <w:pPr>
      <w:pStyle w:val="Header"/>
    </w:pPr>
    <w:r>
      <mc:AlternateContent>
        <mc:Choice Requires="wps">
          <w:drawing>
            <wp:anchor distT="0" distB="0" distL="0" distR="0" simplePos="0" relativeHeight="251659264" behindDoc="0" locked="0" layoutInCell="1" allowOverlap="1" wp14:anchorId="326B05EE" wp14:editId="25E38092">
              <wp:simplePos x="635" y="635"/>
              <wp:positionH relativeFrom="page">
                <wp:align>left</wp:align>
              </wp:positionH>
              <wp:positionV relativeFrom="page">
                <wp:align>top</wp:align>
              </wp:positionV>
              <wp:extent cx="1273175" cy="376555"/>
              <wp:effectExtent l="0" t="0" r="3175" b="4445"/>
              <wp:wrapNone/>
              <wp:docPr id="1983981750" name="Text Box 2"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273175" cy="376555"/>
                      </a:xfrm>
                      <a:prstGeom prst="rect">
                        <a:avLst/>
                      </a:prstGeom>
                      <a:noFill/>
                      <a:ln>
                        <a:noFill/>
                      </a:ln>
                    </wps:spPr>
                    <wps:txbx>
                      <w:txbxContent>
                        <w:p w14:paraId="60DA3FFD" w14:textId="2FD5BDD4" w:rsidR="009F69A4" w:rsidRPr="009F69A4" w:rsidRDefault="009F69A4" w:rsidP="009F69A4">
                          <w:pPr>
                            <w:rPr>
                              <w:noProof/>
                              <w:color w:val="000000"/>
                              <w:sz w:val="24"/>
                              <w:rFonts w:ascii="Calibri" w:eastAsia="Calibri" w:hAnsi="Calibri" w:cs="Calibri"/>
                            </w:rPr>
                          </w:pPr>
                          <w:r>
                            <w:rPr>
                              <w:color w:val="000000"/>
                              <w:sz w:val="24"/>
                              <w:rFonts w:ascii="Calibri" w:hAnsi="Calibri"/>
                            </w:rPr>
                            <w:t xml:space="preserve">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326B05EE" id="_x0000_t202" coordsize="21600,21600" o:spt="202" path="m,l,21600r21600,l21600,xe">
              <v:stroke joinstyle="miter"/>
              <v:path gradientshapeok="t" o:connecttype="rect"/>
            </v:shapetype>
            <v:shape id="Text Box 2" o:spid="_x0000_s1026" type="#_x0000_t202" alt="Title:  - Description: EBA Regular Use" style="position:absolute;margin-left:0;margin-top:0;width:100.25pt;height:29.6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" filled="f" stroked="f">
              <v:fill o:detectmouseclick="t"/>
              <v:textbox style="mso-fit-shape-to-text:t" inset="20pt,15pt,0,0">
                <w:txbxContent>
                  <w:p w14:paraId="60DA3FFD" w14:textId="2FD5BDD4" w:rsidR="009F69A4" w:rsidRPr="009F69A4" w:rsidRDefault="009F69A4" w:rsidP="009F69A4">
                    <w:pPr>
                      <w:rPr>
                        <w:noProof/>
                        <w:color w:val="000000"/>
                        <w:sz w:val="24"/>
                        <w:rFonts w:ascii="Calibri" w:eastAsia="Calibri" w:hAnsi="Calibri" w:cs="Calibri"/>
                      </w:rPr>
                    </w:pPr>
                    <w:r>
                      <w:rPr>
                        <w:color w:val="000000"/>
                        <w:sz w:val="24"/>
                        <w:rFonts w:ascii="Calibri" w:hAnsi="Calibri"/>
                      </w:rPr>
                      <w:t xml:space="preserve">EBA Regular Use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B0C0B0" w14:textId="509F1CE8" w:rsidR="009F69A4" w:rsidRDefault="009F69A4">
    <w:pPr>
      <w:pStyle w:val="Header"/>
    </w:pPr>
    <w:r>
      <mc:AlternateContent>
        <mc:Choice Requires="wps">
          <w:drawing>
            <wp:anchor distT="0" distB="0" distL="0" distR="0" simplePos="0" relativeHeight="251660288" behindDoc="0" locked="0" layoutInCell="1" allowOverlap="1" wp14:anchorId="0324C2DB" wp14:editId="2FC146FF">
              <wp:simplePos x="914400" y="447675"/>
              <wp:positionH relativeFrom="page">
                <wp:align>left</wp:align>
              </wp:positionH>
              <wp:positionV relativeFrom="page">
                <wp:align>top</wp:align>
              </wp:positionV>
              <wp:extent cx="1273175" cy="376555"/>
              <wp:effectExtent l="0" t="0" r="3175" b="4445"/>
              <wp:wrapNone/>
              <wp:docPr id="1512159657" name="Text Box 3"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273175" cy="376555"/>
                      </a:xfrm>
                      <a:prstGeom prst="rect">
                        <a:avLst/>
                      </a:prstGeom>
                      <a:noFill/>
                      <a:ln>
                        <a:noFill/>
                      </a:ln>
                    </wps:spPr>
                    <wps:txbx>
                      <w:txbxContent>
                        <w:p w14:paraId="6F70198A" w14:textId="3A90A883" w:rsidR="009F69A4" w:rsidRPr="009F69A4" w:rsidRDefault="009F69A4" w:rsidP="009F69A4">
                          <w:pPr>
                            <w:rPr>
                              <w:noProof/>
                              <w:color w:val="000000"/>
                              <w:sz w:val="24"/>
                              <w:rFonts w:ascii="Calibri" w:eastAsia="Calibri" w:hAnsi="Calibri" w:cs="Calibri"/>
                            </w:rPr>
                          </w:pPr>
                          <w:r>
                            <w:rPr>
                              <w:color w:val="000000"/>
                              <w:sz w:val="24"/>
                              <w:rFonts w:ascii="Calibri" w:hAnsi="Calibri"/>
                            </w:rPr>
                            <w:t xml:space="preserve">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0324C2DB" id="_x0000_t202" coordsize="21600,21600" o:spt="202" path="m,l,21600r21600,l21600,xe">
              <v:stroke joinstyle="miter"/>
              <v:path gradientshapeok="t" o:connecttype="rect"/>
            </v:shapetype>
            <v:shape id="Text Box 3" o:spid="_x0000_s1027" type="#_x0000_t202" alt="Title:  - Description: EBA Regular Use" style="position:absolute;margin-left:0;margin-top:0;width:100.25pt;height:29.6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" filled="f" stroked="f">
              <v:fill o:detectmouseclick="t"/>
              <v:textbox style="mso-fit-shape-to-text:t" inset="20pt,15pt,0,0">
                <w:txbxContent>
                  <w:p w14:paraId="6F70198A" w14:textId="3A90A883" w:rsidR="009F69A4" w:rsidRPr="009F69A4" w:rsidRDefault="009F69A4" w:rsidP="009F69A4">
                    <w:pPr>
                      <w:rPr>
                        <w:noProof/>
                        <w:color w:val="000000"/>
                        <w:sz w:val="24"/>
                        <w:rFonts w:ascii="Calibri" w:eastAsia="Calibri" w:hAnsi="Calibri" w:cs="Calibri"/>
                      </w:rPr>
                    </w:pPr>
                    <w:r>
                      <w:rPr>
                        <w:color w:val="000000"/>
                        <w:sz w:val="24"/>
                        <w:rFonts w:ascii="Calibri" w:hAnsi="Calibri"/>
                      </w:rPr>
                      <w:t xml:space="preserve">EBA Regular Use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3CADF6" w14:textId="29E06D7A" w:rsidR="009F69A4" w:rsidRDefault="009F69A4">
    <w:pPr>
      <w:pStyle w:val="Header"/>
    </w:pPr>
    <w:r>
      <mc:AlternateContent>
        <mc:Choice Requires="wps">
          <w:drawing>
            <wp:anchor distT="0" distB="0" distL="0" distR="0" simplePos="0" relativeHeight="251658240" behindDoc="0" locked="0" layoutInCell="1" allowOverlap="1" wp14:anchorId="21D4B697" wp14:editId="42A7C45A">
              <wp:simplePos x="635" y="635"/>
              <wp:positionH relativeFrom="page">
                <wp:align>left</wp:align>
              </wp:positionH>
              <wp:positionV relativeFrom="page">
                <wp:align>top</wp:align>
              </wp:positionV>
              <wp:extent cx="1273175" cy="376555"/>
              <wp:effectExtent l="0" t="0" r="3175" b="4445"/>
              <wp:wrapNone/>
              <wp:docPr id="1044836452" name="Text Box 1"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273175" cy="376555"/>
                      </a:xfrm>
                      <a:prstGeom prst="rect">
                        <a:avLst/>
                      </a:prstGeom>
                      <a:noFill/>
                      <a:ln>
                        <a:noFill/>
                      </a:ln>
                    </wps:spPr>
                    <wps:txbx>
                      <w:txbxContent>
                        <w:p w14:paraId="1728CF09" w14:textId="139B48AA" w:rsidR="009F69A4" w:rsidRPr="009F69A4" w:rsidRDefault="009F69A4" w:rsidP="009F69A4">
                          <w:pPr>
                            <w:rPr>
                              <w:noProof/>
                              <w:color w:val="000000"/>
                              <w:sz w:val="24"/>
                              <w:rFonts w:ascii="Calibri" w:eastAsia="Calibri" w:hAnsi="Calibri" w:cs="Calibri"/>
                            </w:rPr>
                          </w:pPr>
                          <w:r>
                            <w:rPr>
                              <w:color w:val="000000"/>
                              <w:sz w:val="24"/>
                              <w:rFonts w:ascii="Calibri" w:hAnsi="Calibri"/>
                            </w:rPr>
                            <w:t xml:space="preserve">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21D4B697" id="_x0000_t202" coordsize="21600,21600" o:spt="202" path="m,l,21600r21600,l21600,xe">
              <v:stroke joinstyle="miter"/>
              <v:path gradientshapeok="t" o:connecttype="rect"/>
            </v:shapetype>
            <v:shape id="Text Box 1" o:spid="_x0000_s1028" type="#_x0000_t202" alt="Title:  - Description: EBA Regular Use" style="position:absolute;margin-left:0;margin-top:0;width:100.25pt;height:29.6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" filled="f" stroked="f">
              <v:fill o:detectmouseclick="t"/>
              <v:textbox style="mso-fit-shape-to-text:t" inset="20pt,15pt,0,0">
                <w:txbxContent>
                  <w:p w14:paraId="1728CF09" w14:textId="139B48AA" w:rsidR="009F69A4" w:rsidRPr="009F69A4" w:rsidRDefault="009F69A4" w:rsidP="009F69A4">
                    <w:pPr>
                      <w:rPr>
                        <w:noProof/>
                        <w:color w:val="000000"/>
                        <w:sz w:val="24"/>
                        <w:rFonts w:ascii="Calibri" w:eastAsia="Calibri" w:hAnsi="Calibri" w:cs="Calibri"/>
                      </w:rPr>
                    </w:pPr>
                    <w:r>
                      <w:rPr>
                        <w:color w:val="000000"/>
                        <w:sz w:val="24"/>
                        <w:rFonts w:ascii="Calibri" w:hAnsi="Calibri"/>
                      </w:rPr>
                      <w:t xml:space="preserve">EBA Regular Use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BC3F8F"/>
    <w:multiLevelType w:val="hybridMultilevel"/>
    <w:tmpl w:val="2AD46E2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6A4767C0"/>
    <w:multiLevelType w:val="hybridMultilevel"/>
    <w:tmpl w:val="06983DAE"/>
    <w:lvl w:ilvl="0" w:tplc="0809000F">
      <w:start w:val="1"/>
      <w:numFmt w:val="decimal"/>
      <w:lvlText w:val="%1."/>
      <w:lvlJc w:val="left"/>
      <w:pPr>
        <w:tabs>
          <w:tab w:val="num" w:pos="360"/>
        </w:tabs>
        <w:ind w:left="360" w:hanging="360"/>
      </w:pPr>
      <w:rPr>
        <w:rFonts w:hint="default"/>
      </w:rPr>
    </w:lvl>
    <w:lvl w:ilvl="1" w:tplc="08090019" w:tentative="1">
      <w:start w:val="1"/>
      <w:numFmt w:val="lowerLetter"/>
      <w:lvlText w:val="%2."/>
      <w:lvlJc w:val="left"/>
      <w:pPr>
        <w:tabs>
          <w:tab w:val="num" w:pos="-180"/>
        </w:tabs>
        <w:ind w:left="-180" w:hanging="360"/>
      </w:pPr>
    </w:lvl>
    <w:lvl w:ilvl="2" w:tplc="0809001B" w:tentative="1">
      <w:start w:val="1"/>
      <w:numFmt w:val="lowerRoman"/>
      <w:lvlText w:val="%3."/>
      <w:lvlJc w:val="right"/>
      <w:pPr>
        <w:tabs>
          <w:tab w:val="num" w:pos="540"/>
        </w:tabs>
        <w:ind w:left="540" w:hanging="180"/>
      </w:pPr>
    </w:lvl>
    <w:lvl w:ilvl="3" w:tplc="0809000F" w:tentative="1">
      <w:start w:val="1"/>
      <w:numFmt w:val="decimal"/>
      <w:lvlText w:val="%4."/>
      <w:lvlJc w:val="left"/>
      <w:pPr>
        <w:tabs>
          <w:tab w:val="num" w:pos="1260"/>
        </w:tabs>
        <w:ind w:left="1260" w:hanging="360"/>
      </w:pPr>
    </w:lvl>
    <w:lvl w:ilvl="4" w:tplc="08090019" w:tentative="1">
      <w:start w:val="1"/>
      <w:numFmt w:val="lowerLetter"/>
      <w:lvlText w:val="%5."/>
      <w:lvlJc w:val="left"/>
      <w:pPr>
        <w:tabs>
          <w:tab w:val="num" w:pos="1980"/>
        </w:tabs>
        <w:ind w:left="1980" w:hanging="360"/>
      </w:pPr>
    </w:lvl>
    <w:lvl w:ilvl="5" w:tplc="0809001B" w:tentative="1">
      <w:start w:val="1"/>
      <w:numFmt w:val="lowerRoman"/>
      <w:lvlText w:val="%6."/>
      <w:lvlJc w:val="right"/>
      <w:pPr>
        <w:tabs>
          <w:tab w:val="num" w:pos="2700"/>
        </w:tabs>
        <w:ind w:left="2700" w:hanging="180"/>
      </w:pPr>
    </w:lvl>
    <w:lvl w:ilvl="6" w:tplc="0809000F" w:tentative="1">
      <w:start w:val="1"/>
      <w:numFmt w:val="decimal"/>
      <w:lvlText w:val="%7."/>
      <w:lvlJc w:val="left"/>
      <w:pPr>
        <w:tabs>
          <w:tab w:val="num" w:pos="3420"/>
        </w:tabs>
        <w:ind w:left="3420" w:hanging="360"/>
      </w:pPr>
    </w:lvl>
    <w:lvl w:ilvl="7" w:tplc="08090019" w:tentative="1">
      <w:start w:val="1"/>
      <w:numFmt w:val="lowerLetter"/>
      <w:lvlText w:val="%8."/>
      <w:lvlJc w:val="left"/>
      <w:pPr>
        <w:tabs>
          <w:tab w:val="num" w:pos="4140"/>
        </w:tabs>
        <w:ind w:left="4140" w:hanging="360"/>
      </w:pPr>
    </w:lvl>
    <w:lvl w:ilvl="8" w:tplc="0809001B" w:tentative="1">
      <w:start w:val="1"/>
      <w:numFmt w:val="lowerRoman"/>
      <w:lvlText w:val="%9."/>
      <w:lvlJc w:val="right"/>
      <w:pPr>
        <w:tabs>
          <w:tab w:val="num" w:pos="4860"/>
        </w:tabs>
        <w:ind w:left="4860" w:hanging="180"/>
      </w:pPr>
    </w:lvl>
  </w:abstractNum>
  <w:num w:numId="1" w16cid:durableId="488596300">
    <w:abstractNumId w:val="0"/>
  </w:num>
  <w:num w:numId="2" w16cid:durableId="149044385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6" w:nlCheck="1" w:checkStyle="0"/>
  <w:activeWritingStyle w:appName="MSWord" w:lang="en-GB" w:vendorID="64" w:dllVersion="6" w:nlCheck="1" w:checkStyle="1"/>
  <w:activeWritingStyle w:appName="MSWord" w:lang="en-US" w:vendorID="64" w:dllVersion="6" w:nlCheck="1" w:checkStyle="1"/>
  <w:activeWritingStyle w:appName="MSWord" w:lang="en-US" w:vendorID="64" w:dllVersion="0" w:nlCheck="1" w:checkStyle="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3330FC"/>
    <w:rsid w:val="002C7922"/>
    <w:rsid w:val="003330FC"/>
    <w:rsid w:val="004E3F4D"/>
    <w:rsid w:val="005B3D23"/>
    <w:rsid w:val="009F69A4"/>
    <w:rsid w:val="00AF0EB9"/>
    <w:rsid w:val="00C04D6C"/>
    <w:rsid w:val="00ED3B2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EDA5DD"/>
  <w15:chartTrackingRefBased/>
  <w15:docId w15:val="{CFE64EB4-385B-4000-BE3C-E0F42091D7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i-FI"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04D6C"/>
    <w:pPr>
      <w:spacing w:after="0" w:line="240" w:lineRule="auto"/>
    </w:pPr>
    <w:rPr>
      <w:rFonts w:eastAsiaTheme="minorEastAsia"/>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autoRedefine/>
    <w:qFormat/>
    <w:rsid w:val="00C04D6C"/>
    <w:pPr>
      <w:spacing w:before="80" w:line="200" w:lineRule="exact"/>
      <w:ind w:left="567" w:hanging="567"/>
      <w:jc w:val="both"/>
    </w:pPr>
    <w:rPr>
      <w:sz w:val="18"/>
      <w:szCs w:val="18"/>
      <w:lang w:val="fi-FI"/>
    </w:rPr>
  </w:style>
  <w:style w:type="character" w:customStyle="1" w:styleId="FootnoteTextChar">
    <w:name w:val="Footnote Text Char"/>
    <w:basedOn w:val="DefaultParagraphFont"/>
    <w:link w:val="FootnoteText"/>
    <w:rsid w:val="00C04D6C"/>
    <w:rPr>
      <w:rFonts w:eastAsiaTheme="minorEastAsia"/>
      <w:sz w:val="18"/>
      <w:szCs w:val="18"/>
      <w:lang w:val="fi-FI"/>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basedOn w:val="DefaultParagraphFont"/>
    <w:uiPriority w:val="99"/>
    <w:qFormat/>
    <w:rsid w:val="00C04D6C"/>
    <w:rPr>
      <w:rFonts w:asciiTheme="minorHAnsi" w:hAnsiTheme="minorHAnsi"/>
      <w:sz w:val="22"/>
      <w:szCs w:val="18"/>
      <w:vertAlign w:val="superscript"/>
    </w:rPr>
  </w:style>
  <w:style w:type="character" w:styleId="Hyperlink">
    <w:name w:val="Hyperlink"/>
    <w:basedOn w:val="DefaultParagraphFont"/>
    <w:uiPriority w:val="99"/>
    <w:rsid w:val="00C04D6C"/>
    <w:rPr>
      <w:color w:val="0563C1" w:themeColor="hyperlink"/>
      <w:u w:val="single"/>
    </w:rPr>
  </w:style>
  <w:style w:type="paragraph" w:customStyle="1" w:styleId="Default">
    <w:name w:val="Default"/>
    <w:rsid w:val="00C04D6C"/>
    <w:pPr>
      <w:autoSpaceDE w:val="0"/>
      <w:autoSpaceDN w:val="0"/>
      <w:adjustRightInd w:val="0"/>
      <w:spacing w:after="0" w:line="240" w:lineRule="auto"/>
    </w:pPr>
    <w:rPr>
      <w:rFonts w:ascii="Calibri" w:hAnsi="Calibri" w:cs="Calibri"/>
      <w:color w:val="000000"/>
      <w:sz w:val="24"/>
      <w:szCs w:val="24"/>
    </w:rPr>
  </w:style>
  <w:style w:type="paragraph" w:customStyle="1" w:styleId="Annexetitre">
    <w:name w:val="Annexe titre"/>
    <w:basedOn w:val="Normal"/>
    <w:next w:val="Normal"/>
    <w:rsid w:val="00C04D6C"/>
    <w:pPr>
      <w:spacing w:before="120" w:after="120"/>
      <w:jc w:val="center"/>
    </w:pPr>
    <w:rPr>
      <w:rFonts w:ascii="Times New Roman" w:eastAsia="Times New Roman" w:hAnsi="Times New Roman" w:cs="Times New Roman"/>
      <w:b/>
      <w:sz w:val="24"/>
      <w:u w:val="single"/>
    </w:rPr>
  </w:style>
  <w:style w:type="paragraph" w:customStyle="1" w:styleId="Applicationdirecte">
    <w:name w:val="Application directe"/>
    <w:basedOn w:val="Normal"/>
    <w:next w:val="Normal"/>
    <w:rsid w:val="00C04D6C"/>
    <w:pPr>
      <w:spacing w:before="480" w:after="120"/>
      <w:jc w:val="both"/>
    </w:pPr>
    <w:rPr>
      <w:rFonts w:ascii="Times New Roman" w:eastAsia="Times New Roman" w:hAnsi="Times New Roman" w:cs="Times New Roman"/>
      <w:sz w:val="24"/>
    </w:rPr>
  </w:style>
  <w:style w:type="paragraph" w:styleId="ListParagraph">
    <w:name w:val="List Paragraph"/>
    <w:basedOn w:val="Normal"/>
    <w:uiPriority w:val="34"/>
    <w:qFormat/>
    <w:rsid w:val="00C04D6C"/>
    <w:pPr>
      <w:ind w:left="720"/>
    </w:pPr>
    <w:rPr>
      <w:rFonts w:ascii="Calibri" w:eastAsia="Calibri" w:hAnsi="Calibri" w:cs="Times New Roman"/>
      <w:szCs w:val="22"/>
    </w:rPr>
  </w:style>
  <w:style w:type="paragraph" w:customStyle="1" w:styleId="TableMainHeading">
    <w:name w:val="TableMainHeading"/>
    <w:basedOn w:val="Normal"/>
    <w:next w:val="Normal"/>
    <w:uiPriority w:val="99"/>
    <w:rsid w:val="00C04D6C"/>
    <w:pPr>
      <w:spacing w:before="120" w:after="120"/>
    </w:pPr>
    <w:rPr>
      <w:rFonts w:ascii="Segoe UI" w:eastAsia="Times New Roman" w:hAnsi="Segoe UI" w:cs="Times New Roman"/>
      <w:szCs w:val="20"/>
    </w:rPr>
  </w:style>
  <w:style w:type="paragraph" w:customStyle="1" w:styleId="TableTitle">
    <w:name w:val="TableTitle"/>
    <w:basedOn w:val="Normal"/>
    <w:next w:val="Normal"/>
    <w:link w:val="TableTitleChar"/>
    <w:rsid w:val="00C04D6C"/>
    <w:pPr>
      <w:keepNext/>
      <w:spacing w:before="120" w:after="240"/>
      <w:jc w:val="center"/>
    </w:pPr>
    <w:rPr>
      <w:rFonts w:ascii="Arial" w:eastAsia="MS Mincho" w:hAnsi="Arial" w:cs="Times New Roman"/>
      <w:b/>
      <w:noProof/>
      <w:szCs w:val="20"/>
    </w:rPr>
  </w:style>
  <w:style w:type="character" w:customStyle="1" w:styleId="TableTitleChar">
    <w:name w:val="TableTitle Char"/>
    <w:basedOn w:val="DefaultParagraphFont"/>
    <w:link w:val="TableTitle"/>
    <w:locked/>
    <w:rsid w:val="00C04D6C"/>
    <w:rPr>
      <w:rFonts w:ascii="Arial" w:eastAsia="MS Mincho" w:hAnsi="Arial" w:cs="Times New Roman"/>
      <w:b/>
      <w:noProof/>
      <w:szCs w:val="20"/>
    </w:rPr>
  </w:style>
  <w:style w:type="character" w:customStyle="1" w:styleId="InstructionsTabelleberschrift">
    <w:name w:val="Instructions Tabelle Überschrift"/>
    <w:qFormat/>
    <w:rsid w:val="00C04D6C"/>
    <w:rPr>
      <w:rFonts w:ascii="Verdana" w:hAnsi="Verdana" w:cs="Times New Roman"/>
      <w:b/>
      <w:bCs/>
      <w:sz w:val="20"/>
      <w:u w:val="single"/>
    </w:rPr>
  </w:style>
  <w:style w:type="paragraph" w:styleId="Header">
    <w:name w:val="header"/>
    <w:basedOn w:val="Normal"/>
    <w:link w:val="HeaderChar"/>
    <w:uiPriority w:val="99"/>
    <w:unhideWhenUsed/>
    <w:rsid w:val="002C7922"/>
    <w:pPr>
      <w:tabs>
        <w:tab w:val="center" w:pos="4513"/>
        <w:tab w:val="right" w:pos="9026"/>
      </w:tabs>
    </w:pPr>
  </w:style>
  <w:style w:type="character" w:customStyle="1" w:styleId="HeaderChar">
    <w:name w:val="Header Char"/>
    <w:basedOn w:val="DefaultParagraphFont"/>
    <w:link w:val="Header"/>
    <w:uiPriority w:val="99"/>
    <w:rsid w:val="002C7922"/>
    <w:rPr>
      <w:rFonts w:eastAsiaTheme="minorEastAsia"/>
      <w:szCs w:val="24"/>
    </w:rPr>
  </w:style>
  <w:style w:type="paragraph" w:styleId="Footer">
    <w:name w:val="footer"/>
    <w:basedOn w:val="Normal"/>
    <w:link w:val="FooterChar"/>
    <w:uiPriority w:val="99"/>
    <w:unhideWhenUsed/>
    <w:rsid w:val="002C7922"/>
    <w:pPr>
      <w:tabs>
        <w:tab w:val="center" w:pos="4513"/>
        <w:tab w:val="right" w:pos="9026"/>
      </w:tabs>
    </w:pPr>
  </w:style>
  <w:style w:type="character" w:customStyle="1" w:styleId="FooterChar">
    <w:name w:val="Footer Char"/>
    <w:basedOn w:val="DefaultParagraphFont"/>
    <w:link w:val="Footer"/>
    <w:uiPriority w:val="99"/>
    <w:rsid w:val="002C7922"/>
    <w:rPr>
      <w:rFonts w:eastAsiaTheme="minorEastAsia"/>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customXml" Target="../customXml/item3.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customXml" Target="../customXml/item2.xml"/></Relationships>
</file>

<file path=word/_rels/footnotes.xml.rels>&#65279;<?xml version="1.0" encoding="UTF-8" standalone="yes"?>
<Relationships xmlns="http://schemas.openxmlformats.org/package/2006/relationships"><Relationship Id="rId2" Type="http://schemas.openxmlformats.org/officeDocument/2006/relationships/hyperlink" Target="https://eur-lex.europa.eu/legal-content/FI/TXT/?uri=OJ:L_202401623" TargetMode="External"/><Relationship Id="rId1" Type="http://schemas.openxmlformats.org/officeDocument/2006/relationships/hyperlink" Target="https://eur-lex.europa.eu/legal-content/FI/AUTO/?uri=OJ:L:2013:176:T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36C6593-B541-474D-AB1E-D78A35F21C63}"/>
</file>

<file path=customXml/itemProps2.xml><?xml version="1.0" encoding="utf-8"?>
<ds:datastoreItem xmlns:ds="http://schemas.openxmlformats.org/officeDocument/2006/customXml" ds:itemID="{B61367EB-588C-4182-9CF2-87D2BE33C006}"/>
</file>

<file path=customXml/itemProps3.xml><?xml version="1.0" encoding="utf-8"?>
<ds:datastoreItem xmlns:ds="http://schemas.openxmlformats.org/officeDocument/2006/customXml" ds:itemID="{5252D985-9BAA-4248-ACD5-38630461D586}"/>
</file>

<file path=docMetadata/LabelInfo.xml><?xml version="1.0" encoding="utf-8"?>
<clbl:labelList xmlns:clbl="http://schemas.microsoft.com/office/2020/mipLabelMetadata">
  <clbl:label id="{5c7eb9de-735b-4a68-8fe4-c9c62709b012}" enabled="1" method="Standard" siteId="{3bacb4ff-f1a2-4c92-b96c-e99fec826b68}" contentBits="1" removed="0"/>
</clbl:labelList>
</file>

<file path=docProps/app.xml><?xml version="1.0" encoding="utf-8"?>
<Properties xmlns="http://schemas.openxmlformats.org/officeDocument/2006/extended-properties" xmlns:vt="http://schemas.openxmlformats.org/officeDocument/2006/docPropsVTypes">
  <Template>Normal</Template>
  <TotalTime>1</TotalTime>
  <Pages>12</Pages>
  <Words>4097</Words>
  <Characters>21840</Characters>
  <Application>Microsoft Office Word</Application>
  <DocSecurity>0</DocSecurity>
  <Lines>532</Lines>
  <Paragraphs>285</Paragraphs>
  <ScaleCrop>false</ScaleCrop>
  <Company>European Banking Authority</Company>
  <LinksUpToDate>false</LinksUpToDate>
  <CharactersWithSpaces>25652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Andreea Teodora Chilan</dc:creator>
  <cp:keywords/>
  <dc:description/>
  <cp:lastModifiedBy>PETRE Gheorghe-Cristian (FISMA)</cp:lastModifiedBy>
  <cp:revision>5</cp:revision>
  <dcterms:created xsi:type="dcterms:W3CDTF">2021-03-11T11:51:00Z</dcterms:created>
  <dcterms:modified xsi:type="dcterms:W3CDTF">2024-09-26T14:40:00Z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3e46f064,764128b6,5a21b9a9</vt:lpwstr>
  </property>
  <property fmtid="{D5CDD505-2E9C-101B-9397-08002B2CF9AE}" pid="3" name="ClassificationContentMarkingHeaderFontProps">
    <vt:lpwstr>#000000,12,Calibri</vt:lpwstr>
  </property>
  <property fmtid="{D5CDD505-2E9C-101B-9397-08002B2CF9AE}" pid="4" name="ClassificationContentMarkingHeaderText">
    <vt:lpwstr>EBA Regular Use</vt:lpwstr>
  </property>
  <property fmtid="{D5CDD505-2E9C-101B-9397-08002B2CF9AE}" pid="5" name="MSIP_Label_6bd9ddd1-4d20-43f6-abfa-fc3c07406f94_Enabled">
    <vt:lpwstr>true</vt:lpwstr>
  </property>
  <property fmtid="{D5CDD505-2E9C-101B-9397-08002B2CF9AE}" pid="6" name="MSIP_Label_6bd9ddd1-4d20-43f6-abfa-fc3c07406f94_SetDate">
    <vt:lpwstr>2024-09-26T14:40:50Z</vt:lpwstr>
  </property>
  <property fmtid="{D5CDD505-2E9C-101B-9397-08002B2CF9AE}" pid="7" name="MSIP_Label_6bd9ddd1-4d20-43f6-abfa-fc3c07406f94_Method">
    <vt:lpwstr>Standard</vt:lpwstr>
  </property>
  <property fmtid="{D5CDD505-2E9C-101B-9397-08002B2CF9AE}" pid="8" name="MSIP_Label_6bd9ddd1-4d20-43f6-abfa-fc3c07406f94_Name">
    <vt:lpwstr>Commission Use</vt:lpwstr>
  </property>
  <property fmtid="{D5CDD505-2E9C-101B-9397-08002B2CF9AE}" pid="9" name="MSIP_Label_6bd9ddd1-4d20-43f6-abfa-fc3c07406f94_SiteId">
    <vt:lpwstr>b24c8b06-522c-46fe-9080-70926f8dddb1</vt:lpwstr>
  </property>
  <property fmtid="{D5CDD505-2E9C-101B-9397-08002B2CF9AE}" pid="10" name="MSIP_Label_6bd9ddd1-4d20-43f6-abfa-fc3c07406f94_ActionId">
    <vt:lpwstr>23d21fe0-0da5-41bf-af59-bd30b05c992a</vt:lpwstr>
  </property>
  <property fmtid="{D5CDD505-2E9C-101B-9397-08002B2CF9AE}" pid="11" name="MSIP_Label_6bd9ddd1-4d20-43f6-abfa-fc3c07406f94_ContentBits">
    <vt:lpwstr>0</vt:lpwstr>
  </property>
  <property fmtid="{D5CDD505-2E9C-101B-9397-08002B2CF9AE}" pid="12" name="ContentTypeId">
    <vt:lpwstr>0x010100A640DC13EB184F4EBE5AA21BE9F247DB</vt:lpwstr>
  </property>
</Properties>
</file>