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73152" w14:textId="4E11F668" w:rsidR="00A81FD5" w:rsidRPr="007F4CC8" w:rsidRDefault="00A81FD5" w:rsidP="00A81FD5">
      <w:pPr>
        <w:pStyle w:val="Annexetitre"/>
        <w:spacing w:before="0"/>
      </w:pPr>
      <w:r>
        <w:t xml:space="preserve">PRILOGA XXIV – Razkritje izpostavljenosti iz naslova posebnih kreditnih aranžmajev in lastniških instrumentov </w:t>
      </w:r>
    </w:p>
    <w:p w14:paraId="085C05B0" w14:textId="77777777" w:rsidR="00A81FD5" w:rsidRPr="007F4CC8" w:rsidRDefault="00A81FD5" w:rsidP="00A81FD5">
      <w:pPr>
        <w:spacing w:after="120"/>
        <w:rPr>
          <w:rFonts w:ascii="Times New Roman" w:hAnsi="Times New Roman" w:cs="Times New Roman"/>
          <w:sz w:val="24"/>
        </w:rPr>
      </w:pPr>
    </w:p>
    <w:p w14:paraId="4D52DDD2" w14:textId="2226D869" w:rsidR="00A81FD5" w:rsidRPr="007F4CC8" w:rsidRDefault="00A81FD5" w:rsidP="00A81FD5">
      <w:pPr>
        <w:spacing w:after="120"/>
        <w:ind w:left="3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Predloga EU CR10 – Izpostavljenosti iz naslova posebnih kreditnih aranžmajev in lastniških instrumentov.</w:t>
      </w:r>
      <w:r>
        <w:rPr>
          <w:rFonts w:ascii="Times New Roman" w:hAnsi="Times New Roman"/>
          <w:sz w:val="24"/>
        </w:rPr>
        <w:t xml:space="preserve"> Fiksna predloga.</w:t>
      </w:r>
    </w:p>
    <w:p w14:paraId="7F14938F" w14:textId="5C3615E8" w:rsidR="00A81FD5" w:rsidRPr="00AF68CB" w:rsidRDefault="00A81FD5" w:rsidP="00AF68CB">
      <w:pPr>
        <w:pStyle w:val="ListParagraph"/>
        <w:numPr>
          <w:ilvl w:val="0"/>
          <w:numId w:val="2"/>
        </w:numPr>
        <w:spacing w:after="120"/>
        <w:ind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Institucije razkrijejo informacije iz člena 438, točka (e), Uredbe (EU) št. 575/2013 (CRR)</w:t>
      </w:r>
      <w:r>
        <w:rPr>
          <w:rStyle w:val="FootnoteReference"/>
        </w:rPr>
        <w:footnoteReference w:id="1"/>
      </w:r>
      <w:r>
        <w:rPr>
          <w:rFonts w:ascii="Times New Roman" w:hAnsi="Times New Roman"/>
          <w:sz w:val="24"/>
        </w:rPr>
        <w:t xml:space="preserve"> ob upoštevanju navodil iz te priloge za izpolnjevanje predloge EU CR10 iz Priloge XXIII k rešitvam IT EBA. Institucije razkrijejo:</w:t>
      </w:r>
    </w:p>
    <w:p w14:paraId="536DBFB9" w14:textId="77777777" w:rsidR="00A81FD5" w:rsidRPr="007F4CC8" w:rsidRDefault="00A81FD5" w:rsidP="00A81FD5">
      <w:pPr>
        <w:pStyle w:val="ListParagraph"/>
        <w:numPr>
          <w:ilvl w:val="1"/>
          <w:numId w:val="2"/>
        </w:num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informacije o naslednjih vrstah izpostavljenosti iz naslova posebnih kreditnih aranžmajev iz razpredelnice 1 člena 153(5):</w:t>
      </w:r>
    </w:p>
    <w:p w14:paraId="3460EFE7" w14:textId="6F9500CB" w:rsidR="00A81FD5" w:rsidRPr="00A9512D" w:rsidRDefault="00A81FD5" w:rsidP="00A9512D">
      <w:pPr>
        <w:pStyle w:val="ListParagraph"/>
        <w:numPr>
          <w:ilvl w:val="2"/>
          <w:numId w:val="2"/>
        </w:numPr>
        <w:spacing w:after="120"/>
        <w:rPr>
          <w:rFonts w:ascii="Times New Roman" w:hAnsi="Times New Roman"/>
          <w:sz w:val="24"/>
          <w:szCs w:val="24"/>
        </w:rPr>
      </w:pPr>
      <w:r w:rsidRPr="00A9512D">
        <w:rPr>
          <w:rFonts w:ascii="Times New Roman" w:hAnsi="Times New Roman"/>
          <w:sz w:val="24"/>
        </w:rPr>
        <w:t>„kreditih za financiranje projektov“ v predlogi EU CR10.1,</w:t>
      </w:r>
    </w:p>
    <w:p w14:paraId="05E046A4" w14:textId="5FDC6D03" w:rsidR="00A81FD5" w:rsidRPr="00A9512D" w:rsidRDefault="00A81FD5" w:rsidP="00A9512D">
      <w:pPr>
        <w:pStyle w:val="ListParagraph"/>
        <w:numPr>
          <w:ilvl w:val="2"/>
          <w:numId w:val="2"/>
        </w:numPr>
        <w:spacing w:after="120"/>
        <w:rPr>
          <w:rFonts w:ascii="Times New Roman" w:hAnsi="Times New Roman"/>
          <w:sz w:val="24"/>
          <w:szCs w:val="24"/>
        </w:rPr>
      </w:pPr>
      <w:r w:rsidRPr="00A9512D">
        <w:rPr>
          <w:rFonts w:ascii="Times New Roman" w:hAnsi="Times New Roman"/>
          <w:sz w:val="24"/>
        </w:rPr>
        <w:t>„nepremičninah, ki ustvarjajo dohodke, in poslovne nepremičninah z visoko nestanovitnostjo stopnje izgub“ v predlogi EU CR10.2,</w:t>
      </w:r>
    </w:p>
    <w:p w14:paraId="0802AD44" w14:textId="79A93656" w:rsidR="00A81FD5" w:rsidRPr="00A9512D" w:rsidRDefault="00A81FD5" w:rsidP="00A9512D">
      <w:pPr>
        <w:pStyle w:val="ListParagraph"/>
        <w:numPr>
          <w:ilvl w:val="2"/>
          <w:numId w:val="2"/>
        </w:numPr>
        <w:spacing w:after="120"/>
        <w:rPr>
          <w:rFonts w:ascii="Times New Roman" w:hAnsi="Times New Roman"/>
          <w:sz w:val="24"/>
          <w:szCs w:val="24"/>
        </w:rPr>
      </w:pPr>
      <w:r w:rsidRPr="00A9512D">
        <w:rPr>
          <w:rFonts w:ascii="Times New Roman" w:hAnsi="Times New Roman"/>
          <w:sz w:val="24"/>
        </w:rPr>
        <w:t>„kreditih za financiranje fizičnih sredstev“ v predlogi EU CR10.3,</w:t>
      </w:r>
    </w:p>
    <w:p w14:paraId="69BDB935" w14:textId="5BBD6517" w:rsidR="00A81FD5" w:rsidRPr="00A9512D" w:rsidRDefault="00A81FD5" w:rsidP="00A9512D">
      <w:pPr>
        <w:pStyle w:val="ListParagraph"/>
        <w:numPr>
          <w:ilvl w:val="2"/>
          <w:numId w:val="2"/>
        </w:numPr>
        <w:spacing w:after="120"/>
        <w:rPr>
          <w:rFonts w:ascii="Times New Roman" w:hAnsi="Times New Roman"/>
          <w:sz w:val="24"/>
          <w:szCs w:val="24"/>
        </w:rPr>
      </w:pPr>
      <w:r w:rsidRPr="00A9512D">
        <w:rPr>
          <w:rFonts w:ascii="Times New Roman" w:hAnsi="Times New Roman"/>
          <w:sz w:val="24"/>
        </w:rPr>
        <w:t>„kreditih za financiranje blaga“ v predlogi EU CR10.4;</w:t>
      </w:r>
    </w:p>
    <w:p w14:paraId="2E77063D" w14:textId="13E594D0" w:rsidR="00A81FD5" w:rsidRPr="007F4CC8" w:rsidRDefault="00A81FD5" w:rsidP="00A81FD5">
      <w:pPr>
        <w:pStyle w:val="ListParagraph"/>
        <w:numPr>
          <w:ilvl w:val="1"/>
          <w:numId w:val="2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informacije o izpostavljenostih iz naslova lastniških instrumentov v predlogi EU CR10.5.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A81FD5" w:rsidRPr="007F4CC8" w14:paraId="78CCACB1" w14:textId="77777777" w:rsidTr="004F3087">
        <w:trPr>
          <w:trHeight w:val="90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371FCA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Stolpec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CB42C1" w14:textId="77777777" w:rsidR="00A81FD5" w:rsidRPr="007F4CC8" w:rsidRDefault="00A81FD5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Pravna podlaga in navodila</w:t>
            </w:r>
          </w:p>
        </w:tc>
      </w:tr>
      <w:tr w:rsidR="00A81FD5" w:rsidRPr="007F4CC8" w14:paraId="7EA5F71F" w14:textId="77777777" w:rsidTr="004F3087">
        <w:trPr>
          <w:trHeight w:val="359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0A068C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1EAA19A1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Pojasnilo</w:t>
            </w:r>
          </w:p>
        </w:tc>
      </w:tr>
      <w:tr w:rsidR="00A81FD5" w:rsidRPr="007F4CC8" w14:paraId="5BE84BFB" w14:textId="77777777" w:rsidTr="004F3087">
        <w:trPr>
          <w:trHeight w:val="316"/>
        </w:trPr>
        <w:tc>
          <w:tcPr>
            <w:tcW w:w="1413" w:type="dxa"/>
          </w:tcPr>
          <w:p w14:paraId="400664F6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654" w:type="dxa"/>
          </w:tcPr>
          <w:p w14:paraId="505BFF38" w14:textId="77777777" w:rsidR="00A81FD5" w:rsidRPr="00B42FCC" w:rsidRDefault="00A81FD5" w:rsidP="004F3087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Bilančne izpostavljenosti</w:t>
            </w:r>
          </w:p>
          <w:p w14:paraId="745AD69D" w14:textId="7830AC6E" w:rsidR="00A81FD5" w:rsidRPr="007F4CC8" w:rsidRDefault="00A81FD5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Institucije razkrijejo vrednost izpostavljenosti bilančnih izpostavljenosti v skladu s členom 166(1) do (7) in členom 167(1) Uredbe (EU) št. 575/2013.</w:t>
            </w:r>
          </w:p>
        </w:tc>
      </w:tr>
      <w:tr w:rsidR="00A81FD5" w:rsidRPr="007F4CC8" w14:paraId="0D47376E" w14:textId="77777777" w:rsidTr="004F3087">
        <w:trPr>
          <w:trHeight w:val="316"/>
        </w:trPr>
        <w:tc>
          <w:tcPr>
            <w:tcW w:w="1413" w:type="dxa"/>
          </w:tcPr>
          <w:p w14:paraId="79B7BB44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</w:t>
            </w:r>
          </w:p>
        </w:tc>
        <w:tc>
          <w:tcPr>
            <w:tcW w:w="7654" w:type="dxa"/>
          </w:tcPr>
          <w:p w14:paraId="18980CCD" w14:textId="77777777" w:rsidR="00A81FD5" w:rsidRPr="00B42FCC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Zunajbilančne izpostavljenosti</w:t>
            </w:r>
          </w:p>
          <w:p w14:paraId="1C2FD9EF" w14:textId="191BEB22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Institucije razkrijejo vrednost izpostavljenosti zunajbilančnih izpostavljenosti v skladu s členom 166 in členom 167(2) Uredbe (EU) št. 575/2013 brez upoštevanja konverzijskih faktorjev iz člena 166(8) ali (9) Uredbe (EU) št. 575/2013 ali drugih odstotkov iz člena 166(10) Uredbe (EU) št. 575/2013.</w:t>
            </w:r>
          </w:p>
          <w:p w14:paraId="72C867E8" w14:textId="03DDDFDF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Zunajbilančne izpostavljenosti zajemajo vse odobrene, a nečrpane zneske in vse zunajbilančne postavke iz Priloge I k Uredbi (EU) št. 575/2013.</w:t>
            </w:r>
          </w:p>
        </w:tc>
      </w:tr>
      <w:tr w:rsidR="00A81FD5" w:rsidRPr="007F4CC8" w14:paraId="348A6D93" w14:textId="77777777" w:rsidTr="004F3087">
        <w:trPr>
          <w:trHeight w:val="316"/>
        </w:trPr>
        <w:tc>
          <w:tcPr>
            <w:tcW w:w="1413" w:type="dxa"/>
          </w:tcPr>
          <w:p w14:paraId="00262C17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</w:t>
            </w:r>
          </w:p>
        </w:tc>
        <w:tc>
          <w:tcPr>
            <w:tcW w:w="7654" w:type="dxa"/>
          </w:tcPr>
          <w:p w14:paraId="53761983" w14:textId="77777777" w:rsidR="00A81FD5" w:rsidRPr="00B42FCC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Utež tveganja</w:t>
            </w:r>
          </w:p>
          <w:p w14:paraId="74BDA868" w14:textId="5C580C45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To je fiksen stolpec za predloge EU CR10.1 do EU CR10.4. Ne sme se ga spreminjati. </w:t>
            </w:r>
          </w:p>
          <w:p w14:paraId="2AF282A3" w14:textId="143D6409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Ta stolpec je bil določen v skladu s členom 153(5) Uredbe (EU) št. 575/2013 za predloge EU CR10.1 do EU CR10.4.  Za predlogo EU CR10.5 je ta stolpec prilagodljiv. Institucije uporabijo ustrezne uteži tveganja v skladu s členom 133(3) do (6) in členom 495a(3) Uredbe (EU) št. 575/2013.</w:t>
            </w:r>
          </w:p>
        </w:tc>
      </w:tr>
      <w:tr w:rsidR="00A81FD5" w:rsidRPr="007F4CC8" w14:paraId="7603C34A" w14:textId="77777777" w:rsidTr="004F3087">
        <w:trPr>
          <w:trHeight w:val="316"/>
        </w:trPr>
        <w:tc>
          <w:tcPr>
            <w:tcW w:w="1413" w:type="dxa"/>
          </w:tcPr>
          <w:p w14:paraId="3D9A6962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</w:t>
            </w:r>
          </w:p>
        </w:tc>
        <w:tc>
          <w:tcPr>
            <w:tcW w:w="7654" w:type="dxa"/>
          </w:tcPr>
          <w:p w14:paraId="67C9AB4B" w14:textId="77777777" w:rsidR="00A81FD5" w:rsidRPr="00B42FCC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Vrednost izpostavljenosti</w:t>
            </w:r>
          </w:p>
          <w:p w14:paraId="3EBD3C28" w14:textId="12336578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Vrednost izpostavljenosti v skladu s členom 166 in členom 167 Uredbe (EU) št. 575/2013.</w:t>
            </w:r>
          </w:p>
          <w:p w14:paraId="7CB9912F" w14:textId="58C868E9" w:rsidR="00A81FD5" w:rsidRPr="007F4CC8" w:rsidRDefault="00A81FD5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Ta stolpec vključuje vsoto vrednosti izpostavljenosti bilančnih izpostavljenosti in vrednosti izpostavljenosti zunajbilančnih izpostavljenosti po uporabi konverzijskih faktorjev in odstotkov v skladu s členom 166(8) do (10) Uredbe (EU) št. 575/2013. </w:t>
            </w:r>
          </w:p>
        </w:tc>
      </w:tr>
      <w:tr w:rsidR="00A81FD5" w:rsidRPr="007F4CC8" w14:paraId="101D075B" w14:textId="77777777" w:rsidTr="004F3087">
        <w:trPr>
          <w:trHeight w:val="316"/>
        </w:trPr>
        <w:tc>
          <w:tcPr>
            <w:tcW w:w="1413" w:type="dxa"/>
            <w:tcBorders>
              <w:bottom w:val="single" w:sz="4" w:space="0" w:color="auto"/>
            </w:tcBorders>
          </w:tcPr>
          <w:p w14:paraId="0967DA9C" w14:textId="77777777" w:rsidR="00A81FD5" w:rsidRPr="00DD0C4D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e (predloge EU CR10.1 do EU CR10.4)</w:t>
            </w:r>
          </w:p>
        </w:tc>
        <w:tc>
          <w:tcPr>
            <w:tcW w:w="7654" w:type="dxa"/>
          </w:tcPr>
          <w:p w14:paraId="703A355C" w14:textId="77777777" w:rsidR="00A81FD5" w:rsidRPr="00B42FCC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Znesek tveganju prilagojenih izpostavljenosti (izpostavljenosti iz naslova posebnih kreditnih aranžmajev po pristopu razporejanja)</w:t>
            </w:r>
          </w:p>
          <w:p w14:paraId="041E0E73" w14:textId="698ABDEF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Znesek tveganju prilagojenih izpostavljenosti, izračunan v skladu s členom 153(5) Uredbe (EU) št. 575/2013, po upoštevanju faktorjev za podporo v skladu s členom 501 in 501a Uredbe (EU) št. 575/2013, kjer je relevantno.</w:t>
            </w:r>
          </w:p>
        </w:tc>
      </w:tr>
      <w:tr w:rsidR="00A81FD5" w:rsidRPr="007F4CC8" w14:paraId="697C0CA4" w14:textId="77777777" w:rsidTr="004F3087">
        <w:trPr>
          <w:trHeight w:val="316"/>
        </w:trPr>
        <w:tc>
          <w:tcPr>
            <w:tcW w:w="1413" w:type="dxa"/>
            <w:tcBorders>
              <w:bottom w:val="nil"/>
            </w:tcBorders>
          </w:tcPr>
          <w:p w14:paraId="1672DF90" w14:textId="77777777" w:rsidR="00A81FD5" w:rsidRPr="00DD0C4D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 (predloge EU CR10.1 do EU CR10.4)</w:t>
            </w:r>
          </w:p>
        </w:tc>
        <w:tc>
          <w:tcPr>
            <w:tcW w:w="7654" w:type="dxa"/>
          </w:tcPr>
          <w:p w14:paraId="4FF75FEB" w14:textId="77777777" w:rsidR="00A81FD5" w:rsidRPr="00D647C0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Znesek pričakovane izgube (izpostavljenosti iz naslova posebnih kreditnih aranžmajev po pristopu razporejanja)</w:t>
            </w:r>
          </w:p>
          <w:p w14:paraId="60279495" w14:textId="26DC979B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Znesek pričakovane izgube, izračunan v skladu s členom 158(6) Uredbe (EU) št. 575/2013.</w:t>
            </w:r>
          </w:p>
        </w:tc>
      </w:tr>
      <w:tr w:rsidR="00A81FD5" w:rsidRPr="007F4CC8" w14:paraId="4F8B2187" w14:textId="77777777" w:rsidTr="004F3087">
        <w:trPr>
          <w:trHeight w:val="316"/>
        </w:trPr>
        <w:tc>
          <w:tcPr>
            <w:tcW w:w="1413" w:type="dxa"/>
            <w:tcBorders>
              <w:top w:val="nil"/>
            </w:tcBorders>
          </w:tcPr>
          <w:p w14:paraId="56FDDAB9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 (predloga EU CR10.5)</w:t>
            </w:r>
          </w:p>
        </w:tc>
        <w:tc>
          <w:tcPr>
            <w:tcW w:w="7654" w:type="dxa"/>
          </w:tcPr>
          <w:p w14:paraId="63BCE1AB" w14:textId="77777777" w:rsidR="00A81FD5" w:rsidRPr="00D647C0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Znesek pričakovane izgube (izpostavljenosti iz naslova lastniških instrumentov po pristopu enostavnih uteži tveganja)</w:t>
            </w:r>
          </w:p>
          <w:p w14:paraId="602A3DA1" w14:textId="4D627F35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Znesek pričakovane izgube, izračunan v skladu s členom 158(7) Uredbe (EU) št. 575/2013, kjer je relevantno.</w:t>
            </w:r>
          </w:p>
        </w:tc>
      </w:tr>
    </w:tbl>
    <w:p w14:paraId="2792224B" w14:textId="77777777" w:rsidR="00A81FD5" w:rsidRPr="007F4CC8" w:rsidRDefault="00A81FD5" w:rsidP="00A81FD5">
      <w:pPr>
        <w:spacing w:after="120"/>
        <w:rPr>
          <w:rFonts w:ascii="Times New Roman" w:hAnsi="Times New Roman" w:cs="Times New Roman"/>
          <w:sz w:val="24"/>
        </w:rPr>
      </w:pPr>
    </w:p>
    <w:p w14:paraId="2C3A6074" w14:textId="77777777" w:rsidR="00A81FD5" w:rsidRPr="007F4CC8" w:rsidRDefault="00A81FD5" w:rsidP="00A81FD5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A81FD5" w:rsidRPr="007F4CC8" w14:paraId="3C9F1404" w14:textId="77777777" w:rsidTr="004F3087">
        <w:trPr>
          <w:trHeight w:val="90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930760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Številka vrstice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8EC16B" w14:textId="77777777" w:rsidR="00A81FD5" w:rsidRPr="007F4CC8" w:rsidRDefault="00A81FD5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Pravna podlaga in navodila</w:t>
            </w:r>
          </w:p>
        </w:tc>
      </w:tr>
      <w:tr w:rsidR="00A81FD5" w:rsidRPr="007F4CC8" w14:paraId="05D9511C" w14:textId="77777777" w:rsidTr="004F3087">
        <w:trPr>
          <w:trHeight w:val="403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CFB7BE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64C8C924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Pojasnilo</w:t>
            </w:r>
          </w:p>
        </w:tc>
      </w:tr>
      <w:tr w:rsidR="00A81FD5" w:rsidRPr="007F4CC8" w14:paraId="5A7F3F5E" w14:textId="77777777" w:rsidTr="004F3087">
        <w:trPr>
          <w:trHeight w:val="316"/>
        </w:trPr>
        <w:tc>
          <w:tcPr>
            <w:tcW w:w="1413" w:type="dxa"/>
          </w:tcPr>
          <w:p w14:paraId="7D094947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Regulativna kategorija</w:t>
            </w:r>
          </w:p>
        </w:tc>
        <w:tc>
          <w:tcPr>
            <w:tcW w:w="7654" w:type="dxa"/>
          </w:tcPr>
          <w:p w14:paraId="684D2C24" w14:textId="77777777" w:rsidR="00A81FD5" w:rsidRPr="00DD0C4D" w:rsidRDefault="00A81FD5" w:rsidP="004F3087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Predloge EU CR10.1 – EU CR10.4</w:t>
            </w:r>
          </w:p>
          <w:p w14:paraId="73A34AF3" w14:textId="5763928A" w:rsidR="00A81FD5" w:rsidRPr="007F4CC8" w:rsidRDefault="00A81FD5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Regulativne kategorije, ki se uporabljajo za posebne kreditne aranžmaje po pristopu razporejanja, za vsako kategorijo izpostavljenosti iz naslova posebnih kreditnih aranžmajev; kot je določeno v členu 153(5) Uredbe (EU) št. 575/2013 in v končnem osnutku regulativnih tehničnih standardov o pristopu razporejanja.</w:t>
            </w:r>
          </w:p>
        </w:tc>
      </w:tr>
      <w:tr w:rsidR="00A81FD5" w:rsidRPr="007F4CC8" w14:paraId="06F4029F" w14:textId="77777777" w:rsidTr="004F3087">
        <w:trPr>
          <w:trHeight w:val="316"/>
        </w:trPr>
        <w:tc>
          <w:tcPr>
            <w:tcW w:w="1413" w:type="dxa"/>
          </w:tcPr>
          <w:p w14:paraId="5EAED2FC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Kategorije</w:t>
            </w:r>
          </w:p>
        </w:tc>
        <w:tc>
          <w:tcPr>
            <w:tcW w:w="7654" w:type="dxa"/>
          </w:tcPr>
          <w:p w14:paraId="73E10594" w14:textId="0741463C" w:rsidR="00A81FD5" w:rsidRPr="00360C8C" w:rsidRDefault="00A81FD5" w:rsidP="004F3087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Predloga EU CR10.5 Prilagodljivo</w:t>
            </w:r>
          </w:p>
          <w:p w14:paraId="1A9FFE85" w14:textId="723ADCB0" w:rsidR="00A81FD5" w:rsidRPr="007F4CC8" w:rsidRDefault="005122C8" w:rsidP="004F3087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Institucije vključijo ustrezne regulativne kategorije, ki se uporabljajo za lastniške instrumente v skladu s členom 133(3) do (6) in členom 495a(3) Uredbe (EU) št. 575/2013. </w:t>
            </w:r>
          </w:p>
        </w:tc>
      </w:tr>
    </w:tbl>
    <w:p w14:paraId="5A153A1E" w14:textId="77777777" w:rsidR="00A81FD5" w:rsidRPr="007F4CC8" w:rsidRDefault="00A81FD5" w:rsidP="00A81FD5">
      <w:pPr>
        <w:tabs>
          <w:tab w:val="left" w:pos="1430"/>
        </w:tabs>
        <w:rPr>
          <w:rFonts w:ascii="Times New Roman" w:hAnsi="Times New Roman" w:cs="Times New Roman"/>
          <w:sz w:val="24"/>
        </w:rPr>
      </w:pPr>
    </w:p>
    <w:p w14:paraId="7B637F1D" w14:textId="77777777" w:rsidR="00993FC2" w:rsidRDefault="00993FC2" w:rsidP="00A81FD5"/>
    <w:sectPr w:rsidR="00993FC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0DD73" w14:textId="77777777" w:rsidR="00703E80" w:rsidRDefault="00703E80" w:rsidP="00A81FD5">
      <w:r>
        <w:separator/>
      </w:r>
    </w:p>
  </w:endnote>
  <w:endnote w:type="continuationSeparator" w:id="0">
    <w:p w14:paraId="4133069B" w14:textId="77777777" w:rsidR="00703E80" w:rsidRDefault="00703E80" w:rsidP="00A81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72147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93BD6A0" w14:textId="77777777" w:rsidR="00A81FD5" w:rsidRDefault="00A81FD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7A576E9" w14:textId="77777777" w:rsidR="00A81FD5" w:rsidRDefault="00A81F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466AE" w14:textId="77777777" w:rsidR="00703E80" w:rsidRDefault="00703E80" w:rsidP="00A81FD5">
      <w:r>
        <w:separator/>
      </w:r>
    </w:p>
  </w:footnote>
  <w:footnote w:type="continuationSeparator" w:id="0">
    <w:p w14:paraId="32022626" w14:textId="77777777" w:rsidR="00703E80" w:rsidRDefault="00703E80" w:rsidP="00A81FD5">
      <w:r>
        <w:continuationSeparator/>
      </w:r>
    </w:p>
  </w:footnote>
  <w:footnote w:id="1">
    <w:p w14:paraId="5DF9A988" w14:textId="1DC1B74B" w:rsidR="0016297E" w:rsidRPr="0016297E" w:rsidRDefault="0016297E" w:rsidP="0016297E">
      <w:pPr>
        <w:pStyle w:val="FootnoteText"/>
      </w:pPr>
      <w:r>
        <w:rPr>
          <w:rStyle w:val="FootnoteReference"/>
        </w:rPr>
        <w:footnoteRef/>
      </w:r>
      <w:r>
        <w:t xml:space="preserve"> Uredba (EU) št. 575/2013 Evropskega parlamenta in Sveta z dne 26. junija 2013 o bonitetnih zahtevah za kreditne institucije in o spremembi Uredbe (EU) št. 648/2012, kot je bila spremenjena z Uredbo (EU) 2024/1623 </w:t>
      </w:r>
      <w:r>
        <w:rPr>
          <w:color w:val="444444"/>
        </w:rPr>
        <w:t>(</w:t>
      </w:r>
      <w:hyperlink r:id="rId1" w:history="1">
        <w:r>
          <w:rPr>
            <w:rStyle w:val="Hyperlink"/>
            <w:color w:val="800080"/>
          </w:rPr>
          <w:t>UL L 176, 27.6.2013, str. 1</w:t>
        </w:r>
      </w:hyperlink>
      <w:r>
        <w:t>;</w:t>
      </w:r>
      <w:r>
        <w:rPr>
          <w:color w:val="800080"/>
          <w:u w:val="single"/>
        </w:rPr>
        <w:t xml:space="preserve"> </w:t>
      </w:r>
      <w:hyperlink r:id="rId2" w:history="1">
        <w:r>
          <w:rPr>
            <w:rStyle w:val="Hyperlink"/>
          </w:rPr>
          <w:t>Uredba - EU - 2024/1623 - SL - EUR-Lex (europa.eu)</w:t>
        </w:r>
      </w:hyperlink>
      <w:r>
        <w:rPr>
          <w:color w:val="444444"/>
        </w:rPr>
        <w:t>)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5CA2D" w14:textId="4B287E36" w:rsidR="0089557A" w:rsidRDefault="0089557A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B7ECC36" wp14:editId="1A347A40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572534603" name="Text Box 2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1FEE100" w14:textId="1A0A7B31" w:rsidR="0089557A" w:rsidRPr="0089557A" w:rsidRDefault="0089557A" w:rsidP="00895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7ECC3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EBA Regular Use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31FEE100" w14:textId="1A0A7B31" w:rsidR="0089557A" w:rsidRPr="0089557A" w:rsidRDefault="0089557A" w:rsidP="0089557A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6113B" w14:textId="19D0E53F" w:rsidR="0089557A" w:rsidRDefault="0089557A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DF76086" wp14:editId="609448B1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334500121" name="Text Box 3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C71C80" w14:textId="569D2E7E" w:rsidR="0089557A" w:rsidRPr="0089557A" w:rsidRDefault="0089557A" w:rsidP="00895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F7608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EBA Regular Use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29C71C80" w14:textId="569D2E7E" w:rsidR="0089557A" w:rsidRPr="0089557A" w:rsidRDefault="0089557A" w:rsidP="0089557A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C2FD7" w14:textId="1F8C1CF5" w:rsidR="0089557A" w:rsidRDefault="0089557A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D3FAAB5" wp14:editId="5BE3112C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494430650" name="Text Box 1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D8DAD4" w14:textId="694FABB0" w:rsidR="0089557A" w:rsidRPr="0089557A" w:rsidRDefault="0089557A" w:rsidP="00895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3FAAB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EBA Regular Use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1BD8DAD4" w14:textId="694FABB0" w:rsidR="0089557A" w:rsidRPr="0089557A" w:rsidRDefault="0089557A" w:rsidP="0089557A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FB7BE8"/>
    <w:multiLevelType w:val="hybridMultilevel"/>
    <w:tmpl w:val="DA2A1476"/>
    <w:lvl w:ilvl="0" w:tplc="3F82BFBA">
      <w:start w:val="1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6A0E5E13"/>
    <w:multiLevelType w:val="hybridMultilevel"/>
    <w:tmpl w:val="5F4EA2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C5C49C44">
      <w:numFmt w:val="bullet"/>
      <w:lvlText w:val="–"/>
      <w:lvlJc w:val="left"/>
      <w:pPr>
        <w:ind w:left="2340" w:hanging="360"/>
      </w:pPr>
      <w:rPr>
        <w:rFonts w:ascii="Times New Roman" w:eastAsiaTheme="minorEastAsia" w:hAnsi="Times New Roman" w:cs="Times New Roman"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5923548">
    <w:abstractNumId w:val="0"/>
  </w:num>
  <w:num w:numId="2" w16cid:durableId="6093583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activeWritingStyle w:appName="MSWord" w:lang="fr-BE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fr-BE" w:vendorID="64" w:dllVersion="0" w:nlCheck="1" w:checkStyle="0"/>
  <w:activeWritingStyle w:appName="MSWord" w:lang="en-US" w:vendorID="64" w:dllVersion="0" w:nlCheck="1" w:checkStyle="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456335"/>
    <w:rsid w:val="001409C0"/>
    <w:rsid w:val="0016297E"/>
    <w:rsid w:val="002A29F0"/>
    <w:rsid w:val="00456335"/>
    <w:rsid w:val="005122C8"/>
    <w:rsid w:val="0053271E"/>
    <w:rsid w:val="006120BE"/>
    <w:rsid w:val="00703E80"/>
    <w:rsid w:val="0089557A"/>
    <w:rsid w:val="00964BDB"/>
    <w:rsid w:val="00993FC2"/>
    <w:rsid w:val="00A81FD5"/>
    <w:rsid w:val="00A9512D"/>
    <w:rsid w:val="00AF68CB"/>
    <w:rsid w:val="00C15CE4"/>
    <w:rsid w:val="00CF64BB"/>
    <w:rsid w:val="00D6345C"/>
    <w:rsid w:val="00F96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BC956"/>
  <w15:chartTrackingRefBased/>
  <w15:docId w15:val="{A6C1DA80-21DB-4AB0-ABCC-D95DD9923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1FD5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autoRedefine/>
    <w:qFormat/>
    <w:rsid w:val="0016297E"/>
    <w:pPr>
      <w:spacing w:before="80" w:line="200" w:lineRule="exact"/>
      <w:jc w:val="both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sid w:val="0016297E"/>
    <w:rPr>
      <w:rFonts w:eastAsiaTheme="minorEastAsia"/>
      <w:sz w:val="18"/>
      <w:szCs w:val="18"/>
      <w:lang w:val="sl-SI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A81FD5"/>
    <w:rPr>
      <w:rFonts w:asciiTheme="minorHAnsi" w:hAnsiTheme="minorHAnsi"/>
      <w:sz w:val="22"/>
      <w:szCs w:val="18"/>
      <w:vertAlign w:val="superscript"/>
    </w:rPr>
  </w:style>
  <w:style w:type="character" w:styleId="Hyperlink">
    <w:name w:val="Hyperlink"/>
    <w:basedOn w:val="DefaultParagraphFont"/>
    <w:uiPriority w:val="99"/>
    <w:rsid w:val="00A81FD5"/>
    <w:rPr>
      <w:color w:val="0563C1" w:themeColor="hyperlink"/>
      <w:u w:val="single"/>
    </w:rPr>
  </w:style>
  <w:style w:type="paragraph" w:customStyle="1" w:styleId="Annexetitre">
    <w:name w:val="Annexe titre"/>
    <w:basedOn w:val="Normal"/>
    <w:next w:val="Normal"/>
    <w:rsid w:val="00A81FD5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styleId="ListParagraph">
    <w:name w:val="List Paragraph"/>
    <w:basedOn w:val="Normal"/>
    <w:uiPriority w:val="34"/>
    <w:qFormat/>
    <w:rsid w:val="00A81FD5"/>
    <w:pPr>
      <w:ind w:left="720"/>
    </w:pPr>
    <w:rPr>
      <w:rFonts w:ascii="Calibri" w:eastAsia="Calibri" w:hAnsi="Calibri" w:cs="Times New Roman"/>
      <w:szCs w:val="22"/>
    </w:rPr>
  </w:style>
  <w:style w:type="paragraph" w:styleId="Header">
    <w:name w:val="header"/>
    <w:basedOn w:val="Normal"/>
    <w:link w:val="HeaderChar"/>
    <w:uiPriority w:val="99"/>
    <w:unhideWhenUsed/>
    <w:rsid w:val="00A81FD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1FD5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A81FD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1FD5"/>
    <w:rPr>
      <w:rFonts w:eastAsiaTheme="minorEastAsia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955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955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9557A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55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557A"/>
    <w:rPr>
      <w:rFonts w:eastAsiaTheme="minorEastAsia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A29F0"/>
    <w:pPr>
      <w:spacing w:after="0" w:line="240" w:lineRule="auto"/>
    </w:pPr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SL/TXT/?uri=OJ:L_202401623" TargetMode="External"/><Relationship Id="rId1" Type="http://schemas.openxmlformats.org/officeDocument/2006/relationships/hyperlink" Target="https://eur-lex.europa.eu/legal-content/SL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1CF0BC-64A7-44A4-BE6C-A045FAF69AE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B12F17-0465-4BAD-A48A-D95EA89186D5}"/>
</file>

<file path=customXml/itemProps3.xml><?xml version="1.0" encoding="utf-8"?>
<ds:datastoreItem xmlns:ds="http://schemas.openxmlformats.org/officeDocument/2006/customXml" ds:itemID="{D1E1F5FB-C703-4285-A0B8-63ADEB30BDD7}"/>
</file>

<file path=customXml/itemProps4.xml><?xml version="1.0" encoding="utf-8"?>
<ds:datastoreItem xmlns:ds="http://schemas.openxmlformats.org/officeDocument/2006/customXml" ds:itemID="{DBA23ABA-0DAB-4B39-B37D-7379E256AA25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544</Words>
  <Characters>3415</Characters>
  <Application>Microsoft Office Word</Application>
  <DocSecurity>0</DocSecurity>
  <Lines>94</Lines>
  <Paragraphs>52</Paragraphs>
  <ScaleCrop>false</ScaleCrop>
  <Company>European Banking Authority</Company>
  <LinksUpToDate>false</LinksUpToDate>
  <CharactersWithSpaces>3907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Teodora Chilan</dc:creator>
  <cp:keywords/>
  <dc:description/>
  <cp:lastModifiedBy>VOLAVSEK Andrej (DGT)</cp:lastModifiedBy>
  <cp:revision>15</cp:revision>
  <dcterms:created xsi:type="dcterms:W3CDTF">2021-03-11T13:21:00Z</dcterms:created>
  <dcterms:modified xsi:type="dcterms:W3CDTF">2024-10-16T15:22:00Z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591333ba,5dbaf94b,13f01119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MSIP_Label_6bd9ddd1-4d20-43f6-abfa-fc3c07406f94_Enabled">
    <vt:lpwstr>true</vt:lpwstr>
  </property>
  <property fmtid="{D5CDD505-2E9C-101B-9397-08002B2CF9AE}" pid="6" name="MSIP_Label_6bd9ddd1-4d20-43f6-abfa-fc3c07406f94_SetDate">
    <vt:lpwstr>2024-09-26T14:30:38Z</vt:lpwstr>
  </property>
  <property fmtid="{D5CDD505-2E9C-101B-9397-08002B2CF9AE}" pid="7" name="MSIP_Label_6bd9ddd1-4d20-43f6-abfa-fc3c07406f94_Method">
    <vt:lpwstr>Standard</vt:lpwstr>
  </property>
  <property fmtid="{D5CDD505-2E9C-101B-9397-08002B2CF9AE}" pid="8" name="MSIP_Label_6bd9ddd1-4d20-43f6-abfa-fc3c07406f94_Name">
    <vt:lpwstr>Commission Use</vt:lpwstr>
  </property>
  <property fmtid="{D5CDD505-2E9C-101B-9397-08002B2CF9AE}" pid="9" name="MSIP_Label_6bd9ddd1-4d20-43f6-abfa-fc3c07406f94_SiteId">
    <vt:lpwstr>b24c8b06-522c-46fe-9080-70926f8dddb1</vt:lpwstr>
  </property>
  <property fmtid="{D5CDD505-2E9C-101B-9397-08002B2CF9AE}" pid="10" name="MSIP_Label_6bd9ddd1-4d20-43f6-abfa-fc3c07406f94_ActionId">
    <vt:lpwstr>b845363d-b496-4e81-8635-4e3aececf02f</vt:lpwstr>
  </property>
  <property fmtid="{D5CDD505-2E9C-101B-9397-08002B2CF9AE}" pid="11" name="MSIP_Label_6bd9ddd1-4d20-43f6-abfa-fc3c07406f94_ContentBits">
    <vt:lpwstr>0</vt:lpwstr>
  </property>
  <property fmtid="{D5CDD505-2E9C-101B-9397-08002B2CF9AE}" pid="12" name="ContentTypeId">
    <vt:lpwstr>0x010100A640DC13EB184F4EBE5AA21BE9F247DB</vt:lpwstr>
  </property>
</Properties>
</file>