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45E68882" w:rsidR="00931C32" w:rsidRPr="0085509F" w:rsidRDefault="3E2CC804" w:rsidP="06503780">
      <w:pPr>
        <w:pStyle w:val="Titlelevel2"/>
        <w:spacing w:before="0"/>
        <w:rPr>
          <w:rFonts w:ascii="Times New Roman" w:hAnsi="Times New Roman" w:cs="Times New Roman"/>
          <w:b/>
          <w:color w:val="auto"/>
          <w:sz w:val="24"/>
        </w:rPr>
      </w:pPr>
      <w:r w:rsidRPr="0085509F">
        <w:rPr>
          <w:rFonts w:ascii="Times New Roman" w:hAnsi="Times New Roman"/>
          <w:b/>
          <w:color w:val="auto"/>
          <w:sz w:val="24"/>
        </w:rPr>
        <w:t xml:space="preserve">Anexa XXX – Tabelele și modelele de publicare a informațiilor privind riscul de piață </w:t>
      </w:r>
      <w:r w:rsidR="00A908F7" w:rsidRPr="0085509F">
        <w:rPr>
          <w:rFonts w:ascii="Times New Roman" w:hAnsi="Times New Roman"/>
          <w:b/>
          <w:color w:val="auto"/>
          <w:sz w:val="24"/>
        </w:rPr>
        <w:t>conform</w:t>
      </w:r>
      <w:r w:rsidRPr="0085509F">
        <w:rPr>
          <w:rFonts w:ascii="Times New Roman" w:hAnsi="Times New Roman"/>
          <w:b/>
          <w:color w:val="auto"/>
          <w:sz w:val="24"/>
        </w:rPr>
        <w:t xml:space="preserve"> abordării standardizate și al abordării interne: Instrucțiuni </w:t>
      </w:r>
    </w:p>
    <w:p w14:paraId="30BCD097" w14:textId="4E7CD1C5"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 xml:space="preserve">Prezenta anexă include instrucțiunile pe care instituțiile trebuie să le urmeze atunci când publică informațiile menționate la articolele </w:t>
      </w:r>
      <w:r w:rsidRPr="0085509F">
        <w:rPr>
          <w:rFonts w:ascii="Times New Roman" w:hAnsi="Times New Roman"/>
          <w:color w:val="auto"/>
          <w:sz w:val="24"/>
        </w:rPr>
        <w:t>435</w:t>
      </w:r>
      <w:r>
        <w:rPr>
          <w:rFonts w:ascii="Times New Roman" w:hAnsi="Times New Roman"/>
          <w:color w:val="auto"/>
          <w:sz w:val="24"/>
        </w:rPr>
        <w:t xml:space="preserve">, </w:t>
      </w:r>
      <w:r w:rsidRPr="0085509F">
        <w:rPr>
          <w:rFonts w:ascii="Times New Roman" w:hAnsi="Times New Roman"/>
          <w:color w:val="auto"/>
          <w:sz w:val="24"/>
        </w:rPr>
        <w:t>445</w:t>
      </w:r>
      <w:r>
        <w:rPr>
          <w:rFonts w:ascii="Times New Roman" w:hAnsi="Times New Roman"/>
          <w:color w:val="auto"/>
          <w:sz w:val="24"/>
        </w:rPr>
        <w:t xml:space="preserve"> și </w:t>
      </w:r>
      <w:r w:rsidRPr="0085509F">
        <w:rPr>
          <w:rFonts w:ascii="Times New Roman" w:hAnsi="Times New Roman"/>
          <w:color w:val="auto"/>
          <w:sz w:val="24"/>
        </w:rPr>
        <w:t>455</w:t>
      </w:r>
      <w:r>
        <w:rPr>
          <w:rFonts w:ascii="Times New Roman" w:hAnsi="Times New Roman"/>
          <w:color w:val="auto"/>
          <w:sz w:val="24"/>
        </w:rPr>
        <w:t xml:space="preserve"> din Regulamentul (UE) nr. </w:t>
      </w:r>
      <w:r w:rsidRPr="0085509F">
        <w:rPr>
          <w:rFonts w:ascii="Times New Roman" w:hAnsi="Times New Roman"/>
          <w:color w:val="auto"/>
          <w:sz w:val="24"/>
        </w:rPr>
        <w:t>575</w:t>
      </w:r>
      <w:r>
        <w:rPr>
          <w:rFonts w:ascii="Times New Roman" w:hAnsi="Times New Roman"/>
          <w:color w:val="auto"/>
          <w:sz w:val="24"/>
        </w:rPr>
        <w:t>/</w:t>
      </w:r>
      <w:r w:rsidRPr="0085509F">
        <w:rPr>
          <w:rFonts w:ascii="Times New Roman" w:hAnsi="Times New Roman"/>
          <w:color w:val="auto"/>
          <w:sz w:val="24"/>
        </w:rPr>
        <w:t>2013</w:t>
      </w:r>
      <w:r w:rsidR="00931C32" w:rsidRPr="00DB0A49">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(„CRR”) pentru completarea tabelelor și a modelelor de publicare a informațiilor privind riscul de piață care figurează în anexa XXIX la soluțiile informatice ale ABE. </w:t>
      </w:r>
    </w:p>
    <w:p w14:paraId="69DA8DE0" w14:textId="77777777" w:rsidR="00931C32" w:rsidRPr="001F1865" w:rsidRDefault="00931C32" w:rsidP="00931C32">
      <w:pPr>
        <w:spacing w:after="240"/>
        <w:jc w:val="both"/>
        <w:rPr>
          <w:rFonts w:ascii="Times New Roman" w:hAnsi="Times New Roman" w:cs="Times New Roman"/>
          <w:sz w:val="24"/>
        </w:rPr>
      </w:pPr>
      <w:r w:rsidRPr="0085509F">
        <w:rPr>
          <w:rFonts w:ascii="Times New Roman" w:hAnsi="Times New Roman"/>
          <w:b/>
          <w:sz w:val="24"/>
        </w:rPr>
        <w:t>Tabelul EU MRA</w:t>
      </w:r>
      <w:r>
        <w:rPr>
          <w:rFonts w:ascii="Times New Roman" w:hAnsi="Times New Roman"/>
          <w:sz w:val="24"/>
        </w:rPr>
        <w:t xml:space="preserve"> </w:t>
      </w:r>
      <w:r w:rsidRPr="0085509F">
        <w:rPr>
          <w:rFonts w:ascii="Times New Roman" w:hAnsi="Times New Roman"/>
          <w:b/>
          <w:sz w:val="24"/>
        </w:rPr>
        <w:t>- Cerințe de publicare a informațiilor calitative privind riscul de piață:</w:t>
      </w:r>
      <w:r>
        <w:rPr>
          <w:rFonts w:ascii="Times New Roman" w:hAnsi="Times New Roman"/>
          <w:sz w:val="24"/>
        </w:rPr>
        <w:t xml:space="preserve"> Rubrici în care se poate introduce text liber</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sidRPr="0085509F">
        <w:rPr>
          <w:rFonts w:ascii="Times New Roman" w:hAnsi="Times New Roman"/>
          <w:color w:val="000000" w:themeColor="text1"/>
          <w:spacing w:val="-2"/>
          <w:sz w:val="24"/>
        </w:rPr>
        <w:t>Instituțiile publică informațiile menționate la articolul 435 alineatul (1) literele (a)-(d)</w:t>
      </w:r>
      <w:r>
        <w:rPr>
          <w:rFonts w:ascii="Times New Roman" w:hAnsi="Times New Roman"/>
          <w:color w:val="000000" w:themeColor="text1"/>
          <w:sz w:val="24"/>
        </w:rPr>
        <w:t xml:space="preserve">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în ceea ce privește riscul de piață urmând instrucțiunile furnizate mai jos în prezenta anexă pentru completarea tabelului EU MRA care figurează în anexa XXIX.</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85509F" w:rsidRDefault="00931C32" w:rsidP="00DE090B">
            <w:pPr>
              <w:spacing w:after="240"/>
              <w:rPr>
                <w:rFonts w:ascii="Times New Roman" w:hAnsi="Times New Roman" w:cs="Times New Roman"/>
                <w:b/>
                <w:sz w:val="24"/>
              </w:rPr>
            </w:pPr>
            <w:r w:rsidRPr="0085509F">
              <w:rPr>
                <w:rFonts w:ascii="Times New Roman" w:hAnsi="Times New Roman"/>
                <w:b/>
                <w:sz w:val="24"/>
              </w:rPr>
              <w:t>Referințe juridice și instrucțiuni</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sidRPr="0085509F">
              <w:rPr>
                <w:rFonts w:ascii="Times New Roman" w:hAnsi="Times New Roman"/>
                <w:b/>
                <w:sz w:val="24"/>
              </w:rPr>
              <w:t>Numărul rândului</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sidRPr="0085509F">
              <w:rPr>
                <w:rFonts w:ascii="Times New Roman" w:hAnsi="Times New Roman"/>
                <w:b/>
                <w:sz w:val="24"/>
              </w:rPr>
              <w:t>Explicație</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(a)</w:t>
            </w:r>
          </w:p>
        </w:tc>
        <w:tc>
          <w:tcPr>
            <w:tcW w:w="7655" w:type="dxa"/>
            <w:vAlign w:val="center"/>
          </w:tcPr>
          <w:p w14:paraId="0ECBECD6" w14:textId="59A2C39A"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 xml:space="preserve">Atunci când publică informațiile menționate la articolul </w:t>
            </w:r>
            <w:r w:rsidRPr="0085509F">
              <w:rPr>
                <w:rFonts w:ascii="Times New Roman" w:hAnsi="Times New Roman"/>
                <w:sz w:val="24"/>
              </w:rPr>
              <w:t>435</w:t>
            </w:r>
            <w:r>
              <w:rPr>
                <w:rFonts w:ascii="Times New Roman" w:hAnsi="Times New Roman"/>
                <w:sz w:val="24"/>
              </w:rPr>
              <w:t xml:space="preserve"> alineatul (</w:t>
            </w:r>
            <w:r w:rsidRPr="0085509F">
              <w:rPr>
                <w:rFonts w:ascii="Times New Roman" w:hAnsi="Times New Roman"/>
                <w:sz w:val="24"/>
              </w:rPr>
              <w:t>1</w:t>
            </w:r>
            <w:r>
              <w:rPr>
                <w:rFonts w:ascii="Times New Roman" w:hAnsi="Times New Roman"/>
                <w:sz w:val="24"/>
              </w:rPr>
              <w:t xml:space="preserve">) literele (a) și (d)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xml:space="preserve"> cu privire la obiectivele și politicile de gestionare a riscurilor pentru riscul de piață, instituțiile includ:</w:t>
            </w:r>
          </w:p>
          <w:p w14:paraId="2954CCD3"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 xml:space="preserve">o explicație a obiectivelor strategice ale conducerii în desfășurarea activităților de tranzacționare; </w:t>
            </w:r>
          </w:p>
          <w:p w14:paraId="28C8AA1E" w14:textId="2D7A10DE" w:rsidR="00DE4020" w:rsidRPr="001F1865" w:rsidRDefault="00EC10EF"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 xml:space="preserve">o descriere a politicilor menționate la articolul </w:t>
            </w:r>
            <w:r w:rsidRPr="0085509F">
              <w:rPr>
                <w:rFonts w:ascii="Times New Roman" w:hAnsi="Times New Roman"/>
                <w:sz w:val="24"/>
              </w:rPr>
              <w:t>104</w:t>
            </w:r>
            <w:r>
              <w:rPr>
                <w:rFonts w:ascii="Times New Roman" w:hAnsi="Times New Roman"/>
                <w:sz w:val="24"/>
              </w:rPr>
              <w:t xml:space="preserve"> alineatul (</w:t>
            </w:r>
            <w:r w:rsidRPr="0085509F">
              <w:rPr>
                <w:rFonts w:ascii="Times New Roman" w:hAnsi="Times New Roman"/>
                <w:sz w:val="24"/>
              </w:rPr>
              <w:t>1</w:t>
            </w:r>
            <w:r>
              <w:rPr>
                <w:rFonts w:ascii="Times New Roman" w:hAnsi="Times New Roman"/>
                <w:sz w:val="24"/>
              </w:rPr>
              <w:t>) pentru determinarea poziției care urmează să fie inclusă în portofoliul de tranzacționare, inclusiv definirea pozițiilor vechi, precum și a politicilor de gestionare a riscurilor pentru monitorizarea pozițiilor respective. În plus, instituțiile descriu cazurile în care instrumentele sunt atribuite portofoliului de tranzacționare sau portofoliului bancar contrar prezumțiilor generale ale categoriei lor de instrumente, incluzând valoarea lor de piață și valoarea justă în astfel de cazuri, precum și orice reclasificare de la un portofoliu la altul survenită de la ultima perioadă de raportare, inclusiv valoarea justă a acestor cazuri și motivul reclasificării;</w:t>
            </w:r>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o descriere a activităților interne de transfer al riscului, inclusiv tipurile de birou intern de transfer al riscurilor;</w:t>
            </w:r>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procesele puse în aplicare pentru identificarea, măsurarea, monitorizarea și controlul riscurilor de piață ale instituției;</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lastRenderedPageBreak/>
              <w:t>politicile de acoperire și de atenuare a riscurilor;</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strategiile și procesele de monitorizare a eficacității continue a acoperirilor împotriva riscurilor.</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lastRenderedPageBreak/>
              <w:t>(b)</w:t>
            </w:r>
          </w:p>
        </w:tc>
        <w:tc>
          <w:tcPr>
            <w:tcW w:w="7655"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sidRPr="0085509F">
              <w:rPr>
                <w:rFonts w:ascii="Times New Roman" w:hAnsi="Times New Roman"/>
                <w:spacing w:val="-4"/>
                <w:sz w:val="24"/>
              </w:rPr>
              <w:t>Atunci când publică informațiile menționate la articolul 435 alineatul (1) litera (b)</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xml:space="preserve"> cu privire la structura și organizarea funcției de gestionare pentru riscul de piață, instituțiile includ:</w:t>
            </w:r>
          </w:p>
          <w:p w14:paraId="15341445" w14:textId="0D70F6B3"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o descriere a structurii de guvernanță a riscului de piață instituite pentru a pune în aplicare strategiile și procesele instituțiilor discutate pe rândul (a) de mai sus, </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o descriere a relațiilor și a mecanismelor de comunicare între diferitele părți implicate în gestionarea riscului de piață.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(c)</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rFonts w:ascii="Times New Roman" w:eastAsia="Times New Roman" w:hAnsi="Times New Roman" w:cs="Times New Roman"/>
                <w:sz w:val="24"/>
              </w:rPr>
            </w:pPr>
            <w:r w:rsidRPr="0085509F">
              <w:rPr>
                <w:rFonts w:ascii="Times New Roman" w:hAnsi="Times New Roman"/>
                <w:spacing w:val="-4"/>
                <w:sz w:val="24"/>
              </w:rPr>
              <w:t>Atunci când publică informațiile menționate la articolul 435 alineatul (1) litera (c)</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xml:space="preserve"> cu privire la sfera de cuprindere și tipul sistemelor de raportare și de măsurare a riscului de piață, instituțiile furnizează o descriere a sferei de cuprindere și a tipului sistemelor de raportare și de măsurare a riscului de piață.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 xml:space="preserve">Atunci când publică informațiile menționate la articolul </w:t>
            </w:r>
            <w:r w:rsidRPr="0085509F">
              <w:rPr>
                <w:rFonts w:ascii="Times New Roman" w:hAnsi="Times New Roman"/>
                <w:sz w:val="24"/>
              </w:rPr>
              <w:t>445</w:t>
            </w:r>
            <w:r>
              <w:rPr>
                <w:rFonts w:ascii="Times New Roman" w:hAnsi="Times New Roman"/>
                <w:sz w:val="24"/>
              </w:rPr>
              <w:t xml:space="preserve"> alineatul (</w:t>
            </w:r>
            <w:r w:rsidRPr="0085509F">
              <w:rPr>
                <w:rFonts w:ascii="Times New Roman" w:hAnsi="Times New Roman"/>
                <w:sz w:val="24"/>
              </w:rPr>
              <w:t>1</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xml:space="preserve"> privind o prezentare generală a pozițiilor din portofoliul de tranzacționare, instituțiile furnizează o descriere de înalt nivel a pozițiilor din portofoliul lor de tranzacționare.</w:t>
            </w:r>
          </w:p>
        </w:tc>
      </w:tr>
    </w:tbl>
    <w:p w14:paraId="0A37501D" w14:textId="5B1DE2AB" w:rsidR="00931C32" w:rsidRPr="0085509F" w:rsidRDefault="00931C32" w:rsidP="06503780">
      <w:pPr>
        <w:pStyle w:val="Titlelevel2"/>
        <w:spacing w:before="0"/>
        <w:rPr>
          <w:rFonts w:ascii="Times New Roman" w:hAnsi="Times New Roman" w:cs="Times New Roman"/>
          <w:b/>
          <w:sz w:val="24"/>
        </w:rPr>
      </w:pPr>
    </w:p>
    <w:p w14:paraId="6A05A809" w14:textId="77777777" w:rsidR="00931C32" w:rsidRPr="0085509F" w:rsidRDefault="00931C32" w:rsidP="00931C32">
      <w:pPr>
        <w:pStyle w:val="Titlelevel2"/>
        <w:spacing w:before="0"/>
        <w:rPr>
          <w:rFonts w:ascii="Times New Roman" w:hAnsi="Times New Roman" w:cs="Times New Roman"/>
          <w:b/>
          <w:color w:val="auto"/>
          <w:sz w:val="24"/>
        </w:rPr>
      </w:pPr>
    </w:p>
    <w:p w14:paraId="21FE8BB6" w14:textId="0765936F" w:rsidR="00931C32" w:rsidRPr="00DB0A49" w:rsidRDefault="4E51ABE0" w:rsidP="00DB0A49">
      <w:pPr>
        <w:spacing w:after="240"/>
        <w:rPr>
          <w:rFonts w:ascii="Times New Roman" w:eastAsia="Times New Roman" w:hAnsi="Times New Roman" w:cs="Times New Roman"/>
          <w:sz w:val="24"/>
        </w:rPr>
      </w:pPr>
      <w:r w:rsidRPr="0085509F">
        <w:rPr>
          <w:rFonts w:ascii="Times New Roman" w:hAnsi="Times New Roman"/>
          <w:b/>
          <w:sz w:val="24"/>
        </w:rPr>
        <w:t>Modelul EU MR1 – Riscul de piață conform abordării standardizate alternative (ASA):</w:t>
      </w:r>
      <w:r>
        <w:rPr>
          <w:rFonts w:ascii="Times New Roman" w:hAnsi="Times New Roman"/>
          <w:sz w:val="24"/>
        </w:rPr>
        <w:t xml:space="preserve"> format fix</w:t>
      </w:r>
    </w:p>
    <w:p w14:paraId="328A3EAE" w14:textId="074E7920"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Instituțiile publică informațiile menționate la articolul </w:t>
      </w:r>
      <w:r w:rsidRPr="0085509F">
        <w:rPr>
          <w:rFonts w:ascii="Times New Roman" w:hAnsi="Times New Roman"/>
          <w:color w:val="000000" w:themeColor="text1"/>
          <w:sz w:val="24"/>
        </w:rPr>
        <w:t>445</w:t>
      </w:r>
      <w:r>
        <w:rPr>
          <w:rFonts w:ascii="Times New Roman" w:hAnsi="Times New Roman"/>
          <w:color w:val="000000" w:themeColor="text1"/>
          <w:sz w:val="24"/>
        </w:rPr>
        <w:t xml:space="preserve"> din Regulamentul (UE) nr.</w:t>
      </w:r>
      <w:r w:rsidR="0085509F">
        <w:rPr>
          <w:rFonts w:ascii="Times New Roman" w:hAnsi="Times New Roman"/>
          <w:color w:val="000000" w:themeColor="text1"/>
          <w:sz w:val="24"/>
        </w:rPr>
        <w:t>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urmând instrucțiunile furnizate mai jos în prezenta anexă pentru completarea modelului EU MR</w:t>
      </w:r>
      <w:r w:rsidRPr="0085509F">
        <w:rPr>
          <w:rFonts w:ascii="Times New Roman" w:hAnsi="Times New Roman"/>
          <w:color w:val="000000" w:themeColor="text1"/>
          <w:sz w:val="24"/>
        </w:rPr>
        <w:t>1</w:t>
      </w:r>
      <w:r>
        <w:rPr>
          <w:rFonts w:ascii="Times New Roman" w:hAnsi="Times New Roman"/>
          <w:color w:val="000000" w:themeColor="text1"/>
          <w:sz w:val="24"/>
        </w:rPr>
        <w:t xml:space="preserve"> care figurează în anexa XXIX. </w:t>
      </w:r>
      <w:r>
        <w:rPr>
          <w:rFonts w:ascii="Times New Roman" w:hAnsi="Times New Roman"/>
          <w:color w:val="auto"/>
          <w:sz w:val="24"/>
        </w:rPr>
        <w:t>Instituțiile nu includ în prezentul model niciun fel de date privind biroul lor intern de transfer al riscurilor (IRT).</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85509F" w:rsidRDefault="06503780" w:rsidP="00DB0A49">
            <w:pPr>
              <w:spacing w:after="240"/>
              <w:rPr>
                <w:rFonts w:ascii="Times New Roman" w:eastAsia="Times New Roman" w:hAnsi="Times New Roman" w:cs="Times New Roman"/>
                <w:b/>
                <w:bCs/>
                <w:sz w:val="24"/>
              </w:rPr>
            </w:pPr>
            <w:r w:rsidRPr="0085509F">
              <w:rPr>
                <w:rFonts w:ascii="Times New Roman" w:hAnsi="Times New Roman"/>
                <w:b/>
                <w:sz w:val="24"/>
              </w:rPr>
              <w:t>Referințe juridice și instrucțiuni</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sidRPr="0085509F">
              <w:rPr>
                <w:rFonts w:ascii="Times New Roman" w:hAnsi="Times New Roman"/>
                <w:b/>
                <w:sz w:val="24"/>
              </w:rPr>
              <w:t>Numărul rândului</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85509F" w:rsidRDefault="06503780" w:rsidP="00DB0A49">
            <w:pPr>
              <w:spacing w:after="240"/>
              <w:rPr>
                <w:rFonts w:ascii="Times New Roman" w:eastAsia="Times New Roman" w:hAnsi="Times New Roman" w:cs="Times New Roman"/>
                <w:b/>
                <w:bCs/>
                <w:sz w:val="24"/>
              </w:rPr>
            </w:pPr>
            <w:r w:rsidRPr="0085509F">
              <w:rPr>
                <w:rFonts w:ascii="Times New Roman" w:hAnsi="Times New Roman"/>
                <w:b/>
                <w:sz w:val="24"/>
              </w:rPr>
              <w:t>Explicație</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85509F" w:rsidRDefault="06503780" w:rsidP="00DB0A49">
            <w:pPr>
              <w:spacing w:after="240"/>
              <w:rPr>
                <w:rFonts w:ascii="Times New Roman" w:eastAsia="Times New Roman" w:hAnsi="Times New Roman" w:cs="Times New Roman"/>
                <w:sz w:val="24"/>
                <w:u w:val="single"/>
              </w:rPr>
            </w:pPr>
            <w:r w:rsidRPr="0085509F">
              <w:rPr>
                <w:rFonts w:ascii="Times New Roman" w:hAnsi="Times New Roman"/>
                <w:b/>
                <w:sz w:val="24"/>
                <w:u w:val="single"/>
              </w:rPr>
              <w:t>Metoda bazată pe sensibilități</w:t>
            </w:r>
            <w:r w:rsidRPr="0085509F">
              <w:rPr>
                <w:rFonts w:ascii="Times New Roman" w:hAnsi="Times New Roman"/>
                <w:sz w:val="24"/>
                <w:u w:val="single"/>
              </w:rPr>
              <w:t xml:space="preserve"> </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 xml:space="preserve">în conformitate cu partea a treia titlul IV capitolul </w:t>
            </w:r>
            <w:r w:rsidRPr="0085509F">
              <w:rPr>
                <w:rFonts w:ascii="Times New Roman" w:hAnsi="Times New Roman"/>
                <w:sz w:val="24"/>
              </w:rPr>
              <w:t>1</w:t>
            </w:r>
            <w:r>
              <w:rPr>
                <w:rFonts w:ascii="Times New Roman" w:hAnsi="Times New Roman"/>
                <w:sz w:val="24"/>
              </w:rPr>
              <w:t xml:space="preserve">a secțiunea </w:t>
            </w:r>
            <w:r w:rsidRPr="0085509F">
              <w:rPr>
                <w:rFonts w:ascii="Times New Roman" w:hAnsi="Times New Roman"/>
                <w:sz w:val="24"/>
              </w:rPr>
              <w:t>2</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85509F">
            <w:pPr>
              <w:keepNext/>
              <w:spacing w:after="240"/>
              <w:jc w:val="center"/>
              <w:rPr>
                <w:rFonts w:ascii="Times New Roman" w:eastAsia="Times New Roman" w:hAnsi="Times New Roman" w:cs="Times New Roman"/>
                <w:szCs w:val="22"/>
              </w:rPr>
            </w:pPr>
            <w:r w:rsidRPr="0085509F">
              <w:rPr>
                <w:rFonts w:ascii="Times New Roman" w:hAnsi="Times New Roman"/>
              </w:rPr>
              <w:lastRenderedPageBreak/>
              <w:t>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85509F" w:rsidRDefault="06503780" w:rsidP="00DB0A49">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Riscul general de rată a dobânzii (GIRR)</w:t>
            </w:r>
          </w:p>
          <w:p w14:paraId="7CFD9A05" w14:textId="08877C85"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(a) și cu articolul </w:t>
            </w:r>
            <w:r w:rsidRPr="0085509F">
              <w:rPr>
                <w:rFonts w:ascii="Times New Roman" w:hAnsi="Times New Roman"/>
                <w:sz w:val="24"/>
              </w:rPr>
              <w:t>325</w:t>
            </w:r>
            <w:r>
              <w:rPr>
                <w:rFonts w:ascii="Times New Roman" w:hAnsi="Times New Roman"/>
                <w:sz w:val="24"/>
              </w:rPr>
              <w:t xml:space="preserve">d punctul </w:t>
            </w:r>
            <w:r w:rsidRPr="0085509F">
              <w:rPr>
                <w:rFonts w:ascii="Times New Roman" w:hAnsi="Times New Roman"/>
                <w:sz w:val="24"/>
              </w:rPr>
              <w:t>1</w:t>
            </w:r>
            <w:r>
              <w:rPr>
                <w:rFonts w:ascii="Times New Roman" w:hAnsi="Times New Roman"/>
                <w:sz w:val="24"/>
              </w:rPr>
              <w:t xml:space="preserve"> subpunctul (i)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sidRPr="0085509F">
              <w:rPr>
                <w:rFonts w:ascii="Times New Roman" w:hAnsi="Times New Roman"/>
              </w:rPr>
              <w:t>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85509F" w:rsidRDefault="006852CB" w:rsidP="006852CB">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Riscul privind titlurile de capital (EQU)</w:t>
            </w:r>
          </w:p>
          <w:p w14:paraId="7FA49EA1" w14:textId="72B40A8D" w:rsidR="006852CB" w:rsidRPr="0085509F"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(a) și cu articolul </w:t>
            </w:r>
            <w:r w:rsidRPr="0085509F">
              <w:rPr>
                <w:rFonts w:ascii="Times New Roman" w:hAnsi="Times New Roman"/>
                <w:sz w:val="24"/>
              </w:rPr>
              <w:t>325</w:t>
            </w:r>
            <w:r>
              <w:rPr>
                <w:rFonts w:ascii="Times New Roman" w:hAnsi="Times New Roman"/>
                <w:sz w:val="24"/>
              </w:rPr>
              <w:t xml:space="preserve">d punctul </w:t>
            </w:r>
            <w:r w:rsidRPr="0085509F">
              <w:rPr>
                <w:rFonts w:ascii="Times New Roman" w:hAnsi="Times New Roman"/>
                <w:sz w:val="24"/>
              </w:rPr>
              <w:t>1</w:t>
            </w:r>
            <w:r>
              <w:rPr>
                <w:rFonts w:ascii="Times New Roman" w:hAnsi="Times New Roman"/>
                <w:sz w:val="24"/>
              </w:rPr>
              <w:t xml:space="preserve"> subpunctul (v)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sidRPr="0085509F">
              <w:rPr>
                <w:rFonts w:ascii="Times New Roman" w:hAnsi="Times New Roman"/>
              </w:rPr>
              <w:t>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85509F" w:rsidRDefault="006852CB" w:rsidP="006852CB">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Riscul de marfă (COM)</w:t>
            </w:r>
          </w:p>
          <w:p w14:paraId="2EF1141F" w14:textId="6573588B" w:rsidR="006852CB" w:rsidRPr="0085509F"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(a) și cu articolul </w:t>
            </w:r>
            <w:r w:rsidRPr="0085509F">
              <w:rPr>
                <w:rFonts w:ascii="Times New Roman" w:hAnsi="Times New Roman"/>
                <w:sz w:val="24"/>
              </w:rPr>
              <w:t>325</w:t>
            </w:r>
            <w:r>
              <w:rPr>
                <w:rFonts w:ascii="Times New Roman" w:hAnsi="Times New Roman"/>
                <w:sz w:val="24"/>
              </w:rPr>
              <w:t xml:space="preserve">d punctul </w:t>
            </w:r>
            <w:r w:rsidRPr="0085509F">
              <w:rPr>
                <w:rFonts w:ascii="Times New Roman" w:hAnsi="Times New Roman"/>
                <w:sz w:val="24"/>
              </w:rPr>
              <w:t>1</w:t>
            </w:r>
            <w:r>
              <w:rPr>
                <w:rFonts w:ascii="Times New Roman" w:hAnsi="Times New Roman"/>
                <w:sz w:val="24"/>
              </w:rPr>
              <w:t xml:space="preserve"> subpunctul (vi)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sidRPr="0085509F">
              <w:rPr>
                <w:rFonts w:ascii="Times New Roman" w:hAnsi="Times New Roman"/>
              </w:rPr>
              <w:t>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85509F" w:rsidRDefault="006852CB" w:rsidP="006852CB">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Riscul valutar (FX)</w:t>
            </w:r>
          </w:p>
          <w:p w14:paraId="4E899697" w14:textId="1EDAE9C1" w:rsidR="006852CB" w:rsidRPr="0085509F"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(a) și cu articolul </w:t>
            </w:r>
            <w:r w:rsidRPr="0085509F">
              <w:rPr>
                <w:rFonts w:ascii="Times New Roman" w:hAnsi="Times New Roman"/>
                <w:sz w:val="24"/>
              </w:rPr>
              <w:t>325</w:t>
            </w:r>
            <w:r>
              <w:rPr>
                <w:rFonts w:ascii="Times New Roman" w:hAnsi="Times New Roman"/>
                <w:sz w:val="24"/>
              </w:rPr>
              <w:t xml:space="preserve">d punctul </w:t>
            </w:r>
            <w:r w:rsidRPr="0085509F">
              <w:rPr>
                <w:rFonts w:ascii="Times New Roman" w:hAnsi="Times New Roman"/>
                <w:sz w:val="24"/>
              </w:rPr>
              <w:t>1</w:t>
            </w:r>
            <w:r>
              <w:rPr>
                <w:rFonts w:ascii="Times New Roman" w:hAnsi="Times New Roman"/>
                <w:sz w:val="24"/>
              </w:rPr>
              <w:t xml:space="preserve"> subpunctul (vii)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sidRPr="0085509F">
              <w:rPr>
                <w:rFonts w:ascii="Times New Roman" w:hAnsi="Times New Roman"/>
              </w:rPr>
              <w:t>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85509F" w:rsidRDefault="06503780" w:rsidP="00DB0A49">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Riscul de marjă de credit pentru instrumentele care nu sunt poziții din securitizare (CSR)</w:t>
            </w:r>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(a) și cu articolul </w:t>
            </w:r>
            <w:r w:rsidRPr="0085509F">
              <w:rPr>
                <w:rFonts w:ascii="Times New Roman" w:hAnsi="Times New Roman"/>
                <w:sz w:val="24"/>
              </w:rPr>
              <w:t>325</w:t>
            </w:r>
            <w:r>
              <w:rPr>
                <w:rFonts w:ascii="Times New Roman" w:hAnsi="Times New Roman"/>
                <w:sz w:val="24"/>
              </w:rPr>
              <w:t xml:space="preserve">d punctul </w:t>
            </w:r>
            <w:r w:rsidRPr="0085509F">
              <w:rPr>
                <w:rFonts w:ascii="Times New Roman" w:hAnsi="Times New Roman"/>
                <w:sz w:val="24"/>
              </w:rPr>
              <w:t>1</w:t>
            </w:r>
            <w:r>
              <w:rPr>
                <w:rFonts w:ascii="Times New Roman" w:hAnsi="Times New Roman"/>
                <w:sz w:val="24"/>
              </w:rPr>
              <w:t xml:space="preserve"> subpunctul (ii)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sidRPr="0085509F">
              <w:rPr>
                <w:rFonts w:ascii="Times New Roman" w:hAnsi="Times New Roman"/>
              </w:rPr>
              <w:t>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85509F" w:rsidRDefault="06503780" w:rsidP="00DB0A49">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Riscul de marjă de credit din securitizarea din afara portofoliului de tranzacționare pe bază de corelație alternativ (CSR neinclus în ACTP)</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(a) și cu articolul </w:t>
            </w:r>
            <w:r w:rsidRPr="0085509F">
              <w:rPr>
                <w:rFonts w:ascii="Times New Roman" w:hAnsi="Times New Roman"/>
                <w:sz w:val="24"/>
              </w:rPr>
              <w:t>325</w:t>
            </w:r>
            <w:r>
              <w:rPr>
                <w:rFonts w:ascii="Times New Roman" w:hAnsi="Times New Roman"/>
                <w:sz w:val="24"/>
              </w:rPr>
              <w:t xml:space="preserve">d punctul </w:t>
            </w:r>
            <w:r w:rsidRPr="0085509F">
              <w:rPr>
                <w:rFonts w:ascii="Times New Roman" w:hAnsi="Times New Roman"/>
                <w:sz w:val="24"/>
              </w:rPr>
              <w:t>1</w:t>
            </w:r>
            <w:r>
              <w:rPr>
                <w:rFonts w:ascii="Times New Roman" w:hAnsi="Times New Roman"/>
                <w:sz w:val="24"/>
              </w:rPr>
              <w:t xml:space="preserve"> subpunctul (iii)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sidRPr="0085509F">
              <w:rPr>
                <w:rFonts w:ascii="Times New Roman" w:hAnsi="Times New Roman"/>
              </w:rPr>
              <w:t>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85509F" w:rsidRDefault="06503780" w:rsidP="00DB0A49">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Riscul de marjă de credit din securitizarea inclusă în portofoliul de tranzacționare pe bază de corelație alternativ (CSR inclus în ACTP)</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(a) și cu articolul </w:t>
            </w:r>
            <w:r w:rsidRPr="0085509F">
              <w:rPr>
                <w:rFonts w:ascii="Times New Roman" w:hAnsi="Times New Roman"/>
                <w:sz w:val="24"/>
              </w:rPr>
              <w:t>325</w:t>
            </w:r>
            <w:r>
              <w:rPr>
                <w:rFonts w:ascii="Times New Roman" w:hAnsi="Times New Roman"/>
                <w:sz w:val="24"/>
              </w:rPr>
              <w:t xml:space="preserve">d punctul </w:t>
            </w:r>
            <w:r w:rsidRPr="0085509F">
              <w:rPr>
                <w:rFonts w:ascii="Times New Roman" w:hAnsi="Times New Roman"/>
                <w:sz w:val="24"/>
              </w:rPr>
              <w:t>1</w:t>
            </w:r>
            <w:r>
              <w:rPr>
                <w:rFonts w:ascii="Times New Roman" w:hAnsi="Times New Roman"/>
                <w:sz w:val="24"/>
              </w:rPr>
              <w:t xml:space="preserve"> subpunctul (iv)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85509F" w:rsidRDefault="06503780" w:rsidP="00DB0A49">
            <w:pPr>
              <w:spacing w:after="240"/>
              <w:rPr>
                <w:rFonts w:ascii="Times New Roman" w:eastAsia="Times New Roman" w:hAnsi="Times New Roman" w:cs="Times New Roman"/>
                <w:b/>
                <w:bCs/>
                <w:sz w:val="24"/>
                <w:u w:val="single"/>
              </w:rPr>
            </w:pPr>
            <w:r w:rsidRPr="0085509F">
              <w:rPr>
                <w:rFonts w:ascii="Times New Roman" w:hAnsi="Times New Roman"/>
                <w:b/>
                <w:sz w:val="24"/>
                <w:u w:val="single"/>
              </w:rPr>
              <w:t>Riscul de nerambursare</w:t>
            </w:r>
          </w:p>
          <w:p w14:paraId="50AC8B96" w14:textId="24D7EC8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 xml:space="preserve">în conformitate cu partea a treia titlul IV capitolul </w:t>
            </w:r>
            <w:r w:rsidRPr="0085509F">
              <w:rPr>
                <w:rFonts w:ascii="Times New Roman" w:hAnsi="Times New Roman"/>
                <w:sz w:val="24"/>
              </w:rPr>
              <w:t>1</w:t>
            </w:r>
            <w:r>
              <w:rPr>
                <w:rFonts w:ascii="Times New Roman" w:hAnsi="Times New Roman"/>
                <w:sz w:val="24"/>
              </w:rPr>
              <w:t xml:space="preserve">a secțiunea </w:t>
            </w:r>
            <w:r w:rsidRPr="0085509F">
              <w:rPr>
                <w:rFonts w:ascii="Times New Roman" w:hAnsi="Times New Roman"/>
                <w:sz w:val="24"/>
              </w:rPr>
              <w:t>5</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sidRPr="0085509F">
              <w:rPr>
                <w:rFonts w:ascii="Times New Roman" w:hAnsi="Times New Roman"/>
              </w:rPr>
              <w:t>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85509F" w:rsidRDefault="06503780" w:rsidP="00DB0A49">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Instrumente care nu sunt poziții din securitizare</w:t>
            </w:r>
          </w:p>
          <w:p w14:paraId="6E07A74F" w14:textId="60055B48"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(a) și cu partea a treia titlul IV capitolul </w:t>
            </w:r>
            <w:r w:rsidRPr="0085509F">
              <w:rPr>
                <w:rFonts w:ascii="Times New Roman" w:hAnsi="Times New Roman"/>
                <w:sz w:val="24"/>
              </w:rPr>
              <w:t>1</w:t>
            </w:r>
            <w:r>
              <w:rPr>
                <w:rFonts w:ascii="Times New Roman" w:hAnsi="Times New Roman"/>
                <w:sz w:val="24"/>
              </w:rPr>
              <w:t xml:space="preserve">a secțiunea </w:t>
            </w:r>
            <w:r w:rsidRPr="0085509F">
              <w:rPr>
                <w:rFonts w:ascii="Times New Roman" w:hAnsi="Times New Roman"/>
                <w:sz w:val="24"/>
              </w:rPr>
              <w:t>5</w:t>
            </w:r>
            <w:r>
              <w:rPr>
                <w:rFonts w:ascii="Times New Roman" w:hAnsi="Times New Roman"/>
                <w:sz w:val="24"/>
              </w:rPr>
              <w:t xml:space="preserve"> subsecțiunea </w:t>
            </w:r>
            <w:r w:rsidRPr="0085509F">
              <w:rPr>
                <w:rFonts w:ascii="Times New Roman" w:hAnsi="Times New Roman"/>
                <w:sz w:val="24"/>
              </w:rPr>
              <w:t>1</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sidRPr="0085509F">
              <w:rPr>
                <w:rFonts w:ascii="Times New Roman" w:hAnsi="Times New Roman"/>
              </w:rPr>
              <w:lastRenderedPageBreak/>
              <w:t>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85509F" w:rsidRDefault="06503780" w:rsidP="00DB0A49">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Securitizări care nu sunt incluse în portofoliul de tranzacționare pe bază de corelație alternativ (neincluse în ACTP)</w:t>
            </w:r>
          </w:p>
          <w:p w14:paraId="093A58C5" w14:textId="0BD66CFC"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(b) și cu partea a treia titlul IV capitolul </w:t>
            </w:r>
            <w:r w:rsidRPr="0085509F">
              <w:rPr>
                <w:rFonts w:ascii="Times New Roman" w:hAnsi="Times New Roman"/>
                <w:sz w:val="24"/>
              </w:rPr>
              <w:t>1</w:t>
            </w:r>
            <w:r>
              <w:rPr>
                <w:rFonts w:ascii="Times New Roman" w:hAnsi="Times New Roman"/>
                <w:sz w:val="24"/>
              </w:rPr>
              <w:t xml:space="preserve">a secțiunea </w:t>
            </w:r>
            <w:r w:rsidRPr="0085509F">
              <w:rPr>
                <w:rFonts w:ascii="Times New Roman" w:hAnsi="Times New Roman"/>
                <w:sz w:val="24"/>
              </w:rPr>
              <w:t>5</w:t>
            </w:r>
            <w:r>
              <w:rPr>
                <w:rFonts w:ascii="Times New Roman" w:hAnsi="Times New Roman"/>
                <w:sz w:val="24"/>
              </w:rPr>
              <w:t xml:space="preserve"> subsecțiunea </w:t>
            </w:r>
            <w:r w:rsidRPr="0085509F">
              <w:rPr>
                <w:rFonts w:ascii="Times New Roman" w:hAnsi="Times New Roman"/>
                <w:sz w:val="24"/>
              </w:rPr>
              <w:t>2</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sidRPr="0085509F">
              <w:rPr>
                <w:rFonts w:ascii="Times New Roman" w:hAnsi="Times New Roman"/>
              </w:rPr>
              <w:t>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85509F" w:rsidRDefault="06503780" w:rsidP="00DB0A49">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Securitizări incluse în portofoliul de tranzacționare pe bază de corelație alternativ (ACTP)</w:t>
            </w:r>
          </w:p>
          <w:p w14:paraId="4F126C34" w14:textId="2E83A436"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(b) și cu partea a treia titlul IV capitolul </w:t>
            </w:r>
            <w:r w:rsidRPr="0085509F">
              <w:rPr>
                <w:rFonts w:ascii="Times New Roman" w:hAnsi="Times New Roman"/>
                <w:sz w:val="24"/>
              </w:rPr>
              <w:t>1</w:t>
            </w:r>
            <w:r>
              <w:rPr>
                <w:rFonts w:ascii="Times New Roman" w:hAnsi="Times New Roman"/>
                <w:sz w:val="24"/>
              </w:rPr>
              <w:t xml:space="preserve">a secțiunea </w:t>
            </w:r>
            <w:r w:rsidRPr="0085509F">
              <w:rPr>
                <w:rFonts w:ascii="Times New Roman" w:hAnsi="Times New Roman"/>
                <w:sz w:val="24"/>
              </w:rPr>
              <w:t>5</w:t>
            </w:r>
            <w:r>
              <w:rPr>
                <w:rFonts w:ascii="Times New Roman" w:hAnsi="Times New Roman"/>
                <w:sz w:val="24"/>
              </w:rPr>
              <w:t xml:space="preserve"> subsecțiunea </w:t>
            </w:r>
            <w:r w:rsidRPr="0085509F">
              <w:rPr>
                <w:rFonts w:ascii="Times New Roman" w:hAnsi="Times New Roman"/>
                <w:sz w:val="24"/>
              </w:rPr>
              <w:t>3</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85509F" w:rsidRDefault="06503780" w:rsidP="00DB0A49">
            <w:pPr>
              <w:spacing w:after="240"/>
              <w:rPr>
                <w:rFonts w:ascii="Times New Roman" w:eastAsia="Times New Roman" w:hAnsi="Times New Roman" w:cs="Times New Roman"/>
                <w:b/>
                <w:bCs/>
                <w:sz w:val="24"/>
                <w:u w:val="single"/>
              </w:rPr>
            </w:pPr>
            <w:r w:rsidRPr="0085509F">
              <w:rPr>
                <w:rFonts w:ascii="Times New Roman" w:hAnsi="Times New Roman"/>
                <w:b/>
                <w:sz w:val="24"/>
                <w:u w:val="single"/>
              </w:rPr>
              <w:t>Riscul rezidual</w:t>
            </w:r>
          </w:p>
          <w:p w14:paraId="3E3A6F03" w14:textId="79E4D5E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 xml:space="preserve">partea a treia titlul IV capitolul </w:t>
            </w:r>
            <w:r w:rsidRPr="0085509F">
              <w:rPr>
                <w:rFonts w:ascii="Times New Roman" w:hAnsi="Times New Roman"/>
                <w:sz w:val="24"/>
              </w:rPr>
              <w:t>1</w:t>
            </w:r>
            <w:r>
              <w:rPr>
                <w:rFonts w:ascii="Times New Roman" w:hAnsi="Times New Roman"/>
                <w:sz w:val="24"/>
              </w:rPr>
              <w:t xml:space="preserve">a secțiunea </w:t>
            </w:r>
            <w:r w:rsidRPr="0085509F">
              <w:rPr>
                <w:rFonts w:ascii="Times New Roman" w:hAnsi="Times New Roman"/>
                <w:sz w:val="24"/>
              </w:rPr>
              <w:t>4</w:t>
            </w:r>
            <w:r>
              <w:rPr>
                <w:rFonts w:ascii="Times New Roman" w:hAnsi="Times New Roman"/>
                <w:sz w:val="24"/>
              </w:rPr>
              <w:t xml:space="preserve"> din Regulamentul (UE) nr.</w:t>
            </w:r>
            <w:r w:rsidR="0085509F">
              <w:rPr>
                <w:rFonts w:ascii="Times New Roman" w:hAnsi="Times New Roman"/>
                <w:sz w:val="24"/>
              </w:rPr>
              <w:t>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 xml:space="preserve">EU </w:t>
            </w:r>
            <w:r w:rsidRPr="0085509F">
              <w:rPr>
                <w:rFonts w:ascii="Times New Roman" w:hAnsi="Times New Roman"/>
              </w:rPr>
              <w:t>11</w:t>
            </w:r>
            <w:r>
              <w:rPr>
                <w:rFonts w:ascii="Times New Roman" w:hAnsi="Times New Roman"/>
              </w:rPr>
              <w:t>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85509F" w:rsidRDefault="06503780" w:rsidP="00DB0A49">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Instrumente-suport exotice</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(c) și cu articolul </w:t>
            </w:r>
            <w:r w:rsidRPr="0085509F">
              <w:rPr>
                <w:rFonts w:ascii="Times New Roman" w:hAnsi="Times New Roman"/>
                <w:sz w:val="24"/>
              </w:rPr>
              <w:t>325</w:t>
            </w:r>
            <w:r>
              <w:rPr>
                <w:rFonts w:ascii="Times New Roman" w:hAnsi="Times New Roman"/>
                <w:sz w:val="24"/>
              </w:rPr>
              <w:t>u alineatul (</w:t>
            </w:r>
            <w:r w:rsidRPr="0085509F">
              <w:rPr>
                <w:rFonts w:ascii="Times New Roman" w:hAnsi="Times New Roman"/>
                <w:sz w:val="24"/>
              </w:rPr>
              <w:t>2</w:t>
            </w:r>
            <w:r>
              <w:rPr>
                <w:rFonts w:ascii="Times New Roman" w:hAnsi="Times New Roman"/>
                <w:sz w:val="24"/>
              </w:rPr>
              <w:t xml:space="preserve">) litera (a)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 xml:space="preserve">EU </w:t>
            </w:r>
            <w:r w:rsidRPr="0085509F">
              <w:rPr>
                <w:rFonts w:ascii="Times New Roman" w:hAnsi="Times New Roman"/>
              </w:rPr>
              <w:t>11</w:t>
            </w:r>
            <w:r>
              <w:rPr>
                <w:rFonts w:ascii="Times New Roman" w:hAnsi="Times New Roman"/>
              </w:rPr>
              <w:t>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85509F" w:rsidRDefault="06503780" w:rsidP="00DB0A49">
            <w:pPr>
              <w:spacing w:before="120" w:after="120" w:line="257" w:lineRule="auto"/>
              <w:rPr>
                <w:rFonts w:ascii="Times New Roman" w:eastAsia="Times New Roman" w:hAnsi="Times New Roman" w:cs="Times New Roman"/>
                <w:b/>
                <w:bCs/>
                <w:sz w:val="24"/>
              </w:rPr>
            </w:pPr>
            <w:r w:rsidRPr="0085509F">
              <w:rPr>
                <w:rFonts w:ascii="Times New Roman" w:hAnsi="Times New Roman"/>
                <w:b/>
                <w:sz w:val="24"/>
              </w:rPr>
              <w:t>Alte riscuri reziduale</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 xml:space="preserve">în conformitate cu articolul </w:t>
            </w:r>
            <w:r w:rsidRPr="0085509F">
              <w:rPr>
                <w:rFonts w:ascii="Times New Roman" w:hAnsi="Times New Roman"/>
                <w:sz w:val="24"/>
              </w:rPr>
              <w:t>325</w:t>
            </w:r>
            <w:r>
              <w:rPr>
                <w:rFonts w:ascii="Times New Roman" w:hAnsi="Times New Roman"/>
                <w:sz w:val="24"/>
              </w:rPr>
              <w:t>c alineatul (</w:t>
            </w:r>
            <w:r w:rsidRPr="0085509F">
              <w:rPr>
                <w:rFonts w:ascii="Times New Roman" w:hAnsi="Times New Roman"/>
                <w:sz w:val="24"/>
              </w:rPr>
              <w:t>2</w:t>
            </w:r>
            <w:r>
              <w:rPr>
                <w:rFonts w:ascii="Times New Roman" w:hAnsi="Times New Roman"/>
                <w:sz w:val="24"/>
              </w:rPr>
              <w:t xml:space="preserve">) litera (c) și cu articolul </w:t>
            </w:r>
            <w:r w:rsidRPr="0085509F">
              <w:rPr>
                <w:rFonts w:ascii="Times New Roman" w:hAnsi="Times New Roman"/>
                <w:sz w:val="24"/>
              </w:rPr>
              <w:t>325</w:t>
            </w:r>
            <w:r>
              <w:rPr>
                <w:rFonts w:ascii="Times New Roman" w:hAnsi="Times New Roman"/>
                <w:sz w:val="24"/>
              </w:rPr>
              <w:t>u alineatul (</w:t>
            </w:r>
            <w:r w:rsidRPr="0085509F">
              <w:rPr>
                <w:rFonts w:ascii="Times New Roman" w:hAnsi="Times New Roman"/>
                <w:sz w:val="24"/>
              </w:rPr>
              <w:t>2</w:t>
            </w:r>
            <w:r>
              <w:rPr>
                <w:rFonts w:ascii="Times New Roman" w:hAnsi="Times New Roman"/>
                <w:sz w:val="24"/>
              </w:rPr>
              <w:t xml:space="preserve">) litera (b)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sidRPr="0085509F">
              <w:rPr>
                <w:rFonts w:ascii="Times New Roman" w:hAnsi="Times New Roman"/>
              </w:rPr>
              <w:t>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85509F" w:rsidRDefault="224E1E9F" w:rsidP="00DB0A49">
            <w:pPr>
              <w:spacing w:after="240"/>
              <w:rPr>
                <w:rFonts w:ascii="Times New Roman" w:eastAsia="Times New Roman" w:hAnsi="Times New Roman" w:cs="Times New Roman"/>
                <w:b/>
                <w:bCs/>
                <w:sz w:val="24"/>
                <w:u w:val="single"/>
              </w:rPr>
            </w:pPr>
            <w:r w:rsidRPr="0085509F">
              <w:rPr>
                <w:rFonts w:ascii="Times New Roman" w:hAnsi="Times New Roman"/>
                <w:b/>
                <w:sz w:val="24"/>
                <w:u w:val="single"/>
              </w:rPr>
              <w:t>Total cerințe de fonduri proprii (OFR)</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 xml:space="preserve">Suma rândurilor </w:t>
            </w:r>
            <w:r w:rsidRPr="0085509F">
              <w:rPr>
                <w:rFonts w:ascii="Times New Roman" w:hAnsi="Times New Roman"/>
                <w:sz w:val="24"/>
              </w:rPr>
              <w:t>1</w:t>
            </w:r>
            <w:r>
              <w:rPr>
                <w:rFonts w:ascii="Times New Roman" w:hAnsi="Times New Roman"/>
                <w:sz w:val="24"/>
              </w:rPr>
              <w:t>-EU</w:t>
            </w:r>
            <w:r w:rsidRPr="0085509F">
              <w:rPr>
                <w:rFonts w:ascii="Times New Roman" w:hAnsi="Times New Roman"/>
                <w:sz w:val="24"/>
              </w:rPr>
              <w:t>11</w:t>
            </w:r>
            <w:r>
              <w:rPr>
                <w:rFonts w:ascii="Times New Roman" w:hAnsi="Times New Roman"/>
                <w:sz w:val="24"/>
              </w:rPr>
              <w:t>b.</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rFonts w:ascii="Times New Roman" w:eastAsia="Times New Roman" w:hAnsi="Times New Roman" w:cs="Times New Roman"/>
                <w:b/>
                <w:bCs/>
                <w:sz w:val="24"/>
              </w:rPr>
            </w:pPr>
            <w:r w:rsidRPr="0085509F">
              <w:rPr>
                <w:rFonts w:ascii="Times New Roman" w:hAnsi="Times New Roman"/>
                <w:b/>
                <w:sz w:val="24"/>
              </w:rPr>
              <w:t>Litera coloanei</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85509F" w:rsidRDefault="06503780" w:rsidP="00DB0A49">
            <w:pPr>
              <w:spacing w:after="240"/>
              <w:rPr>
                <w:rFonts w:ascii="Times New Roman" w:eastAsia="Times New Roman" w:hAnsi="Times New Roman" w:cs="Times New Roman"/>
                <w:b/>
                <w:bCs/>
                <w:sz w:val="24"/>
              </w:rPr>
            </w:pPr>
            <w:r w:rsidRPr="0085509F">
              <w:rPr>
                <w:rFonts w:ascii="Times New Roman" w:hAnsi="Times New Roman"/>
                <w:b/>
                <w:sz w:val="24"/>
              </w:rPr>
              <w:t>Explicație</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85509F" w:rsidRDefault="01DFB7EB" w:rsidP="06503780">
            <w:pPr>
              <w:spacing w:after="240"/>
              <w:rPr>
                <w:rFonts w:ascii="Times New Roman" w:eastAsia="Times New Roman" w:hAnsi="Times New Roman" w:cs="Times New Roman"/>
                <w:b/>
                <w:bCs/>
                <w:sz w:val="24"/>
                <w:u w:val="single"/>
              </w:rPr>
            </w:pPr>
            <w:r w:rsidRPr="0085509F">
              <w:rPr>
                <w:rFonts w:ascii="Times New Roman" w:hAnsi="Times New Roman"/>
                <w:b/>
                <w:sz w:val="24"/>
                <w:u w:val="single"/>
              </w:rPr>
              <w:t>Total cerințe de fonduri proprii (OFR)</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249F64A" w:rsidR="517DDA85" w:rsidRPr="001F1865" w:rsidRDefault="02A66E37" w:rsidP="72461198">
            <w:pPr>
              <w:rPr>
                <w:rFonts w:ascii="Times New Roman" w:eastAsia="Times New Roman" w:hAnsi="Times New Roman" w:cs="Times New Roman"/>
                <w:sz w:val="24"/>
              </w:rPr>
            </w:pPr>
            <w:r>
              <w:rPr>
                <w:rFonts w:ascii="Times New Roman" w:hAnsi="Times New Roman"/>
                <w:sz w:val="24"/>
              </w:rPr>
              <w:t xml:space="preserve">Publicarea cerințelor de fonduri proprii menționate la articolul </w:t>
            </w:r>
            <w:r w:rsidRPr="0085509F">
              <w:rPr>
                <w:rFonts w:ascii="Times New Roman" w:hAnsi="Times New Roman"/>
                <w:sz w:val="24"/>
              </w:rPr>
              <w:t>438</w:t>
            </w:r>
            <w:r>
              <w:rPr>
                <w:rFonts w:ascii="Times New Roman" w:hAnsi="Times New Roman"/>
                <w:sz w:val="24"/>
              </w:rPr>
              <w:t xml:space="preserve"> litera</w:t>
            </w:r>
            <w:r w:rsidR="0085509F">
              <w:rPr>
                <w:rFonts w:ascii="Times New Roman" w:hAnsi="Times New Roman"/>
                <w:sz w:val="24"/>
              </w:rPr>
              <w:t> </w:t>
            </w:r>
            <w:r>
              <w:rPr>
                <w:rFonts w:ascii="Times New Roman" w:hAnsi="Times New Roman"/>
                <w:sz w:val="24"/>
              </w:rPr>
              <w:t xml:space="preserve">(d) din </w:t>
            </w:r>
            <w:r>
              <w:rPr>
                <w:rFonts w:ascii="Times New Roman" w:hAnsi="Times New Roman"/>
                <w:color w:val="000000" w:themeColor="text1"/>
                <w:sz w:val="24"/>
              </w:rPr>
              <w:t xml:space="preserve">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sz w:val="24"/>
              </w:rPr>
              <w:t xml:space="preserve">, calculată ca suma simplă a cuantumurilor de mai sus de pe rândurile </w:t>
            </w:r>
            <w:r w:rsidRPr="0085509F">
              <w:rPr>
                <w:rFonts w:ascii="Times New Roman" w:hAnsi="Times New Roman"/>
                <w:sz w:val="24"/>
              </w:rPr>
              <w:t>1</w:t>
            </w:r>
            <w:r>
              <w:rPr>
                <w:rFonts w:ascii="Times New Roman" w:hAnsi="Times New Roman"/>
                <w:sz w:val="24"/>
              </w:rPr>
              <w:t xml:space="preserve">-UE </w:t>
            </w:r>
            <w:r w:rsidRPr="0085509F">
              <w:rPr>
                <w:rFonts w:ascii="Times New Roman" w:hAnsi="Times New Roman"/>
                <w:sz w:val="24"/>
              </w:rPr>
              <w:t>11</w:t>
            </w:r>
            <w:r>
              <w:rPr>
                <w:rFonts w:ascii="Times New Roman" w:hAnsi="Times New Roman"/>
                <w:sz w:val="24"/>
              </w:rPr>
              <w:t>b.</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85509F" w:rsidRDefault="00931C32" w:rsidP="00931C32">
      <w:pPr>
        <w:spacing w:after="240"/>
        <w:rPr>
          <w:rFonts w:ascii="Times New Roman" w:hAnsi="Times New Roman" w:cs="Times New Roman"/>
          <w:b/>
          <w:sz w:val="24"/>
        </w:rPr>
      </w:pPr>
    </w:p>
    <w:p w14:paraId="49AD8C16" w14:textId="467238F4" w:rsidR="00931C32" w:rsidRPr="0085509F" w:rsidRDefault="00931C32" w:rsidP="48484374">
      <w:pPr>
        <w:spacing w:after="240"/>
        <w:rPr>
          <w:rFonts w:ascii="Times New Roman" w:hAnsi="Times New Roman" w:cs="Times New Roman"/>
          <w:b/>
          <w:bCs/>
          <w:sz w:val="24"/>
        </w:rPr>
      </w:pPr>
      <w:r w:rsidRPr="0085509F">
        <w:rPr>
          <w:rFonts w:ascii="Times New Roman" w:hAnsi="Times New Roman"/>
          <w:b/>
          <w:sz w:val="24"/>
        </w:rPr>
        <w:t>Tabelul EU MRB: Cerințe de publicare a informațiilor calitative pentru instituțiile care utilizează abordarea alternativă bazată pe modele interne</w:t>
      </w:r>
      <w:r>
        <w:rPr>
          <w:rFonts w:ascii="Times New Roman" w:hAnsi="Times New Roman"/>
          <w:sz w:val="24"/>
        </w:rPr>
        <w:t>: format în care se poate introduce text liber</w:t>
      </w:r>
    </w:p>
    <w:p w14:paraId="32EDF34C" w14:textId="442D1C01" w:rsidR="00931C32" w:rsidRPr="0085509F"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lastRenderedPageBreak/>
        <w:t xml:space="preserve">Instituțiile publică informațiile menționate la articolul </w:t>
      </w:r>
      <w:r w:rsidRPr="0085509F">
        <w:rPr>
          <w:rFonts w:ascii="Times New Roman" w:hAnsi="Times New Roman"/>
          <w:color w:val="000000" w:themeColor="text1"/>
          <w:sz w:val="24"/>
        </w:rPr>
        <w:t>455</w:t>
      </w:r>
      <w:r>
        <w:rPr>
          <w:rFonts w:ascii="Times New Roman" w:hAnsi="Times New Roman"/>
          <w:color w:val="000000" w:themeColor="text1"/>
          <w:sz w:val="24"/>
        </w:rPr>
        <w:t xml:space="preserve"> literele (a), (b), (c), (d), (e) și (f)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urmând instrucțiunile furnizate mai jos în prezenta anexă pentru completarea modelului EU MRB care figurează în anexa XXIX.</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85509F" w:rsidRDefault="00931C32" w:rsidP="00DE090B">
            <w:pPr>
              <w:spacing w:after="240"/>
              <w:rPr>
                <w:rFonts w:ascii="Times New Roman" w:hAnsi="Times New Roman" w:cs="Times New Roman"/>
                <w:b/>
                <w:sz w:val="24"/>
              </w:rPr>
            </w:pPr>
            <w:r w:rsidRPr="0085509F">
              <w:rPr>
                <w:rFonts w:ascii="Times New Roman" w:hAnsi="Times New Roman"/>
                <w:b/>
                <w:sz w:val="24"/>
              </w:rPr>
              <w:t>Referințe juridice și instrucțiuni</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sidRPr="0085509F">
              <w:rPr>
                <w:rFonts w:ascii="Times New Roman" w:hAnsi="Times New Roman"/>
                <w:b/>
                <w:sz w:val="24"/>
              </w:rPr>
              <w:t>Numărul rândului</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85509F" w:rsidRDefault="00931C32" w:rsidP="00DE090B">
            <w:pPr>
              <w:spacing w:after="240"/>
              <w:rPr>
                <w:rFonts w:ascii="Times New Roman" w:hAnsi="Times New Roman" w:cs="Times New Roman"/>
                <w:b/>
                <w:sz w:val="24"/>
              </w:rPr>
            </w:pPr>
            <w:r w:rsidRPr="0085509F">
              <w:rPr>
                <w:rFonts w:ascii="Times New Roman" w:hAnsi="Times New Roman"/>
                <w:b/>
                <w:sz w:val="24"/>
              </w:rPr>
              <w:t>Explicație</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85509F"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sidRPr="0085509F">
              <w:rPr>
                <w:rFonts w:ascii="Times New Roman" w:hAnsi="Times New Roman"/>
                <w:spacing w:val="-2"/>
                <w:kern w:val="24"/>
                <w:sz w:val="24"/>
              </w:rPr>
              <w:t>Atunci când publică informațiile menționate la articolul 455 alineatul (1)</w:t>
            </w:r>
            <w:r>
              <w:rPr>
                <w:rFonts w:ascii="Times New Roman" w:hAnsi="Times New Roman"/>
                <w:sz w:val="24"/>
              </w:rPr>
              <w:t xml:space="preserve"> litera (a)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xml:space="preserve"> cu privire la modelele interne alternative pentru riscul de piață, instituțiile includ:</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rFonts w:ascii="Times New Roman" w:hAnsi="Times New Roman" w:cs="Times New Roman"/>
                <w:sz w:val="24"/>
              </w:rPr>
            </w:pPr>
            <w:r>
              <w:rPr>
                <w:rFonts w:ascii="Times New Roman" w:hAnsi="Times New Roman"/>
                <w:sz w:val="24"/>
              </w:rPr>
              <w:t>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obiectivele instituției în cadrul activităților de tranzacționare și procesele puse în aplicare pentru identificarea, măsurarea, monitorizarea și controlul riscurilor de piață ale instituției. Aceste informații pot fi furnizate prin efectuarea unei trimiteri încrucișate la tabelul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rFonts w:ascii="Times New Roman" w:hAnsi="Times New Roman" w:cs="Times New Roman"/>
                <w:sz w:val="24"/>
              </w:rPr>
            </w:pPr>
            <w:r>
              <w:rPr>
                <w:rFonts w:ascii="Times New Roman" w:hAnsi="Times New Roman"/>
                <w:sz w:val="24"/>
              </w:rPr>
              <w:t>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 xml:space="preserve">politicile menționate la articolul </w:t>
            </w:r>
            <w:r w:rsidRPr="0085509F">
              <w:rPr>
                <w:rFonts w:ascii="Times New Roman" w:hAnsi="Times New Roman"/>
                <w:color w:val="000000" w:themeColor="text1"/>
                <w:sz w:val="24"/>
              </w:rPr>
              <w:t>104</w:t>
            </w:r>
            <w:r>
              <w:rPr>
                <w:rFonts w:ascii="Times New Roman" w:hAnsi="Times New Roman"/>
                <w:color w:val="000000" w:themeColor="text1"/>
                <w:sz w:val="24"/>
              </w:rPr>
              <w:t xml:space="preserve"> alineatul (</w:t>
            </w:r>
            <w:r w:rsidRPr="0085509F">
              <w:rPr>
                <w:rFonts w:ascii="Times New Roman" w:hAnsi="Times New Roman"/>
                <w:color w:val="000000" w:themeColor="text1"/>
                <w:sz w:val="24"/>
              </w:rPr>
              <w:t>1</w:t>
            </w:r>
            <w:r>
              <w:rPr>
                <w:rFonts w:ascii="Times New Roman" w:hAnsi="Times New Roman"/>
                <w:color w:val="000000" w:themeColor="text1"/>
                <w:sz w:val="24"/>
              </w:rPr>
              <w:t>) pentru determinarea poziției care urmează să fie inclusă în portofoliul de tranzacționare. Aceste informații pot fi furnizate prin efectuarea unei trimiteri încrucișate la tabelul EU MRA 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rFonts w:ascii="Times New Roman" w:hAnsi="Times New Roman" w:cs="Times New Roman"/>
                <w:sz w:val="24"/>
              </w:rPr>
            </w:pPr>
            <w:r>
              <w:rPr>
                <w:rFonts w:ascii="Times New Roman" w:hAnsi="Times New Roman"/>
                <w:sz w:val="24"/>
              </w:rPr>
              <w:t>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structura și organizarea funcției de gestionare a riscului de piață, precum și ale guvernanței acestuia</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(A) (B) Descrierea generală a structurii biroului de tranzacționare și a tipurilor de instrumente incluse în biroul de tranzacționare AIMA în conformitate cu articolul </w:t>
            </w:r>
            <w:r w:rsidRPr="0085509F">
              <w:rPr>
                <w:rFonts w:ascii="Times New Roman" w:hAnsi="Times New Roman"/>
                <w:color w:val="000000" w:themeColor="text1"/>
                <w:sz w:val="24"/>
              </w:rPr>
              <w:t>455</w:t>
            </w:r>
            <w:r>
              <w:rPr>
                <w:rFonts w:ascii="Times New Roman" w:hAnsi="Times New Roman"/>
                <w:color w:val="000000" w:themeColor="text1"/>
                <w:sz w:val="24"/>
              </w:rPr>
              <w:t xml:space="preserve"> alineatul (</w:t>
            </w:r>
            <w:r w:rsidRPr="0085509F">
              <w:rPr>
                <w:rFonts w:ascii="Times New Roman" w:hAnsi="Times New Roman"/>
                <w:color w:val="000000" w:themeColor="text1"/>
                <w:sz w:val="24"/>
              </w:rPr>
              <w:t>1</w:t>
            </w:r>
            <w:r>
              <w:rPr>
                <w:rFonts w:ascii="Times New Roman" w:hAnsi="Times New Roman"/>
                <w:color w:val="000000" w:themeColor="text1"/>
                <w:sz w:val="24"/>
              </w:rPr>
              <w:t xml:space="preserve">) literele (c) și (d)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B (a)</w:t>
            </w:r>
          </w:p>
          <w:p w14:paraId="6D2F2E9A" w14:textId="09BF2D11" w:rsidR="001B4290" w:rsidRPr="0085509F"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sidRPr="0085509F">
              <w:rPr>
                <w:rFonts w:ascii="Times New Roman" w:hAnsi="Times New Roman"/>
                <w:color w:val="000000" w:themeColor="text1"/>
                <w:spacing w:val="-2"/>
                <w:sz w:val="24"/>
              </w:rPr>
              <w:t>Atunci când publică informațiile menționate la articolul 455 alineatul (1)</w:t>
            </w:r>
            <w:r>
              <w:rPr>
                <w:rFonts w:ascii="Times New Roman" w:hAnsi="Times New Roman"/>
                <w:color w:val="000000" w:themeColor="text1"/>
                <w:sz w:val="24"/>
              </w:rPr>
              <w:t xml:space="preserve"> litera (c)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instituțiile furnizează o descriere generală a structurii birourilor de tranzacționare care fac obiectul modelelor interne menționate la articolul </w:t>
            </w:r>
            <w:r w:rsidRPr="0085509F">
              <w:rPr>
                <w:rFonts w:ascii="Times New Roman" w:hAnsi="Times New Roman"/>
                <w:color w:val="000000" w:themeColor="text1"/>
                <w:sz w:val="24"/>
              </w:rPr>
              <w:t>325</w:t>
            </w:r>
            <w:r>
              <w:rPr>
                <w:rFonts w:ascii="Times New Roman" w:hAnsi="Times New Roman"/>
                <w:color w:val="000000" w:themeColor="text1"/>
                <w:sz w:val="24"/>
              </w:rPr>
              <w:t>az, inclusiv, pentru fiecare birou, o descriere generală a strategiei de afaceri a biroului, a instrumentelor permise în cadrul acestuia și a principalelor tipuri de risc legate de biroul respectiv.</w:t>
            </w:r>
          </w:p>
        </w:tc>
      </w:tr>
      <w:tr w:rsidR="001B4290" w:rsidRPr="00AA772E" w14:paraId="50FBF6A8" w14:textId="77777777" w:rsidTr="00DB0A49">
        <w:trPr>
          <w:trHeight w:val="300"/>
        </w:trPr>
        <w:tc>
          <w:tcPr>
            <w:tcW w:w="1230" w:type="dxa"/>
            <w:vMerge/>
            <w:hideMark/>
          </w:tcPr>
          <w:p w14:paraId="79170C23" w14:textId="7B220C5D" w:rsidR="001B4290" w:rsidRPr="0085509F"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sidRPr="0085509F">
              <w:rPr>
                <w:rFonts w:ascii="Times New Roman" w:hAnsi="Times New Roman"/>
                <w:color w:val="000000" w:themeColor="text1"/>
                <w:spacing w:val="-2"/>
                <w:sz w:val="24"/>
              </w:rPr>
              <w:t>Atunci când publică informațiile menționate la articolul 455 alineatul (1)</w:t>
            </w:r>
            <w:r>
              <w:rPr>
                <w:rFonts w:ascii="Times New Roman" w:hAnsi="Times New Roman"/>
                <w:color w:val="000000" w:themeColor="text1"/>
                <w:sz w:val="24"/>
              </w:rPr>
              <w:t xml:space="preserve"> litera (d)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instituțiile furnizează o prezentare generală a pozițiilor din portofoliul de tranzacționare care nu fac obiectul modelelor interne menționate la articolul </w:t>
            </w:r>
            <w:r w:rsidRPr="0085509F">
              <w:rPr>
                <w:rFonts w:ascii="Times New Roman" w:hAnsi="Times New Roman"/>
                <w:color w:val="000000" w:themeColor="text1"/>
                <w:sz w:val="24"/>
              </w:rPr>
              <w:t>325</w:t>
            </w:r>
            <w:r>
              <w:rPr>
                <w:rFonts w:ascii="Times New Roman" w:hAnsi="Times New Roman"/>
                <w:color w:val="000000" w:themeColor="text1"/>
                <w:sz w:val="24"/>
              </w:rPr>
              <w:t xml:space="preserve">az, inclusiv o descriere generală a structurii biroului și a tipului de instrumente incluse în cadrul birourilor sau al categoriilor de birouri în conformitate cu articolul </w:t>
            </w:r>
            <w:r w:rsidRPr="0085509F">
              <w:rPr>
                <w:rFonts w:ascii="Times New Roman" w:hAnsi="Times New Roman"/>
                <w:color w:val="000000" w:themeColor="text1"/>
                <w:sz w:val="24"/>
              </w:rPr>
              <w:t>104</w:t>
            </w:r>
            <w:r>
              <w:rPr>
                <w:rFonts w:ascii="Times New Roman" w:hAnsi="Times New Roman"/>
                <w:color w:val="000000" w:themeColor="text1"/>
                <w:sz w:val="24"/>
              </w:rPr>
              <w:t>b.</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t>B) C) E) Descrierea principalelor caracteristici ale modelelor utilizate la nivel consolidat, inclusiv abordările utilizate la validarea modelelor și a proceselor de modelare.</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rFonts w:ascii="Times New Roman" w:hAnsi="Times New Roman" w:cs="Times New Roman"/>
                <w:sz w:val="24"/>
              </w:rPr>
            </w:pPr>
            <w:r>
              <w:rPr>
                <w:rFonts w:ascii="Times New Roman" w:hAnsi="Times New Roman"/>
                <w:sz w:val="24"/>
              </w:rPr>
              <w:t>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50F8DFA" w:rsidR="007E7D7A" w:rsidRPr="00DB0A49" w:rsidDel="00671C85" w:rsidRDefault="001D2F69" w:rsidP="0BE40342">
            <w:pPr>
              <w:rPr>
                <w:rFonts w:ascii="Times New Roman" w:eastAsia="Times New Roman" w:hAnsi="Times New Roman" w:cs="Times New Roman"/>
                <w:color w:val="000000" w:themeColor="text1"/>
                <w:sz w:val="24"/>
              </w:rPr>
            </w:pPr>
            <w:r w:rsidRPr="0085509F">
              <w:rPr>
                <w:rFonts w:ascii="Times New Roman" w:hAnsi="Times New Roman"/>
                <w:color w:val="000000" w:themeColor="text1"/>
                <w:spacing w:val="-2"/>
                <w:sz w:val="24"/>
              </w:rPr>
              <w:t>Atunci când publică informațiile menționate la articolul 455 alineatul (1)</w:t>
            </w:r>
            <w:r>
              <w:rPr>
                <w:rFonts w:ascii="Times New Roman" w:hAnsi="Times New Roman"/>
                <w:color w:val="000000" w:themeColor="text1"/>
                <w:sz w:val="24"/>
              </w:rPr>
              <w:t xml:space="preserve"> litera (f) punctul (i)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instituțiile furnizează:  domeniul de aplicare, principalele caracteristici și principalele opțiuni de modelare ale diferitelor modele interne menționate la articolul </w:t>
            </w:r>
            <w:r w:rsidRPr="0085509F">
              <w:rPr>
                <w:rFonts w:ascii="Times New Roman" w:hAnsi="Times New Roman"/>
                <w:color w:val="000000" w:themeColor="text1"/>
                <w:sz w:val="24"/>
              </w:rPr>
              <w:t>325</w:t>
            </w:r>
            <w:r>
              <w:rPr>
                <w:rFonts w:ascii="Times New Roman" w:hAnsi="Times New Roman"/>
                <w:color w:val="000000" w:themeColor="text1"/>
                <w:sz w:val="24"/>
              </w:rPr>
              <w:t xml:space="preserve">az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w:t>
            </w:r>
            <w:r>
              <w:rPr>
                <w:rFonts w:ascii="Times New Roman" w:hAnsi="Times New Roman"/>
                <w:color w:val="000000" w:themeColor="text1"/>
                <w:sz w:val="24"/>
              </w:rPr>
              <w:lastRenderedPageBreak/>
              <w:t xml:space="preserve">utilizate pentru a calcula cuantumurile expunerilor la risc pentru principalele modele utilizate la nivel consolidat, precum și o descriere a măsurii în care aceste modele interne reprezintă toate modelele utilizate la nivel consolidat, inclusiv, după caz: (i) o descriere generală a abordării de modelare utilizate pentru a calcula valoarea la risc condiționată menționată la articolul </w:t>
            </w:r>
            <w:r w:rsidRPr="0085509F">
              <w:rPr>
                <w:rFonts w:ascii="Times New Roman" w:hAnsi="Times New Roman"/>
                <w:color w:val="000000" w:themeColor="text1"/>
                <w:sz w:val="24"/>
              </w:rPr>
              <w:t>325</w:t>
            </w:r>
            <w:r>
              <w:rPr>
                <w:rFonts w:ascii="Times New Roman" w:hAnsi="Times New Roman"/>
                <w:color w:val="000000" w:themeColor="text1"/>
                <w:sz w:val="24"/>
              </w:rPr>
              <w:t>ba alineatul (</w:t>
            </w:r>
            <w:r w:rsidRPr="0085509F">
              <w:rPr>
                <w:rFonts w:ascii="Times New Roman" w:hAnsi="Times New Roman"/>
                <w:color w:val="000000" w:themeColor="text1"/>
                <w:sz w:val="24"/>
              </w:rPr>
              <w:t>1</w:t>
            </w:r>
            <w:r>
              <w:rPr>
                <w:rFonts w:ascii="Times New Roman" w:hAnsi="Times New Roman"/>
                <w:color w:val="000000" w:themeColor="text1"/>
                <w:sz w:val="24"/>
              </w:rPr>
              <w:t>) litera (a) din CRR, inclusiv frecvența actualizării datelor.</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rFonts w:ascii="Times New Roman" w:hAnsi="Times New Roman" w:cs="Times New Roman"/>
                <w:sz w:val="24"/>
              </w:rPr>
            </w:pPr>
            <w:r>
              <w:rPr>
                <w:rFonts w:ascii="Times New Roman" w:hAnsi="Times New Roman"/>
                <w:sz w:val="24"/>
              </w:rPr>
              <w:lastRenderedPageBreak/>
              <w:t>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rFonts w:ascii="Times New Roman" w:eastAsia="Times New Roman" w:hAnsi="Times New Roman" w:cs="Times New Roman"/>
                <w:color w:val="000000" w:themeColor="text1"/>
                <w:sz w:val="24"/>
              </w:rPr>
            </w:pPr>
            <w:r w:rsidRPr="0085509F">
              <w:rPr>
                <w:rFonts w:ascii="Times New Roman" w:hAnsi="Times New Roman"/>
                <w:color w:val="000000" w:themeColor="text1"/>
                <w:spacing w:val="-2"/>
                <w:sz w:val="24"/>
              </w:rPr>
              <w:t>Atunci când publică informațiile menționate la articolul 455 alineatul (1)</w:t>
            </w:r>
            <w:r>
              <w:rPr>
                <w:rFonts w:ascii="Times New Roman" w:hAnsi="Times New Roman"/>
                <w:color w:val="000000" w:themeColor="text1"/>
                <w:sz w:val="24"/>
              </w:rPr>
              <w:t xml:space="preserve"> litera (f) punctul (ii)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instituțiile includ, după caz: o descriere generală a metodologiei utilizate pentru a calcula măsura riscului pentru scenarii de criză menționată la articolul </w:t>
            </w:r>
            <w:r w:rsidRPr="0085509F">
              <w:rPr>
                <w:rFonts w:ascii="Times New Roman" w:hAnsi="Times New Roman"/>
                <w:color w:val="000000" w:themeColor="text1"/>
                <w:sz w:val="24"/>
              </w:rPr>
              <w:t>325</w:t>
            </w:r>
            <w:r>
              <w:rPr>
                <w:rFonts w:ascii="Times New Roman" w:hAnsi="Times New Roman"/>
                <w:color w:val="000000" w:themeColor="text1"/>
                <w:sz w:val="24"/>
              </w:rPr>
              <w:t>ba alineatul (</w:t>
            </w:r>
            <w:r w:rsidRPr="0085509F">
              <w:rPr>
                <w:rFonts w:ascii="Times New Roman" w:hAnsi="Times New Roman"/>
                <w:color w:val="000000" w:themeColor="text1"/>
                <w:sz w:val="24"/>
              </w:rPr>
              <w:t>1</w:t>
            </w:r>
            <w:r>
              <w:rPr>
                <w:rFonts w:ascii="Times New Roman" w:hAnsi="Times New Roman"/>
                <w:color w:val="000000" w:themeColor="text1"/>
                <w:sz w:val="24"/>
              </w:rPr>
              <w:t xml:space="preserve">) litera (b)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alta decât specificațiile prevăzute la articolul </w:t>
            </w:r>
            <w:r w:rsidRPr="0085509F">
              <w:rPr>
                <w:rFonts w:ascii="Times New Roman" w:hAnsi="Times New Roman"/>
                <w:color w:val="000000" w:themeColor="text1"/>
                <w:sz w:val="24"/>
              </w:rPr>
              <w:t>325</w:t>
            </w:r>
            <w:r>
              <w:rPr>
                <w:rFonts w:ascii="Times New Roman" w:hAnsi="Times New Roman"/>
                <w:color w:val="000000" w:themeColor="text1"/>
                <w:sz w:val="24"/>
              </w:rPr>
              <w:t>bk alineatul (</w:t>
            </w:r>
            <w:r w:rsidRPr="0085509F">
              <w:rPr>
                <w:rFonts w:ascii="Times New Roman" w:hAnsi="Times New Roman"/>
                <w:color w:val="000000" w:themeColor="text1"/>
                <w:sz w:val="24"/>
              </w:rPr>
              <w:t>3</w:t>
            </w:r>
            <w:r>
              <w:rPr>
                <w:rFonts w:ascii="Times New Roman" w:hAnsi="Times New Roman"/>
                <w:color w:val="000000" w:themeColor="text1"/>
                <w:sz w:val="24"/>
              </w:rPr>
              <w:t xml:space="preserve">)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t>D) Descrierea modelelor interne pentru calcularea cerinței pentru riscul de nerambursare</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sidRPr="0085509F">
              <w:rPr>
                <w:rFonts w:ascii="Times New Roman" w:hAnsi="Times New Roman"/>
                <w:color w:val="000000" w:themeColor="text1"/>
                <w:spacing w:val="-2"/>
                <w:sz w:val="24"/>
              </w:rPr>
              <w:t>Atunci când publică informațiile menționate la articolul 455 alineatul (1)</w:t>
            </w:r>
            <w:r>
              <w:rPr>
                <w:rFonts w:ascii="Times New Roman" w:hAnsi="Times New Roman"/>
                <w:color w:val="000000" w:themeColor="text1"/>
                <w:sz w:val="24"/>
              </w:rPr>
              <w:t xml:space="preserve"> litera (f) punctul (iii)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instituțiile includ, după caz: o descriere generală a abordării de modelare utilizate pentru calcularea cerinței pentru riscul de nerambursare menționată la articolul </w:t>
            </w:r>
            <w:r w:rsidRPr="0085509F">
              <w:rPr>
                <w:rFonts w:ascii="Times New Roman" w:hAnsi="Times New Roman"/>
                <w:color w:val="000000" w:themeColor="text1"/>
                <w:sz w:val="24"/>
              </w:rPr>
              <w:t>325</w:t>
            </w:r>
            <w:r>
              <w:rPr>
                <w:rFonts w:ascii="Times New Roman" w:hAnsi="Times New Roman"/>
                <w:color w:val="000000" w:themeColor="text1"/>
                <w:sz w:val="24"/>
              </w:rPr>
              <w:t>ba alineatul (</w:t>
            </w:r>
            <w:r w:rsidRPr="0085509F">
              <w:rPr>
                <w:rFonts w:ascii="Times New Roman" w:hAnsi="Times New Roman"/>
                <w:color w:val="000000" w:themeColor="text1"/>
                <w:sz w:val="24"/>
              </w:rPr>
              <w:t>2</w:t>
            </w:r>
            <w:r>
              <w:rPr>
                <w:rFonts w:ascii="Times New Roman" w:hAnsi="Times New Roman"/>
                <w:color w:val="000000" w:themeColor="text1"/>
                <w:sz w:val="24"/>
              </w:rPr>
              <w:t xml:space="preserve">)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incluzând frecvența actualizării datelor.</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rFonts w:ascii="Times New Roman" w:hAnsi="Times New Roman" w:cs="Times New Roman"/>
          <w:color w:val="auto"/>
          <w:sz w:val="24"/>
        </w:rPr>
      </w:pPr>
      <w:r w:rsidRPr="0085509F">
        <w:rPr>
          <w:rFonts w:ascii="Times New Roman" w:hAnsi="Times New Roman"/>
          <w:b/>
          <w:color w:val="auto"/>
          <w:sz w:val="24"/>
        </w:rPr>
        <w:t>Modelul EU MR2 – Riscul de piață conform abordării alternative bazate pe modele interne (AIMA):</w:t>
      </w:r>
      <w:r>
        <w:rPr>
          <w:rFonts w:ascii="Times New Roman" w:hAnsi="Times New Roman"/>
          <w:color w:val="auto"/>
          <w:sz w:val="24"/>
        </w:rPr>
        <w:t xml:space="preserve"> format fix</w:t>
      </w:r>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Instituțiile publică informațiile menționate la articolul </w:t>
      </w:r>
      <w:r w:rsidRPr="0085509F">
        <w:rPr>
          <w:rFonts w:ascii="Times New Roman" w:hAnsi="Times New Roman"/>
          <w:color w:val="000000" w:themeColor="text1"/>
          <w:sz w:val="24"/>
        </w:rPr>
        <w:t>455</w:t>
      </w:r>
      <w:r>
        <w:rPr>
          <w:rFonts w:ascii="Times New Roman" w:hAnsi="Times New Roman"/>
          <w:color w:val="000000" w:themeColor="text1"/>
          <w:sz w:val="24"/>
        </w:rPr>
        <w:t xml:space="preserve"> alineatul (</w:t>
      </w:r>
      <w:r w:rsidRPr="0085509F">
        <w:rPr>
          <w:rFonts w:ascii="Times New Roman" w:hAnsi="Times New Roman"/>
          <w:color w:val="000000" w:themeColor="text1"/>
          <w:sz w:val="24"/>
        </w:rPr>
        <w:t>2</w:t>
      </w:r>
      <w:r>
        <w:rPr>
          <w:rFonts w:ascii="Times New Roman" w:hAnsi="Times New Roman"/>
          <w:color w:val="000000" w:themeColor="text1"/>
          <w:sz w:val="24"/>
        </w:rPr>
        <w:t xml:space="preserve">) din Regulamentul (UE) nr.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urmând instrucțiunile furnizate mai jos în prezenta anexă pentru completarea modelului EU MR</w:t>
      </w:r>
      <w:r w:rsidRPr="0085509F">
        <w:rPr>
          <w:rFonts w:ascii="Times New Roman" w:hAnsi="Times New Roman"/>
          <w:color w:val="000000" w:themeColor="text1"/>
          <w:sz w:val="24"/>
        </w:rPr>
        <w:t>2</w:t>
      </w:r>
      <w:r>
        <w:rPr>
          <w:rFonts w:ascii="Times New Roman" w:hAnsi="Times New Roman"/>
          <w:color w:val="000000" w:themeColor="text1"/>
          <w:sz w:val="24"/>
        </w:rPr>
        <w:t xml:space="preserve"> care figurează în anexa XXIX. </w:t>
      </w:r>
      <w:r>
        <w:rPr>
          <w:rFonts w:ascii="Times New Roman" w:hAnsi="Times New Roman"/>
          <w:color w:val="auto"/>
          <w:sz w:val="24"/>
        </w:rPr>
        <w:t>Instituțiile nu includ în prezentul model niciun fel de date privind biroul lor intern de transfer al riscurilor (IRT).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85509F" w:rsidRDefault="00931C32" w:rsidP="00DE090B">
            <w:pPr>
              <w:spacing w:after="240"/>
              <w:rPr>
                <w:rFonts w:ascii="Times New Roman" w:hAnsi="Times New Roman" w:cs="Times New Roman"/>
                <w:b/>
                <w:sz w:val="24"/>
              </w:rPr>
            </w:pPr>
            <w:r w:rsidRPr="0085509F">
              <w:rPr>
                <w:rFonts w:ascii="Times New Roman" w:hAnsi="Times New Roman"/>
                <w:b/>
                <w:sz w:val="24"/>
              </w:rPr>
              <w:t>Referințe juridice și instrucțiuni</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rPr>
            </w:pPr>
            <w:r w:rsidRPr="0085509F">
              <w:rPr>
                <w:rFonts w:ascii="Times New Roman" w:hAnsi="Times New Roman"/>
                <w:b/>
                <w:sz w:val="24"/>
              </w:rPr>
              <w:t>Numărul rândului</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85509F" w:rsidRDefault="00931C32" w:rsidP="00DE090B">
            <w:pPr>
              <w:spacing w:after="240"/>
              <w:rPr>
                <w:rFonts w:ascii="Times New Roman" w:hAnsi="Times New Roman" w:cs="Times New Roman"/>
                <w:b/>
                <w:sz w:val="24"/>
              </w:rPr>
            </w:pPr>
            <w:r w:rsidRPr="0085509F">
              <w:rPr>
                <w:rFonts w:ascii="Times New Roman" w:hAnsi="Times New Roman"/>
                <w:b/>
                <w:sz w:val="24"/>
              </w:rPr>
              <w:t>Explicație</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sidRPr="0085509F">
              <w:rPr>
                <w:rFonts w:ascii="Times New Roman" w:hAnsi="Times New Roman"/>
                <w:sz w:val="24"/>
              </w:rPr>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85509F" w:rsidRDefault="42390ABD" w:rsidP="4A0450B5">
            <w:pPr>
              <w:rPr>
                <w:rFonts w:ascii="Times New Roman" w:eastAsia="Times New Roman" w:hAnsi="Times New Roman" w:cs="Times New Roman"/>
                <w:b/>
                <w:bCs/>
                <w:sz w:val="24"/>
              </w:rPr>
            </w:pPr>
            <w:r w:rsidRPr="0085509F">
              <w:rPr>
                <w:rFonts w:ascii="Times New Roman" w:hAnsi="Times New Roman"/>
                <w:b/>
                <w:sz w:val="24"/>
              </w:rPr>
              <w:t>Măsura valorii la risc condiționate nerestricționate (UESt)</w:t>
            </w:r>
          </w:p>
          <w:p w14:paraId="1E53AB6F" w14:textId="2D37B3D8" w:rsidR="3E91330B" w:rsidRPr="00DB0A49" w:rsidRDefault="3BB31265" w:rsidP="140F9DE1">
            <w:pPr>
              <w:rPr>
                <w:rFonts w:ascii="Times New Roman" w:eastAsia="Times New Roman" w:hAnsi="Times New Roman" w:cs="Times New Roman"/>
                <w:sz w:val="24"/>
              </w:rPr>
            </w:pPr>
            <w:r>
              <w:rPr>
                <w:rFonts w:ascii="Times New Roman" w:hAnsi="Times New Roman"/>
                <w:sz w:val="24"/>
              </w:rPr>
              <w:t xml:space="preserve">Valoarea publicată se calculează la nivelul portofoliului global, și nu la nivelul unei categorii generale de risc în conformitate cu articolele </w:t>
            </w:r>
            <w:r w:rsidRPr="0085509F">
              <w:rPr>
                <w:rFonts w:ascii="Times New Roman" w:hAnsi="Times New Roman"/>
                <w:sz w:val="24"/>
              </w:rPr>
              <w:t>325</w:t>
            </w:r>
            <w:r>
              <w:rPr>
                <w:rFonts w:ascii="Times New Roman" w:hAnsi="Times New Roman"/>
                <w:sz w:val="24"/>
              </w:rPr>
              <w:t xml:space="preserve">bb și </w:t>
            </w:r>
            <w:r w:rsidRPr="0085509F">
              <w:rPr>
                <w:rFonts w:ascii="Times New Roman" w:hAnsi="Times New Roman"/>
                <w:sz w:val="24"/>
              </w:rPr>
              <w:t>325</w:t>
            </w:r>
            <w:r>
              <w:rPr>
                <w:rFonts w:ascii="Times New Roman" w:hAnsi="Times New Roman"/>
                <w:sz w:val="24"/>
              </w:rPr>
              <w:t xml:space="preserve">bc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sidRPr="0085509F">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85509F" w:rsidRDefault="3B3426CC" w:rsidP="4A0450B5">
            <w:pPr>
              <w:rPr>
                <w:rFonts w:ascii="Times New Roman" w:eastAsia="Times New Roman" w:hAnsi="Times New Roman" w:cs="Times New Roman"/>
                <w:b/>
                <w:bCs/>
                <w:sz w:val="24"/>
              </w:rPr>
            </w:pPr>
            <w:r w:rsidRPr="0085509F">
              <w:rPr>
                <w:rFonts w:ascii="Times New Roman" w:hAnsi="Times New Roman"/>
                <w:b/>
                <w:sz w:val="24"/>
              </w:rPr>
              <w:t>Măsura valorii la risc condiționate nerestricționate pentru categoria de factori de risc de rată a dobânzii</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 xml:space="preserve">Valoarea publicată se calculează pentru factorii de risc ai categoriei de risc de rată a dobânzii în conformitate cu articolele </w:t>
            </w:r>
            <w:r w:rsidRPr="0085509F">
              <w:rPr>
                <w:rFonts w:ascii="Times New Roman" w:hAnsi="Times New Roman"/>
                <w:sz w:val="24"/>
              </w:rPr>
              <w:t>325</w:t>
            </w:r>
            <w:r>
              <w:rPr>
                <w:rFonts w:ascii="Times New Roman" w:hAnsi="Times New Roman"/>
                <w:sz w:val="24"/>
              </w:rPr>
              <w:t xml:space="preserve">bb, </w:t>
            </w:r>
            <w:r w:rsidRPr="0085509F">
              <w:rPr>
                <w:rFonts w:ascii="Times New Roman" w:hAnsi="Times New Roman"/>
                <w:sz w:val="24"/>
              </w:rPr>
              <w:t>325</w:t>
            </w:r>
            <w:r>
              <w:rPr>
                <w:rFonts w:ascii="Times New Roman" w:hAnsi="Times New Roman"/>
                <w:sz w:val="24"/>
              </w:rPr>
              <w:t xml:space="preserve">bc și </w:t>
            </w:r>
            <w:r w:rsidRPr="0085509F">
              <w:rPr>
                <w:rFonts w:ascii="Times New Roman" w:hAnsi="Times New Roman"/>
                <w:sz w:val="24"/>
              </w:rPr>
              <w:t>325</w:t>
            </w:r>
            <w:r>
              <w:rPr>
                <w:rFonts w:ascii="Times New Roman" w:hAnsi="Times New Roman"/>
                <w:sz w:val="24"/>
              </w:rPr>
              <w:t xml:space="preserve">bd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sidRPr="0085509F">
              <w:rPr>
                <w:rFonts w:ascii="Times New Roman" w:hAnsi="Times New Roman"/>
                <w:sz w:val="24"/>
              </w:rPr>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32D0F810" w:rsidR="00234F41" w:rsidRPr="0085509F" w:rsidRDefault="471075D0" w:rsidP="140F9DE1">
            <w:pPr>
              <w:rPr>
                <w:rFonts w:ascii="Times New Roman" w:eastAsia="Times New Roman" w:hAnsi="Times New Roman" w:cs="Times New Roman"/>
                <w:b/>
                <w:bCs/>
                <w:sz w:val="24"/>
              </w:rPr>
            </w:pPr>
            <w:r w:rsidRPr="0085509F">
              <w:rPr>
                <w:rFonts w:ascii="Times New Roman" w:hAnsi="Times New Roman"/>
                <w:b/>
                <w:sz w:val="24"/>
              </w:rPr>
              <w:t>Măsura valorii la risc condiționate nerestricționate pentru categoria de factori de risc de devalorizare a titlurilor de capital</w:t>
            </w:r>
            <w:r>
              <w:rPr>
                <w:rFonts w:ascii="Times New Roman" w:hAnsi="Times New Roman"/>
                <w:sz w:val="24"/>
              </w:rPr>
              <w:t xml:space="preserve">  </w:t>
            </w:r>
          </w:p>
          <w:p w14:paraId="4E1BA488" w14:textId="705548F0" w:rsidR="00234F41" w:rsidRPr="0085509F" w:rsidRDefault="7A25B94F" w:rsidP="140F9DE1">
            <w:pPr>
              <w:rPr>
                <w:rFonts w:ascii="Times New Roman" w:eastAsia="Times New Roman" w:hAnsi="Times New Roman" w:cs="Times New Roman"/>
                <w:b/>
                <w:bCs/>
                <w:color w:val="444444"/>
                <w:sz w:val="24"/>
              </w:rPr>
            </w:pPr>
            <w:r>
              <w:rPr>
                <w:rFonts w:ascii="Times New Roman" w:hAnsi="Times New Roman"/>
                <w:sz w:val="24"/>
              </w:rPr>
              <w:lastRenderedPageBreak/>
              <w:t xml:space="preserve">Valoarea publicată se calculează pentru factorii de risc ai categoriei de risc privind titlurile de capital în conformitate cu articolele </w:t>
            </w:r>
            <w:r w:rsidRPr="0085509F">
              <w:rPr>
                <w:rFonts w:ascii="Times New Roman" w:hAnsi="Times New Roman"/>
                <w:sz w:val="24"/>
              </w:rPr>
              <w:t>325</w:t>
            </w:r>
            <w:r>
              <w:rPr>
                <w:rFonts w:ascii="Times New Roman" w:hAnsi="Times New Roman"/>
                <w:sz w:val="24"/>
              </w:rPr>
              <w:t xml:space="preserve">bb, </w:t>
            </w:r>
            <w:r w:rsidRPr="0085509F">
              <w:rPr>
                <w:rFonts w:ascii="Times New Roman" w:hAnsi="Times New Roman"/>
                <w:sz w:val="24"/>
              </w:rPr>
              <w:t>325</w:t>
            </w:r>
            <w:r>
              <w:rPr>
                <w:rFonts w:ascii="Times New Roman" w:hAnsi="Times New Roman"/>
                <w:sz w:val="24"/>
              </w:rPr>
              <w:t xml:space="preserve">bc și </w:t>
            </w:r>
            <w:r w:rsidRPr="0085509F">
              <w:rPr>
                <w:rFonts w:ascii="Times New Roman" w:hAnsi="Times New Roman"/>
                <w:sz w:val="24"/>
              </w:rPr>
              <w:t>325</w:t>
            </w:r>
            <w:r>
              <w:rPr>
                <w:rFonts w:ascii="Times New Roman" w:hAnsi="Times New Roman"/>
                <w:sz w:val="24"/>
              </w:rPr>
              <w:t xml:space="preserve">bd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sidRPr="0085509F">
              <w:rPr>
                <w:rFonts w:ascii="Times New Roman" w:hAnsi="Times New Roman"/>
                <w:sz w:val="24"/>
              </w:rPr>
              <w:lastRenderedPageBreak/>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sidRPr="0085509F">
              <w:rPr>
                <w:rFonts w:ascii="Times New Roman" w:hAnsi="Times New Roman"/>
                <w:b/>
                <w:sz w:val="24"/>
              </w:rPr>
              <w:t>Măsura valorii la risc condiționate nerestricționate pentru categoria de factori de risc de marfă</w:t>
            </w:r>
            <w:r>
              <w:rPr>
                <w:rFonts w:ascii="Times New Roman" w:hAnsi="Times New Roman"/>
                <w:sz w:val="24"/>
              </w:rPr>
              <w:t xml:space="preserve"> </w:t>
            </w:r>
          </w:p>
          <w:p w14:paraId="70BA8462" w14:textId="47AECB7A" w:rsidR="00B86E1A" w:rsidRPr="00DB0A49" w:rsidRDefault="05EA5842" w:rsidP="140F9DE1">
            <w:pPr>
              <w:rPr>
                <w:rFonts w:ascii="Times New Roman" w:eastAsia="Times New Roman" w:hAnsi="Times New Roman" w:cs="Times New Roman"/>
                <w:sz w:val="24"/>
              </w:rPr>
            </w:pPr>
            <w:r>
              <w:rPr>
                <w:rFonts w:ascii="Times New Roman" w:hAnsi="Times New Roman"/>
                <w:sz w:val="24"/>
              </w:rPr>
              <w:t xml:space="preserve"> Valoarea publicată se calculează pentru factorii de risc ai categoriei de risc de marfă în conformitate cu articolele </w:t>
            </w:r>
            <w:r w:rsidRPr="0085509F">
              <w:rPr>
                <w:rFonts w:ascii="Times New Roman" w:hAnsi="Times New Roman"/>
                <w:sz w:val="24"/>
              </w:rPr>
              <w:t>325</w:t>
            </w:r>
            <w:r>
              <w:rPr>
                <w:rFonts w:ascii="Times New Roman" w:hAnsi="Times New Roman"/>
                <w:sz w:val="24"/>
              </w:rPr>
              <w:t xml:space="preserve">bb, </w:t>
            </w:r>
            <w:r w:rsidRPr="0085509F">
              <w:rPr>
                <w:rFonts w:ascii="Times New Roman" w:hAnsi="Times New Roman"/>
                <w:sz w:val="24"/>
              </w:rPr>
              <w:t>325</w:t>
            </w:r>
            <w:r>
              <w:rPr>
                <w:rFonts w:ascii="Times New Roman" w:hAnsi="Times New Roman"/>
                <w:sz w:val="24"/>
              </w:rPr>
              <w:t xml:space="preserve">bc și </w:t>
            </w:r>
            <w:r w:rsidRPr="0085509F">
              <w:rPr>
                <w:rFonts w:ascii="Times New Roman" w:hAnsi="Times New Roman"/>
                <w:sz w:val="24"/>
              </w:rPr>
              <w:t>325</w:t>
            </w:r>
            <w:r>
              <w:rPr>
                <w:rFonts w:ascii="Times New Roman" w:hAnsi="Times New Roman"/>
                <w:sz w:val="24"/>
              </w:rPr>
              <w:t xml:space="preserve">bd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sidRPr="0085509F">
              <w:rPr>
                <w:rFonts w:ascii="Times New Roman" w:hAnsi="Times New Roman"/>
                <w:sz w:val="24"/>
              </w:rPr>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85509F" w:rsidRDefault="12ADB0E7" w:rsidP="140F9DE1">
            <w:pPr>
              <w:rPr>
                <w:rFonts w:ascii="Times New Roman" w:eastAsia="Times New Roman" w:hAnsi="Times New Roman" w:cs="Times New Roman"/>
                <w:b/>
                <w:bCs/>
                <w:sz w:val="24"/>
              </w:rPr>
            </w:pPr>
            <w:r w:rsidRPr="0085509F">
              <w:rPr>
                <w:rFonts w:ascii="Times New Roman" w:hAnsi="Times New Roman"/>
                <w:b/>
                <w:sz w:val="24"/>
              </w:rPr>
              <w:t>Măsura valorii la risc condiționate nerestricționate pentru categoria de factori de risc de schimb valutar</w:t>
            </w:r>
          </w:p>
          <w:p w14:paraId="1880B223" w14:textId="34F16589" w:rsidR="002F3022" w:rsidRPr="00DB0A49" w:rsidRDefault="1F3BA536" w:rsidP="140F9DE1">
            <w:pPr>
              <w:rPr>
                <w:rFonts w:ascii="Times New Roman" w:eastAsia="Times New Roman" w:hAnsi="Times New Roman" w:cs="Times New Roman"/>
                <w:sz w:val="24"/>
              </w:rPr>
            </w:pPr>
            <w:r w:rsidRPr="0085509F">
              <w:rPr>
                <w:rFonts w:ascii="Times New Roman" w:hAnsi="Times New Roman"/>
                <w:b/>
                <w:color w:val="444444"/>
                <w:sz w:val="24"/>
              </w:rPr>
              <w:t xml:space="preserve"> </w:t>
            </w:r>
            <w:r>
              <w:rPr>
                <w:rFonts w:ascii="Times New Roman" w:hAnsi="Times New Roman"/>
                <w:sz w:val="24"/>
              </w:rPr>
              <w:t xml:space="preserve"> Valoarea publicată se calculează pentru factorii de risc ai categoriei de risc de schimb valutar în conformitate cu articolele </w:t>
            </w:r>
            <w:r w:rsidRPr="0085509F">
              <w:rPr>
                <w:rFonts w:ascii="Times New Roman" w:hAnsi="Times New Roman"/>
                <w:sz w:val="24"/>
              </w:rPr>
              <w:t>325</w:t>
            </w:r>
            <w:r>
              <w:rPr>
                <w:rFonts w:ascii="Times New Roman" w:hAnsi="Times New Roman"/>
                <w:sz w:val="24"/>
              </w:rPr>
              <w:t xml:space="preserve">bb, </w:t>
            </w:r>
            <w:r w:rsidRPr="0085509F">
              <w:rPr>
                <w:rFonts w:ascii="Times New Roman" w:hAnsi="Times New Roman"/>
                <w:sz w:val="24"/>
              </w:rPr>
              <w:t>325</w:t>
            </w:r>
            <w:r>
              <w:rPr>
                <w:rFonts w:ascii="Times New Roman" w:hAnsi="Times New Roman"/>
                <w:sz w:val="24"/>
              </w:rPr>
              <w:t xml:space="preserve">bc și </w:t>
            </w:r>
            <w:r w:rsidRPr="0085509F">
              <w:rPr>
                <w:rFonts w:ascii="Times New Roman" w:hAnsi="Times New Roman"/>
                <w:sz w:val="24"/>
              </w:rPr>
              <w:t>325</w:t>
            </w:r>
            <w:r>
              <w:rPr>
                <w:rFonts w:ascii="Times New Roman" w:hAnsi="Times New Roman"/>
                <w:sz w:val="24"/>
              </w:rPr>
              <w:t xml:space="preserve">bd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sidRPr="0085509F">
              <w:rPr>
                <w:rFonts w:ascii="Times New Roman" w:hAnsi="Times New Roman"/>
                <w:sz w:val="24"/>
              </w:rPr>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rFonts w:ascii="Times New Roman" w:eastAsia="Times New Roman" w:hAnsi="Times New Roman" w:cs="Times New Roman"/>
                <w:sz w:val="24"/>
              </w:rPr>
            </w:pPr>
            <w:r w:rsidRPr="0085509F">
              <w:rPr>
                <w:rFonts w:ascii="Times New Roman" w:hAnsi="Times New Roman"/>
                <w:b/>
                <w:sz w:val="24"/>
              </w:rPr>
              <w:t xml:space="preserve">Măsura valorii la risc condiționate nerestricționate pentru categoria de factori de risc de marjă de credit </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 xml:space="preserve">Valoarea publicată se calculează pentru factorii de risc ai categoriei de risc de marjă de credit în conformitate cu articolele </w:t>
            </w:r>
            <w:r w:rsidRPr="0085509F">
              <w:rPr>
                <w:rFonts w:ascii="Times New Roman" w:hAnsi="Times New Roman"/>
                <w:sz w:val="24"/>
              </w:rPr>
              <w:t>325</w:t>
            </w:r>
            <w:r>
              <w:rPr>
                <w:rFonts w:ascii="Times New Roman" w:hAnsi="Times New Roman"/>
                <w:sz w:val="24"/>
              </w:rPr>
              <w:t xml:space="preserve">bb, </w:t>
            </w:r>
            <w:r w:rsidRPr="0085509F">
              <w:rPr>
                <w:rFonts w:ascii="Times New Roman" w:hAnsi="Times New Roman"/>
                <w:sz w:val="24"/>
              </w:rPr>
              <w:t>325</w:t>
            </w:r>
            <w:r>
              <w:rPr>
                <w:rFonts w:ascii="Times New Roman" w:hAnsi="Times New Roman"/>
                <w:sz w:val="24"/>
              </w:rPr>
              <w:t xml:space="preserve">bc și </w:t>
            </w:r>
            <w:r w:rsidRPr="0085509F">
              <w:rPr>
                <w:rFonts w:ascii="Times New Roman" w:hAnsi="Times New Roman"/>
                <w:sz w:val="24"/>
              </w:rPr>
              <w:t>325</w:t>
            </w:r>
            <w:r>
              <w:rPr>
                <w:rFonts w:ascii="Times New Roman" w:hAnsi="Times New Roman"/>
                <w:sz w:val="24"/>
              </w:rPr>
              <w:t xml:space="preserve">bd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sidRPr="0085509F">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rFonts w:ascii="Times New Roman" w:eastAsia="Times New Roman" w:hAnsi="Times New Roman" w:cs="Times New Roman"/>
                <w:sz w:val="24"/>
              </w:rPr>
            </w:pPr>
            <w:r w:rsidRPr="0085509F">
              <w:rPr>
                <w:rFonts w:ascii="Times New Roman" w:hAnsi="Times New Roman"/>
                <w:b/>
                <w:sz w:val="24"/>
              </w:rPr>
              <w:t>Suma măsurilor valorii la risc condiționate nerestricționate pentru categoriile generale de factori de risc</w:t>
            </w:r>
            <w:r>
              <w:rPr>
                <w:rFonts w:ascii="Times New Roman" w:hAnsi="Times New Roman"/>
                <w:sz w:val="24"/>
              </w:rPr>
              <w:t xml:space="preserve"> (∑UES</w:t>
            </w:r>
            <w:r>
              <w:rPr>
                <w:rFonts w:ascii="Times New Roman" w:hAnsi="Times New Roman"/>
                <w:sz w:val="24"/>
                <w:vertAlign w:val="superscript"/>
              </w:rPr>
              <w:t>i</w:t>
            </w:r>
            <w:r>
              <w:rPr>
                <w:rFonts w:ascii="Times New Roman" w:hAnsi="Times New Roman"/>
                <w:sz w:val="24"/>
                <w:vertAlign w:val="subscript"/>
              </w:rPr>
              <w:t>t</w:t>
            </w:r>
            <w:r>
              <w:rPr>
                <w:rFonts w:ascii="Times New Roman" w:hAnsi="Times New Roman"/>
                <w:sz w:val="24"/>
              </w:rPr>
              <w:t xml:space="preserve">) </w:t>
            </w:r>
          </w:p>
          <w:p w14:paraId="014CC777" w14:textId="17C0E236" w:rsidR="00234F41" w:rsidRPr="00AA44B0" w:rsidRDefault="00F80764" w:rsidP="140F9DE1">
            <w:pPr>
              <w:rPr>
                <w:rFonts w:ascii="Times New Roman" w:eastAsia="Times New Roman" w:hAnsi="Times New Roman" w:cs="Times New Roman"/>
                <w:sz w:val="24"/>
              </w:rPr>
            </w:pPr>
            <w:r>
              <w:rPr>
                <w:rFonts w:ascii="Times New Roman" w:hAnsi="Times New Roman"/>
                <w:sz w:val="24"/>
              </w:rPr>
              <w:t xml:space="preserve">Suma rândurilor </w:t>
            </w:r>
            <w:r w:rsidRPr="0085509F">
              <w:rPr>
                <w:rFonts w:ascii="Times New Roman" w:hAnsi="Times New Roman"/>
                <w:sz w:val="24"/>
              </w:rPr>
              <w:t>2</w:t>
            </w:r>
            <w:r>
              <w:rPr>
                <w:rFonts w:ascii="Times New Roman" w:hAnsi="Times New Roman"/>
                <w:sz w:val="24"/>
              </w:rPr>
              <w:t>-</w:t>
            </w:r>
            <w:r w:rsidRPr="0085509F">
              <w:rPr>
                <w:rFonts w:ascii="Times New Roman" w:hAnsi="Times New Roman"/>
                <w:sz w:val="24"/>
              </w:rPr>
              <w:t>6</w:t>
            </w:r>
            <w:r>
              <w:rPr>
                <w:rFonts w:ascii="Times New Roman" w:hAnsi="Times New Roman"/>
                <w:sz w:val="24"/>
              </w:rPr>
              <w:t>.</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sidRPr="0085509F">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85509F" w:rsidRDefault="00234F41" w:rsidP="00234F41">
            <w:pPr>
              <w:rPr>
                <w:rFonts w:ascii="Times New Roman" w:eastAsia="Times New Roman" w:hAnsi="Times New Roman" w:cs="Times New Roman"/>
                <w:b/>
                <w:bCs/>
                <w:sz w:val="24"/>
              </w:rPr>
            </w:pPr>
            <w:r w:rsidRPr="0085509F">
              <w:rPr>
                <w:rFonts w:ascii="Times New Roman" w:hAnsi="Times New Roman"/>
                <w:b/>
                <w:sz w:val="24"/>
              </w:rPr>
              <w:t>Măsura valorii la risc condiționate (ES</w:t>
            </w:r>
            <w:r w:rsidRPr="0085509F">
              <w:rPr>
                <w:rFonts w:ascii="Times New Roman" w:hAnsi="Times New Roman"/>
                <w:b/>
                <w:sz w:val="24"/>
                <w:vertAlign w:val="subscript"/>
              </w:rPr>
              <w:t>t</w:t>
            </w:r>
            <w:r w:rsidRPr="0085509F">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t xml:space="preserve">Măsura valorii la risc condiționate se calculează în conformitate cu articolul </w:t>
            </w:r>
            <w:r w:rsidRPr="0085509F">
              <w:rPr>
                <w:rFonts w:ascii="Times New Roman" w:hAnsi="Times New Roman"/>
                <w:sz w:val="24"/>
              </w:rPr>
              <w:t>325</w:t>
            </w:r>
            <w:r>
              <w:rPr>
                <w:rFonts w:ascii="Times New Roman" w:hAnsi="Times New Roman"/>
                <w:sz w:val="24"/>
              </w:rPr>
              <w:t>ba alineatul (</w:t>
            </w:r>
            <w:r w:rsidRPr="0085509F">
              <w:rPr>
                <w:rFonts w:ascii="Times New Roman" w:hAnsi="Times New Roman"/>
                <w:sz w:val="24"/>
              </w:rPr>
              <w:t>1</w:t>
            </w:r>
            <w:r>
              <w:rPr>
                <w:rFonts w:ascii="Times New Roman" w:hAnsi="Times New Roman"/>
                <w:sz w:val="24"/>
              </w:rPr>
              <w:t xml:space="preserve">) litera (a) punctul (i)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rFonts w:ascii="Times New Roman" w:eastAsia="Times New Roman" w:hAnsi="Times New Roman" w:cs="Times New Roman"/>
                <w:sz w:val="24"/>
              </w:rPr>
            </w:pPr>
            <w:r w:rsidRPr="0085509F">
              <w:rPr>
                <w:rFonts w:ascii="Times New Roman" w:hAnsi="Times New Roman"/>
                <w:sz w:val="24"/>
              </w:rPr>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85509F" w:rsidRDefault="00234F41" w:rsidP="00234F41">
            <w:pPr>
              <w:rPr>
                <w:rFonts w:ascii="Times New Roman" w:eastAsia="Times New Roman" w:hAnsi="Times New Roman" w:cs="Times New Roman"/>
                <w:b/>
                <w:bCs/>
                <w:sz w:val="24"/>
              </w:rPr>
            </w:pPr>
            <w:r w:rsidRPr="0085509F">
              <w:rPr>
                <w:rFonts w:ascii="Times New Roman" w:hAnsi="Times New Roman"/>
                <w:b/>
                <w:sz w:val="24"/>
              </w:rPr>
              <w:t>Măsura riscului pentru scenarii de criză (SS</w:t>
            </w:r>
            <w:r w:rsidRPr="0085509F">
              <w:rPr>
                <w:rFonts w:ascii="Times New Roman" w:hAnsi="Times New Roman"/>
                <w:b/>
                <w:sz w:val="24"/>
                <w:vertAlign w:val="subscript"/>
              </w:rPr>
              <w:t>t</w:t>
            </w:r>
            <w:r w:rsidRPr="0085509F">
              <w:rPr>
                <w:rFonts w:ascii="Times New Roman" w:hAnsi="Times New Roman"/>
                <w:b/>
                <w:sz w:val="24"/>
              </w:rPr>
              <w:t>)</w:t>
            </w:r>
          </w:p>
          <w:p w14:paraId="1A984573" w14:textId="59113B26" w:rsidR="00234F41" w:rsidRPr="00DB0A49" w:rsidRDefault="060F6C17" w:rsidP="140F9DE1">
            <w:pPr>
              <w:rPr>
                <w:rFonts w:ascii="Times New Roman" w:eastAsia="Times New Roman" w:hAnsi="Times New Roman" w:cs="Times New Roman"/>
                <w:sz w:val="24"/>
              </w:rPr>
            </w:pPr>
            <w:r>
              <w:rPr>
                <w:rFonts w:ascii="Times New Roman" w:hAnsi="Times New Roman"/>
                <w:sz w:val="24"/>
              </w:rPr>
              <w:t xml:space="preserve">Măsura riscului pentru scenarii de criză se calculează în conformitate cu articolul </w:t>
            </w:r>
            <w:r w:rsidRPr="0085509F">
              <w:rPr>
                <w:rFonts w:ascii="Times New Roman" w:hAnsi="Times New Roman"/>
                <w:sz w:val="24"/>
              </w:rPr>
              <w:t>325</w:t>
            </w:r>
            <w:r>
              <w:rPr>
                <w:rFonts w:ascii="Times New Roman" w:hAnsi="Times New Roman"/>
                <w:sz w:val="24"/>
              </w:rPr>
              <w:t>ba alineatul (</w:t>
            </w:r>
            <w:r w:rsidRPr="0085509F">
              <w:rPr>
                <w:rFonts w:ascii="Times New Roman" w:hAnsi="Times New Roman"/>
                <w:sz w:val="24"/>
              </w:rPr>
              <w:t>1</w:t>
            </w:r>
            <w:r>
              <w:rPr>
                <w:rFonts w:ascii="Times New Roman" w:hAnsi="Times New Roman"/>
                <w:sz w:val="24"/>
              </w:rPr>
              <w:t xml:space="preserve">) litera (a) punctul (ii)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sidRPr="0085509F">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85509F" w:rsidRDefault="00234F41" w:rsidP="00234F41">
            <w:pPr>
              <w:rPr>
                <w:rFonts w:ascii="Times New Roman" w:eastAsia="Times New Roman" w:hAnsi="Times New Roman" w:cs="Times New Roman"/>
                <w:b/>
                <w:bCs/>
                <w:sz w:val="24"/>
              </w:rPr>
            </w:pPr>
            <w:r w:rsidRPr="0085509F">
              <w:rPr>
                <w:rFonts w:ascii="Times New Roman" w:hAnsi="Times New Roman"/>
                <w:b/>
                <w:sz w:val="24"/>
              </w:rPr>
              <w:t>Cerința pentru riscul de nerambursare (DRC</w:t>
            </w:r>
            <w:r w:rsidRPr="0085509F">
              <w:rPr>
                <w:rFonts w:ascii="Times New Roman" w:hAnsi="Times New Roman"/>
                <w:b/>
                <w:sz w:val="24"/>
                <w:vertAlign w:val="subscript"/>
              </w:rPr>
              <w:t>t</w:t>
            </w:r>
            <w:r w:rsidRPr="0085509F">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 xml:space="preserve">Cerința pentru riscul de nerambursare se calculează în conformitate cu articolul </w:t>
            </w:r>
            <w:r w:rsidRPr="0085509F">
              <w:rPr>
                <w:rFonts w:ascii="Times New Roman" w:hAnsi="Times New Roman"/>
                <w:sz w:val="24"/>
              </w:rPr>
              <w:t>325</w:t>
            </w:r>
            <w:r>
              <w:rPr>
                <w:rFonts w:ascii="Times New Roman" w:hAnsi="Times New Roman"/>
                <w:sz w:val="24"/>
              </w:rPr>
              <w:t>ba alineatul (</w:t>
            </w:r>
            <w:r w:rsidRPr="0085509F">
              <w:rPr>
                <w:rFonts w:ascii="Times New Roman" w:hAnsi="Times New Roman"/>
                <w:sz w:val="24"/>
              </w:rPr>
              <w:t>2</w:t>
            </w:r>
            <w:r>
              <w:rPr>
                <w:rFonts w:ascii="Times New Roman" w:hAnsi="Times New Roman"/>
                <w:sz w:val="24"/>
              </w:rPr>
              <w:t xml:space="preserve">) litera (a)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sidRPr="0085509F">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85509F" w:rsidRDefault="1AC2462E">
            <w:pPr>
              <w:rPr>
                <w:rFonts w:ascii="Times New Roman" w:eastAsia="Times New Roman" w:hAnsi="Times New Roman" w:cs="Times New Roman"/>
                <w:b/>
                <w:bCs/>
                <w:sz w:val="24"/>
              </w:rPr>
            </w:pPr>
            <w:r w:rsidRPr="0085509F">
              <w:rPr>
                <w:rFonts w:ascii="Times New Roman" w:hAnsi="Times New Roman"/>
                <w:b/>
                <w:sz w:val="24"/>
              </w:rPr>
              <w:t>PLAaddon</w:t>
            </w:r>
          </w:p>
          <w:p w14:paraId="72CEFFB9" w14:textId="6B684339" w:rsidR="00234F41" w:rsidRPr="00DB0A49" w:rsidRDefault="471075D0" w:rsidP="140F9DE1">
            <w:pPr>
              <w:rPr>
                <w:rFonts w:ascii="Times New Roman" w:eastAsia="Times New Roman" w:hAnsi="Times New Roman" w:cs="Times New Roman"/>
                <w:sz w:val="24"/>
              </w:rPr>
            </w:pPr>
            <w:r>
              <w:rPr>
                <w:rFonts w:ascii="Times New Roman" w:hAnsi="Times New Roman"/>
                <w:sz w:val="24"/>
              </w:rPr>
              <w:t xml:space="preserve">Această valoare se calculează în conformitate cu articolul </w:t>
            </w:r>
            <w:r w:rsidRPr="0085509F">
              <w:rPr>
                <w:rFonts w:ascii="Times New Roman" w:hAnsi="Times New Roman"/>
                <w:sz w:val="24"/>
              </w:rPr>
              <w:t>325</w:t>
            </w:r>
            <w:r>
              <w:rPr>
                <w:rFonts w:ascii="Times New Roman" w:hAnsi="Times New Roman"/>
                <w:sz w:val="24"/>
              </w:rPr>
              <w:t>ba alineatul (</w:t>
            </w:r>
            <w:r w:rsidRPr="0085509F">
              <w:rPr>
                <w:rFonts w:ascii="Times New Roman" w:hAnsi="Times New Roman"/>
                <w:sz w:val="24"/>
              </w:rPr>
              <w:t>3</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xml:space="preserve"> coroborat cu articolul</w:t>
            </w:r>
            <w:r w:rsidR="0085509F">
              <w:rPr>
                <w:rFonts w:ascii="Times New Roman" w:hAnsi="Times New Roman"/>
                <w:sz w:val="24"/>
              </w:rPr>
              <w:t> </w:t>
            </w:r>
            <w:r w:rsidRPr="0085509F">
              <w:rPr>
                <w:rFonts w:ascii="Times New Roman" w:hAnsi="Times New Roman"/>
                <w:sz w:val="24"/>
              </w:rPr>
              <w:t>10</w:t>
            </w:r>
            <w:r>
              <w:rPr>
                <w:rFonts w:ascii="Times New Roman" w:hAnsi="Times New Roman"/>
                <w:sz w:val="24"/>
              </w:rPr>
              <w:t xml:space="preserve"> alineatul (</w:t>
            </w:r>
            <w:r w:rsidRPr="0085509F">
              <w:rPr>
                <w:rFonts w:ascii="Times New Roman" w:hAnsi="Times New Roman"/>
                <w:sz w:val="24"/>
              </w:rPr>
              <w:t>1</w:t>
            </w:r>
            <w:r>
              <w:rPr>
                <w:rFonts w:ascii="Times New Roman" w:hAnsi="Times New Roman"/>
                <w:sz w:val="24"/>
              </w:rPr>
              <w:t xml:space="preserve">) din Regulamentul (UE) </w:t>
            </w:r>
            <w:r w:rsidRPr="0085509F">
              <w:rPr>
                <w:rFonts w:ascii="Times New Roman" w:hAnsi="Times New Roman"/>
                <w:sz w:val="24"/>
              </w:rPr>
              <w:t>2022</w:t>
            </w:r>
            <w:r>
              <w:rPr>
                <w:rFonts w:ascii="Times New Roman" w:hAnsi="Times New Roman"/>
                <w:sz w:val="24"/>
              </w:rPr>
              <w:t>/</w:t>
            </w:r>
            <w:r w:rsidRPr="0085509F">
              <w:rPr>
                <w:rFonts w:ascii="Times New Roman" w:hAnsi="Times New Roman"/>
                <w:sz w:val="24"/>
              </w:rPr>
              <w:t>2059</w:t>
            </w:r>
            <w:r>
              <w:rPr>
                <w:rFonts w:ascii="Times New Roman" w:hAnsi="Times New Roman"/>
                <w:sz w:val="24"/>
              </w:rPr>
              <w:t>.</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sidRPr="0085509F">
              <w:rPr>
                <w:rFonts w:ascii="Times New Roman" w:hAnsi="Times New Roman"/>
                <w:sz w:val="24"/>
              </w:rPr>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85509F" w:rsidRDefault="11A57A2D" w:rsidP="140F9DE1">
            <w:pPr>
              <w:rPr>
                <w:rFonts w:ascii="Times New Roman" w:hAnsi="Times New Roman" w:cs="Times New Roman"/>
                <w:b/>
                <w:bCs/>
                <w:sz w:val="24"/>
              </w:rPr>
            </w:pPr>
            <w:r w:rsidRPr="0085509F">
              <w:rPr>
                <w:rFonts w:ascii="Times New Roman" w:hAnsi="Times New Roman"/>
                <w:b/>
                <w:sz w:val="24"/>
              </w:rPr>
              <w:t>OFR pentru activitățile bilanțiere și extrabilanțiere plus PLAaddon (AIMA + PLAaddon)</w:t>
            </w:r>
          </w:p>
          <w:p w14:paraId="595AB2F9" w14:textId="23FB87CE" w:rsidR="00234F41" w:rsidRPr="00DB0A49" w:rsidRDefault="00234F41" w:rsidP="00234F41">
            <w:pPr>
              <w:rPr>
                <w:rFonts w:ascii="Times New Roman" w:eastAsia="Times New Roman" w:hAnsi="Times New Roman" w:cs="Times New Roman"/>
                <w:sz w:val="24"/>
              </w:rPr>
            </w:pPr>
            <w:r w:rsidRPr="0085509F">
              <w:rPr>
                <w:rFonts w:ascii="Times New Roman" w:hAnsi="Times New Roman"/>
                <w:spacing w:val="-2"/>
                <w:sz w:val="24"/>
              </w:rPr>
              <w:t>Această valoare se calculează în conformitate cu articolul 10 alineatul (1)</w:t>
            </w:r>
            <w:r>
              <w:rPr>
                <w:rFonts w:ascii="Times New Roman" w:hAnsi="Times New Roman"/>
                <w:sz w:val="24"/>
              </w:rPr>
              <w:t xml:space="preserve"> din Regulamentul (UE) </w:t>
            </w:r>
            <w:r w:rsidRPr="0085509F">
              <w:rPr>
                <w:rFonts w:ascii="Times New Roman" w:hAnsi="Times New Roman"/>
                <w:sz w:val="24"/>
              </w:rPr>
              <w:t>2022</w:t>
            </w:r>
            <w:r>
              <w:rPr>
                <w:rFonts w:ascii="Times New Roman" w:hAnsi="Times New Roman"/>
                <w:sz w:val="24"/>
              </w:rPr>
              <w:t>/</w:t>
            </w:r>
            <w:r w:rsidRPr="0085509F">
              <w:rPr>
                <w:rFonts w:ascii="Times New Roman" w:hAnsi="Times New Roman"/>
                <w:sz w:val="24"/>
              </w:rPr>
              <w:t>2059</w:t>
            </w:r>
            <w:r>
              <w:rPr>
                <w:rFonts w:ascii="Times New Roman" w:hAnsi="Times New Roman"/>
                <w:sz w:val="24"/>
              </w:rPr>
              <w:t xml:space="preserve">. Se adaugă valoarea de pe rândul </w:t>
            </w:r>
            <w:r w:rsidRPr="0085509F">
              <w:rPr>
                <w:rFonts w:ascii="Times New Roman" w:hAnsi="Times New Roman"/>
                <w:sz w:val="24"/>
              </w:rPr>
              <w:t>11</w:t>
            </w:r>
            <w:r>
              <w:rPr>
                <w:rFonts w:ascii="Times New Roman" w:hAnsi="Times New Roman"/>
                <w:sz w:val="24"/>
              </w:rPr>
              <w:t>.</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sidRPr="0085509F">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sidRPr="0085509F">
              <w:rPr>
                <w:rFonts w:ascii="Times New Roman" w:hAnsi="Times New Roman"/>
                <w:b/>
                <w:sz w:val="24"/>
              </w:rPr>
              <w:t>Total ASA OFR pentru birourile de tranzacționare care nu sunt eligibile pentru utilizarea AIMA (ASAnon-aima)</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t xml:space="preserve">Această valoare se calculează în conformitate cu articolul </w:t>
            </w:r>
            <w:r w:rsidRPr="0085509F">
              <w:rPr>
                <w:rFonts w:ascii="Times New Roman" w:hAnsi="Times New Roman"/>
                <w:sz w:val="24"/>
              </w:rPr>
              <w:t>325</w:t>
            </w:r>
            <w:r>
              <w:rPr>
                <w:rFonts w:ascii="Times New Roman" w:hAnsi="Times New Roman"/>
                <w:sz w:val="24"/>
              </w:rPr>
              <w:t>ba alineatul (</w:t>
            </w:r>
            <w:r w:rsidRPr="0085509F">
              <w:rPr>
                <w:rFonts w:ascii="Times New Roman" w:hAnsi="Times New Roman"/>
                <w:sz w:val="24"/>
              </w:rPr>
              <w:t>3</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sidRPr="0085509F">
              <w:rPr>
                <w:rFonts w:ascii="Times New Roman" w:hAnsi="Times New Roman"/>
                <w:sz w:val="24"/>
              </w:rPr>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85509F" w:rsidRDefault="471075D0" w:rsidP="140F9DE1">
            <w:pPr>
              <w:rPr>
                <w:rFonts w:ascii="Times New Roman" w:eastAsia="Times New Roman" w:hAnsi="Times New Roman" w:cs="Times New Roman"/>
                <w:b/>
                <w:bCs/>
                <w:sz w:val="24"/>
              </w:rPr>
            </w:pPr>
            <w:r w:rsidRPr="0085509F">
              <w:rPr>
                <w:rFonts w:ascii="Times New Roman" w:hAnsi="Times New Roman"/>
                <w:b/>
                <w:sz w:val="24"/>
              </w:rPr>
              <w:t>Diferența dintre OFR conform AIMA și ASA pentru birourile de tranzacționare AIMA (AIMA-ASAaima)</w:t>
            </w:r>
          </w:p>
          <w:p w14:paraId="326E0483" w14:textId="6E120D90" w:rsidR="00234F41" w:rsidRPr="00DB0A49" w:rsidRDefault="471075D0" w:rsidP="140F9DE1">
            <w:pPr>
              <w:rPr>
                <w:rFonts w:ascii="Times New Roman" w:eastAsia="Times New Roman" w:hAnsi="Times New Roman" w:cs="Times New Roman"/>
                <w:sz w:val="24"/>
              </w:rPr>
            </w:pPr>
            <w:r>
              <w:rPr>
                <w:rFonts w:ascii="Times New Roman" w:hAnsi="Times New Roman"/>
                <w:sz w:val="24"/>
              </w:rPr>
              <w:t xml:space="preserve">Această valoare se calculează ca diferența dintre cerințele de fonduri proprii AIMA pentru birourile AIMA [articolul </w:t>
            </w:r>
            <w:r w:rsidRPr="0085509F">
              <w:rPr>
                <w:rFonts w:ascii="Times New Roman" w:hAnsi="Times New Roman"/>
                <w:sz w:val="24"/>
              </w:rPr>
              <w:t>10</w:t>
            </w:r>
            <w:r>
              <w:rPr>
                <w:rFonts w:ascii="Times New Roman" w:hAnsi="Times New Roman"/>
                <w:sz w:val="24"/>
              </w:rPr>
              <w:t xml:space="preserve"> alineatul (</w:t>
            </w:r>
            <w:r w:rsidRPr="0085509F">
              <w:rPr>
                <w:rFonts w:ascii="Times New Roman" w:hAnsi="Times New Roman"/>
                <w:sz w:val="24"/>
              </w:rPr>
              <w:t>1</w:t>
            </w:r>
            <w:r>
              <w:rPr>
                <w:rFonts w:ascii="Times New Roman" w:hAnsi="Times New Roman"/>
                <w:sz w:val="24"/>
              </w:rPr>
              <w:t xml:space="preserve">) din </w:t>
            </w:r>
            <w:r>
              <w:rPr>
                <w:rFonts w:ascii="Times New Roman" w:hAnsi="Times New Roman"/>
                <w:sz w:val="24"/>
              </w:rPr>
              <w:lastRenderedPageBreak/>
              <w:t xml:space="preserve">Regulamentul (UE) </w:t>
            </w:r>
            <w:r w:rsidRPr="0085509F">
              <w:rPr>
                <w:rFonts w:ascii="Times New Roman" w:hAnsi="Times New Roman"/>
                <w:sz w:val="24"/>
              </w:rPr>
              <w:t>2022</w:t>
            </w:r>
            <w:r>
              <w:rPr>
                <w:rFonts w:ascii="Times New Roman" w:hAnsi="Times New Roman"/>
                <w:sz w:val="24"/>
              </w:rPr>
              <w:t>/</w:t>
            </w:r>
            <w:r w:rsidRPr="0085509F">
              <w:rPr>
                <w:rFonts w:ascii="Times New Roman" w:hAnsi="Times New Roman"/>
                <w:sz w:val="24"/>
              </w:rPr>
              <w:t>2059</w:t>
            </w:r>
            <w:r>
              <w:rPr>
                <w:rFonts w:ascii="Times New Roman" w:hAnsi="Times New Roman"/>
                <w:sz w:val="24"/>
              </w:rPr>
              <w:t>] și valoarea cerințelor de fonduri proprii ASA pentru toate birourile AIMA (vizualizarea portofoliului) [articolul</w:t>
            </w:r>
            <w:r w:rsidR="0085509F">
              <w:rPr>
                <w:rFonts w:ascii="Times New Roman" w:hAnsi="Times New Roman"/>
                <w:sz w:val="24"/>
              </w:rPr>
              <w:t> </w:t>
            </w:r>
            <w:r w:rsidRPr="0085509F">
              <w:rPr>
                <w:rFonts w:ascii="Times New Roman" w:hAnsi="Times New Roman"/>
                <w:sz w:val="24"/>
              </w:rPr>
              <w:t>10</w:t>
            </w:r>
            <w:r>
              <w:rPr>
                <w:rFonts w:ascii="Times New Roman" w:hAnsi="Times New Roman"/>
                <w:sz w:val="24"/>
              </w:rPr>
              <w:t xml:space="preserve"> alineatul (</w:t>
            </w:r>
            <w:r w:rsidRPr="0085509F">
              <w:rPr>
                <w:rFonts w:ascii="Times New Roman" w:hAnsi="Times New Roman"/>
                <w:sz w:val="24"/>
              </w:rPr>
              <w:t>1</w:t>
            </w:r>
            <w:r>
              <w:rPr>
                <w:rFonts w:ascii="Times New Roman" w:hAnsi="Times New Roman"/>
                <w:sz w:val="24"/>
              </w:rPr>
              <w:t xml:space="preserve">) din Regulamentul (UE) </w:t>
            </w:r>
            <w:r w:rsidRPr="0085509F">
              <w:rPr>
                <w:rFonts w:ascii="Times New Roman" w:hAnsi="Times New Roman"/>
                <w:sz w:val="24"/>
              </w:rPr>
              <w:t>2022</w:t>
            </w:r>
            <w:r>
              <w:rPr>
                <w:rFonts w:ascii="Times New Roman" w:hAnsi="Times New Roman"/>
                <w:sz w:val="24"/>
              </w:rPr>
              <w:t>/</w:t>
            </w:r>
            <w:r w:rsidRPr="0085509F">
              <w:rPr>
                <w:rFonts w:ascii="Times New Roman" w:hAnsi="Times New Roman"/>
                <w:sz w:val="24"/>
              </w:rPr>
              <w:t>2059</w:t>
            </w:r>
            <w:r>
              <w:rPr>
                <w:rFonts w:ascii="Times New Roman" w:hAnsi="Times New Roman"/>
                <w:sz w:val="24"/>
              </w:rPr>
              <w:t>].</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sidRPr="0085509F">
              <w:rPr>
                <w:rFonts w:ascii="Times New Roman" w:hAnsi="Times New Roman"/>
                <w:sz w:val="24"/>
              </w:rPr>
              <w:lastRenderedPageBreak/>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sidRPr="0085509F">
              <w:rPr>
                <w:rFonts w:ascii="Times New Roman" w:hAnsi="Times New Roman"/>
                <w:b/>
                <w:sz w:val="24"/>
              </w:rPr>
              <w:t>ASA OFR pentru toate birourile de tranzacționare (inclusiv cele care fac obiectul AIMA) (portofoliul ASAall)</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 xml:space="preserve">Această valoare se calculează în conformitate cu articolul </w:t>
            </w:r>
            <w:r w:rsidRPr="0085509F">
              <w:rPr>
                <w:rFonts w:ascii="Times New Roman" w:hAnsi="Times New Roman"/>
                <w:sz w:val="24"/>
              </w:rPr>
              <w:t>325</w:t>
            </w:r>
            <w:r>
              <w:rPr>
                <w:rFonts w:ascii="Times New Roman" w:hAnsi="Times New Roman"/>
                <w:sz w:val="24"/>
              </w:rPr>
              <w:t>ba alineatul (</w:t>
            </w:r>
            <w:r w:rsidRPr="0085509F">
              <w:rPr>
                <w:rFonts w:ascii="Times New Roman" w:hAnsi="Times New Roman"/>
                <w:sz w:val="24"/>
              </w:rPr>
              <w:t>3</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sidRPr="0085509F">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85509F" w:rsidRDefault="471075D0" w:rsidP="3821DFBC">
            <w:pPr>
              <w:rPr>
                <w:rFonts w:ascii="Times New Roman" w:eastAsia="Times New Roman" w:hAnsi="Times New Roman" w:cs="Times New Roman"/>
                <w:b/>
                <w:bCs/>
                <w:sz w:val="24"/>
              </w:rPr>
            </w:pPr>
            <w:r w:rsidRPr="0085509F">
              <w:rPr>
                <w:rFonts w:ascii="Times New Roman" w:hAnsi="Times New Roman"/>
                <w:b/>
                <w:sz w:val="24"/>
              </w:rPr>
              <w:t>Total cerințe de fonduri proprii AIMA (TotalAIMA)</w:t>
            </w:r>
          </w:p>
          <w:p w14:paraId="11A40A93" w14:textId="2A4DA65C"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 xml:space="preserve">Această valoare se calculează în conformitate cu articolul </w:t>
            </w:r>
            <w:r w:rsidRPr="0085509F">
              <w:rPr>
                <w:rFonts w:ascii="Times New Roman" w:hAnsi="Times New Roman"/>
                <w:sz w:val="24"/>
              </w:rPr>
              <w:t>325</w:t>
            </w:r>
            <w:r>
              <w:rPr>
                <w:rFonts w:ascii="Times New Roman" w:hAnsi="Times New Roman"/>
                <w:sz w:val="24"/>
              </w:rPr>
              <w:t>ba alineatul (</w:t>
            </w:r>
            <w:r w:rsidRPr="0085509F">
              <w:rPr>
                <w:rFonts w:ascii="Times New Roman" w:hAnsi="Times New Roman"/>
                <w:sz w:val="24"/>
              </w:rPr>
              <w:t>3</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xml:space="preserve">.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sidRPr="0085509F">
              <w:rPr>
                <w:rFonts w:ascii="Times New Roman" w:hAnsi="Times New Roman"/>
                <w:b/>
                <w:sz w:val="24"/>
              </w:rPr>
              <w:t>Litera coloanei</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85509F" w:rsidRDefault="00234F41" w:rsidP="00234F41">
            <w:pPr>
              <w:spacing w:after="240"/>
              <w:rPr>
                <w:rFonts w:ascii="Times New Roman" w:hAnsi="Times New Roman" w:cs="Times New Roman"/>
                <w:b/>
                <w:sz w:val="24"/>
              </w:rPr>
            </w:pPr>
            <w:r w:rsidRPr="0085509F">
              <w:rPr>
                <w:rFonts w:ascii="Times New Roman" w:hAnsi="Times New Roman"/>
                <w:b/>
                <w:sz w:val="24"/>
              </w:rPr>
              <w:t>Explicație</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rFonts w:ascii="Times New Roman" w:hAnsi="Times New Roman" w:cs="Times New Roman"/>
                <w:sz w:val="24"/>
              </w:rPr>
            </w:pPr>
            <w:r>
              <w:rPr>
                <w:rFonts w:ascii="Times New Roman" w:hAnsi="Times New Roman"/>
                <w:sz w:val="24"/>
              </w:rPr>
              <w:t xml:space="preserve">Publicarea informațiilor privind cea mai recentă măsură a riscului [rândurile </w:t>
            </w:r>
            <w:r w:rsidRPr="0085509F">
              <w:rPr>
                <w:rFonts w:ascii="Times New Roman" w:hAnsi="Times New Roman"/>
                <w:sz w:val="24"/>
              </w:rPr>
              <w:t>1</w:t>
            </w:r>
            <w:r>
              <w:rPr>
                <w:rFonts w:ascii="Times New Roman" w:hAnsi="Times New Roman"/>
                <w:sz w:val="24"/>
              </w:rPr>
              <w:t>-</w:t>
            </w:r>
            <w:r w:rsidRPr="0085509F">
              <w:rPr>
                <w:rFonts w:ascii="Times New Roman" w:hAnsi="Times New Roman"/>
                <w:sz w:val="24"/>
              </w:rPr>
              <w:t>10</w:t>
            </w:r>
            <w:r>
              <w:rPr>
                <w:rFonts w:ascii="Times New Roman" w:hAnsi="Times New Roman"/>
                <w:sz w:val="24"/>
              </w:rPr>
              <w:t xml:space="preserve">] sau cerințele de fonduri proprii [rândurile </w:t>
            </w:r>
            <w:r w:rsidRPr="0085509F">
              <w:rPr>
                <w:rFonts w:ascii="Times New Roman" w:hAnsi="Times New Roman"/>
                <w:sz w:val="24"/>
              </w:rPr>
              <w:t>11</w:t>
            </w:r>
            <w:r>
              <w:rPr>
                <w:rFonts w:ascii="Times New Roman" w:hAnsi="Times New Roman"/>
                <w:sz w:val="24"/>
              </w:rPr>
              <w:t>-</w:t>
            </w:r>
            <w:r w:rsidRPr="0085509F">
              <w:rPr>
                <w:rFonts w:ascii="Times New Roman" w:hAnsi="Times New Roman"/>
                <w:sz w:val="24"/>
              </w:rPr>
              <w:t>16</w:t>
            </w:r>
            <w:r>
              <w:rPr>
                <w:rFonts w:ascii="Times New Roman" w:hAnsi="Times New Roman"/>
                <w:sz w:val="24"/>
              </w:rPr>
              <w:t xml:space="preserve">] în trimestrul curent.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0B033790" w:rsidR="00825C6F" w:rsidRPr="00445013" w:rsidRDefault="00825C6F" w:rsidP="3821DFBC">
            <w:pPr>
              <w:rPr>
                <w:rFonts w:ascii="Times New Roman" w:hAnsi="Times New Roman" w:cs="Times New Roman"/>
                <w:sz w:val="24"/>
              </w:rPr>
            </w:pPr>
            <w:r>
              <w:rPr>
                <w:rFonts w:ascii="Times New Roman" w:hAnsi="Times New Roman"/>
                <w:sz w:val="24"/>
              </w:rPr>
              <w:t xml:space="preserve">Valoarea medie a măsurii riscului [rândurile </w:t>
            </w:r>
            <w:r w:rsidRPr="0085509F">
              <w:rPr>
                <w:rFonts w:ascii="Times New Roman" w:hAnsi="Times New Roman"/>
                <w:sz w:val="24"/>
              </w:rPr>
              <w:t>1</w:t>
            </w:r>
            <w:r>
              <w:rPr>
                <w:rFonts w:ascii="Times New Roman" w:hAnsi="Times New Roman"/>
                <w:sz w:val="24"/>
              </w:rPr>
              <w:t>-</w:t>
            </w:r>
            <w:r w:rsidRPr="0085509F">
              <w:rPr>
                <w:rFonts w:ascii="Times New Roman" w:hAnsi="Times New Roman"/>
                <w:sz w:val="24"/>
              </w:rPr>
              <w:t>10</w:t>
            </w:r>
            <w:r>
              <w:rPr>
                <w:rFonts w:ascii="Times New Roman" w:hAnsi="Times New Roman"/>
                <w:sz w:val="24"/>
              </w:rPr>
              <w:t xml:space="preserve">] pe parcursul ultimelor </w:t>
            </w:r>
            <w:r w:rsidRPr="0085509F">
              <w:rPr>
                <w:rFonts w:ascii="Times New Roman" w:hAnsi="Times New Roman"/>
                <w:sz w:val="24"/>
              </w:rPr>
              <w:t>60</w:t>
            </w:r>
            <w:r>
              <w:rPr>
                <w:rFonts w:ascii="Times New Roman" w:hAnsi="Times New Roman"/>
                <w:sz w:val="24"/>
              </w:rPr>
              <w:t xml:space="preserve"> de zile lucrătoare [rândurile </w:t>
            </w:r>
            <w:r w:rsidRPr="0085509F">
              <w:rPr>
                <w:rFonts w:ascii="Times New Roman" w:hAnsi="Times New Roman"/>
                <w:sz w:val="24"/>
              </w:rPr>
              <w:t>1</w:t>
            </w:r>
            <w:r>
              <w:rPr>
                <w:rFonts w:ascii="Times New Roman" w:hAnsi="Times New Roman"/>
                <w:sz w:val="24"/>
              </w:rPr>
              <w:t>-</w:t>
            </w:r>
            <w:r w:rsidRPr="0085509F">
              <w:rPr>
                <w:rFonts w:ascii="Times New Roman" w:hAnsi="Times New Roman"/>
                <w:sz w:val="24"/>
              </w:rPr>
              <w:t>9</w:t>
            </w:r>
            <w:r>
              <w:rPr>
                <w:rFonts w:ascii="Times New Roman" w:hAnsi="Times New Roman"/>
                <w:sz w:val="24"/>
              </w:rPr>
              <w:t xml:space="preserve">] sau pe parcursul ultimelor </w:t>
            </w:r>
            <w:r w:rsidRPr="0085509F">
              <w:rPr>
                <w:rFonts w:ascii="Times New Roman" w:hAnsi="Times New Roman"/>
                <w:sz w:val="24"/>
              </w:rPr>
              <w:t>12</w:t>
            </w:r>
            <w:r w:rsidR="0085509F">
              <w:rPr>
                <w:rFonts w:ascii="Times New Roman" w:hAnsi="Times New Roman"/>
                <w:sz w:val="24"/>
              </w:rPr>
              <w:t> </w:t>
            </w:r>
            <w:r>
              <w:rPr>
                <w:rFonts w:ascii="Times New Roman" w:hAnsi="Times New Roman"/>
                <w:sz w:val="24"/>
              </w:rPr>
              <w:t xml:space="preserve">săptămâni [rândul </w:t>
            </w:r>
            <w:r w:rsidRPr="0085509F">
              <w:rPr>
                <w:rFonts w:ascii="Times New Roman" w:hAnsi="Times New Roman"/>
                <w:sz w:val="24"/>
              </w:rPr>
              <w:t>10</w:t>
            </w:r>
            <w:r>
              <w:rPr>
                <w:rFonts w:ascii="Times New Roman" w:hAnsi="Times New Roman"/>
                <w:sz w:val="24"/>
              </w:rPr>
              <w:t>] în trimestrul curent.</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 xml:space="preserve">Cea mai ridicată măsură a riscului din ultimele </w:t>
            </w:r>
            <w:r w:rsidRPr="0085509F">
              <w:rPr>
                <w:rFonts w:ascii="Times New Roman" w:hAnsi="Times New Roman"/>
                <w:sz w:val="24"/>
              </w:rPr>
              <w:t>60</w:t>
            </w:r>
            <w:r>
              <w:rPr>
                <w:rFonts w:ascii="Times New Roman" w:hAnsi="Times New Roman"/>
                <w:sz w:val="24"/>
              </w:rPr>
              <w:t xml:space="preserve"> de zile lucrătoare [rândurile </w:t>
            </w:r>
            <w:r w:rsidRPr="0085509F">
              <w:rPr>
                <w:rFonts w:ascii="Times New Roman" w:hAnsi="Times New Roman"/>
                <w:sz w:val="24"/>
              </w:rPr>
              <w:t>1</w:t>
            </w:r>
            <w:r>
              <w:rPr>
                <w:rFonts w:ascii="Times New Roman" w:hAnsi="Times New Roman"/>
                <w:sz w:val="24"/>
              </w:rPr>
              <w:t>-</w:t>
            </w:r>
            <w:r w:rsidRPr="0085509F">
              <w:rPr>
                <w:rFonts w:ascii="Times New Roman" w:hAnsi="Times New Roman"/>
                <w:sz w:val="24"/>
              </w:rPr>
              <w:t>6</w:t>
            </w:r>
            <w:r>
              <w:rPr>
                <w:rFonts w:ascii="Times New Roman" w:hAnsi="Times New Roman"/>
                <w:sz w:val="24"/>
              </w:rPr>
              <w:t>] în trimestrul curent.</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 xml:space="preserve">Cea mai scăzută măsură a riscului din ultimele </w:t>
            </w:r>
            <w:r w:rsidRPr="0085509F">
              <w:rPr>
                <w:rFonts w:ascii="Times New Roman" w:hAnsi="Times New Roman"/>
                <w:sz w:val="24"/>
              </w:rPr>
              <w:t>60</w:t>
            </w:r>
            <w:r>
              <w:rPr>
                <w:rFonts w:ascii="Times New Roman" w:hAnsi="Times New Roman"/>
                <w:sz w:val="24"/>
              </w:rPr>
              <w:t xml:space="preserve"> de zile lucrătoare [rândurile </w:t>
            </w:r>
            <w:r w:rsidRPr="0085509F">
              <w:rPr>
                <w:rFonts w:ascii="Times New Roman" w:hAnsi="Times New Roman"/>
                <w:sz w:val="24"/>
              </w:rPr>
              <w:t>1</w:t>
            </w:r>
            <w:r>
              <w:rPr>
                <w:rFonts w:ascii="Times New Roman" w:hAnsi="Times New Roman"/>
                <w:sz w:val="24"/>
              </w:rPr>
              <w:t>-</w:t>
            </w:r>
            <w:r w:rsidRPr="0085509F">
              <w:rPr>
                <w:rFonts w:ascii="Times New Roman" w:hAnsi="Times New Roman"/>
                <w:sz w:val="24"/>
              </w:rPr>
              <w:t>6</w:t>
            </w:r>
            <w:r>
              <w:rPr>
                <w:rFonts w:ascii="Times New Roman" w:hAnsi="Times New Roman"/>
                <w:sz w:val="24"/>
              </w:rPr>
              <w:t>] în trimestrul curent.</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 xml:space="preserve">Numărul de depășiri din cadrul testărilor </w:t>
            </w:r>
            <w:r w:rsidRPr="0085509F">
              <w:rPr>
                <w:rFonts w:ascii="Times New Roman" w:hAnsi="Times New Roman"/>
                <w:i/>
                <w:sz w:val="24"/>
              </w:rPr>
              <w:t>ex post</w:t>
            </w:r>
            <w:r>
              <w:rPr>
                <w:rFonts w:ascii="Times New Roman" w:hAnsi="Times New Roman"/>
                <w:sz w:val="24"/>
              </w:rPr>
              <w:t xml:space="preserve"> [rândul </w:t>
            </w:r>
            <w:r w:rsidRPr="0085509F">
              <w:rPr>
                <w:rFonts w:ascii="Times New Roman" w:hAnsi="Times New Roman"/>
                <w:sz w:val="24"/>
              </w:rPr>
              <w:t>1</w:t>
            </w:r>
            <w:r>
              <w:rPr>
                <w:rFonts w:ascii="Times New Roman" w:hAnsi="Times New Roman"/>
                <w:sz w:val="24"/>
              </w:rPr>
              <w:t>]</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t xml:space="preserve">Numărul de depășiri raportate în această celulă este numărul utilizat pentru determinarea majorării în conformitate cu tabelul </w:t>
            </w:r>
            <w:r w:rsidRPr="0085509F">
              <w:rPr>
                <w:rFonts w:ascii="Times New Roman" w:hAnsi="Times New Roman"/>
                <w:sz w:val="24"/>
              </w:rPr>
              <w:t>3</w:t>
            </w:r>
            <w:r>
              <w:rPr>
                <w:rFonts w:ascii="Times New Roman" w:hAnsi="Times New Roman"/>
                <w:sz w:val="24"/>
              </w:rPr>
              <w:t xml:space="preserve"> de la articolul </w:t>
            </w:r>
            <w:r w:rsidRPr="0085509F">
              <w:rPr>
                <w:rFonts w:ascii="Times New Roman" w:hAnsi="Times New Roman"/>
                <w:sz w:val="24"/>
              </w:rPr>
              <w:t>325</w:t>
            </w:r>
            <w:r>
              <w:rPr>
                <w:rFonts w:ascii="Times New Roman" w:hAnsi="Times New Roman"/>
                <w:sz w:val="24"/>
              </w:rPr>
              <w:t>bf alineatul (</w:t>
            </w:r>
            <w:r w:rsidRPr="0085509F">
              <w:rPr>
                <w:rFonts w:ascii="Times New Roman" w:hAnsi="Times New Roman"/>
                <w:sz w:val="24"/>
              </w:rPr>
              <w:t>6</w:t>
            </w:r>
            <w:r>
              <w:rPr>
                <w:rFonts w:ascii="Times New Roman" w:hAnsi="Times New Roman"/>
                <w:sz w:val="24"/>
              </w:rPr>
              <w:t xml:space="preserve">) litera (b)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Depășirile care sunt excluse cu aprobarea autorității competente nu sunt incluse.</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rFonts w:ascii="Times New Roman" w:hAnsi="Times New Roman" w:cs="Times New Roman"/>
                <w:sz w:val="24"/>
              </w:rPr>
            </w:pPr>
            <w:r>
              <w:rPr>
                <w:rFonts w:ascii="Times New Roman" w:hAnsi="Times New Roman"/>
                <w:sz w:val="24"/>
              </w:rPr>
              <w:t xml:space="preserve">Cea mai recentă măsură a riscului [rândurile </w:t>
            </w:r>
            <w:r w:rsidRPr="0085509F">
              <w:rPr>
                <w:rFonts w:ascii="Times New Roman" w:hAnsi="Times New Roman"/>
                <w:sz w:val="24"/>
              </w:rPr>
              <w:t>1</w:t>
            </w:r>
            <w:r>
              <w:rPr>
                <w:rFonts w:ascii="Times New Roman" w:hAnsi="Times New Roman"/>
                <w:sz w:val="24"/>
              </w:rPr>
              <w:t>-</w:t>
            </w:r>
            <w:r w:rsidRPr="0085509F">
              <w:rPr>
                <w:rFonts w:ascii="Times New Roman" w:hAnsi="Times New Roman"/>
                <w:sz w:val="24"/>
              </w:rPr>
              <w:t>10</w:t>
            </w:r>
            <w:r>
              <w:rPr>
                <w:rFonts w:ascii="Times New Roman" w:hAnsi="Times New Roman"/>
                <w:sz w:val="24"/>
              </w:rPr>
              <w:t xml:space="preserve">] sau cerințele de fonduri proprii [rândurile </w:t>
            </w:r>
            <w:r w:rsidRPr="0085509F">
              <w:rPr>
                <w:rFonts w:ascii="Times New Roman" w:hAnsi="Times New Roman"/>
                <w:sz w:val="24"/>
              </w:rPr>
              <w:t>11</w:t>
            </w:r>
            <w:r>
              <w:rPr>
                <w:rFonts w:ascii="Times New Roman" w:hAnsi="Times New Roman"/>
                <w:sz w:val="24"/>
              </w:rPr>
              <w:t>-</w:t>
            </w:r>
            <w:r w:rsidRPr="0085509F">
              <w:rPr>
                <w:rFonts w:ascii="Times New Roman" w:hAnsi="Times New Roman"/>
                <w:sz w:val="24"/>
              </w:rPr>
              <w:t>16</w:t>
            </w:r>
            <w:r>
              <w:rPr>
                <w:rFonts w:ascii="Times New Roman" w:hAnsi="Times New Roman"/>
                <w:sz w:val="24"/>
              </w:rPr>
              <w:t xml:space="preserve">] în trimestrul anterior.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2A1B76" w:rsidR="00234F41" w:rsidRPr="001F1865" w:rsidRDefault="00234F41" w:rsidP="00234F41">
            <w:pPr>
              <w:rPr>
                <w:rFonts w:ascii="Times New Roman" w:hAnsi="Times New Roman" w:cs="Times New Roman"/>
                <w:sz w:val="24"/>
              </w:rPr>
            </w:pPr>
            <w:r>
              <w:rPr>
                <w:rFonts w:ascii="Times New Roman" w:hAnsi="Times New Roman"/>
                <w:sz w:val="24"/>
              </w:rPr>
              <w:t xml:space="preserve">Valoarea medie a măsurii riscului [rândurile </w:t>
            </w:r>
            <w:r w:rsidRPr="0085509F">
              <w:rPr>
                <w:rFonts w:ascii="Times New Roman" w:hAnsi="Times New Roman"/>
                <w:sz w:val="24"/>
              </w:rPr>
              <w:t>1</w:t>
            </w:r>
            <w:r>
              <w:rPr>
                <w:rFonts w:ascii="Times New Roman" w:hAnsi="Times New Roman"/>
                <w:sz w:val="24"/>
              </w:rPr>
              <w:t>-</w:t>
            </w:r>
            <w:r w:rsidRPr="0085509F">
              <w:rPr>
                <w:rFonts w:ascii="Times New Roman" w:hAnsi="Times New Roman"/>
                <w:sz w:val="24"/>
              </w:rPr>
              <w:t>10</w:t>
            </w:r>
            <w:r>
              <w:rPr>
                <w:rFonts w:ascii="Times New Roman" w:hAnsi="Times New Roman"/>
                <w:sz w:val="24"/>
              </w:rPr>
              <w:t xml:space="preserve">] pe parcursul ultimelor </w:t>
            </w:r>
            <w:r w:rsidRPr="0085509F">
              <w:rPr>
                <w:rFonts w:ascii="Times New Roman" w:hAnsi="Times New Roman"/>
                <w:sz w:val="24"/>
              </w:rPr>
              <w:t>60</w:t>
            </w:r>
            <w:r>
              <w:rPr>
                <w:rFonts w:ascii="Times New Roman" w:hAnsi="Times New Roman"/>
                <w:sz w:val="24"/>
              </w:rPr>
              <w:t xml:space="preserve"> de zile lucrătoare [rândurile </w:t>
            </w:r>
            <w:r w:rsidRPr="0085509F">
              <w:rPr>
                <w:rFonts w:ascii="Times New Roman" w:hAnsi="Times New Roman"/>
                <w:sz w:val="24"/>
              </w:rPr>
              <w:t>1</w:t>
            </w:r>
            <w:r>
              <w:rPr>
                <w:rFonts w:ascii="Times New Roman" w:hAnsi="Times New Roman"/>
                <w:sz w:val="24"/>
              </w:rPr>
              <w:t>-</w:t>
            </w:r>
            <w:r w:rsidRPr="0085509F">
              <w:rPr>
                <w:rFonts w:ascii="Times New Roman" w:hAnsi="Times New Roman"/>
                <w:sz w:val="24"/>
              </w:rPr>
              <w:t>9</w:t>
            </w:r>
            <w:r>
              <w:rPr>
                <w:rFonts w:ascii="Times New Roman" w:hAnsi="Times New Roman"/>
                <w:sz w:val="24"/>
              </w:rPr>
              <w:t xml:space="preserve">] sau pe parcursul ultimelor </w:t>
            </w:r>
            <w:r w:rsidRPr="0085509F">
              <w:rPr>
                <w:rFonts w:ascii="Times New Roman" w:hAnsi="Times New Roman"/>
                <w:sz w:val="24"/>
              </w:rPr>
              <w:t>12</w:t>
            </w:r>
            <w:r w:rsidR="0085509F">
              <w:rPr>
                <w:rFonts w:ascii="Times New Roman" w:hAnsi="Times New Roman"/>
                <w:sz w:val="24"/>
              </w:rPr>
              <w:t> </w:t>
            </w:r>
            <w:r>
              <w:rPr>
                <w:rFonts w:ascii="Times New Roman" w:hAnsi="Times New Roman"/>
                <w:sz w:val="24"/>
              </w:rPr>
              <w:t xml:space="preserve">săptămâni [rândul </w:t>
            </w:r>
            <w:r w:rsidRPr="0085509F">
              <w:rPr>
                <w:rFonts w:ascii="Times New Roman" w:hAnsi="Times New Roman"/>
                <w:sz w:val="24"/>
              </w:rPr>
              <w:t>10</w:t>
            </w:r>
            <w:r>
              <w:rPr>
                <w:rFonts w:ascii="Times New Roman" w:hAnsi="Times New Roman"/>
                <w:sz w:val="24"/>
              </w:rPr>
              <w:t>] din trimestrul anterior.</w:t>
            </w:r>
          </w:p>
        </w:tc>
      </w:tr>
    </w:tbl>
    <w:p w14:paraId="60061E4C" w14:textId="6CE0B0D3" w:rsidR="00AA4A0F" w:rsidRPr="0085509F" w:rsidRDefault="00AA4A0F" w:rsidP="00931C32">
      <w:pPr>
        <w:pStyle w:val="Titlelevel2"/>
        <w:spacing w:before="0"/>
        <w:rPr>
          <w:rFonts w:ascii="Times New Roman" w:hAnsi="Times New Roman" w:cs="Times New Roman"/>
          <w:b/>
          <w:color w:val="auto"/>
          <w:sz w:val="24"/>
        </w:rPr>
      </w:pPr>
    </w:p>
    <w:p w14:paraId="7EADC0A6" w14:textId="5B12A297" w:rsidR="00AA4A0F" w:rsidRPr="001F1865" w:rsidRDefault="00AA4A0F" w:rsidP="140F9DE1">
      <w:pPr>
        <w:pStyle w:val="Titlelevel2"/>
        <w:spacing w:before="0"/>
        <w:rPr>
          <w:rFonts w:ascii="Times New Roman" w:hAnsi="Times New Roman" w:cs="Times New Roman"/>
          <w:color w:val="auto"/>
          <w:sz w:val="24"/>
        </w:rPr>
      </w:pPr>
      <w:r w:rsidRPr="0085509F">
        <w:rPr>
          <w:rFonts w:ascii="Times New Roman" w:hAnsi="Times New Roman"/>
          <w:b/>
          <w:color w:val="auto"/>
          <w:sz w:val="24"/>
        </w:rPr>
        <w:t>Modelul EU MR3 – Riscul de piață conform abordării standardizate simplificate (SSA)</w:t>
      </w:r>
      <w:r>
        <w:rPr>
          <w:rFonts w:ascii="Times New Roman" w:hAnsi="Times New Roman"/>
          <w:color w:val="auto"/>
          <w:sz w:val="24"/>
        </w:rPr>
        <w:t>: format fix</w:t>
      </w:r>
    </w:p>
    <w:p w14:paraId="6AC491D2" w14:textId="18F5AB69" w:rsidR="00AA4A0F" w:rsidRPr="0085509F"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t xml:space="preserve">Instituțiile publică informațiile menționate la articolul </w:t>
      </w:r>
      <w:r w:rsidRPr="0085509F">
        <w:rPr>
          <w:rFonts w:ascii="Times New Roman" w:hAnsi="Times New Roman"/>
          <w:color w:val="000000" w:themeColor="text1"/>
          <w:sz w:val="24"/>
        </w:rPr>
        <w:t>445</w:t>
      </w:r>
      <w:r>
        <w:rPr>
          <w:rFonts w:ascii="Times New Roman" w:hAnsi="Times New Roman"/>
          <w:color w:val="000000" w:themeColor="text1"/>
          <w:sz w:val="24"/>
        </w:rPr>
        <w:t xml:space="preserve"> din Regulamentul (UE) nr.</w:t>
      </w:r>
      <w:r w:rsidR="0085509F">
        <w:rPr>
          <w:rFonts w:ascii="Times New Roman" w:hAnsi="Times New Roman"/>
          <w:color w:val="000000" w:themeColor="text1"/>
          <w:sz w:val="24"/>
        </w:rPr>
        <w:t> </w:t>
      </w:r>
      <w:r w:rsidRPr="0085509F">
        <w:rPr>
          <w:rFonts w:ascii="Times New Roman" w:hAnsi="Times New Roman"/>
          <w:color w:val="000000" w:themeColor="text1"/>
          <w:sz w:val="24"/>
        </w:rPr>
        <w:t>575</w:t>
      </w:r>
      <w:r>
        <w:rPr>
          <w:rFonts w:ascii="Times New Roman" w:hAnsi="Times New Roman"/>
          <w:color w:val="000000" w:themeColor="text1"/>
          <w:sz w:val="24"/>
        </w:rPr>
        <w:t>/</w:t>
      </w:r>
      <w:r w:rsidRPr="0085509F">
        <w:rPr>
          <w:rFonts w:ascii="Times New Roman" w:hAnsi="Times New Roman"/>
          <w:color w:val="000000" w:themeColor="text1"/>
          <w:sz w:val="24"/>
        </w:rPr>
        <w:t>2013</w:t>
      </w:r>
      <w:r>
        <w:rPr>
          <w:rFonts w:ascii="Times New Roman" w:hAnsi="Times New Roman"/>
          <w:color w:val="000000" w:themeColor="text1"/>
          <w:sz w:val="24"/>
        </w:rPr>
        <w:t xml:space="preserve"> urmând instrucțiunile furnizate mai jos în prezenta anexă pentru completarea modelului EU MR</w:t>
      </w:r>
      <w:r w:rsidRPr="0085509F">
        <w:rPr>
          <w:rFonts w:ascii="Times New Roman" w:hAnsi="Times New Roman"/>
          <w:color w:val="000000" w:themeColor="text1"/>
          <w:sz w:val="24"/>
        </w:rPr>
        <w:t>3</w:t>
      </w:r>
      <w:r>
        <w:rPr>
          <w:rFonts w:ascii="Times New Roman" w:hAnsi="Times New Roman"/>
          <w:color w:val="000000" w:themeColor="text1"/>
          <w:sz w:val="24"/>
        </w:rPr>
        <w:t xml:space="preserve"> care figurează în anexa XXIX la soluțiile informatice.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85509F" w:rsidRDefault="00AA4A0F" w:rsidP="0085509F">
            <w:pPr>
              <w:keepNext/>
              <w:spacing w:after="240"/>
              <w:rPr>
                <w:rFonts w:ascii="Times New Roman" w:hAnsi="Times New Roman" w:cs="Times New Roman"/>
                <w:b/>
                <w:sz w:val="24"/>
              </w:rPr>
            </w:pPr>
            <w:r w:rsidRPr="0085509F">
              <w:rPr>
                <w:rFonts w:ascii="Times New Roman" w:hAnsi="Times New Roman"/>
                <w:b/>
                <w:sz w:val="24"/>
              </w:rPr>
              <w:lastRenderedPageBreak/>
              <w:t>Referințe juridice și instrucțiuni</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85509F">
            <w:pPr>
              <w:keepNext/>
              <w:spacing w:after="240"/>
              <w:rPr>
                <w:rFonts w:ascii="Times New Roman" w:hAnsi="Times New Roman" w:cs="Times New Roman"/>
                <w:b/>
                <w:sz w:val="24"/>
              </w:rPr>
            </w:pPr>
            <w:r w:rsidRPr="0085509F">
              <w:rPr>
                <w:rFonts w:ascii="Times New Roman" w:hAnsi="Times New Roman"/>
                <w:b/>
                <w:sz w:val="24"/>
              </w:rPr>
              <w:t>Numărul rândului</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85509F" w:rsidRDefault="00AA4A0F" w:rsidP="00DE090B">
            <w:pPr>
              <w:spacing w:after="240"/>
              <w:rPr>
                <w:rFonts w:ascii="Times New Roman" w:hAnsi="Times New Roman" w:cs="Times New Roman"/>
                <w:b/>
                <w:sz w:val="24"/>
              </w:rPr>
            </w:pPr>
            <w:r w:rsidRPr="0085509F">
              <w:rPr>
                <w:rFonts w:ascii="Times New Roman" w:hAnsi="Times New Roman"/>
                <w:b/>
                <w:sz w:val="24"/>
              </w:rPr>
              <w:t>Explicație</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85509F">
            <w:pPr>
              <w:keepNext/>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85509F"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sidRPr="0085509F">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85509F" w:rsidRDefault="00AA4A0F" w:rsidP="00DE090B">
            <w:pPr>
              <w:spacing w:after="240"/>
              <w:rPr>
                <w:rFonts w:ascii="Times New Roman" w:hAnsi="Times New Roman" w:cs="Times New Roman"/>
                <w:b/>
                <w:sz w:val="24"/>
              </w:rPr>
            </w:pPr>
            <w:r w:rsidRPr="0085509F">
              <w:rPr>
                <w:rFonts w:ascii="Times New Roman" w:hAnsi="Times New Roman"/>
                <w:b/>
                <w:sz w:val="24"/>
              </w:rPr>
              <w:t xml:space="preserve">Riscul de rată a dobânzii (general și specific) </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Riscul general și specific al pozițiilor pe instrumente de datorie tranzacționate din portofoliul de tranzacționare, în conformitate cu partea a treia titlul IV capitolul </w:t>
            </w:r>
            <w:r w:rsidRPr="0085509F">
              <w:rPr>
                <w:rFonts w:ascii="Times New Roman" w:hAnsi="Times New Roman"/>
                <w:sz w:val="24"/>
              </w:rPr>
              <w:t>2</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excluzând riscul specific legat de securitizare.</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sidRPr="0085509F">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85509F" w:rsidRDefault="00AA4A0F" w:rsidP="00DE090B">
            <w:pPr>
              <w:spacing w:after="240"/>
              <w:rPr>
                <w:rFonts w:ascii="Times New Roman" w:hAnsi="Times New Roman" w:cs="Times New Roman"/>
                <w:b/>
                <w:sz w:val="24"/>
              </w:rPr>
            </w:pPr>
            <w:r w:rsidRPr="0085509F">
              <w:rPr>
                <w:rFonts w:ascii="Times New Roman" w:hAnsi="Times New Roman"/>
                <w:b/>
                <w:sz w:val="24"/>
              </w:rPr>
              <w:t>Riscul privind titlurile de capital (general și specific)</w:t>
            </w:r>
          </w:p>
          <w:p w14:paraId="7CB149BE" w14:textId="7EC2652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 xml:space="preserve">Riscul general și riscul specific al pozițiilor pe titluri de capital din portofoliul de tranzacționare, în conformitate cu partea a treia titlul IV capitolul </w:t>
            </w:r>
            <w:r w:rsidRPr="0085509F">
              <w:rPr>
                <w:rFonts w:ascii="Times New Roman" w:hAnsi="Times New Roman"/>
                <w:sz w:val="24"/>
              </w:rPr>
              <w:t>2</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sidRPr="0085509F">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85509F" w:rsidRDefault="00AA4A0F" w:rsidP="00DE090B">
            <w:pPr>
              <w:spacing w:after="240"/>
              <w:rPr>
                <w:rFonts w:ascii="Times New Roman" w:hAnsi="Times New Roman" w:cs="Times New Roman"/>
                <w:b/>
                <w:sz w:val="24"/>
              </w:rPr>
            </w:pPr>
            <w:r w:rsidRPr="0085509F">
              <w:rPr>
                <w:rFonts w:ascii="Times New Roman" w:hAnsi="Times New Roman"/>
                <w:b/>
                <w:sz w:val="24"/>
              </w:rPr>
              <w:t>Riscul de marfă</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t xml:space="preserve">Riscul pozițiilor pe marfă, în conformitate cu partea a treia titlul IV capitolul </w:t>
            </w:r>
            <w:r w:rsidRPr="0085509F">
              <w:rPr>
                <w:rFonts w:ascii="Times New Roman" w:hAnsi="Times New Roman"/>
                <w:sz w:val="24"/>
              </w:rPr>
              <w:t>4</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sidRPr="0085509F">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85509F" w:rsidRDefault="00AA4A0F" w:rsidP="00DE090B">
            <w:pPr>
              <w:spacing w:after="240"/>
              <w:rPr>
                <w:rFonts w:ascii="Times New Roman" w:hAnsi="Times New Roman" w:cs="Times New Roman"/>
                <w:b/>
                <w:sz w:val="24"/>
              </w:rPr>
            </w:pPr>
            <w:r w:rsidRPr="0085509F">
              <w:rPr>
                <w:rFonts w:ascii="Times New Roman" w:hAnsi="Times New Roman"/>
                <w:b/>
                <w:sz w:val="24"/>
              </w:rPr>
              <w:t>Riscul valutar</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 xml:space="preserve">Riscul pozițiilor pe cursul de schimb valutar, în conformitate cu partea a treia titlul IV capitolul </w:t>
            </w:r>
            <w:r w:rsidRPr="0085509F">
              <w:rPr>
                <w:rFonts w:ascii="Times New Roman" w:hAnsi="Times New Roman"/>
                <w:sz w:val="24"/>
              </w:rPr>
              <w:t>3</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rFonts w:ascii="Times New Roman" w:hAnsi="Times New Roman" w:cs="Times New Roman"/>
                <w:sz w:val="24"/>
              </w:rPr>
            </w:pPr>
            <w:r w:rsidRPr="0085509F">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85509F" w:rsidRDefault="00AA4A0F" w:rsidP="00DE090B">
            <w:pPr>
              <w:spacing w:after="240"/>
              <w:rPr>
                <w:rFonts w:ascii="Times New Roman" w:eastAsia="Times New Roman" w:hAnsi="Times New Roman" w:cs="Times New Roman"/>
                <w:b/>
                <w:bCs/>
                <w:sz w:val="24"/>
              </w:rPr>
            </w:pPr>
            <w:r w:rsidRPr="0085509F">
              <w:rPr>
                <w:rFonts w:ascii="Times New Roman" w:hAnsi="Times New Roman"/>
                <w:b/>
                <w:sz w:val="24"/>
              </w:rPr>
              <w:t>Securitizare (risc specific)</w:t>
            </w:r>
          </w:p>
          <w:p w14:paraId="20BB6B2F" w14:textId="370CD600" w:rsidR="00AA4A0F" w:rsidRPr="00DE72D6" w:rsidRDefault="00AA4A0F" w:rsidP="00DE090B">
            <w:pPr>
              <w:rPr>
                <w:rFonts w:ascii="Times New Roman" w:hAnsi="Times New Roman" w:cs="Times New Roman"/>
              </w:rPr>
            </w:pPr>
            <w:r>
              <w:rPr>
                <w:rFonts w:ascii="Times New Roman" w:hAnsi="Times New Roman"/>
                <w:sz w:val="24"/>
              </w:rPr>
              <w:t xml:space="preserve">Riscul specific al pozițiilor din securitizare din portofoliul de tranzacționare, în conformitate cu partea a treia titlul IV capitolul </w:t>
            </w:r>
            <w:r w:rsidRPr="0085509F">
              <w:rPr>
                <w:rFonts w:ascii="Times New Roman" w:hAnsi="Times New Roman"/>
                <w:sz w:val="24"/>
              </w:rPr>
              <w:t>2</w:t>
            </w:r>
            <w:r>
              <w:rPr>
                <w:rFonts w:ascii="Times New Roman" w:hAnsi="Times New Roman"/>
                <w:sz w:val="24"/>
              </w:rPr>
              <w:t xml:space="preserve"> articolele </w:t>
            </w:r>
            <w:r w:rsidRPr="0085509F">
              <w:rPr>
                <w:rFonts w:ascii="Times New Roman" w:hAnsi="Times New Roman"/>
                <w:sz w:val="24"/>
              </w:rPr>
              <w:t>337</w:t>
            </w:r>
            <w:r>
              <w:rPr>
                <w:rFonts w:ascii="Times New Roman" w:hAnsi="Times New Roman"/>
                <w:sz w:val="24"/>
              </w:rPr>
              <w:t xml:space="preserve"> și </w:t>
            </w:r>
            <w:r w:rsidRPr="0085509F">
              <w:rPr>
                <w:rFonts w:ascii="Times New Roman" w:hAnsi="Times New Roman"/>
                <w:sz w:val="24"/>
              </w:rPr>
              <w:t>338</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sidRPr="0085509F">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85509F" w:rsidRDefault="00AA4A0F" w:rsidP="00DE090B">
            <w:pPr>
              <w:spacing w:after="240"/>
              <w:rPr>
                <w:rFonts w:ascii="Times New Roman" w:eastAsia="Times New Roman" w:hAnsi="Times New Roman" w:cs="Times New Roman"/>
                <w:b/>
                <w:bCs/>
                <w:sz w:val="24"/>
              </w:rPr>
            </w:pPr>
            <w:r w:rsidRPr="0085509F">
              <w:rPr>
                <w:rFonts w:ascii="Times New Roman" w:hAnsi="Times New Roman"/>
                <w:b/>
                <w:sz w:val="24"/>
              </w:rPr>
              <w:t xml:space="preserve">Total OFR S-SA </w:t>
            </w:r>
          </w:p>
          <w:p w14:paraId="5DD2D55D" w14:textId="027A9E83" w:rsidR="00AA4A0F" w:rsidRPr="001F1865" w:rsidRDefault="00AA4A0F" w:rsidP="00DE090B">
            <w:pPr>
              <w:rPr>
                <w:rFonts w:ascii="Times New Roman" w:eastAsia="Times New Roman" w:hAnsi="Times New Roman" w:cs="Times New Roman"/>
                <w:sz w:val="24"/>
              </w:rPr>
            </w:pPr>
            <w:r>
              <w:rPr>
                <w:rFonts w:ascii="Times New Roman" w:hAnsi="Times New Roman"/>
                <w:sz w:val="24"/>
              </w:rPr>
              <w:t xml:space="preserve">Publicarea informațiilor privind cerințele de fonduri proprii menționate la articolul </w:t>
            </w:r>
            <w:r w:rsidRPr="0085509F">
              <w:rPr>
                <w:rFonts w:ascii="Times New Roman" w:hAnsi="Times New Roman"/>
                <w:sz w:val="24"/>
              </w:rPr>
              <w:t>438</w:t>
            </w:r>
            <w:r>
              <w:rPr>
                <w:rFonts w:ascii="Times New Roman" w:hAnsi="Times New Roman"/>
                <w:sz w:val="24"/>
              </w:rPr>
              <w:t xml:space="preserve"> litera (d)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xml:space="preserve">, calculată ca suma simplă a cuantumurilor de pe rândurile </w:t>
            </w:r>
            <w:r w:rsidRPr="0085509F">
              <w:rPr>
                <w:rFonts w:ascii="Times New Roman" w:hAnsi="Times New Roman"/>
                <w:sz w:val="24"/>
              </w:rPr>
              <w:t>1</w:t>
            </w:r>
            <w:r>
              <w:rPr>
                <w:rFonts w:ascii="Times New Roman" w:hAnsi="Times New Roman"/>
                <w:sz w:val="24"/>
              </w:rPr>
              <w:t>-</w:t>
            </w:r>
            <w:r w:rsidRPr="0085509F">
              <w:rPr>
                <w:rFonts w:ascii="Times New Roman" w:hAnsi="Times New Roman"/>
                <w:sz w:val="24"/>
              </w:rPr>
              <w:t>5</w:t>
            </w:r>
            <w:r>
              <w:rPr>
                <w:rFonts w:ascii="Times New Roman" w:hAnsi="Times New Roman"/>
                <w:sz w:val="24"/>
              </w:rPr>
              <w:t xml:space="preserve"> de mai sus pentru </w:t>
            </w:r>
            <w:r w:rsidRPr="0085509F">
              <w:rPr>
                <w:rFonts w:ascii="Times New Roman" w:hAnsi="Times New Roman"/>
                <w:spacing w:val="-2"/>
                <w:sz w:val="24"/>
              </w:rPr>
              <w:t>coloana a și calculată ca suma simplă a cuantumurilor de pe rândurile 1-4</w:t>
            </w:r>
            <w:r>
              <w:rPr>
                <w:rFonts w:ascii="Times New Roman" w:hAnsi="Times New Roman"/>
                <w:sz w:val="24"/>
              </w:rPr>
              <w:t xml:space="preserve"> de mai sus pentru coloanele b, c și d.</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sidRPr="0085509F">
              <w:rPr>
                <w:rFonts w:ascii="Times New Roman" w:hAnsi="Times New Roman"/>
                <w:b/>
                <w:sz w:val="24"/>
              </w:rPr>
              <w:t>Litera coloanei</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85509F" w:rsidRDefault="00AA4A0F" w:rsidP="00DE090B">
            <w:pPr>
              <w:spacing w:after="240"/>
              <w:rPr>
                <w:rFonts w:ascii="Times New Roman" w:hAnsi="Times New Roman" w:cs="Times New Roman"/>
                <w:b/>
                <w:sz w:val="24"/>
              </w:rPr>
            </w:pPr>
            <w:r w:rsidRPr="0085509F">
              <w:rPr>
                <w:rFonts w:ascii="Times New Roman" w:hAnsi="Times New Roman"/>
                <w:b/>
                <w:sz w:val="24"/>
              </w:rPr>
              <w:t>Explicație</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85509F" w:rsidRDefault="00AA4A0F" w:rsidP="00DE090B">
            <w:pPr>
              <w:spacing w:after="240"/>
              <w:rPr>
                <w:rFonts w:ascii="Times New Roman" w:eastAsia="Times New Roman" w:hAnsi="Times New Roman" w:cs="Times New Roman"/>
                <w:b/>
                <w:bCs/>
                <w:sz w:val="24"/>
              </w:rPr>
            </w:pPr>
            <w:r w:rsidRPr="0085509F">
              <w:rPr>
                <w:rFonts w:ascii="Times New Roman" w:hAnsi="Times New Roman"/>
                <w:b/>
                <w:sz w:val="24"/>
              </w:rPr>
              <w:t>Produse ferme (outright products)</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 xml:space="preserve">Pozițiile pe produse care nu sunt opționale și care nu sunt incluse în abordările standardelor tehnice de reglementare pentru alte riscuri decât </w:t>
            </w:r>
            <w:r>
              <w:rPr>
                <w:rFonts w:ascii="Times New Roman" w:hAnsi="Times New Roman"/>
                <w:sz w:val="24"/>
              </w:rPr>
              <w:lastRenderedPageBreak/>
              <w:t>riscul delta ale opțiunilor în cadrul abordării standardizate a riscului de piață</w:t>
            </w:r>
            <w:r w:rsidRPr="00DB0A49">
              <w:rPr>
                <w:rFonts w:ascii="Times New Roman" w:eastAsia="Calibri" w:hAnsi="Times New Roman" w:cs="Times New Roman"/>
                <w:szCs w:val="22"/>
                <w:vertAlign w:val="superscript"/>
              </w:rPr>
              <w:footnoteReference w:id="3"/>
            </w:r>
            <w:r>
              <w:rPr>
                <w:rFonts w:ascii="Times New Roman" w:hAnsi="Times New Roman"/>
                <w:sz w:val="24"/>
              </w:rPr>
              <w:t>.</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85509F" w:rsidRDefault="00AA4A0F" w:rsidP="00DE090B">
            <w:pPr>
              <w:spacing w:after="240"/>
              <w:rPr>
                <w:rFonts w:ascii="Times New Roman" w:hAnsi="Times New Roman" w:cs="Times New Roman"/>
                <w:b/>
                <w:sz w:val="24"/>
              </w:rPr>
            </w:pPr>
            <w:r w:rsidRPr="0085509F">
              <w:rPr>
                <w:rFonts w:ascii="Times New Roman" w:hAnsi="Times New Roman"/>
                <w:b/>
                <w:sz w:val="24"/>
              </w:rPr>
              <w:t>Opțiuni</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85509F" w:rsidRDefault="00AA4A0F" w:rsidP="00DE090B">
            <w:pPr>
              <w:spacing w:after="240"/>
              <w:jc w:val="both"/>
              <w:rPr>
                <w:rFonts w:ascii="Times New Roman" w:hAnsi="Times New Roman" w:cs="Times New Roman"/>
                <w:b/>
                <w:sz w:val="24"/>
              </w:rPr>
            </w:pPr>
            <w:r w:rsidRPr="0085509F">
              <w:rPr>
                <w:rFonts w:ascii="Times New Roman" w:hAnsi="Times New Roman"/>
                <w:b/>
                <w:sz w:val="24"/>
              </w:rPr>
              <w:t>Abordare simplificată</w:t>
            </w:r>
          </w:p>
          <w:p w14:paraId="71365A3F" w14:textId="3BD5A742" w:rsidR="00AA4A0F" w:rsidRPr="0085509F" w:rsidRDefault="00AA4A0F" w:rsidP="0BE40342">
            <w:pPr>
              <w:spacing w:after="240"/>
              <w:jc w:val="both"/>
              <w:rPr>
                <w:rFonts w:ascii="Times New Roman" w:hAnsi="Times New Roman" w:cs="Times New Roman"/>
                <w:b/>
                <w:bCs/>
                <w:sz w:val="24"/>
              </w:rPr>
            </w:pPr>
            <w:r>
              <w:rPr>
                <w:rFonts w:ascii="Times New Roman" w:hAnsi="Times New Roman"/>
                <w:sz w:val="24"/>
              </w:rPr>
              <w:t xml:space="preserve">Opțiuni sau warranturi, astfel cum sunt definite în partea a treia titlul IV capitolul </w:t>
            </w:r>
            <w:r w:rsidRPr="0085509F">
              <w:rPr>
                <w:rFonts w:ascii="Times New Roman" w:hAnsi="Times New Roman"/>
                <w:sz w:val="24"/>
              </w:rPr>
              <w:t>2</w:t>
            </w:r>
            <w:r>
              <w:rPr>
                <w:rFonts w:ascii="Times New Roman" w:hAnsi="Times New Roman"/>
                <w:sz w:val="24"/>
              </w:rPr>
              <w:t xml:space="preserve"> articolul </w:t>
            </w:r>
            <w:r w:rsidRPr="0085509F">
              <w:rPr>
                <w:rFonts w:ascii="Times New Roman" w:hAnsi="Times New Roman"/>
                <w:sz w:val="24"/>
              </w:rPr>
              <w:t>329</w:t>
            </w:r>
            <w:r>
              <w:rPr>
                <w:rFonts w:ascii="Times New Roman" w:hAnsi="Times New Roman"/>
                <w:sz w:val="24"/>
              </w:rPr>
              <w:t xml:space="preserve"> alineatul (</w:t>
            </w:r>
            <w:r w:rsidRPr="0085509F">
              <w:rPr>
                <w:rFonts w:ascii="Times New Roman" w:hAnsi="Times New Roman"/>
                <w:sz w:val="24"/>
              </w:rPr>
              <w:t>3</w:t>
            </w:r>
            <w:r>
              <w:rPr>
                <w:rFonts w:ascii="Times New Roman" w:hAnsi="Times New Roman"/>
                <w:sz w:val="24"/>
              </w:rPr>
              <w:t>) din Regulamentul (UE) nr.</w:t>
            </w:r>
            <w:r w:rsidR="0085509F">
              <w:rPr>
                <w:rFonts w:ascii="Times New Roman" w:hAnsi="Times New Roman"/>
                <w:sz w:val="24"/>
              </w:rPr>
              <w:t>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pentru care instituțiile calculează cerințele de fonduri proprii legate de alte riscuri decât riscul delta utilizând abordarea simplificată</w:t>
            </w:r>
            <w:r w:rsidRPr="00DB0A49">
              <w:rPr>
                <w:rStyle w:val="FootnoteReference"/>
                <w:rFonts w:ascii="Times New Roman" w:eastAsia="Times New Roman" w:hAnsi="Times New Roman" w:cs="Times New Roman"/>
              </w:rPr>
              <w:footnoteReference w:id="4"/>
            </w:r>
            <w:r>
              <w:rPr>
                <w:rFonts w:ascii="Times New Roman" w:hAnsi="Times New Roman"/>
                <w:sz w:val="24"/>
              </w:rPr>
              <w:t>.</w:t>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85509F" w:rsidRDefault="00AA4A0F" w:rsidP="00DE090B">
            <w:pPr>
              <w:spacing w:after="240"/>
              <w:jc w:val="both"/>
              <w:rPr>
                <w:rFonts w:ascii="Times New Roman" w:hAnsi="Times New Roman" w:cs="Times New Roman"/>
                <w:b/>
                <w:sz w:val="24"/>
              </w:rPr>
            </w:pPr>
            <w:r w:rsidRPr="0085509F">
              <w:rPr>
                <w:rFonts w:ascii="Times New Roman" w:hAnsi="Times New Roman"/>
                <w:b/>
                <w:sz w:val="24"/>
              </w:rPr>
              <w:t>Abordarea delta-plus</w:t>
            </w:r>
          </w:p>
          <w:p w14:paraId="4982FF4D" w14:textId="11E24DA9" w:rsidR="00AA4A0F" w:rsidRPr="0085509F" w:rsidRDefault="00AA4A0F" w:rsidP="0BE40342">
            <w:pPr>
              <w:spacing w:after="240"/>
              <w:jc w:val="both"/>
              <w:rPr>
                <w:rFonts w:ascii="Times New Roman" w:hAnsi="Times New Roman" w:cs="Times New Roman"/>
                <w:b/>
                <w:bCs/>
                <w:sz w:val="24"/>
              </w:rPr>
            </w:pPr>
            <w:r>
              <w:rPr>
                <w:rFonts w:ascii="Times New Roman" w:hAnsi="Times New Roman"/>
                <w:sz w:val="24"/>
              </w:rPr>
              <w:t xml:space="preserve">Opțiuni sau warranturi din portofoliul de tranzacționare, astfel cum sunt definite în partea a treia titlul IV capitolul </w:t>
            </w:r>
            <w:r w:rsidRPr="0085509F">
              <w:rPr>
                <w:rFonts w:ascii="Times New Roman" w:hAnsi="Times New Roman"/>
                <w:sz w:val="24"/>
              </w:rPr>
              <w:t>2</w:t>
            </w:r>
            <w:r>
              <w:rPr>
                <w:rFonts w:ascii="Times New Roman" w:hAnsi="Times New Roman"/>
                <w:sz w:val="24"/>
              </w:rPr>
              <w:t xml:space="preserve"> articolul </w:t>
            </w:r>
            <w:r w:rsidRPr="0085509F">
              <w:rPr>
                <w:rFonts w:ascii="Times New Roman" w:hAnsi="Times New Roman"/>
                <w:sz w:val="24"/>
              </w:rPr>
              <w:t>329</w:t>
            </w:r>
            <w:r>
              <w:rPr>
                <w:rFonts w:ascii="Times New Roman" w:hAnsi="Times New Roman"/>
                <w:sz w:val="24"/>
              </w:rPr>
              <w:t xml:space="preserve"> alineatul (</w:t>
            </w:r>
            <w:r w:rsidRPr="0085509F">
              <w:rPr>
                <w:rFonts w:ascii="Times New Roman" w:hAnsi="Times New Roman"/>
                <w:sz w:val="24"/>
              </w:rPr>
              <w:t>3</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pentru care instituțiile calculează cerințele de fonduri proprii legate de alte riscuri decât riscul delta utilizând abordarea delta-plus</w:t>
            </w:r>
            <w:r w:rsidRPr="00DB0A49">
              <w:rPr>
                <w:rStyle w:val="FootnoteReference"/>
                <w:rFonts w:ascii="Times New Roman" w:eastAsia="Times New Roman" w:hAnsi="Times New Roman" w:cs="Times New Roman"/>
              </w:rPr>
              <w:footnoteReference w:id="5"/>
            </w:r>
            <w:r>
              <w:rPr>
                <w:rFonts w:ascii="Times New Roman" w:hAnsi="Times New Roman"/>
                <w:sz w:val="24"/>
              </w:rPr>
              <w:t>.</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85509F" w:rsidRDefault="00AA4A0F" w:rsidP="00DE090B">
            <w:pPr>
              <w:spacing w:after="240"/>
              <w:jc w:val="both"/>
              <w:rPr>
                <w:rFonts w:ascii="Times New Roman" w:hAnsi="Times New Roman" w:cs="Times New Roman"/>
                <w:b/>
                <w:sz w:val="24"/>
              </w:rPr>
            </w:pPr>
            <w:r w:rsidRPr="0085509F">
              <w:rPr>
                <w:rFonts w:ascii="Times New Roman" w:hAnsi="Times New Roman"/>
                <w:b/>
                <w:sz w:val="24"/>
              </w:rPr>
              <w:t>Abordarea bazată pe scenarii</w:t>
            </w:r>
          </w:p>
          <w:p w14:paraId="2B78A76A" w14:textId="583FBB66" w:rsidR="00AA4A0F" w:rsidRPr="0085509F" w:rsidRDefault="00AA4A0F" w:rsidP="0BE40342">
            <w:pPr>
              <w:spacing w:after="240"/>
              <w:jc w:val="both"/>
              <w:rPr>
                <w:rFonts w:ascii="Times New Roman" w:hAnsi="Times New Roman" w:cs="Times New Roman"/>
                <w:b/>
                <w:bCs/>
                <w:sz w:val="24"/>
              </w:rPr>
            </w:pPr>
            <w:r>
              <w:rPr>
                <w:rFonts w:ascii="Times New Roman" w:hAnsi="Times New Roman"/>
                <w:sz w:val="24"/>
              </w:rPr>
              <w:t xml:space="preserve">Opțiuni sau warranturi din portofoliul de tranzacționare, astfel cum sunt definite în partea a treia titlul IV capitolul </w:t>
            </w:r>
            <w:r w:rsidRPr="0085509F">
              <w:rPr>
                <w:rFonts w:ascii="Times New Roman" w:hAnsi="Times New Roman"/>
                <w:sz w:val="24"/>
              </w:rPr>
              <w:t>2</w:t>
            </w:r>
            <w:r>
              <w:rPr>
                <w:rFonts w:ascii="Times New Roman" w:hAnsi="Times New Roman"/>
                <w:sz w:val="24"/>
              </w:rPr>
              <w:t xml:space="preserve"> articolul </w:t>
            </w:r>
            <w:r w:rsidRPr="0085509F">
              <w:rPr>
                <w:rFonts w:ascii="Times New Roman" w:hAnsi="Times New Roman"/>
                <w:sz w:val="24"/>
              </w:rPr>
              <w:t>329</w:t>
            </w:r>
            <w:r>
              <w:rPr>
                <w:rFonts w:ascii="Times New Roman" w:hAnsi="Times New Roman"/>
                <w:sz w:val="24"/>
              </w:rPr>
              <w:t xml:space="preserve"> alineatul (</w:t>
            </w:r>
            <w:r w:rsidRPr="0085509F">
              <w:rPr>
                <w:rFonts w:ascii="Times New Roman" w:hAnsi="Times New Roman"/>
                <w:sz w:val="24"/>
              </w:rPr>
              <w:t>3</w:t>
            </w:r>
            <w:r>
              <w:rPr>
                <w:rFonts w:ascii="Times New Roman" w:hAnsi="Times New Roman"/>
                <w:sz w:val="24"/>
              </w:rPr>
              <w:t xml:space="preserve">) din Regulamentul (UE) nr. </w:t>
            </w:r>
            <w:r w:rsidRPr="0085509F">
              <w:rPr>
                <w:rFonts w:ascii="Times New Roman" w:hAnsi="Times New Roman"/>
                <w:sz w:val="24"/>
              </w:rPr>
              <w:t>575</w:t>
            </w:r>
            <w:r>
              <w:rPr>
                <w:rFonts w:ascii="Times New Roman" w:hAnsi="Times New Roman"/>
                <w:sz w:val="24"/>
              </w:rPr>
              <w:t>/</w:t>
            </w:r>
            <w:r w:rsidRPr="0085509F">
              <w:rPr>
                <w:rFonts w:ascii="Times New Roman" w:hAnsi="Times New Roman"/>
                <w:sz w:val="24"/>
              </w:rPr>
              <w:t>2013</w:t>
            </w:r>
            <w:r>
              <w:rPr>
                <w:rFonts w:ascii="Times New Roman" w:hAnsi="Times New Roman"/>
                <w:sz w:val="24"/>
              </w:rPr>
              <w:t>, pentru care instituțiile calculează cerințele de fonduri proprii legate de alte riscuri decât riscul delta utilizând abordarea bazată pe scenarii</w:t>
            </w:r>
            <w:r w:rsidRPr="00DB0A49">
              <w:rPr>
                <w:rStyle w:val="FootnoteReference"/>
                <w:rFonts w:ascii="Times New Roman" w:eastAsia="Times New Roman" w:hAnsi="Times New Roman" w:cs="Times New Roman"/>
              </w:rPr>
              <w:footnoteReference w:id="6"/>
            </w:r>
            <w:r>
              <w:rPr>
                <w:rFonts w:ascii="Times New Roman" w:hAnsi="Times New Roman"/>
                <w:sz w:val="24"/>
              </w:rPr>
              <w:t>.</w:t>
            </w:r>
          </w:p>
        </w:tc>
      </w:tr>
    </w:tbl>
    <w:p w14:paraId="79592B57" w14:textId="77777777" w:rsidR="00931C32" w:rsidRPr="0085509F" w:rsidRDefault="00931C32" w:rsidP="00931C32">
      <w:pPr>
        <w:pStyle w:val="Titlelevel2"/>
        <w:spacing w:before="0"/>
        <w:rPr>
          <w:rFonts w:ascii="Times New Roman" w:hAnsi="Times New Roman" w:cs="Times New Roman"/>
          <w:b/>
          <w:color w:val="auto"/>
          <w:sz w:val="24"/>
        </w:rPr>
      </w:pPr>
    </w:p>
    <w:sectPr w:rsidR="00931C32" w:rsidRPr="0085509F">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rsidR="006E3585">
          <w:t>1</w:t>
        </w:r>
        <w:r w:rsidR="006E3585">
          <w:t>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 xml:space="preserve"> </w:t>
      </w:r>
      <w:r>
        <w:tab/>
        <w:t xml:space="preserve">Regulamentul (UE) nr. </w:t>
      </w:r>
      <w:r w:rsidRPr="0085509F">
        <w:t>575</w:t>
      </w:r>
      <w:r>
        <w:t>/</w:t>
      </w:r>
      <w:r w:rsidRPr="0085509F">
        <w:t>2013</w:t>
      </w:r>
      <w:r>
        <w:t xml:space="preserve"> al Parlamentului European și al Consiliului din </w:t>
      </w:r>
      <w:r w:rsidRPr="0085509F">
        <w:t>26</w:t>
      </w:r>
      <w:r>
        <w:t xml:space="preserve"> iunie </w:t>
      </w:r>
      <w:r w:rsidRPr="0085509F">
        <w:t>2013</w:t>
      </w:r>
      <w:r>
        <w:t xml:space="preserve"> privind cerințele prudențiale pentru instituțiile de credit și de modificare a Regulamentului (UE) nr. </w:t>
      </w:r>
      <w:r w:rsidRPr="0085509F">
        <w:t>648</w:t>
      </w:r>
      <w:r>
        <w:t>/</w:t>
      </w:r>
      <w:r w:rsidRPr="0085509F">
        <w:t>2012</w:t>
      </w:r>
      <w:r>
        <w:t xml:space="preserve">, astfel cum a fost modificat prin Regulamentului (UE) </w:t>
      </w:r>
      <w:r w:rsidRPr="0085509F">
        <w:t>2024</w:t>
      </w:r>
      <w:r>
        <w:t>/</w:t>
      </w:r>
      <w:r w:rsidRPr="0085509F">
        <w:t>1623</w:t>
      </w:r>
      <w:r>
        <w:t xml:space="preserve"> </w:t>
      </w:r>
      <w:r>
        <w:rPr>
          <w:color w:val="444444"/>
        </w:rPr>
        <w:t>[</w:t>
      </w:r>
      <w:hyperlink r:id="rId1" w:history="1">
        <w:r w:rsidRPr="0085509F">
          <w:rPr>
            <w:rStyle w:val="Hyperlink"/>
            <w:color w:val="800080"/>
          </w:rPr>
          <w:t>JO L 176, 27.6.2013, p. 1</w:t>
        </w:r>
      </w:hyperlink>
      <w:r w:rsidRPr="0085509F">
        <w:rPr>
          <w:color w:val="800080"/>
          <w:u w:val="single"/>
        </w:rPr>
        <w:t xml:space="preserve">; </w:t>
      </w:r>
      <w:hyperlink r:id="rId2" w:history="1">
        <w:r w:rsidRPr="0085509F">
          <w:rPr>
            <w:rStyle w:val="Hyperlink"/>
          </w:rPr>
          <w:t xml:space="preserve">Regulamentul </w:t>
        </w:r>
        <w:r w:rsidRPr="0085509F">
          <w:rPr>
            <w:rStyle w:val="Hyperlink"/>
          </w:rPr>
          <w:t>(</w:t>
        </w:r>
        <w:r w:rsidRPr="0085509F">
          <w:rPr>
            <w:rStyle w:val="Hyperlink"/>
          </w:rPr>
          <w:t>UE) 2024/1623 – RO – EUR-Lex (europa.eu)</w:t>
        </w:r>
      </w:hyperlink>
      <w:r>
        <w:rPr>
          <w:color w:val="444444"/>
        </w:rPr>
        <w:t>].</w:t>
      </w:r>
    </w:p>
  </w:footnote>
  <w:footnote w:id="3">
    <w:p w14:paraId="6651B5AC" w14:textId="77777777" w:rsidR="00AA4A0F" w:rsidRPr="008158FF" w:rsidRDefault="00AA4A0F" w:rsidP="00AA4A0F">
      <w:pPr>
        <w:pStyle w:val="FootnoteText"/>
      </w:pPr>
      <w:r>
        <w:footnoteRef/>
      </w:r>
      <w:r>
        <w:tab/>
      </w:r>
      <w:r>
        <w:t xml:space="preserve">Astfel cum este definită în REGULAMENTUL DELEGAT (UE) NR. </w:t>
      </w:r>
      <w:r w:rsidRPr="0085509F">
        <w:t>528</w:t>
      </w:r>
      <w:r>
        <w:t>/</w:t>
      </w:r>
      <w:r w:rsidRPr="0085509F">
        <w:t>2014</w:t>
      </w:r>
      <w:r>
        <w:t xml:space="preserve"> AL COMISIEI din </w:t>
      </w:r>
      <w:r w:rsidRPr="0085509F">
        <w:t>12</w:t>
      </w:r>
      <w:r>
        <w:t xml:space="preserve"> martie </w:t>
      </w:r>
      <w:r w:rsidRPr="0085509F">
        <w:t>2014</w:t>
      </w:r>
      <w:r>
        <w:t xml:space="preserve"> de completare a Regulamentului (UE) nr. </w:t>
      </w:r>
      <w:r w:rsidRPr="0085509F">
        <w:t>575</w:t>
      </w:r>
      <w:r>
        <w:t>/</w:t>
      </w:r>
      <w:r w:rsidRPr="0085509F">
        <w:t>2013</w:t>
      </w:r>
      <w:r>
        <w:t xml:space="preserve"> al Parlamentului European și al Consiliului în ceea ce privește standardele tehnice de reglementare pentru alte riscuri decât riscul delta ale opțiunilor în cadrul abordării standardizate a riscului de piață (JO L </w:t>
      </w:r>
      <w:r w:rsidRPr="0085509F">
        <w:t>148</w:t>
      </w:r>
      <w:r>
        <w:t xml:space="preserve">, </w:t>
      </w:r>
      <w:r w:rsidRPr="0085509F">
        <w:t>20</w:t>
      </w:r>
      <w:r>
        <w:t>.</w:t>
      </w:r>
      <w:r w:rsidRPr="0085509F">
        <w:t>5</w:t>
      </w:r>
      <w:r>
        <w:t>.</w:t>
      </w:r>
      <w:r w:rsidRPr="0085509F">
        <w:t>2014</w:t>
      </w:r>
      <w:r>
        <w:t>, p. </w:t>
      </w:r>
      <w:r w:rsidRPr="0085509F">
        <w:t>29</w:t>
      </w:r>
      <w:r>
        <w:t>).</w:t>
      </w:r>
    </w:p>
  </w:footnote>
  <w:footnote w:id="4">
    <w:p w14:paraId="67B37F98" w14:textId="77777777" w:rsidR="00AA4A0F" w:rsidRPr="00222AAB" w:rsidRDefault="00AA4A0F" w:rsidP="00AA4A0F">
      <w:pPr>
        <w:pStyle w:val="FootnoteText"/>
      </w:pPr>
      <w:r>
        <w:rPr>
          <w:rStyle w:val="FootnoteReference"/>
          <w:rFonts w:cstheme="minorHAnsi"/>
        </w:rPr>
        <w:footnoteRef/>
      </w:r>
      <w:r>
        <w:tab/>
      </w:r>
      <w:r>
        <w:t xml:space="preserve">Astfel cum este definită în REGULAMENTUL DELEGAT (UE) NR. </w:t>
      </w:r>
      <w:r w:rsidRPr="0085509F">
        <w:t>528</w:t>
      </w:r>
      <w:r>
        <w:t>/</w:t>
      </w:r>
      <w:r w:rsidRPr="0085509F">
        <w:t>2014</w:t>
      </w:r>
      <w:r>
        <w:t xml:space="preserve"> AL COMISIEI din </w:t>
      </w:r>
      <w:r w:rsidRPr="0085509F">
        <w:t>12</w:t>
      </w:r>
      <w:r>
        <w:t xml:space="preserve"> martie </w:t>
      </w:r>
      <w:r w:rsidRPr="0085509F">
        <w:t>2014</w:t>
      </w:r>
      <w:r>
        <w:t xml:space="preserve"> de completare a Regulamentului (UE) nr. </w:t>
      </w:r>
      <w:r w:rsidRPr="0085509F">
        <w:t>575</w:t>
      </w:r>
      <w:r>
        <w:t>/</w:t>
      </w:r>
      <w:r w:rsidRPr="0085509F">
        <w:t>2013</w:t>
      </w:r>
      <w:r>
        <w:t xml:space="preserve"> al Parlamentului European și al Consiliului în ceea ce privește standardele tehnice de reglementare pentru alte riscuri decât riscul delta ale opțiunilor în cadrul abordării standardizate a riscului de piață (JO L </w:t>
      </w:r>
      <w:r w:rsidRPr="0085509F">
        <w:t>148</w:t>
      </w:r>
      <w:r>
        <w:t xml:space="preserve">, </w:t>
      </w:r>
      <w:r w:rsidRPr="0085509F">
        <w:t>20</w:t>
      </w:r>
      <w:r>
        <w:t>.</w:t>
      </w:r>
      <w:r w:rsidRPr="0085509F">
        <w:t>5</w:t>
      </w:r>
      <w:r>
        <w:t>.</w:t>
      </w:r>
      <w:r w:rsidRPr="0085509F">
        <w:t>2014</w:t>
      </w:r>
      <w:r>
        <w:t>, p. </w:t>
      </w:r>
      <w:r w:rsidRPr="0085509F">
        <w:t>29</w:t>
      </w:r>
      <w:r>
        <w:t>).</w:t>
      </w:r>
    </w:p>
  </w:footnote>
  <w:footnote w:id="5">
    <w:p w14:paraId="6C32CA93" w14:textId="77777777" w:rsidR="00AA4A0F" w:rsidRPr="00222AAB" w:rsidRDefault="00AA4A0F" w:rsidP="00AA4A0F">
      <w:pPr>
        <w:pStyle w:val="FootnoteText"/>
      </w:pPr>
      <w:r>
        <w:rPr>
          <w:rStyle w:val="FootnoteReference"/>
          <w:rFonts w:cstheme="minorHAnsi"/>
        </w:rPr>
        <w:footnoteRef/>
      </w:r>
      <w:r>
        <w:tab/>
      </w:r>
      <w:r>
        <w:t xml:space="preserve">Astfel cum este definită în REGULAMENTUL DELEGAT (UE) NR. </w:t>
      </w:r>
      <w:r w:rsidRPr="0085509F">
        <w:t>528</w:t>
      </w:r>
      <w:r>
        <w:t>/</w:t>
      </w:r>
      <w:r w:rsidRPr="0085509F">
        <w:t>2014</w:t>
      </w:r>
      <w:r>
        <w:t xml:space="preserve"> AL COMISIEI din </w:t>
      </w:r>
      <w:r w:rsidRPr="0085509F">
        <w:t>12</w:t>
      </w:r>
      <w:r>
        <w:t xml:space="preserve"> martie </w:t>
      </w:r>
      <w:r w:rsidRPr="0085509F">
        <w:t>2014</w:t>
      </w:r>
      <w:r>
        <w:t xml:space="preserve"> de completare a Regulamentului (UE) nr. </w:t>
      </w:r>
      <w:r w:rsidRPr="0085509F">
        <w:t>575</w:t>
      </w:r>
      <w:r>
        <w:t>/</w:t>
      </w:r>
      <w:r w:rsidRPr="0085509F">
        <w:t>2013</w:t>
      </w:r>
      <w:r>
        <w:t xml:space="preserve"> al Parlamentului European și al Consiliului în ceea ce privește standardele tehnice de reglementare pentru alte riscuri decât riscul delta ale opțiunilor în cadrul abordării standardizate a riscului de piață (JO L </w:t>
      </w:r>
      <w:r w:rsidRPr="0085509F">
        <w:t>148</w:t>
      </w:r>
      <w:r>
        <w:t xml:space="preserve">, </w:t>
      </w:r>
      <w:r w:rsidRPr="0085509F">
        <w:t>20</w:t>
      </w:r>
      <w:r>
        <w:t>.</w:t>
      </w:r>
      <w:r w:rsidRPr="0085509F">
        <w:t>5</w:t>
      </w:r>
      <w:r>
        <w:t>.</w:t>
      </w:r>
      <w:r w:rsidRPr="0085509F">
        <w:t>2014</w:t>
      </w:r>
      <w:r>
        <w:t xml:space="preserve">, p. </w:t>
      </w:r>
      <w:r w:rsidRPr="0085509F">
        <w:t>29</w:t>
      </w:r>
      <w:r>
        <w:t>).</w:t>
      </w:r>
    </w:p>
  </w:footnote>
  <w:footnote w:id="6">
    <w:p w14:paraId="739259DE" w14:textId="77777777" w:rsidR="00AA4A0F" w:rsidRPr="00222AAB" w:rsidRDefault="00AA4A0F" w:rsidP="00AA4A0F">
      <w:pPr>
        <w:pStyle w:val="FootnoteText"/>
      </w:pPr>
      <w:r>
        <w:rPr>
          <w:rStyle w:val="FootnoteReference"/>
          <w:rFonts w:cstheme="minorHAnsi"/>
        </w:rPr>
        <w:footnoteRef/>
      </w:r>
      <w:r>
        <w:tab/>
      </w:r>
      <w:r>
        <w:t xml:space="preserve">Astfel cum este definită în REGULAMENTUL DELEGAT (UE) NR. </w:t>
      </w:r>
      <w:r w:rsidRPr="0085509F">
        <w:t>528</w:t>
      </w:r>
      <w:r>
        <w:t>/</w:t>
      </w:r>
      <w:r w:rsidRPr="0085509F">
        <w:t>2014</w:t>
      </w:r>
      <w:r>
        <w:t xml:space="preserve"> AL COMISIEI din </w:t>
      </w:r>
      <w:r w:rsidRPr="0085509F">
        <w:t>12</w:t>
      </w:r>
      <w:r>
        <w:t xml:space="preserve"> martie </w:t>
      </w:r>
      <w:r w:rsidRPr="0085509F">
        <w:t>2014</w:t>
      </w:r>
      <w:r>
        <w:t xml:space="preserve"> de completare a Regulamentului (UE) nr. </w:t>
      </w:r>
      <w:r w:rsidRPr="0085509F">
        <w:t>575</w:t>
      </w:r>
      <w:r>
        <w:t>/</w:t>
      </w:r>
      <w:r w:rsidRPr="0085509F">
        <w:t>2013</w:t>
      </w:r>
      <w:r>
        <w:t xml:space="preserve"> al Parlamentului European și al Consiliului în ceea ce privește standardele tehnice de reglementare pentru alte riscuri decât riscul delta ale opțiunilor în cadrul abordării standardizate a riscului de piață (JO L </w:t>
      </w:r>
      <w:r w:rsidRPr="0085509F">
        <w:t>148</w:t>
      </w:r>
      <w:r>
        <w:t xml:space="preserve">, </w:t>
      </w:r>
      <w:r w:rsidRPr="0085509F">
        <w:t>20</w:t>
      </w:r>
      <w:r>
        <w:t>.</w:t>
      </w:r>
      <w:r w:rsidRPr="0085509F">
        <w:t>5</w:t>
      </w:r>
      <w:r>
        <w:t>.</w:t>
      </w:r>
      <w:r w:rsidRPr="0085509F">
        <w:t>2014</w:t>
      </w:r>
      <w:r>
        <w:t xml:space="preserve">, p. </w:t>
      </w:r>
      <w:r w:rsidRPr="0085509F">
        <w:t>29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8BE4FF"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7F8E82E"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864388"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509F"/>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08F7"/>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 w:type="character" w:styleId="FollowedHyperlink">
    <w:name w:val="FollowedHyperlink"/>
    <w:basedOn w:val="DefaultParagraphFont"/>
    <w:uiPriority w:val="99"/>
    <w:semiHidden/>
    <w:unhideWhenUsed/>
    <w:rsid w:val="008550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8261BE86-6099-4718-9DC4-9FC744C55489}"/>
</file>

<file path=customXml/itemProps3.xml><?xml version="1.0" encoding="utf-8"?>
<ds:datastoreItem xmlns:ds="http://schemas.openxmlformats.org/officeDocument/2006/customXml" ds:itemID="{29C1D160-277B-4AEC-AD38-E62D4F30B7C7}"/>
</file>

<file path=customXml/itemProps4.xml><?xml version="1.0" encoding="utf-8"?>
<ds:datastoreItem xmlns:ds="http://schemas.openxmlformats.org/officeDocument/2006/customXml" ds:itemID="{D68EC786-6F08-451D-BA5C-6F529CE719E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3343</Words>
  <Characters>17753</Characters>
  <Application>Microsoft Office Word</Application>
  <DocSecurity>0</DocSecurity>
  <Lines>507</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20804</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2024-10-18T08:21:00Z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