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VIII. MELLÉKLET – A szavatolótőke nyilvánosságra hozatalának céljára szolgáló táblák kitöltésére vonatkozó útmutató</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EU CC1 tábla – A szabályozói szavatolótőke összetétele</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Az intézmények az EBH IT-megoldásainak VII. mellékletében található EU CC1 tábla e mellékletben foglalt útmutató szerinti kitöltésével hozzák nyilvánosságra az 575/2013/EU rendelet</w:t>
      </w:r>
      <w:r w:rsidRPr="007F4CC8">
        <w:rPr>
          <w:rStyle w:val="FootnoteReference"/>
          <w:rFonts w:cs="Times New Roman"/>
          <w:color w:val="000000"/>
        </w:rPr>
        <w:footnoteReference w:id="1"/>
      </w:r>
      <w:r>
        <w:rPr>
          <w:rFonts w:ascii="Times New Roman" w:hAnsi="Times New Roman"/>
          <w:sz w:val="24"/>
        </w:rPr>
        <w:t xml:space="preserve"> (CRR) 437. cikkének a), d), e) és f) pontjában említett információkat.</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Az EU CC1 tábla alkalmazásában a szabályozói kiigazítások magukban foglalják a szavatolótőkéből történő levonásokat és a </w:t>
      </w:r>
      <w:proofErr w:type="spellStart"/>
      <w:r>
        <w:rPr>
          <w:rFonts w:ascii="Times New Roman" w:hAnsi="Times New Roman"/>
          <w:sz w:val="24"/>
        </w:rPr>
        <w:t>prudenciális</w:t>
      </w:r>
      <w:proofErr w:type="spellEnd"/>
      <w:r>
        <w:rPr>
          <w:rFonts w:ascii="Times New Roman" w:hAnsi="Times New Roman"/>
          <w:sz w:val="24"/>
        </w:rPr>
        <w:t xml:space="preserve"> szűrőket.</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Az intézményeknek e tábla „b” oszlopában kell megadniuk a jelentős inputok forrását, az EU CC2 tábla megfelelő soraira való kereszthivatkozással.</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Az intézményeknek a táblát kísérő szöveges magyarázatban ismertetniük kell a szavatolótőke kiszámítása során a CRR-</w:t>
      </w:r>
      <w:proofErr w:type="spellStart"/>
      <w:r>
        <w:rPr>
          <w:rFonts w:ascii="Times New Roman" w:hAnsi="Times New Roman"/>
          <w:sz w:val="24"/>
        </w:rPr>
        <w:t>rel</w:t>
      </w:r>
      <w:proofErr w:type="spellEnd"/>
      <w:r>
        <w:rPr>
          <w:rFonts w:ascii="Times New Roman" w:hAnsi="Times New Roman"/>
          <w:sz w:val="24"/>
        </w:rPr>
        <w:t xml:space="preserve"> összhangban alkalmazott valamennyi korlátozást, valamint azon instrumentumokat, </w:t>
      </w:r>
      <w:proofErr w:type="spellStart"/>
      <w:r>
        <w:rPr>
          <w:rFonts w:ascii="Times New Roman" w:hAnsi="Times New Roman"/>
          <w:sz w:val="24"/>
        </w:rPr>
        <w:t>prudenciális</w:t>
      </w:r>
      <w:proofErr w:type="spellEnd"/>
      <w:r>
        <w:rPr>
          <w:rFonts w:ascii="Times New Roman" w:hAnsi="Times New Roman"/>
          <w:sz w:val="24"/>
        </w:rPr>
        <w:t xml:space="preserve"> szűrőket és levonásokat, amelyekre ezek a korlátozások vonatkoznak. Továbbá részletes magyarázatot kell adniuk a tőkemegfelelési mutatók számítási alapjáról, ha ezeket a tőkemegfelelési mutatókat a CRR-ben előírt alaptól eltérő alapon meghatározott szavatolótőke-elemek felhasználásával számították ki.</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Jogszabályi hivatkozások és útmutató</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Sor jelölése</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Magyarázat</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26. cikke (1) bekezdésének a) és b) pontja, valamint 27., 28. és 29. cikke, továbbá a CRR 26. cikkének (3) bekezdésében említett EBH-jegyzék szerinti tőkeinstrumentumok és a kapcsolódó névértéken felüli befizetések, az instrumentum típusa szerinti bontásban.</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Eredménytartalék</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összes szabályozói kiigazítás előtti eredménytartalék a CRR 26. cikke (1) bekezdésének c) pontjával összhangban (bármely évközi nettó nyereség vagy veszteség bevonása előtt)</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Halmozott egyéb átfogó jövedelem (és egyéb tartalékok)</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26. cikke (1) bekezdésének d) és e) pontja szerinti halmozott egyéb átfogó jövedelem összege és egyéb tartalékok összege</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Általános banki kockázatok fedezetére képzett tartalékok</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26. cikke (1) bekezdésének f) pontja szerinti általános banki kockázatok fedezetére képzett tartalékok összege</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484. cikkének (3) bekezdésében említett beszámítható elemek összege és a kapcsolódó névértéken felüli befizetések, amelyek kivezetésre kerülnek az elsődleges alapvető tőkéből</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484. cikkének (3) bekezdésében említett beszámítható elemek összege és a kapcsolódó névértéken felüli befizetések, amelyek kivezetésre kerülnek a CET1 tőkéből a CRR 486. cikkének (2) bekezdésében meghatározottak szerint</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Kisebbségi részesedések (a konszolidált elsődleges alapvető tőkében megengedett összeg)</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84. cikke szerinti kisebbségi részesedések (a konszolidált elsődleges alapvető tőkében megengedett összeg)</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Függetlenül felülvizsgált évközi nyereség minden előre látható teher vagy osztalék levonása után</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26. cikkének (2) bekezdése szerinti függetlenül felülvizsgált évközi nyereség minden előre látható teher vagy osztalék levonása után</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Elsődleges alapvető tőke a szabályozói kiigazításokat megelőzően</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1–EU-5a. sorában levő értékek összege</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Kiegészítő értékelési korrekció (negatív összeg)</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Kiegészítő értékelési korrekciók a CRR 34. és 105. cikkének megfelelően (negatív összeg)</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Immateriális javak (a kapcsolódó adókötelezettségek levonása után) (negatív összeg)</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Immateriális javak (a kapcsolódó adókötelezettségek levonása után) a CRR 36. cikke (1) bekezdése b) pontjának és a CRR 37. cikkének megfelelően (negatív összeg)</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Jövőbeli nyereségtől függően érvényesíthető halasztott adókövetelések, kivéve az átmeneti különbözetből származókat (a kapcsolódó </w:t>
            </w:r>
            <w:r>
              <w:rPr>
                <w:rFonts w:ascii="Times New Roman" w:hAnsi="Times New Roman"/>
                <w:sz w:val="24"/>
              </w:rPr>
              <w:lastRenderedPageBreak/>
              <w:t>adókötelezettség levonása után, amennyiben teljesülnek a CRR 38. cikkének (3) bekezdésében foglalt feltételek) (negatív összeg)</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36. cikke (1) bekezdése c) pontjának és a CRR 38. cikkének megfelelően a jövőbeli nyereségtől függően érvényesíthető halasztott adókövetelések, kivéve az átmeneti különbözetből származókat (a kapcsolódó adókötelezettség levonása után, amennyiben teljesülnek a CRR 38. cikkének (3) bekezdésében foglalt feltételek) (negatív összeg)</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Nem valós értéken értékelt pénzügyi instrumentumok cash flow fedezeti ügyleteiből származó nyereségekhez vagy veszteségekhez kapcsolódó valós értékelés értékelési tartaléka</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33. cikke (1) bekezdése a) pontjának megfelelően a nem valós értéken értékelt pénzügyi instrumentumok cash flow fedezeti ügyleteiből származó nyereségekhez vagy veszteségekhez kapcsolódó valós értékelés értékelési tartaléka</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várható veszteségértékek kiszámításából eredő negatív összegek</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36. cikke (1) bekezdése d) pontjának és a CRR 40. cikkének megfelelően a várható veszteségértékek kiszámításából eredő negatív összegek</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Minden olyan sajáttőke-növekedés, amely értékpapírosított eszközökből származik (negatív összeg)</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32. cikke (1) bekezdésének megfelelően minden olyan sajáttőke-növekedés, amely értékpapírosított eszközökből származik (negatív összeg)</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Valós értéken értékelt kötelezettségekből származó nyereség vagy veszteség, amely a saját hitelképességben beállt változásokra vezethető vissza</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33. cikke (1) bekezdése b) pontjának megfelelően a valós értéken értékelt kötelezettségekből származó nyereség vagy veszteség, amely a saját hitelképességben beállt változásokra vezethető vissza</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Meghatározott szolgáltatást nyújtó nyugdíjalapban lévő eszközök (negatív összeg)</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36. cikke (1) bekezdése e) pontjának és 41. cikkének megfelelően a meghatározott szolgáltatást nyújtó nyugdíjalapban lévő eszközök (negatív összeg)</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Egy intézmény közvetlen, közvetett és szintetikus módon tulajdonában lévő saját elsődleges alapvető tőkeinstrumentumok állománya (negatív összeg)</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Egy intézmény közvetlen, közvetett és szintetikus módon tulajdonában lévő saját elsődleges alapvető tőkeinstrumentumok állománya a CRR 36. cikke (1) bekezdésének f) pontjában és 42. cikkében leírtaknak megfelelően (negatív összeg)</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Olyan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az intézmény közvetlen, közvetett és szintetikus módon tulajdonában lévő elsődleges alapvető tőkeinstrumentumok állománya, amelyekkel az intézmény kereszttulajdonlási viszonyban áll, amelynek célja az intézmény szavatolótőkéjének mesterséges megemelése (negatív összeg)</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Olyan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az intézmény közvetlen, közvetett és szintetikus módon tulajdonában lévő elsődleges alapvető tőkeinstrumentumok állománya, amelyekkel az intézmény kereszttulajdonlási viszonyban áll, amelynek célja az intézmény szavatolótőkéjének mesterséges megemelése, a CRR 36. cikke (1) bekezdésének g) pontjában és 44. cikkében leírtaknak megfelelően (negatív összeg)</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elsődleges alapvető tőkeinstrumentumok állománya, ha az intézmény nem rendelkezik jelentős befektetéssel az említett szervezetekben (10 %-os küszöbérték feletti összeg, a figyelembe vehető rövid pozíciók levonása után) (negatív összeg)</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elsődleges alapvető tőkeinstrumentumok állománya, ha az intézmény nem rendelkezik jelentős befektetéssel az említett szervezetekben (10 %-os küszöbérték feletti összeg, a figyelembe vehető rövid pozíciók levonása után) a CRR 36. cikke (1) bekezdésének h) pontjában, 43., 45., 46. cikkében, 49. cikkének (2) és (3) bekezdésében, valamint 79. cikkében leírtaknak megfelelően (negatív összeg)</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elsődleges alapvető tőkeinstrumentumok állománya, ha az intézmény jelentős befektetéssel rendelkezik az említett szervezetekben (10 %-os küszöbérték feletti összeg, a figyelembe vehető rövid pozíciók levonása után) (negatív összeg)</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elsődleges alapvető tőkeinstrumentumok állománya, ha az intézmény jelentős befektetéssel rendelkezik az említett szervezetekben (10 %-os küszöbérték feletti összeg, a figyelembe vehető rövid pozíciók levonása után), a CRR 36. cikke (1) bekezdésének i) pontjában, 43., 45., 47. </w:t>
            </w:r>
            <w:r>
              <w:rPr>
                <w:rFonts w:ascii="Times New Roman" w:hAnsi="Times New Roman"/>
                <w:sz w:val="24"/>
              </w:rPr>
              <w:lastRenderedPageBreak/>
              <w:t>cikkében, 48. cikke (1) bekezdésének b) pontjában és 49.cikke (1)–(3) bekezdésében leírtaknak megfelelően (negatív összeg)</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1 250 % kockázati súllyal figyelembe veendő következő elemek kitettségértéke, ha az intézmény a levonási alternatívát választja</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1 250 % kockázati súllyal figyelembe veendő következő elemek kitettségértéke, ha az intézmény a levonási alternatívát választja, a CRR 36. cikke (1) bekezdésének k) pontjában leírtaknak megfelelően</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pénzügyi ágazaton kívüli befolyásoló részesedés (negatív összeg)</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EU-20a. sorban megadott összegből a pénzügyi ágazaton kívüli befolyásoló részesedés összege a CRR 36. cikke (1) bekezdése k) pontja i. alpontjának, valamint 89–91. cikkének megfelelően (negatív összeg)</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ebből: </w:t>
            </w:r>
            <w:proofErr w:type="spellStart"/>
            <w:r>
              <w:rPr>
                <w:rFonts w:ascii="Times New Roman" w:hAnsi="Times New Roman"/>
                <w:sz w:val="24"/>
              </w:rPr>
              <w:t>értékpapírosítási</w:t>
            </w:r>
            <w:proofErr w:type="spellEnd"/>
            <w:r>
              <w:rPr>
                <w:rFonts w:ascii="Times New Roman" w:hAnsi="Times New Roman"/>
                <w:sz w:val="24"/>
              </w:rPr>
              <w:t xml:space="preserve"> pozíciók (negatív összeg)</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EU-20a. sorban megadott összegből az </w:t>
            </w:r>
            <w:proofErr w:type="spellStart"/>
            <w:r>
              <w:rPr>
                <w:rFonts w:ascii="Times New Roman" w:hAnsi="Times New Roman"/>
                <w:sz w:val="24"/>
              </w:rPr>
              <w:t>értékpapírosítási</w:t>
            </w:r>
            <w:proofErr w:type="spellEnd"/>
            <w:r>
              <w:rPr>
                <w:rFonts w:ascii="Times New Roman" w:hAnsi="Times New Roman"/>
                <w:sz w:val="24"/>
              </w:rPr>
              <w:t xml:space="preserve"> pozíciók összege a CRR 36. cikke (1) bekezdése k) pontja ii. alpontjának, 243. cikke (1) bekezdése b) pontjának, 244. cikke (1) bekezdése b) pontjának, valamint 258. cikkének megfelelően (negatív összeg)</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nyitva szállítás (negatív összeg)</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EU-20a. sorban megadott összegből a nyitva szállítások összege a CRR 36. cikke (1) bekezdése k) pontja iii. alpontjának és 379. cikke (3) bekezdésének megfelelően (negatív összeg)</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átmeneti különbözetből származó halasztott adókövetelések (a 10 %-os küszöbérték feletti összeg, a kapcsolódó adókötelezettség levonása után, amennyiben teljesülnek a CRR 38. cikkének (3) bekezdésében foglalt feltételek) (negatív összeg)</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átmeneti különbözetből származó halasztott adókövetelések (a 10 %-os küszöbérték feletti összeg, a kapcsolódó adókötelezettség levonása után, amennyiben teljesülnek a CRR 38. cikkének (3) bekezdésében foglalt feltételek), a CRR 36. cikke (1) bekezdésének c) pontjában, 38. cikkében és 48. cikke (1) bekezdésének a) pontjában leírtaknak megfelelően (negatív összeg)</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17,65 %-os küszöbértéket meghaladó összeg (negatív összeg)</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17,65 %-os küszöbértéket meghaladó összeg a CRR 48. cikke (1) bekezdésének megfelelően (negatív összeg)</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ebből: 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elsődleges </w:t>
            </w:r>
            <w:r>
              <w:rPr>
                <w:rFonts w:ascii="Times New Roman" w:hAnsi="Times New Roman"/>
                <w:sz w:val="24"/>
              </w:rPr>
              <w:lastRenderedPageBreak/>
              <w:t>alapvető tőkeinstrumentumok állománya, ha az intézmény jelentős befektetéssel rendelkezik az említett szervezetekben</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 22. sorban megadott összegből 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elsődleges alapvető tőkeinstrumentumok összege, ha az intézmény jelentős befektetéssel rendelkezik az említett szervezetekben, a CRR 36. cikke (1) bekezdésének i) pontjában és 48. cikke (1) bekezdésének b) pontjában leírtaknak megfelelően</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átmeneti különbözetből származó halasztott adókövetelések</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22. sorban megadott összegből az átmeneti különbözetből származó halasztott adókövetelések összege, a CRR 36. cikke (1) bekezdésének c) pontjában, 38. cikkében és 48. cikke (1) bekezdésének a) pontjában leírtaknak megfelelően</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folyó üzleti év veszteségei (negatív összeg)</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folyó üzleti év veszteségei, a CRR 36. cikke (1) bekezdésének a) pontja szerint (negatív összeg)</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CET1 tőkeelemekhez kapcsolódó előre látható adóterhek, kivéve, ha az intézmény megfelelően korrigálja a CET1 tőkeelemek összegét annyiban, amennyiben az ilyen adóterhek csökkentik azt az összeget, amelynek mértékéig az említett elemek kockázatok vagy veszteségek fedezésére alkalmazhatók (negatív összeg)</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CET1 tőkeelemekhez kapcsolódó előre látható adóterhek, kivéve, ha az intézmény megfelelően korrigálja a CET1 tőkeelemek összegét annyiban, amennyiben az ilyen adóterhek csökkentik azt az összeget, amelynek mértékéig az említett elemek kockázatok vagy veszteségek fedezésére alkalmazhatók a CRR 36. cikke (1) bekezdésének l) pontja szerint (negatív összeg)</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kiegészítő alapvető tőkéből (AT1) levonandó beszámítható elemek azon összege, amely meghaladja az intézmény AT1 elemeit (negatív összeg)</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36. cikke (1) bekezdésének j) pontja szerint a kiegészítő alapvető tőkeelemekből levonandó beszámítható elemek azon összege, amely az intézmény kiegészítő alapvető tőkeelemeinek értékét meghaladja (negatív összeg)</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Egyéb szabályozói kiigazítások</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Az intézményeknek ebben a sorban kell nyilvánosságra hozniuk a felügyeleti adatszolgáltatás keretében megadott és e tábla más sorában nem szereplő alkalmazandó szabályozói kiigazításokat, beleértve adott esetben az IFRS 9-hez kapcsolódó átmeneti intézkedésekből eredő összegeket az átmeneti időszak végéig</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elsődleges alapvető tőke (CET1) összes szabályozói kiigazítása</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7–EU-20a., 21., 22., valamint EU-25–EU-27a. sorában megadott értékek összegeként számítva</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Elsődleges alapvető tőke (CET1)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Az e tábla 28. sorában megadott érték mínusz a 6. sorban megadott érték</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 a CRR 51. és 52. cikke szerint</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az alkalmazandó számviteli szabályozás szerinti saját tőkének minősül</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30. sorában megadandó érték az alkalmazandó számviteli szabályozás szerint saját tőkeként besorolt összeg</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az alkalmazandó számviteli szabályozás szerinti kötelezettségeknek minősül</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30. sorában megadandó érték az alkalmazandó számviteli szabályozás szerint kötelezettségként besorolt összeg</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484. cikkének (4) bekezdésében említett beszámítható elemek összege és a kapcsolódó névértéken felüli befizetések, amelyek kivezetésre kerülnek az AT1 tőkéből</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484. cikkének (4) bekezdésében említett beszámítható elemek összege és a kapcsolódó névértéken felüli befizetések a CRR 486. cikke (3) bekezdésének megfelelően</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494a. cikkének (1) bekezdésében említett azon beszámítható elemek összege, amelyek kivezetésre kerülnek az AT1 tőkéből</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494b. cikkének (1) bekezdésében említett azon beszámítható elemek összege, amelyek kivezetésre kerülnek az AT1 tőkéből</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konszolidált kiegészítő alapvető tőke részét képező, az alapvető tőkébe beszámítható tőke (beleértve az 5. sorban nem szereplő kisebbségi részesedéseket is), amelyet leányvállalatok bocsátanak ki és harmadik felek birtokolnak</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A konszolidált kiegészítő alapvető tőke részét képező, az alapvető tőkébe beszámítható tőke (beleértve az 5. sorban nem szereplő kisebbségi részesedéseket is), amelyet leányvállalatok bocsátanak ki és harmadik felek birtokolnak, a CRR 85. és 86. cikkében leírtaknak megfelelően</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leányvállalatok által kibocsátott, kivezetésre kerülő instrumentumok</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34. sorában megadott összeg azon része, amely leányvállalatok által kibocsátott, kivezetésre kerülő instrumentumokhoz kapcsolódik, a CRR 486. cikkének (3) bekezdésében leírtaknak megfelelően</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Kiegészítő alapvető tőke (AT1) a szabályozói kiigazításokat megelőzően</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30., 33., EU-33a., EU-33b. és 34. sorában megadott értékek összege</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intézmény közvetlen, közvetett és szintetikus módon tulajdonát képező saját kiegészítő alapvető tőkeinstrumentumok (negatív összeg)</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intézmény közvetlen, közvetett és szintetikus módon tulajdonát képező saját kiegészítő alapvető tőkeinstrumentumok a CRR 52. cikke (1) bekezdésének b) pontjában, 56. cikkének a) pontjában és 57. cikkében leírtaknak megfelelően (negatív összeg)</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Olyan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az intézmény közvetlen, közvetett és szintetikus módon tulajdonában lévő kiegészítő alapvető tőkeinstrumentumok, amelyekkel az intézmény kereszttulajdonlási viszonyban áll, amelyet az intézmény szavatolótőkéjének mesterséges megemelése céljából alkalmaznak (negatív összeg)</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Olyan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az intézmény közvetlen, közvetett és szintetikus módon tulajdonában lévő kiegészítő alapvető tőkeinstrumentumok, amelyekkel az intézmény kereszttulajdonlási viszonyban áll, amelyet az intézmény szavatolótőkéjének mesterséges megemelése céljából alkalmaznak, a CRR 56. cikkének b) pontjában és 58. cikkében leírtaknak megfelelően (negatív összeg)</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kiegészítő alapvető tőkeinstrumentumok állománya, ha az intézmény nem rendelkezik jelentős befektetéssel az említett szervezetekben (10 %-os küszöbérték feletti összeg, a figyelembe vehető rövid pozíciók levonása után) (negatív összeg)</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kiegészítő alapvető tőkeinstrumentumok állománya, ha az intézmény nem </w:t>
            </w:r>
            <w:r>
              <w:rPr>
                <w:rFonts w:ascii="Times New Roman" w:hAnsi="Times New Roman"/>
                <w:sz w:val="24"/>
              </w:rPr>
              <w:lastRenderedPageBreak/>
              <w:t>rendelkezik jelentős befektetéssel az említett szervezetekben (10 %-os küszöbérték feletti összeg, a figyelembe vehető rövid pozíciók levonása után), a CRR 56. cikkének c) pontjában, valamint 59., 60. és 79. cikkében leírtaknak megfelelően (negatív összeg)</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kiegészítő alapvető tőkeinstrumentumok állománya, ha az intézmény jelentős befektetéssel rendelkezik az említett szervezetekben (a figyelembe vehető rövid pozíciók levonása után) (negatív összeg)</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kiegészítő alapvető tőkeinstrumentumok állománya, ha az intézmény jelentős befektetéssel rendelkezik az említett szervezetekben (a figyelembe vehető rövid pozíciók levonása után) (negatív összeg) a CRR 56. cikkének d) pontjában, valamint 59. és 79. cikkében leírtaknak megfelelően (negatív összeg)</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tőkéből (T2) levonandó beszámítható elemek azon összege, amely meghaladja az intézmény T2 elemeit (negatív összeg)</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(T2) tőkéből levonandó beszámítható elemek azon összege, amely meghaladja az intézmény T2 elemeit, a CRR 56. cikkének e) pontjában leírtaknak megfelelően (negatív összeg)</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AT1 tőke egyéb szabályozói kiigazításai</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intézményeknek ebben a sorban kell nyilvánosságra hozniuk a felügyeleti adatszolgáltatás keretében megadott és e tábla más sorában nem szereplő, adott esetben alkalmazandó szabályozói kiigazításokat</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kiegészítő alapvető tőke (AT1) összes szabályozói kiigazítása</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37–EU-42a. sorában levő értékek összege</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Kiegészítő alapvető tőke (AT1)</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Kiegészítő alapvető tőke (AT1), e tábla 36. sora mínusz 43. sora</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Alapvető tőke (T1 = CET1 + AT1)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Alapvető tőke (T1), e tábla 29. sora plusz 44. sora</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 a CRR 62. és 63. cikkében leírtaknak megfelelően</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484. cikkének (5) bekezdésében említett beszámítható elemek összege és a kapcsolódó névértéken felüli befizetések, amelyek kivezetésre kerülnek a járulékos tőkéből a CRR 486. cikkének (4) bekezdésében meghatározottak szerint</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494a. cikkének (2) bekezdésében említett azon beszámítható elemek összege, amelyek kivezetésre kerülnek a járulékos tőkéből</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CRR 494b. cikkének (2) bekezdésében említett azon beszámítható elemek összege, amelyek kivezetésre kerülnek a járulékos tőkéből</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konszolidált járulékos tőke részét képező, a szavatolótőkébe beszámítható instrumentumok (beleértve az 5. sorban vagy a 34. sorban nem szereplő kisebbségi részesedéseket és AT1 instrumentumokat is), amelyeket leányvállalatok bocsátanak ki és harmadik felek birtokolnak</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konszolidált járulékos tőke részét képező, a szavatolótőkébe beszámítható instrumentumok (beleértve az 5. sorban vagy a 34. sorban nem szereplő kisebbségi részesedéseket és AT1 instrumentumokat is), amelyeket leányvállalatok bocsátanak ki és harmadik felek birtokolnak, a CRR 87. és 88. cikkében leírtaknak megfelelően</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leányvállalatok által kibocsátott, kivezetésre kerülő instrumentumok</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48. sorában megadott összeg azon része, amely leányvállalatok által kibocsátott, kivezetésre kerülő instrumentumokhoz kapcsolódik, a CRR 486. cikkének (4) bekezdésében leírtaknak megfelelően</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Hitelkockázati kiigazítások</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Hitelkockázati kiigazítások a CRR 62. cikkének c) és d) pontja szerint</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Járulékos tőke (T2) a szabályozói kiigazításokat megelőzően</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Az e tábla 46–48. és 50. sorában levő értékek összege</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Egy intézmény közvetlen, közvetett és szintetikus módon tulajdonában lévő saját járulékos tőkeinstrumentumok és alárendelt kölcsönök (negatív összeg)</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Egy intézmény közvetlen, közvetett és szintetikus módon tulajdonában lévő saját járulékos tőkeinstrumentumok és alárendelt kölcsönök, a CRR 63. cikke b) pontjának i. alpontjában, 66. cikkének a) pontjában és 67. cikkében leírtaknak megfelelően (negatív összeg)</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Olyan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az intézmény közvetlen, közvetett és szintetikus módon tulajdonában lévő járulékos tőkeinstrumentumok és alárendelt kölcsönök, amelyekkel az intézmény kereszttulajdonlási viszonyban áll, amelyet az intézmény </w:t>
            </w:r>
            <w:r>
              <w:rPr>
                <w:rFonts w:ascii="Times New Roman" w:hAnsi="Times New Roman"/>
                <w:sz w:val="24"/>
              </w:rPr>
              <w:lastRenderedPageBreak/>
              <w:t>szavatolótőkéjének mesterséges megemelése céljából alkalmaznak (negatív összeg)</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Olyan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az intézmény közvetlen, közvetett és szintetikus módon tulajdonában lévő járulékos tőkeinstrumentumok és alárendelt kölcsönök, amelyekkel az intézmény kereszttulajdonlási viszonyban áll, amelyet az intézmény szavatolótőkéjének mesterséges megemelése céljából alkalmaznak (negatív összeg), a CRR 66. cikkének b) pontjában és 68. cikkében leírtaknak megfelelően (negatív összeg)</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járulékos tőkeinstrumentumok és alárendelt kölcsönök állománya, ha az intézmény nem rendelkezik jelentős befektetéssel az említett szervezetekben (10 %-os küszöbérték feletti összeg, a figyelembe vehető rövid pozíciók levonása után) (negatív összeg)</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járulékos tőkeinstrumentumok és alárendelt kölcsönök állománya, ha az intézmény nem rendelkezik jelentős befektetéssel az említett szervezetekben (10 %-os küszöbérték feletti összeg, a figyelembe vehető rövid pozíciók levonása után), a CRR 66. cikkének c) pontjában, valamint 69., 70. és 79. cikkében leírtaknak megfelelően (negatív összeg)</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járulékos tőkeinstrumentumok és alárendelt kölcsönök állománya, ha az intézmény jelentős befektetéssel rendelkezik az említett szervezetekben (a figyelembe vehető rövid pozíciók levonása után) (negatív összeg)</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w:t>
            </w:r>
            <w:proofErr w:type="spellStart"/>
            <w:r>
              <w:rPr>
                <w:rFonts w:ascii="Times New Roman" w:hAnsi="Times New Roman"/>
                <w:sz w:val="24"/>
              </w:rPr>
              <w:t>ágazatbeli</w:t>
            </w:r>
            <w:proofErr w:type="spellEnd"/>
            <w:r>
              <w:rPr>
                <w:rFonts w:ascii="Times New Roman" w:hAnsi="Times New Roman"/>
                <w:sz w:val="24"/>
              </w:rPr>
              <w:t xml:space="preserve"> szervezetek által kibocsátott járulékos tőkeinstrumentumok és alárendelt kölcsönök állománya, ha az intézmény jelentős befektetéssel rendelkezik az említett szervezetekben (a figyelembe vehető rövid pozíciók levonása után) (negatív összeg), a CRR 66. cikkének d) pontjában, valamint 69. és 79. cikkében leírtaknak megfelelően (negatív összeg)</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A leírható, illetve átalakítható kötelezettségelemekből levonandó beszámítható elemek azon összege, amely meghaladja az intézmény leírható, illetve átalakítható kötelezettségelemeit (negatív összeg)</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sz w:val="24"/>
              </w:rPr>
              <w:t xml:space="preserve">A leírható, illetve átalakítható kötelezettségelemekből levonandó beszámítható elemek azon összege, amely meghaladja az intézmény </w:t>
            </w:r>
            <w:r>
              <w:rPr>
                <w:rFonts w:ascii="Times New Roman" w:hAnsi="Times New Roman"/>
                <w:sz w:val="24"/>
              </w:rPr>
              <w:lastRenderedPageBreak/>
              <w:t>leírható, illetve átalakítható kötelezettségelemeit, a CRR 66. cikke e) pontjának megfelelően (negatív összeg)</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tőke egyéb szabályozói kiigazításai</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intézményeknek ebben a sorban kell nyilvánosságra hozniuk a felügyeleti adatszolgáltatás keretében megadott és e tábla más sorában nem szereplő, adott esetben alkalmazandó szabályozói kiigazításokat.</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tőke (T2) összes szabályozói kiigazítása</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52–EU-56b. sorában levő értékek összege</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Járulékos tőke (T2)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Járulékos tőke (T2), e tábla 51. sora mínusz 57. sora</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Tőke összesen (tőke összesen = T1 + T2)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tőke összértéke e tábla 45. sora plusz 58. sora</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Teljes kockázati kitettségérték</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csoport teljes kockázati kitettségértéke</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Elsődleges alapvető tőke</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elsődleges alapvető tőke (a teljes kockázati kitettségérték százalékaként kifejezve) e tábla 29. sorának és 60. sorának hányadosaként számítandó ki (százalékként kifejezve) a CRR 92. cikke (2) bekezdésének a) pontja szerint</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Alapvető tőke</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alapvető tőke (a teljes kockázati kitettségérték százalékaként kifejezve) e tábla 45. sorának és 60. sorának hányadosaként számítandó ki (százalékként kifejezve) a CRR 92. cikke (2) bekezdésének b) pontja szerint</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Tőke összesen</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tőke összértéke (a teljes kockázati kitettségérték százalékaként kifejezve) e tábla 59. sorának és 60. sorának hányadosaként számítandó ki (százalékként kifejezve) a CRR 92. cikke (2) bekezdésének c) pontja szerint Az intézmény teljes CET1 tőkekövetelménye</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intézmény teljes CET1 tőkekövetelményét a következőképpen kell kiszámítani: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A CRR 92. cikke (1) bekezdésének a) pontja szerinti CET1 követelmény, hozzáadva az intézmények által a 2013/36/EU irányelv</w:t>
            </w:r>
            <w:r w:rsidRPr="007F4CC8">
              <w:rPr>
                <w:rStyle w:val="FootnoteReference"/>
                <w:rFonts w:cs="Times New Roman"/>
                <w:lang w:eastAsia="ja-JP"/>
              </w:rPr>
              <w:footnoteReference w:id="2"/>
            </w:r>
            <w:r>
              <w:rPr>
                <w:rFonts w:ascii="Times New Roman" w:hAnsi="Times New Roman"/>
                <w:sz w:val="24"/>
              </w:rPr>
              <w:t xml:space="preserve"> (a továbbiakban: CRD) 104. cikke (1) bekezdése a) pontjának megfelelően tartandó kiegészítő tőkére vonatkozó követelményt, valamint a CRD 128. cikkének (6) bekezdése szerinti kombinált pufferkövetelményt; a kockázati kitettségérték százalékában kifejezve.</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Ez 4,5 % plusz az intézmények által a CRD 104. cikke (1) bekezdése a) pontjának megfelelően tartandó, 2. pillér szerinti kiegészítő tőke, plusz a CRD 128., 129., 130., 131. és 133. cikkével összhangban kiszámított kombinált pufferkövetelmény.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Ez a sor tartalmazza a kifizetési korlátozások értékelése szempontjából releváns CET1 mutatót.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tőkefenntartási pufferkövetelmény</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64. sorában megadott összeg (a teljes kockázati kitettségérték százalékában kifejezve) azon része, amely a CRD 129. cikke szerinti tőkefenntartási pufferkövetelményhez kapcsolódik</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ebből: </w:t>
            </w:r>
            <w:proofErr w:type="spellStart"/>
            <w:r>
              <w:rPr>
                <w:rFonts w:ascii="Times New Roman" w:hAnsi="Times New Roman"/>
                <w:sz w:val="24"/>
              </w:rPr>
              <w:t>anticiklikustőkepuffer</w:t>
            </w:r>
            <w:proofErr w:type="spellEnd"/>
            <w:r>
              <w:rPr>
                <w:rFonts w:ascii="Times New Roman" w:hAnsi="Times New Roman"/>
                <w:sz w:val="24"/>
              </w:rPr>
              <w:t>-követelmény</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e tábla 64. sorában megadott összeg (a teljes kockázati kitettségérték százalékában kifejezve) azon része, amely a CRD 130. cikke szerinti </w:t>
            </w:r>
            <w:proofErr w:type="spellStart"/>
            <w:r>
              <w:rPr>
                <w:rFonts w:ascii="Times New Roman" w:hAnsi="Times New Roman"/>
                <w:sz w:val="24"/>
              </w:rPr>
              <w:t>anticiklikustőkepuffer</w:t>
            </w:r>
            <w:proofErr w:type="spellEnd"/>
            <w:r>
              <w:rPr>
                <w:rFonts w:ascii="Times New Roman" w:hAnsi="Times New Roman"/>
                <w:sz w:val="24"/>
              </w:rPr>
              <w:t xml:space="preserve">-követelményhez kapcsolódik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rendszerkockázati tőkepuffer-követelmény</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64. sorában megadott összeg (a teljes kockázati kitettségérték százalékában kifejezve) azon része, amely a CRD 133. cikke szerinti rendszerkockázati tőkepuffer-követelményhez kapcsolódik</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ebből: globálisan rendszerszinten jelentős intézmények vagy egyéb rendszerszinten jelentős intézmények pufferére vonatkozó követelmény</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e tábla 64. sorában megadott összeg (a teljes kockázati kitettségérték százalékában kifejezve) azon része, amely a CRD 131. cikke szerinti, globálisan rendszerszinten jelentős intézmények vagy egyéb rendszerszinten jelentős intézmények pufferére vonatkozó követelményhez kapcsolódik</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ebből: a túlzott tőkeáttétel kockázatától eltérő kockázatok kezelését célzó kiegészítő szavatolótőke-követelmény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Az e tábla 64. sorában megadott összeg (a teljes kockázati kitettségérték százalékában kifejezve) azon része, amely a 2013/36/EU irányelv 104. cikke (1) bekezdésének a) pontjában említett, a felügyeleti felülvizsgálati </w:t>
            </w:r>
            <w:r>
              <w:rPr>
                <w:rFonts w:ascii="Times New Roman" w:hAnsi="Times New Roman"/>
                <w:sz w:val="24"/>
              </w:rPr>
              <w:lastRenderedPageBreak/>
              <w:t>eljárásból eredő kiegészítő szavatolótőke-követelményekhez kapcsolódik, amelyeket CET1 tőkével kell teljesíteni</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minimális tőkekövetelmény teljesítését követően rendelkezésre álló elsődleges alapvető tőke (a teljes kockázati kitettségérték százalékaként kifejezve)</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következőképpen számítandó ki: 61. sor mínusz 4,5 (százalékpont), mínusz EU-67b., mínusz az intézmény által a kiegészítő alapvető tőkére és a járulékos tőkére vonatkozó követelmény teljesítéséhez felhasznált elsődleges alapvető tőke.</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Pénzügyi </w:t>
            </w:r>
            <w:proofErr w:type="spellStart"/>
            <w:r>
              <w:rPr>
                <w:rFonts w:ascii="Times New Roman" w:hAnsi="Times New Roman"/>
                <w:sz w:val="24"/>
              </w:rPr>
              <w:t>ágazatbeli</w:t>
            </w:r>
            <w:proofErr w:type="spellEnd"/>
            <w:r>
              <w:rPr>
                <w:rFonts w:ascii="Times New Roman" w:hAnsi="Times New Roman"/>
                <w:sz w:val="24"/>
              </w:rPr>
              <w:t xml:space="preserve"> szervezeteknek az intézmény közvetlen és közvetett módon tulajdonát képező szavatolótőkéje és leírható, illetve átalakítható kötelezettsége, ha az intézmény nem rendelkezik jelentős befektetéssel az említett szervezetekben (10 %-os küszöbérték alatti összeg, a figyelembe vehető rövid pozíciók levonása után)</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Pénzügyi </w:t>
            </w:r>
            <w:proofErr w:type="spellStart"/>
            <w:r>
              <w:rPr>
                <w:rFonts w:ascii="Times New Roman" w:hAnsi="Times New Roman"/>
                <w:sz w:val="24"/>
              </w:rPr>
              <w:t>ágazatbeli</w:t>
            </w:r>
            <w:proofErr w:type="spellEnd"/>
            <w:r>
              <w:rPr>
                <w:rFonts w:ascii="Times New Roman" w:hAnsi="Times New Roman"/>
                <w:sz w:val="24"/>
              </w:rPr>
              <w:t xml:space="preserve"> szervezeteknek az intézmény közvetlen és közvetett módon tulajdonát képező szavatolótőkéje és leírható, illetve átalakítható kötelezettsége, ha az intézmény nem rendelkezik jelentős befektetéssel az említett szervezetekben (10 %-os küszöbérték alatti összeg, a figyelembe vehető rövid pozíciók levonása után), a CRR 36. cikke (1) bekezdése h) pontjának, valamint 45., 46. cikkének, 56. cikke c) pontjának, 59., 60. cikkének, 66. cikke c) pontjának, 69., 70. és 72i. cikkének megfelelően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Pénzügyi </w:t>
            </w:r>
            <w:proofErr w:type="spellStart"/>
            <w:r>
              <w:rPr>
                <w:rFonts w:ascii="Times New Roman" w:hAnsi="Times New Roman"/>
                <w:sz w:val="24"/>
              </w:rPr>
              <w:t>ágazatbeli</w:t>
            </w:r>
            <w:proofErr w:type="spellEnd"/>
            <w:r>
              <w:rPr>
                <w:rFonts w:ascii="Times New Roman" w:hAnsi="Times New Roman"/>
                <w:sz w:val="24"/>
              </w:rPr>
              <w:t xml:space="preserve"> szervezeteknek az intézmény közvetlen és közvetett módon tulajdonát képező CET1 tőkeinstrumentumai, ha az intézmény jelentős befektetéssel rendelkezik az említett szervezetekben (17,65 %-os küszöbérték alatti összeg, a figyelembe vehető rövid pozíciók levonása után)</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Pénzügyi </w:t>
            </w:r>
            <w:proofErr w:type="spellStart"/>
            <w:r>
              <w:rPr>
                <w:rFonts w:ascii="Times New Roman" w:hAnsi="Times New Roman"/>
                <w:sz w:val="24"/>
              </w:rPr>
              <w:t>ágazatbeli</w:t>
            </w:r>
            <w:proofErr w:type="spellEnd"/>
            <w:r>
              <w:rPr>
                <w:rFonts w:ascii="Times New Roman" w:hAnsi="Times New Roman"/>
                <w:sz w:val="24"/>
              </w:rPr>
              <w:t xml:space="preserve"> szervezeteknek az intézmény közvetlen és közvetett módon tulajdonát képező CET1 tőkeinstrumentumai, ha az intézmény jelentős befektetéssel rendelkezik az említett szervezetekben (17,65 %-os küszöbérték alatti összeg, a figyelembe vehető rövid pozíciók levonása után) a CRR 36. cikke (1) bekezdése i) pontjának, 43., 45., 47. cikkének, 48. cikke (1) bekezdése b) pontjának, valamint 49. cikke (1)–(3) bekezdésének megfelelően (azon befektetések teljes összege, amelyeket nem tartalmaz e tábla 19. és 23. sora)</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proofErr w:type="spellStart"/>
            <w:r>
              <w:rPr>
                <w:rFonts w:ascii="Times New Roman" w:hAnsi="Times New Roman"/>
                <w:sz w:val="24"/>
              </w:rPr>
              <w:t>N.a</w:t>
            </w:r>
            <w:proofErr w:type="spellEnd"/>
            <w:r>
              <w:rPr>
                <w:rFonts w:ascii="Times New Roman" w:hAnsi="Times New Roman"/>
                <w:sz w:val="24"/>
              </w:rPr>
              <w:t>.</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átmeneti különbözetből származó halasztott adókövetelések (a 17,65 %-os küszöbérték alatti összeg, a kapcsolódó adókötelezettség levonása után, amennyiben teljesülnek a CRR 38. cikkének (3) bekezdésében foglalt feltételek)</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átmeneti különbözetből származó halasztott adókövetelések (a CRR 48. cikke (2) bekezdésének b) pontja szerinti 17,65 %-os küszöbérték alatti összeg, a kapcsolódó adókötelezettség levonása után, amennyiben teljesülnek a CRR 38. cikkének (3) bekezdésében foglalt feltételek) a CRR 36. cikke (1) bekezdése c) pontjának, valamint 38. és 48. cikkének megfelelően (azon halasztott adókövetelések teljes összege, amelyeket nem tartalmaz e tábla 21. és 25. sora)</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tőkében foglalt hitelkockázati kiigazítások a sztenderd módszer alá tartozó kitettségek tekintetében (a felső korlát alkalmazása előtt)</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tőkében foglalt hitelkockázati kiigazítások a sztenderd módszer alá tartozó kitettségek tekintetében a CRR 62. cikke c) pontjának megfelelően</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hitelkockázati kiigazításoknak a járulékos tőkébe sztenderd módszer szerint történő bevonására vonatkozó felső korlátok</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hitelkockázati kiigazításoknak a járulékos tőkébe sztenderd módszer szerint történő bevonására vonatkozó felső korlátok a CRR 62. cikke c) pontjának megfelelően</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tőkében foglalt hitelkockázati kiigazítások a belső minősítésen alapuló módszer alá tartozó kitettségek tekintetében (a felső korlát alkalmazása előtt)</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tőkében foglalt hitelkockázati kiigazítások a belső minősítésen alapuló módszer alá eső kitettségek tekintetében a CRR 62. cikke d) pontjának megfelelően</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hitelkockázati kiigazításoknak a járulékos tőkébe belső minősítésen alapuló módszer szerint történő bevonására vonatkozó felső korlát</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hitelkockázati kiigazításoknak a járulékos tőkébe belső minősítésen alapuló módszer szerint történő bevonására vonatkozó felső korlát a CRR 62. cikke d) pontjának megfelelően</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Kivezetésre kerülő CET1 tőkeinstrumentumokra vonatkozó jelenlegi felső korlát</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Kivezetésre kerülő CET1 tőkeinstrumentumokra vonatkozó jelenlegi felső korlát a CRR 484. cikke (3) bekezdésének, valamint 486. cikke (2) és (5) bekezdésének megfelelően</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CET1 tőkeinstrumentumok között a felső korlát miatt figyelembe nem vett összeg (meghaladja a felső korlátot a visszaváltások és a lejáratok után)</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CET1 tőkeinstrumentumok között a felső korlát miatt figyelembe nem vett összeg (meghaladja a felső korlátot a visszaváltások és a lejáratok után) a CRR 484. cikke (3) bekezdésének, valamint 486. cikke (2) és (5) bekezdésének megfelelően</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Kivezetésre kerülő AT1 tőkeinstrumentumokra vonatkozó jelenlegi felső korlát</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Kivezetésre kerülő AT1 tőkeinstrumentumokra vonatkozó jelenlegi felső korlát a CRR 484. cikke (4) bekezdésének, valamint 486. cikke (3) és (5) bekezdésének megfelelően</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AT1 tőkeinstrumentumok között a felső korlát miatt figyelembe nem vett összeg (meghaladja a felső korlátot a visszaváltások és a lejáratok után)</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Az AT1 tőkeinstrumentumok között a felső korlát miatt figyelembe nem vett összeg (meghaladja a felső korlátot a visszaváltások és a lejáratok után) a CRR 484. cikke (4) bekezdésének, valamint 486. cikke (3) és (5) bekezdésének megfelelően</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Kivezetésre kerülő járulékos tőkeinstrumentumokra vonatkozó jelenlegi felső korlát</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Kivezetésre kerülő járulékos tőkeinstrumentumokra vonatkozó jelenlegi felső korlát a CRR 484. cikke (5) bekezdésének, valamint 486. cikke (4) és (5) bekezdésének megfelelően</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tőkeinstrumentumok között a felső korlát miatt figyelembe nem vett összeg (meghaladja a felső korlátot a visszaváltások és a lejáratok után)</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 járulékos tőkeinstrumentumok között a felső korlát miatt figyelembe nem vett összeg (meghaladja a felső korlátot a visszaváltások és a lejáratok után) a CRR 484. cikke (5) bekezdésének, valamint 486. cikke (4) és (5) bekezdésének megfelelően</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EU CC2 tábla – A szabályozói szavatolótőke auditált pénzügyi kimutatásokban szereplő mérleggel való egyeztetése</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Az intézmények az ezen végrehajtási rendelet VII. mellékletében található EU CC2 tábla e mellékletben foglalt útmutató szerinti kitöltésével hozzák nyilvánosságra a CRR 437. cikkének a) pontjában említett információkat.</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Az intézményeknek a közzétett pénzügyi kimutatásaikban foglalt mérleget kell nyilvánosságra hozniuk. Ezek a pénzügyi kimutatások az év végi nyilvánosságra hozatal célját szolgáló auditált pénzügyi kimutatások.</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 tábla sorai rugalmasan tölthetők ki és azokat az intézményeknek a pénzügyi kimutatásaikkal összhangban kell nyilvánosságra hozniuk. Az auditált pénzügyi kimutatásokban található szavatolótőke-elemeknek tartalmazniuk kell mindazokat az elemeket, amelyek a szabályozói tőke összetevői vagy abból kerülnek levonásra, beleértve a saját tőkét, a kötelezettségeket, mint például az adósságot, vagy egyéb olyan mérlegtételeket, amelyek érintik a szabályozói tőkét, így például immateriális javakat, cégértéket, halasztott adóköveteléseket. Az intézményeknek szükség szerint ki kell bővíteniük a mérleg szavatolótőke-elemeit annak biztosítása érdekében, hogy a szavatolótőke összetételének nyilvánosságra hozatalához használt táblában (EU CC1 tábla) szereplő valamennyi összetevő külön feltüntethető legyen. Az intézményeknek a mérleg elemeit csak olyan tagoltsági szintig kell kibővíteniük, amely szükséges ahhoz, hogy le tudják vezetni az EU CC1 táblában előírt összetevőket. A nyilvánosságra hozatalnak arányosnak kell lennie az intézmény mérlegének összetettségével.</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Az oszlopok kötött formátumúak, és azokat a következőképpen kell nyilvánosságra hozni:</w:t>
      </w:r>
    </w:p>
    <w:p w14:paraId="3FD82033" w14:textId="77777777" w:rsidR="00C85971" w:rsidRPr="007F4CC8" w:rsidRDefault="00C85971" w:rsidP="00CA7A57">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„a” oszlop: Az intézményeknek itt a közzétett pénzügyi kimutatásaikban foglalt mérlegben szereplő számadatokat kell feltüntetniük a számviteli konszolidáció hatókörének megfelelően.</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„b” oszlop: Az intézményeknek itt a </w:t>
      </w:r>
      <w:proofErr w:type="spellStart"/>
      <w:r>
        <w:rPr>
          <w:rFonts w:ascii="Times New Roman" w:hAnsi="Times New Roman"/>
          <w:sz w:val="24"/>
        </w:rPr>
        <w:t>prudenciális</w:t>
      </w:r>
      <w:proofErr w:type="spellEnd"/>
      <w:r>
        <w:rPr>
          <w:rFonts w:ascii="Times New Roman" w:hAnsi="Times New Roman"/>
          <w:sz w:val="24"/>
        </w:rPr>
        <w:t xml:space="preserve"> konszolidáció hatókörének megfelelő adatokat kell nyilvánosságra hozniuk.</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 oszlop: Az intézményeknek itt az EU CC2 táblában szavatolótőkeként megadott tétel és a szavatolótőke nyilvánosságra hozatalára szolgáló EU CC1 tábla releváns tételei közötti kereszthivatkozást kell megadniuk. Az EU CC2 tábla „c” oszlopában levő hivatkozás az EU CC1 tábla „b” oszlopában levő hivatkozáshoz kapcsolódik.</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A következő esetekben, amikor az intézmény számviteli konszolidációjának hatóköre és </w:t>
      </w:r>
      <w:proofErr w:type="spellStart"/>
      <w:r>
        <w:rPr>
          <w:rFonts w:ascii="Times New Roman" w:hAnsi="Times New Roman"/>
          <w:sz w:val="24"/>
        </w:rPr>
        <w:t>prudenciális</w:t>
      </w:r>
      <w:proofErr w:type="spellEnd"/>
      <w:r>
        <w:rPr>
          <w:rFonts w:ascii="Times New Roman" w:hAnsi="Times New Roman"/>
          <w:sz w:val="24"/>
        </w:rPr>
        <w:t xml:space="preserve"> konszolidációjának hatóköre pontosan megegyezik, e tábla a) és b) oszlopát egyesíteni kell, és ezt a tényt egyértelműen jelezni kell:</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 xml:space="preserve">Ha az intézmények összevont vagy </w:t>
      </w:r>
      <w:proofErr w:type="spellStart"/>
      <w:r>
        <w:rPr>
          <w:rFonts w:ascii="Times New Roman" w:hAnsi="Times New Roman"/>
          <w:sz w:val="24"/>
        </w:rPr>
        <w:t>szubkonszolidált</w:t>
      </w:r>
      <w:proofErr w:type="spellEnd"/>
      <w:r>
        <w:rPr>
          <w:rFonts w:ascii="Times New Roman" w:hAnsi="Times New Roman"/>
          <w:sz w:val="24"/>
        </w:rPr>
        <w:t xml:space="preserve"> alapon teljesítik a CRR nyolcadik részében meghatározott kötelezettségeket, de a pénzügyi kimutatásokban foglalt mérleghez alkalmazott konszolidáció hatóköre és módszere megegyezik a konszolidáció CRR első része II. címe 2. fejezete szerint meghatározott hatókörével és módszerével, és az intézmények egyértelműen kijelentik, hogy nincs különbség a konszolidáció hatókörei és módszerei között.</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Ha az intézmények egyedi alapon teljesítik a CRR nyolcadik részében meghatározott kötelezettségeket.</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EU CCA táblázat – A szabályozói szavatolótőke-instrumentumok és a leírható, illetve átalakítható kötelezettséginstrumentumok fő jellemzői</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Az intézmények az ezen végrehajtási rendelet VII. mellékletében található EU CCA táblázat e mellékletben foglalt útmutató szerinti kitöltésével hozzák nyilvánosságra a CRR 437. cikkének b) és c) pontjában említett információkat.</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Az intézményeknek a következő kategóriák tekintetében kell kitölteniük az EU CCA táblázatot: elsődleges alapvető tőkeinstrumentumok, kiegészítő alapvető tőkeinstrumentumok, járulékos tőkeinstrumentumok, valamint a CRR 72b. cikke szerinti leírható, illetve átalakítható kötelezettséginstrumentumok.</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A táblázatok külön oszlopokban tartalmazzák az egyes szabályozói szavatolótőke-instrumentumok és a leírható, illetve átalakítható kötelezettséginstrumentumok jellemzőit. Azokban az esetekben, amikor azonos kategóriájú, eltérő tőkeinstrumentumok azonos jellemzőkkel rendelkeznek, az intézmények kitölthetnek egyetlen oszlopot, megjelölve ezeket az azonos jellemzőket és feltüntetve azokat a kibocsátásokat, amelyekre az azonos jellemzők vonatkoznak. Az említett instrumentumokra vonatkozó oszlopok kitöltésekor az intézményeknek az instrumentumokat három szakaszba kell csoportosítaniuk (a táblázatban vízszintesen), jelezve, hogy azok i. csak a szavatolótőke-követelményeknek felelnek-e meg (de a leírható, illetve átalakítható kötelezettségekre </w:t>
      </w:r>
      <w:proofErr w:type="spellStart"/>
      <w:r>
        <w:rPr>
          <w:rFonts w:ascii="Times New Roman" w:hAnsi="Times New Roman"/>
          <w:sz w:val="24"/>
        </w:rPr>
        <w:t>vonatkozóaknak</w:t>
      </w:r>
      <w:proofErr w:type="spellEnd"/>
      <w:r>
        <w:rPr>
          <w:rFonts w:ascii="Times New Roman" w:hAnsi="Times New Roman"/>
          <w:sz w:val="24"/>
        </w:rPr>
        <w:t xml:space="preserve"> nem); ii. a szavatolótőke-követelményeknek és a leírható, illetve átalakítható kötelezettségekre vonatkozó követelményeknek is megfelelnek; vagy iii. csak a leírható, illetve átalakítható kötelezettségekre vonatkozó követelményeknek felelnek meg, a szavatolótőke-követelményeknek nem.</w:t>
      </w:r>
      <w:r>
        <w:rPr>
          <w:rFonts w:ascii="Times New Roman" w:hAnsi="Times New Roman"/>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Az olyan leírható, illetve átalakítható kötelezettséget jelentő instrumentumokkal kapcsolatban, amelyek nem kizárt kötelezettségeknek alárendeltek, az intézményeknek csak olyan értékpapírokat kell nyilvánosságra hozniuk, amelyek a hitelek és betétek kizárásakor helyettesíthető, átruházható pénzügyi instrumentumok.</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A szabályozói szavatolótőke-instrumentumok és a leírható, illetve átalakítható kötelezettséginstrumentumok fő jellemzőit tartalmazó tábla kitöltésére vonatkozó útmutató</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Sor jelölése</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Magyarázat</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Kibocsátó</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adniuk a kibocsátó hivatalos nevét.</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Egyedi azonosító (pl. CUSIP, ISIN vagy zárt körű kihelyezés </w:t>
            </w:r>
            <w:proofErr w:type="spellStart"/>
            <w:r>
              <w:rPr>
                <w:rFonts w:ascii="Times New Roman" w:hAnsi="Times New Roman"/>
                <w:sz w:val="24"/>
              </w:rPr>
              <w:t>Bloomberg</w:t>
            </w:r>
            <w:proofErr w:type="spellEnd"/>
            <w:r>
              <w:rPr>
                <w:rFonts w:ascii="Times New Roman" w:hAnsi="Times New Roman"/>
                <w:sz w:val="24"/>
              </w:rPr>
              <w:t>-azonosítója)</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Szabad formátumban megadható szöveg</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Nyílt kibocsátás vagy zárt körű kibocsátás</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Az intézményeknek meg kell adniuk, hogy az instrumentum kibocsátása nyílt vagy zárt körű.</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Menüből választandó: [Nyílt] [Zárt körű]</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Az instrumentumra irányadó jog(ok)</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Az intézményeknek meg kell adniuk az instrumentumra irányadó </w:t>
            </w:r>
            <w:proofErr w:type="spellStart"/>
            <w:r>
              <w:rPr>
                <w:rFonts w:ascii="Times New Roman" w:hAnsi="Times New Roman"/>
                <w:sz w:val="24"/>
              </w:rPr>
              <w:t>jogo</w:t>
            </w:r>
            <w:proofErr w:type="spellEnd"/>
            <w:r>
              <w:rPr>
                <w:rFonts w:ascii="Times New Roman" w:hAnsi="Times New Roman"/>
                <w:sz w:val="24"/>
              </w:rPr>
              <w:t>(</w:t>
            </w:r>
            <w:proofErr w:type="spellStart"/>
            <w:r>
              <w:rPr>
                <w:rFonts w:ascii="Times New Roman" w:hAnsi="Times New Roman"/>
                <w:sz w:val="24"/>
              </w:rPr>
              <w:t>ka</w:t>
            </w:r>
            <w:proofErr w:type="spellEnd"/>
            <w:r>
              <w:rPr>
                <w:rFonts w:ascii="Times New Roman" w:hAnsi="Times New Roman"/>
                <w:sz w:val="24"/>
              </w:rPr>
              <w:t xml:space="preserve">)t.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Szabad formátumban megadható szöveg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 szanálási hatóságok leírási és átalakítási hatáskörének szerződéses elismerése</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Az intézményeknek fel kell tüntetniük, hogy az instrumentumra vonatkozóan van-e olyan rendelkezés, amely szerint a szanálási hatóság vagy az érintett harmadik országbeli hatóság határozata alapján az instrumentum tőkeösszegét tartósan le kell írni vagy az instrumentumot elsődleges alapvető tőkeinstrumentummá kell átalakítani, adott esetben a következő rendelkezéseknek megfelelően:</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a kiegészítő alapvető tőkeinstrumentumok esetében a CRR 52. cikke (1) bekezdésének p) pontja;</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a járulékos tőkeinstrumentumok esetében a CRR 63. cikkének n) vagy o) pontja;</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a leírható, illetve átalakítható kötelezettségek esetében a CRR 72b. cikke (2) bekezdésének n) pontja;</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a fentiek bármelyikével összefüggésben és harmadik ország irányadó joga esetén az (EU) 2019/879 irányelv </w:t>
            </w:r>
            <w:r w:rsidRPr="007F4CC8">
              <w:rPr>
                <w:rStyle w:val="FootnoteReference"/>
                <w:rFonts w:ascii="Times New Roman" w:eastAsia="Times New Roman" w:hAnsi="Times New Roman" w:cs="Times New Roman"/>
                <w:sz w:val="24"/>
                <w:lang w:eastAsia="en-GB"/>
              </w:rPr>
              <w:footnoteReference w:id="3"/>
            </w:r>
            <w:r>
              <w:rPr>
                <w:rFonts w:ascii="Times New Roman" w:hAnsi="Times New Roman"/>
                <w:sz w:val="24"/>
              </w:rPr>
              <w:t>(a bankok helyreállításáról és szanálásáról szóló irányelv) 55. cikke.</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A leírás és átalakítás esetében alkalmazható a bankok helyreállításáról és szanálásáról szóló irányelv 55. cikke, illetőleg az első három francia bekezdés </w:t>
            </w:r>
            <w:proofErr w:type="spellStart"/>
            <w:r>
              <w:rPr>
                <w:rFonts w:ascii="Times New Roman" w:hAnsi="Times New Roman"/>
                <w:i/>
                <w:sz w:val="24"/>
              </w:rPr>
              <w:t>bármelyike</w:t>
            </w:r>
            <w:proofErr w:type="spellEnd"/>
            <w:r>
              <w:rPr>
                <w:rFonts w:ascii="Times New Roman" w:hAnsi="Times New Roman"/>
                <w:i/>
                <w:sz w:val="24"/>
              </w:rPr>
              <w:t>.</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Aktuális kezelés adott esetben a CRR átmeneti szabályainak figyelembevételével</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a szabályozói szavatolótőke kezelésére vonatkozóan a CRR-ben foglalt átmeneti rendelkezéseket. Az instrumentum eredeti besorolása a kiindulópont, függetlenül a szavatolótőke alacsonyabb szintjeire történő esetleges átsorolástól.</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[Elsődleges alapvető tőke], [Kiegészítő alapvető tőke] [Járulékos tőke] [Nem leírható, illetve átalakítható] [N/A]</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Szöveges megjegyzések – az intézménynek fel kell tüntetnie, ha a kibocsátás egy részét alacsonyabb szintre sorolták át.</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 CRR átmeneti időszakot követő szabályai</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adniuk a szabályozói szavatolótőke CRR szerinti kezelését, függetlenül az átmeneti rendelkezésektől.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 xml:space="preserve">Menüből választandó: </w:t>
            </w:r>
            <w:r>
              <w:rPr>
                <w:i/>
                <w:iCs/>
              </w:rPr>
              <w:t>[Elsődleges alapvető tőke], [Kiegészítő alapvető tőke] [Járulékos tőke] [Leírható, illetve átalakítható] [Nem leírható, illetve átalakítható]</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Egyedi és/vagy </w:t>
            </w:r>
            <w:proofErr w:type="spellStart"/>
            <w:r>
              <w:rPr>
                <w:rFonts w:ascii="Times New Roman" w:hAnsi="Times New Roman"/>
                <w:sz w:val="24"/>
              </w:rPr>
              <w:t>szubkonszolidált</w:t>
            </w:r>
            <w:proofErr w:type="spellEnd"/>
            <w:r>
              <w:rPr>
                <w:rFonts w:ascii="Times New Roman" w:hAnsi="Times New Roman"/>
                <w:sz w:val="24"/>
              </w:rPr>
              <w:t xml:space="preserve"> alapon leírható, illetve átalakítható</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a csoport azon szintjét/szintjeit, ahol az instrumentum a szavatolótőke / a leírható, illetve átalakítható kötelezettségek részét képezi.</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Menüből választandó: [Egyedi] [(</w:t>
            </w:r>
            <w:proofErr w:type="spellStart"/>
            <w:r>
              <w:rPr>
                <w:rFonts w:ascii="Times New Roman" w:hAnsi="Times New Roman"/>
                <w:i/>
                <w:sz w:val="24"/>
              </w:rPr>
              <w:t>Szub</w:t>
            </w:r>
            <w:proofErr w:type="spellEnd"/>
            <w:r>
              <w:rPr>
                <w:rFonts w:ascii="Times New Roman" w:hAnsi="Times New Roman"/>
                <w:i/>
                <w:sz w:val="24"/>
              </w:rPr>
              <w:t>)konszolidált] [Egyedi és (</w:t>
            </w:r>
            <w:proofErr w:type="spellStart"/>
            <w:r>
              <w:rPr>
                <w:rFonts w:ascii="Times New Roman" w:hAnsi="Times New Roman"/>
                <w:i/>
                <w:sz w:val="24"/>
              </w:rPr>
              <w:t>szub</w:t>
            </w:r>
            <w:proofErr w:type="spellEnd"/>
            <w:r>
              <w:rPr>
                <w:rFonts w:ascii="Times New Roman" w:hAnsi="Times New Roman"/>
                <w:i/>
                <w:sz w:val="24"/>
              </w:rPr>
              <w:t>)konszolidált]</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instrumentum típusa (az egyes joghatóságok szerint meghatározandó típusok)</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az instrumentum – joghatóságonként változó – típusát.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Az elsődleges alapvető tőkeinstrumentumok esetében az instrumentum nevét az elsődleges alapvető tőkeinstrumentumok EBH által közzétett jegyzékéből kell kiválasztani a CRR 26. cikkének (3) bekezdése szerint.</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 többi instrumentumra vonatkozóan a következőkből kell választani: az intézmények számára a menüpontok joghatóságonként kerülnek meghatározásra – minden egyes instrumentumtípushoz be kell illeszteni a CRR cikkeire vonatkozó jogi hivatkozásokat</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 szabályozói tőkében vagy a leírható, illetve átalakítható kötelezettségekben megjelenített összeg (pénznem millióban, a legutóbbi adatszolgáltatás időpontjában)</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Az intézményeknek a szavatolótőkében vagy a leírható, illetve átalakítható kötelezettségekben megjelenített összeget kell megadniuk.</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Szöveges megjegyzések – az intézménynek jeleznie kell mindenekelőtt azt, ha az instrumentumok egyes részei a szabályozói szavatolótőke eltérő szintjein találhatók, és ha a szabályozói szavatolótőke megjelenített összege eltér a kibocsátott összegtől.</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Az instrumentum névleges összege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instrumentum névleges összege a kibocsátási pénznemben és a kötelező adatszolgáltatáshoz használt pénznemben</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Kibocsátási ár</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instrumentum kibocsátási ára</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Visszaváltási ár</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instrumentum visszaváltási ára</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Számviteli besorolás</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adniuk az instrumentum számviteli besorolását.</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[Saját tőke] [Kötelezettség – amortizált bekerülési érték] [Kötelezettség – valós érték opció] [Konszolidált leányvállalatban fennálló nem ellenőrző részesedés]</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 kibocsátás eredeti időpontja</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adniuk a kibocsátás időpontját.</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Szabad formátumban megadható szöveg</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Lejárat nélküli vagy lejáratra szóló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fel kell tüntetniük, hogy az instrumentum lejáratra szóló vagy lejárat nélküli.</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[Lejárat nélküli] [Lejáratra szóló]</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Eredeti lejárati idő</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 lejáratra szóló instrumentumok esetében az intézményeknek meg kell adniuk az eredeti lejárati időt (év, hónap, nap). A lejárat nélküli instrumentumok esetében meg kell adni, hogy „nincs lejárat”.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lastRenderedPageBreak/>
              <w:t>Szabad formátumban megadható szöveg</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 kibocsátó vételi (</w:t>
            </w:r>
            <w:proofErr w:type="spellStart"/>
            <w:r>
              <w:rPr>
                <w:rFonts w:ascii="Times New Roman" w:hAnsi="Times New Roman"/>
                <w:sz w:val="24"/>
              </w:rPr>
              <w:t>call</w:t>
            </w:r>
            <w:proofErr w:type="spellEnd"/>
            <w:r>
              <w:rPr>
                <w:rFonts w:ascii="Times New Roman" w:hAnsi="Times New Roman"/>
                <w:sz w:val="24"/>
              </w:rPr>
              <w:t xml:space="preserve">) opciója előzetes felügyeleti jóváhagyáshoz kötött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adniuk, hogy van-e kibocsátói vételi opció (bármely típusú vételi opció).</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Opcionális vételi időpont, függő vételi időpontok és visszaváltási összeg</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Kibocsátói vételi opcióval rendelkező instrumentum esetén az intézményeknek meg kell határozniuk a vétel első időpontját, ha az instrumentum meghatározott időpontra (nap, hónap, év) vonatkozó vételi opcióval rendelkezik, ezen kívül meg kell adniuk, hogy az instrumentum rendelkezik-e adózási és/vagy szabályozói eseményre vonatkozó vételi opcióval. Az intézményeknek meg kell határozniuk a visszaváltási árat is, ami segíti az instrumentum tartós jellegének értékelését.</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Adott esetben további vételi időpontok</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adott esetben meg kell határozniuk, hogy vannak-e későbbi vételi időpontok, és azok mennyire gyakoriak, ami segíti az instrumentum tartós jellegének értékelését.</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Szabad formátumban megadható szöveg</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Rögzített vagy változó összegű osztalék / kamatszelvény</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hogy a kamatszelvény/osztalék rögzített vagy változó az instrumentum élettartama alatt, illetve jelenleg rögzített, de a jövőben változó </w:t>
            </w:r>
            <w:proofErr w:type="spellStart"/>
            <w:r>
              <w:rPr>
                <w:rFonts w:ascii="Times New Roman" w:hAnsi="Times New Roman"/>
                <w:sz w:val="24"/>
              </w:rPr>
              <w:t>kamatozásúvá</w:t>
            </w:r>
            <w:proofErr w:type="spellEnd"/>
            <w:r>
              <w:rPr>
                <w:rFonts w:ascii="Times New Roman" w:hAnsi="Times New Roman"/>
                <w:sz w:val="24"/>
              </w:rPr>
              <w:t xml:space="preserve"> alakul, vagy jelenleg változó kamatozású, de a jövőben rögzített </w:t>
            </w:r>
            <w:proofErr w:type="spellStart"/>
            <w:r>
              <w:rPr>
                <w:rFonts w:ascii="Times New Roman" w:hAnsi="Times New Roman"/>
                <w:sz w:val="24"/>
              </w:rPr>
              <w:t>kamatozásúvá</w:t>
            </w:r>
            <w:proofErr w:type="spellEnd"/>
            <w:r>
              <w:rPr>
                <w:rFonts w:ascii="Times New Roman" w:hAnsi="Times New Roman"/>
                <w:sz w:val="24"/>
              </w:rPr>
              <w:t xml:space="preserve"> alakul.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Menüből választandó: [Rögzített] [Változó] [Rögzítettből változó] [Változóból rögzített]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Kamatszelvény-ráta és bármely kapcsolódó index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Az intézményeknek meg kell adniuk az instrumentum kamatszelvény-rátáját és a kamatszelvényhez / osztalékkamatlábhoz referenciaként kapcsolódó indexet.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Szabad formátumban megadható szöveg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Osztalékfizetést felfüggesztő rendelkezés (</w:t>
            </w:r>
            <w:proofErr w:type="spellStart"/>
            <w:r>
              <w:rPr>
                <w:rFonts w:ascii="Times New Roman" w:hAnsi="Times New Roman"/>
                <w:sz w:val="24"/>
              </w:rPr>
              <w:t>dividend</w:t>
            </w:r>
            <w:proofErr w:type="spellEnd"/>
            <w:r>
              <w:rPr>
                <w:rFonts w:ascii="Times New Roman" w:hAnsi="Times New Roman"/>
                <w:sz w:val="24"/>
              </w:rPr>
              <w:t xml:space="preserve"> stopper) fennállása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 xml:space="preserve">Az intézményeknek meg kell határozniuk, hogy az instrumentum kamatszelvényének vagy </w:t>
            </w:r>
            <w:proofErr w:type="spellStart"/>
            <w:r>
              <w:rPr>
                <w:rFonts w:ascii="Times New Roman" w:hAnsi="Times New Roman"/>
                <w:sz w:val="24"/>
              </w:rPr>
              <w:t>osztalékának</w:t>
            </w:r>
            <w:proofErr w:type="spellEnd"/>
            <w:r>
              <w:rPr>
                <w:rFonts w:ascii="Times New Roman" w:hAnsi="Times New Roman"/>
                <w:sz w:val="24"/>
              </w:rPr>
              <w:t xml:space="preserve"> ki nem fizetése megtiltja-e osztalék kifizetését a törzsrészvények után (azaz van-e „</w:t>
            </w:r>
            <w:proofErr w:type="spellStart"/>
            <w:r>
              <w:rPr>
                <w:rFonts w:ascii="Times New Roman" w:hAnsi="Times New Roman"/>
                <w:sz w:val="24"/>
              </w:rPr>
              <w:t>dividend</w:t>
            </w:r>
            <w:proofErr w:type="spellEnd"/>
            <w:r>
              <w:rPr>
                <w:rFonts w:ascii="Times New Roman" w:hAnsi="Times New Roman"/>
                <w:sz w:val="24"/>
              </w:rPr>
              <w:t xml:space="preserve"> stopper”).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Menüből választandó: [igen], [nem]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Teljes mértékben diszkrecionális, részben diszkrecionális vagy kötelező (az időzítés tekintetében)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 kibocsátónak teljes mérlegelési jogköre, részleges mérlegelési jogköre van-e, illetőleg nincs mérlegelési jogköre a kamatszelvény/osztalék kifizetésével kapcsolatban. Ha az intézmény minden körülmények között teljes hatáskörrel rendelkezik a kamatszelvény/osztalék kifizetésének felfüggesztésére, akkor a „teljes mértékben diszkrecionális” megjelölést kell választania (beleértve azt az esetet is, ha olyan „</w:t>
            </w:r>
            <w:proofErr w:type="spellStart"/>
            <w:r>
              <w:rPr>
                <w:rFonts w:ascii="Times New Roman" w:hAnsi="Times New Roman"/>
                <w:sz w:val="24"/>
              </w:rPr>
              <w:t>dividend</w:t>
            </w:r>
            <w:proofErr w:type="spellEnd"/>
            <w:r>
              <w:rPr>
                <w:rFonts w:ascii="Times New Roman" w:hAnsi="Times New Roman"/>
                <w:sz w:val="24"/>
              </w:rPr>
              <w:t xml:space="preserve"> stopper” áll fenn, amely nem jár azzal a hatással, hogy megakadályozza azt, hogy az intézmény felfüggessze az instrumentumra vonatkozó kifizetéseket). Ha vannak olyan feltételek, amelyeknek az intézménynek meg kell felelnie a kifizetés felfüggesztése előtt (pl. a szavatolótőke egy bizonyos küszöbérték alá csökken), akkor az intézménynek a „részben diszkrecionális” megjelölést kell választania. Ha az intézmény a fizetésképtelenség esetét kivéve nem képes a kifizetés felfüggesztésére, akkor az intézménynek a „kötelező” megjelölést kell választania.</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[Teljes mértékben diszkrecionális] [Részben diszkrecionális] [Kötelező]</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Szöveges megjegyzések (határozza meg a diszkrecionális hatáskör okait, „</w:t>
            </w:r>
            <w:proofErr w:type="spellStart"/>
            <w:r>
              <w:rPr>
                <w:rFonts w:ascii="Times New Roman" w:hAnsi="Times New Roman"/>
                <w:i/>
                <w:sz w:val="24"/>
              </w:rPr>
              <w:t>dividend</w:t>
            </w:r>
            <w:proofErr w:type="spellEnd"/>
            <w:r>
              <w:rPr>
                <w:rFonts w:ascii="Times New Roman" w:hAnsi="Times New Roman"/>
                <w:i/>
                <w:sz w:val="24"/>
              </w:rPr>
              <w:t xml:space="preserve"> </w:t>
            </w:r>
            <w:proofErr w:type="spellStart"/>
            <w:proofErr w:type="gramStart"/>
            <w:r>
              <w:rPr>
                <w:rFonts w:ascii="Times New Roman" w:hAnsi="Times New Roman"/>
                <w:i/>
                <w:sz w:val="24"/>
              </w:rPr>
              <w:t>pusher</w:t>
            </w:r>
            <w:proofErr w:type="spellEnd"/>
            <w:r>
              <w:rPr>
                <w:rFonts w:ascii="Times New Roman" w:hAnsi="Times New Roman"/>
                <w:i/>
                <w:sz w:val="24"/>
              </w:rPr>
              <w:t>”-</w:t>
            </w:r>
            <w:proofErr w:type="gramEnd"/>
            <w:r>
              <w:rPr>
                <w:rFonts w:ascii="Times New Roman" w:hAnsi="Times New Roman"/>
                <w:i/>
                <w:sz w:val="24"/>
              </w:rPr>
              <w:t>ek, „</w:t>
            </w:r>
            <w:proofErr w:type="spellStart"/>
            <w:r>
              <w:rPr>
                <w:rFonts w:ascii="Times New Roman" w:hAnsi="Times New Roman"/>
                <w:i/>
                <w:sz w:val="24"/>
              </w:rPr>
              <w:t>dividend</w:t>
            </w:r>
            <w:proofErr w:type="spellEnd"/>
            <w:r>
              <w:rPr>
                <w:rFonts w:ascii="Times New Roman" w:hAnsi="Times New Roman"/>
                <w:i/>
                <w:sz w:val="24"/>
              </w:rPr>
              <w:t xml:space="preserve"> stopper”-ek,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Teljes mértékben diszkrecionális, részben diszkrecionális vagy kötelező (az összeg tekintetében)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 kibocsátónak teljes mérlegelési jogköre, részleges mérlegelési jogköre van-e, illetőleg nincs mérlegelési jogköre a kamatszelvény/osztalék összegével kapcsolatban.</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[Teljes mértékben diszkrecionális] [Részben diszkrecionális] [Kötelező]</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proofErr w:type="spellStart"/>
            <w:r>
              <w:rPr>
                <w:rFonts w:ascii="Times New Roman" w:hAnsi="Times New Roman"/>
                <w:sz w:val="24"/>
              </w:rPr>
              <w:t>Feljebblépési</w:t>
            </w:r>
            <w:proofErr w:type="spellEnd"/>
            <w:r>
              <w:rPr>
                <w:rFonts w:ascii="Times New Roman" w:hAnsi="Times New Roman"/>
                <w:sz w:val="24"/>
              </w:rPr>
              <w:t xml:space="preserve"> vagy egyéb visszaváltási ösztönző</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hogy van-e </w:t>
            </w:r>
            <w:proofErr w:type="spellStart"/>
            <w:r>
              <w:rPr>
                <w:rFonts w:ascii="Times New Roman" w:hAnsi="Times New Roman"/>
                <w:sz w:val="24"/>
              </w:rPr>
              <w:t>feljebblépési</w:t>
            </w:r>
            <w:proofErr w:type="spellEnd"/>
            <w:r>
              <w:rPr>
                <w:rFonts w:ascii="Times New Roman" w:hAnsi="Times New Roman"/>
                <w:sz w:val="24"/>
              </w:rPr>
              <w:t xml:space="preserve"> vagy egyéb ösztönző a visszaváltásra.</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Nem halmozódó vagy halmozódó</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Az intézményeknek meg kell adniuk, hogy az osztalékok/kamatszelvények összege halmozódó vagy nem halmozódó.</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[Nem halmozódó] [Halmozódó]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Átalakítható vagy nem átalakítható</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fel kell tüntetniük, hogy az instrumentum átalakítható vagy nem átalakítható.</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[Átalakítható] [Nem átalakítható]</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Ha átalakítható, az átváltási küszöb(</w:t>
            </w:r>
            <w:proofErr w:type="spellStart"/>
            <w:r>
              <w:rPr>
                <w:rFonts w:ascii="Times New Roman" w:hAnsi="Times New Roman"/>
                <w:sz w:val="24"/>
              </w:rPr>
              <w:t>ök</w:t>
            </w:r>
            <w:proofErr w:type="spellEnd"/>
            <w:r>
              <w:rPr>
                <w:rFonts w:ascii="Times New Roman" w:hAnsi="Times New Roman"/>
                <w:sz w:val="24"/>
              </w:rPr>
              <w:t>)</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azokat a feltételeket, amelyek mellett az instrumentumot átalakítják, ideértve azt is, hogy mely ponton válik az instrumentum életképtelenné. Amennyiben egy vagy több hatóság képes az átalakítás kiváltására, a hatóságokat fel kell sorolni. Minden egyes hatóság esetén meg kell jelölni, hogy az instrumentum szerződéses feltételei nyújtanak-e jogalapot a hatóság számára az átalakítás kiváltására (szerződéses megközelítés), vagy a jogalapot jogszabályi eszközök biztosítják (jogszabályi megközelítés).</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Ha átalakítható, teljesen vagy részben</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az instrumentum minden esetben teljesen átalakításra kerül, teljesen vagy részben átalakítható, vagy mindig részben kerül átalakításra.</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[Mindig teljesen] [Teljesen vagy részben] [Mindig részben]</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Ha átalakítható, az átalakítási arányszám</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az olyan instrumentummá való átalakítás mértékét, amelynek nagyobb a veszteségelnyelő képessége.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Ha átalakítható, kötelező vagy opcionális az átalakítás</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Az átalakítható instrumentumok esetében az intézményeknek fel kell tüntetniük, hogy az átalakítás kötelező vagy opcionális.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[Kötelező] [Opcionális] [N/A] és [a birtokosok választása szerint] [a kibocsátó választása szerint] [mind a birtokosok, mind pedig a kibocsátó választása szerint]</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Ha átalakítható, határozza meg az instrumentumtípust, amire átalakítható</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Az átalakítható instrumentumok esetében az intézményeknek fel kell tüntetniük, hogy milyen instrumentumtípusra való átalakítás lehetséges. Ez segíti a veszteségviselő képesség értékelését.</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[Elsődleges alapvető tőkeinstrumentum], [Kiegészítő alapvető tőkeinstrumentum] [Járulékos tőkeinstrumentum] [Egyéb]</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Ha átalakítható, határozza meg annak az instrumentumnak a kibocsátóját, amire átalakítható</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Leírási jellemzők</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hogy van-e leírási jellemző.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Ha leírható, a leírási küszöb(</w:t>
            </w:r>
            <w:proofErr w:type="spellStart"/>
            <w:r>
              <w:rPr>
                <w:rFonts w:ascii="Times New Roman" w:hAnsi="Times New Roman"/>
                <w:sz w:val="24"/>
              </w:rPr>
              <w:t>ök</w:t>
            </w:r>
            <w:proofErr w:type="spellEnd"/>
            <w:r>
              <w:rPr>
                <w:rFonts w:ascii="Times New Roman" w:hAnsi="Times New Roman"/>
                <w:sz w:val="24"/>
              </w:rPr>
              <w:t>)</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azokat a küszöbértékeket, amelyeken bekövetkezik a leírás, beleértve a gazdaságilag életképtelenné válás esetét. Amennyiben egy vagy több hatóság képes a leírás kiváltására, a hatóságokat fel kell sorolni. Minden egyes hatóság esetén meg kell jelölni, hogy az instrumentum szerződéses feltételei nyújtanak-e jogalapot a hatóság számára a leírás kiváltására (szerződéses megközelítés) vagy a jogalapot jogszabályi eszközök biztosítják (jogszabályi megközelítés).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Ha leírható, teljesen vagy részben</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az instrumentum minden esetben teljesen leírásra kerül, teljesen vagy részben leírható, vagy mindig részben kerül leírásra. Ez segíti a leíráskori veszteségviselési képesség értékelését.</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[Mindig teljesen] [Teljesen vagy részben] [Mindig részben]</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Ha leírható, akkor tartósan vagy ideiglenesen</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Leírható instrumentum esetén az intézményeknek meg kell határozniuk, hogy a leírás tartós vagy ideiglenes.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[Tartós] [Ideiglenes] [N/A]</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Ideiglenes leírás esetén a felértékelési mechanizmus ismertetése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ismertetniük kell a felértékelési mechanizmust.</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alárendeltség típusa (csak a leírható, illetve átalakítható kötelezettségek esetében)</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adniuk, hogy az instrumentum megfelel-e a CRR 72b. cikke (2) bekezdése d) pontjának i., ii. és iii. alpontja szerinti alárendelési típus valamelyikének.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[Szerződéses], ha az instrumentum megfelel a CRR 72b. cikke (2) bekezdése d) pontjának i. alpontjában meghatározott követelményeknek;</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[Kötelező], ha az instrumentum megfelel a CRR 72b. cikke (2) bekezdése d) pontjának ii. alpontjában meghatározott követelményeknek;</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[Szerkezeti], ha az instrumentum megfelel a CRR 72b. cikke (2) bekezdése d) pontjának iii. alpontjában meghatározott követelményeknek;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[Alárendeltség alóli mentesség], amennyiben az instrumentum nem felel meg az alárendeltség egyik fent említett formájának sem, és feltéve, hogy az intézmény a CRR 72b. cikkének (4) bekezdése alapján engedélyt kapott arra, hogy a nem alárendelt kötelezettségeket a leírható, illetve átalakítható kötelezettségelemek közé sorolja.</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instrumentum rangsorban elfoglalt helye a rendes fizetésképtelenségi eljárásban</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az instrumentum a rendes fizetésképtelenségi eljárás során milyen helyet foglal el a rangsorban.</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Az [MREL-lel kapcsolatos adatszolgáltatásra vonatkozó végrehajtás-technikai standardban] meghatározottak szerint.</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 felszámolási alárendeltségi hierarchiában elfoglalt pozíció (határozza meg az instrumentumot közvetlenül megelőző instrumentum típusát)</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egy adott instrumentum mely instrumentumnak alárendelt a legközvetlenebbül. Adott esetben a fő jellemzőkre vonatkozóan kitöltött táblázatban a bankoknak meg kell határozniuk azoknak az instrumentumoknak az oszlopszámát, amelyeknek az instrumentum a legközvetlenebbül alárendelt.</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Nem megfelelő áttérő jellemzők</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vannak-e nem megfelelő jellemzők.</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Ha igen, nevezze meg a nem megfelelő jellemzőket</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Ha vannak nem megfelelő jellemzők, akkor az intézménynek meg kell határoznia, hogy melyek ezek.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Hivatkozás az eszköz teljes körű feltételeire (link)</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Az intézményeknek itt fel kell tüntetniük azt a linket, amelyen keresztül hozzáférhető az instrumentum feltételeit tartalmazó kibocsátási tájékoztató.</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EF398" w14:textId="77777777" w:rsidR="00403B4A" w:rsidRDefault="00403B4A" w:rsidP="00C85971">
      <w:r>
        <w:separator/>
      </w:r>
    </w:p>
  </w:endnote>
  <w:endnote w:type="continuationSeparator" w:id="0">
    <w:p w14:paraId="4DC416D9" w14:textId="77777777" w:rsidR="00403B4A" w:rsidRDefault="00403B4A"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8EF31" w14:textId="77777777" w:rsidR="00403B4A" w:rsidRDefault="00403B4A" w:rsidP="00C85971">
      <w:r>
        <w:separator/>
      </w:r>
    </w:p>
  </w:footnote>
  <w:footnote w:type="continuationSeparator" w:id="0">
    <w:p w14:paraId="221042F4" w14:textId="77777777" w:rsidR="00403B4A" w:rsidRDefault="00403B4A"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rPr>
          <w:sz w:val="18"/>
        </w:rPr>
        <w:tab/>
      </w:r>
      <w:r>
        <w:t xml:space="preserve">Az Európai Parlament és a Tanács 575/2013/EU rendelete (2013. június 26.) a hitelintézetekre vonatkozó </w:t>
      </w:r>
      <w:proofErr w:type="spellStart"/>
      <w:r>
        <w:t>prudenciális</w:t>
      </w:r>
      <w:proofErr w:type="spellEnd"/>
      <w:r>
        <w:t xml:space="preserve"> követelményekről és a 648/2012/EU rendelet módosításáról, valamint az azt módosító (EU) 2024/1623 rendelet (</w:t>
      </w:r>
      <w:hyperlink r:id="rId1" w:history="1">
        <w:r>
          <w:rPr>
            <w:color w:val="800080"/>
            <w:sz w:val="18"/>
            <w:u w:val="single"/>
          </w:rPr>
          <w:t>HL L 176., 2013.6.27., 1. o.</w:t>
        </w:r>
      </w:hyperlink>
      <w:r>
        <w:rPr>
          <w:color w:val="800080"/>
          <w:sz w:val="18"/>
          <w:u w:val="single"/>
        </w:rPr>
        <w:t xml:space="preserve">; </w:t>
      </w:r>
      <w:hyperlink r:id="rId2" w:history="1">
        <w:r>
          <w:rPr>
            <w:rStyle w:val="Hyperlink"/>
            <w:sz w:val="18"/>
          </w:rPr>
          <w:t>(EU) 2024/1623 rendelet –HU – EUR-Lex (europa.eu)</w:t>
        </w:r>
      </w:hyperlink>
      <w: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 xml:space="preserve"> </w:t>
      </w:r>
      <w:r>
        <w:tab/>
        <w:t>Az Európai Parlament és a Tanács (EU) 2019/879 irányelve (2019. május 20.) a hitelintézetek és a befektetési vállalkozások veszteségviselő és feltőkésítési képessége tekintetében a 2014/59/EU irányelv, valamint a 98/26/EK irányelv módosításáról (HL L 150., 2019.6.7., 296.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0618692" id="_x0000_t202" coordsize="21600,21600" o:spt="202" path="m,l,21600r21600,l21600,xe">
              <v:stroke joinstyle="miter"/>
              <v:path gradientshapeok="t" o:connecttype="rect"/>
            </v:shapetype>
            <v:shape id="Text Box 2" o:spid="_x0000_s1026" type="#_x0000_t202" alt="EBH – szokásos felhasználásr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EBH – szokásos felhasználásr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26F87F5" id="_x0000_t202" coordsize="21600,21600" o:spt="202" path="m,l,21600r21600,l21600,xe">
              <v:stroke joinstyle="miter"/>
              <v:path gradientshapeok="t" o:connecttype="rect"/>
            </v:shapetype>
            <v:shape id="Text Box 1" o:spid="_x0000_s1028" type="#_x0000_t202" alt="EBH – szokásos felhasználásr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67DE4738"/>
    <w:lvl w:ilvl="0" w:tplc="0809000F">
      <w:start w:val="1"/>
      <w:numFmt w:val="decimal"/>
      <w:lvlText w:val="%1."/>
      <w:lvlJc w:val="left"/>
      <w:pPr>
        <w:tabs>
          <w:tab w:val="num" w:pos="360"/>
        </w:tabs>
        <w:ind w:left="360" w:hanging="360"/>
      </w:pPr>
      <w:rPr>
        <w:rFonts w:hint="default"/>
      </w:rPr>
    </w:lvl>
    <w:lvl w:ilvl="1" w:tplc="29341D8E">
      <w:start w:val="1"/>
      <w:numFmt w:val="lowerLetter"/>
      <w:lvlText w:val="%2)"/>
      <w:lvlJc w:val="left"/>
      <w:pPr>
        <w:tabs>
          <w:tab w:val="num" w:pos="-180"/>
        </w:tabs>
        <w:ind w:left="-180" w:hanging="360"/>
      </w:pPr>
      <w:rPr>
        <w:rFonts w:hint="default"/>
      </w:r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 w:numId="4" w16cid:durableId="301469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hu-HU"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03B4A"/>
    <w:rsid w:val="004E3F4D"/>
    <w:rsid w:val="0085507F"/>
    <w:rsid w:val="00992165"/>
    <w:rsid w:val="00C85971"/>
    <w:rsid w:val="00CA7A57"/>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9F1796-F81F-43E7-843C-36BF47F7306E}"/>
</file>

<file path=customXml/itemProps2.xml><?xml version="1.0" encoding="utf-8"?>
<ds:datastoreItem xmlns:ds="http://schemas.openxmlformats.org/officeDocument/2006/customXml" ds:itemID="{7EDE9CE2-774C-4AAE-BE26-FD2462AB1106}"/>
</file>

<file path=customXml/itemProps3.xml><?xml version="1.0" encoding="utf-8"?>
<ds:datastoreItem xmlns:ds="http://schemas.openxmlformats.org/officeDocument/2006/customXml" ds:itemID="{A14CF64E-0846-480D-A7D6-54BDB698D65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28</Pages>
  <Words>6826</Words>
  <Characters>48131</Characters>
  <Application>Microsoft Office Word</Application>
  <DocSecurity>0</DocSecurity>
  <Lines>1119</Lines>
  <Paragraphs>584</Paragraphs>
  <ScaleCrop>false</ScaleCrop>
  <Company>European Banking Authority</Company>
  <LinksUpToDate>false</LinksUpToDate>
  <CharactersWithSpaces>54373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BOROS Attila Peter (DGT)</cp:lastModifiedBy>
  <cp:revision>6</cp:revision>
  <dcterms:created xsi:type="dcterms:W3CDTF">2021-03-11T11:52:00Z</dcterms:created>
  <dcterms:modified xsi:type="dcterms:W3CDTF">2024-10-18T08:48:00Z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