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IV PIELIKUMS – Norādījumi informācijas atklāšanai par riska pārvaldības mērķiem un politiku</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b/>
          <w:sz w:val="24"/>
        </w:rPr>
        <w:t>Tabula EU OVA – Iestādes riska pārvaldības pieeja.</w:t>
      </w:r>
      <w:r>
        <w:rPr>
          <w:rFonts w:ascii="Times New Roman" w:hAnsi="Times New Roman"/>
          <w:sz w:val="24"/>
        </w:rPr>
        <w:t xml:space="preserve"> Brīva formāta tekstlogi kvalitatīvas informācijas atklāšanai.</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Iestādes atklāj Regulas (ES) Nr. 575/2013</w:t>
      </w:r>
      <w:r w:rsidRPr="007F4CC8">
        <w:rPr>
          <w:rStyle w:val="FootnoteReference"/>
        </w:rPr>
        <w:footnoteReference w:id="1"/>
      </w:r>
      <w:r>
        <w:rPr>
          <w:rFonts w:ascii="Times New Roman" w:hAnsi="Times New Roman"/>
          <w:sz w:val="24"/>
        </w:rPr>
        <w:t xml:space="preserve"> (“</w:t>
      </w:r>
      <w:r>
        <w:rPr>
          <w:rFonts w:ascii="Times New Roman" w:hAnsi="Times New Roman"/>
          <w:i/>
          <w:sz w:val="24"/>
        </w:rPr>
        <w:t>CRR</w:t>
      </w:r>
      <w:r>
        <w:rPr>
          <w:rFonts w:ascii="Times New Roman" w:hAnsi="Times New Roman"/>
          <w:sz w:val="24"/>
        </w:rPr>
        <w:t>”) 435. panta 1. punktā minēto informāciju, ievērojot norādījumus, kas sniegti turpmāk šajā pielikumā, lai aizpildītu tabulu EU OVA, kura ietverta EBI IT risinājumu III pielikumā.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Pr>
                <w:rFonts w:ascii="Times New Roman" w:hAnsi="Times New Roman"/>
                <w:b/>
                <w:sz w:val="24"/>
              </w:rPr>
              <w:t>Atsauces uz tiesību aktiem un norādījumi</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a)</w:t>
            </w:r>
          </w:p>
        </w:tc>
        <w:tc>
          <w:tcPr>
            <w:tcW w:w="7655" w:type="dxa"/>
          </w:tcPr>
          <w:p w14:paraId="15BD1156"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 xml:space="preserve">Precīzajā riska paziņojumā, ko apstiprinājusi vadības struktūra, piemērojot </w:t>
            </w:r>
            <w:r>
              <w:rPr>
                <w:rFonts w:ascii="Times New Roman" w:hAnsi="Times New Roman"/>
                <w:i/>
                <w:sz w:val="24"/>
              </w:rPr>
              <w:t>CRR</w:t>
            </w:r>
            <w:r>
              <w:rPr>
                <w:rFonts w:ascii="Times New Roman" w:hAnsi="Times New Roman"/>
                <w:sz w:val="24"/>
              </w:rPr>
              <w:t xml:space="preserve"> 435. panta 1. punkta f) apakšpunktu, apraksta, kā uzņēmējdarbības modelis nosaka vispārējo riska profilu un mijiedarbojas ar to, piemēram, apraksta galvenos riskus, kuri saistīti ar uzņēmējdarbības modeli, un to, kā katrs no šiem riskiem ir atspoguļots un aprakstīts informācijā par riskiem, vai kā iestādes riska profils mijiedarbojas ar vadības struktūras apstiprināto riska pielaidi.</w:t>
            </w:r>
          </w:p>
          <w:p w14:paraId="114EC765"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 xml:space="preserve">Riska paziņojumā, piemērojot </w:t>
            </w:r>
            <w:r>
              <w:rPr>
                <w:rFonts w:ascii="Times New Roman" w:hAnsi="Times New Roman"/>
                <w:i/>
                <w:sz w:val="24"/>
              </w:rPr>
              <w:t>CRR</w:t>
            </w:r>
            <w:r>
              <w:rPr>
                <w:rFonts w:ascii="Times New Roman" w:hAnsi="Times New Roman"/>
                <w:sz w:val="24"/>
              </w:rPr>
              <w:t xml:space="preserve"> 435. panta 1. punkta f) apakšpunktu, iestādes arī atklāj grupas, saistīto uzņēmumu un saistīto pušu ietvaros notiekošo būtisko darījumu veidu, apjomu, mērķi un ekonomisko būtību. Atklātā informācija attiecas tikai uz darījumiem, kam ir būtiska ietekme uz iestādes riska profilu (ieskaitot reputācijas risku) vai risku sadalījumu grupā. Iestādes iekļauj arī galvenos rādītājus un skaitļus, kas parāda, kā iestādes riska profils mijiedarbojas ar vadības struktūras noteikto riska toleranci.</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47E22821" w14:textId="145BB4AA"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Informācijā, kas jāatklāj, piemērojot </w:t>
            </w:r>
            <w:r>
              <w:rPr>
                <w:rFonts w:ascii="Times New Roman" w:hAnsi="Times New Roman"/>
                <w:i/>
                <w:sz w:val="24"/>
              </w:rPr>
              <w:t>CRR</w:t>
            </w:r>
            <w:r>
              <w:rPr>
                <w:rFonts w:ascii="Times New Roman" w:hAnsi="Times New Roman"/>
                <w:sz w:val="24"/>
              </w:rPr>
              <w:t xml:space="preserve"> 435. panta 1. punkta b)</w:t>
            </w:r>
            <w:r w:rsidR="00BA747F">
              <w:rPr>
                <w:rFonts w:ascii="Times New Roman" w:hAnsi="Times New Roman"/>
                <w:sz w:val="24"/>
              </w:rPr>
              <w:t> </w:t>
            </w:r>
            <w:r>
              <w:rPr>
                <w:rFonts w:ascii="Times New Roman" w:hAnsi="Times New Roman"/>
                <w:sz w:val="24"/>
              </w:rPr>
              <w:t xml:space="preserve">apakšpunktu, iekļauj riska pārvaldības struktūru par katru riska veidu: pienākumu sadalījums visā iestādē (attiecīgā gadījumā iekļaujot pilnvaru pārraudzību un deleģēšanu un pienākumu sadalījumu starp vadības struktūru, darbības jomām un riska pārvaldības funkciju atbilstīgi riska veidam, uzņēmējdarbības vienībai, un citu būtisku informāciju), attiecības starp riska pārvaldības procesos iesaistītajām struktūrām un funkcijām (attiecīgā gadījumā iekļaujot vadības struktūru, riska komiteju, riska pārvaldības funkciju, atbilstības funkciju, iekšējās revīzijas funkciju) un organizatoriskās un iekšējās kontroles procedūras.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Atklājot informāciju par attiecīgās riska pārvaldības funkcijas struktūru un organizāciju, iestādes papildina to ar šādu informāciju: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informācija par vispārējo iekšējās kontroles sistēmu un to, kā tiek organizētas tās kontroles funkcijas (pilnvaras, resursi, statūti, neatkarība), nozīmīgākie uzdevumi, ko tās veic, un visas faktiskās un plānotās būtiskās izmaiņas šajās funkcijās,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lastRenderedPageBreak/>
              <w:t xml:space="preserve">to risku, kuriem pakļauta iestāde, apstiprinātos ierobežojumus,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iekšējās kontroles, riska pārvaldības, atbilstības un iekšējās revīzijas vadītāju izmaiņas,</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kanāli riska kultūras paziņošanai, noraidīšanai un īstenošanai iestādē (piemēram, vai ir rīcības kodeksi, rokasgrāmatas, kurās ietverti darbības ierobežojumi vai procedūras rīcībai riska sliekšņu pārkāpumu gadījumos, vai procedūras riska jautājumu aktualizācijai un kopīgošanai starp uzņēmējdarbības jomām un riska funkcijām).</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Paziņojums, ko iestādes atklāj saskaņā ar </w:t>
            </w:r>
            <w:r>
              <w:rPr>
                <w:rFonts w:ascii="Times New Roman" w:hAnsi="Times New Roman"/>
                <w:i/>
                <w:sz w:val="24"/>
              </w:rPr>
              <w:t>CRR</w:t>
            </w:r>
            <w:r>
              <w:rPr>
                <w:rFonts w:ascii="Times New Roman" w:hAnsi="Times New Roman"/>
                <w:sz w:val="24"/>
              </w:rPr>
              <w:t xml:space="preserve"> 435. panta 1. punkta e) apakšpunktu, par riska pārvaldības pasākumu pietiekamību ir jāapstiprina vadības struktūrai, un tajā jāapliecina, ka ieviestās riska pārvaldības sistēmas atbilst iestādes riska profilam un tās stratēģijai.</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Atklājot informāciju, kā prasīts </w:t>
            </w:r>
            <w:r>
              <w:rPr>
                <w:rFonts w:ascii="Times New Roman" w:hAnsi="Times New Roman"/>
                <w:i/>
                <w:sz w:val="24"/>
              </w:rPr>
              <w:t>CRR</w:t>
            </w:r>
            <w:r>
              <w:rPr>
                <w:rFonts w:ascii="Times New Roman" w:hAnsi="Times New Roman"/>
                <w:sz w:val="24"/>
              </w:rPr>
              <w:t xml:space="preserve"> 435. panta 1. punkta c) apakšpunktā, iestādes atklāj arī informāciju par riska informācijas atklāšanas un/vai novērtēšanas sistēmu darbības jomu un būtību un apraksta plūsmu, kā vadības struktūra un augstākā vadība saņem informāciju par risku.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Sniedzot informāciju par riska informācijas atklāšanas un novērtēšanas sistēmu galvenajām iezīmēm, piemērojot </w:t>
            </w:r>
            <w:r>
              <w:rPr>
                <w:rFonts w:ascii="Times New Roman" w:hAnsi="Times New Roman"/>
                <w:i/>
                <w:sz w:val="24"/>
              </w:rPr>
              <w:t>CRR</w:t>
            </w:r>
            <w:r>
              <w:rPr>
                <w:rFonts w:ascii="Times New Roman" w:hAnsi="Times New Roman"/>
                <w:sz w:val="24"/>
              </w:rPr>
              <w:t xml:space="preserve"> 435. panta 1. punkta c) apakšpunktu, iestādes atklāj informāciju par savu politiku attiecībā uz riska pārvaldības stratēģiju sistemātisku un regulāru pārskatīšanu un to efektivitātes periodisko novērtēšanu.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Atklājot informāciju par stratēģijām un procesiem riska pārvaldībai, piemērojot </w:t>
            </w:r>
            <w:r>
              <w:rPr>
                <w:rFonts w:ascii="Times New Roman" w:hAnsi="Times New Roman"/>
                <w:i/>
                <w:sz w:val="24"/>
              </w:rPr>
              <w:t>CRR</w:t>
            </w:r>
            <w:r>
              <w:rPr>
                <w:rFonts w:ascii="Times New Roman" w:hAnsi="Times New Roman"/>
                <w:sz w:val="24"/>
              </w:rPr>
              <w:t xml:space="preserve"> 435. panta 1. punkta a) apakšpunktu, iekļauj kvalitatīvu informāciju par stresa testu, piemēram, portfeļiem, kam piemēro stresa testu, pieņemtajiem scenārijiem un izmantotajām metodikām, un stresa testa izmantošanu riska pārvaldībā.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sniedz informāciju par stratēģijām un procesiem risku pārvaldībai, ierobežošanai un mazināšanai, kā arī par riska ierobežošanas pozīciju un riska mazinātāju efektivitātes uzraudzību saskaņā ar </w:t>
            </w:r>
            <w:r>
              <w:rPr>
                <w:rFonts w:ascii="Times New Roman" w:hAnsi="Times New Roman"/>
                <w:i/>
                <w:sz w:val="24"/>
              </w:rPr>
              <w:t>CRR</w:t>
            </w:r>
            <w:r>
              <w:rPr>
                <w:rFonts w:ascii="Times New Roman" w:hAnsi="Times New Roman"/>
                <w:sz w:val="24"/>
              </w:rPr>
              <w:t xml:space="preserve"> 435. panta 1. punkta a) un d) apakšpunktu attiecībā uz riskiem, kas izriet no iestāžu uzņēmējdarbības modeļa.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b/>
          <w:sz w:val="24"/>
        </w:rPr>
        <w:t xml:space="preserve">Tabula EU OVB – Informācijas atklāšana par pārvaldības pasākumiem. </w:t>
      </w:r>
      <w:r>
        <w:rPr>
          <w:rFonts w:ascii="Times New Roman" w:hAnsi="Times New Roman"/>
          <w:sz w:val="24"/>
        </w:rPr>
        <w:t>Brīva formāta tekstlogi kvalitatīvas informācijas atklāšanai.</w:t>
      </w:r>
    </w:p>
    <w:p w14:paraId="3B77667C" w14:textId="7777777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 xml:space="preserve">Iestādes atklāj </w:t>
      </w:r>
      <w:r>
        <w:rPr>
          <w:rFonts w:ascii="Times New Roman" w:hAnsi="Times New Roman"/>
          <w:i/>
          <w:sz w:val="24"/>
        </w:rPr>
        <w:t>CRR</w:t>
      </w:r>
      <w:r>
        <w:rPr>
          <w:rFonts w:ascii="Times New Roman" w:hAnsi="Times New Roman"/>
          <w:sz w:val="24"/>
        </w:rPr>
        <w:t xml:space="preserve"> 435. panta 2. punktā minēto informāciju, ievērojot norādījumus, kas sniegti turpmāk šajā pielikumā, lai aizpildītu tabulu EU OVB, kura ietverta šīs īstenošanas regulas III pielikumā.</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Pr>
                <w:rFonts w:ascii="Times New Roman" w:hAnsi="Times New Roman"/>
                <w:b/>
                <w:sz w:val="24"/>
              </w:rPr>
              <w:t>Atsauces uz tiesību aktiem un norādījumi</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sz w:val="24"/>
              </w:rPr>
              <w:lastRenderedPageBreak/>
              <w:t>a)</w:t>
            </w:r>
          </w:p>
        </w:tc>
        <w:tc>
          <w:tcPr>
            <w:tcW w:w="7655"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atklāj vadības struktūras locekļu ieņemto direktora amatu skaitu saskaņā ar </w:t>
            </w:r>
            <w:r>
              <w:rPr>
                <w:rFonts w:ascii="Times New Roman" w:hAnsi="Times New Roman"/>
                <w:i/>
                <w:sz w:val="24"/>
              </w:rPr>
              <w:t>CRR</w:t>
            </w:r>
            <w:r>
              <w:rPr>
                <w:rFonts w:ascii="Times New Roman" w:hAnsi="Times New Roman"/>
                <w:sz w:val="24"/>
              </w:rPr>
              <w:t xml:space="preserve"> 435. panta 2. punkta a) apakšpunktu. Atklājot šo informāciju, piemēro šādas specifikācijas:</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iestādes, uz kurām attiecas Direktīvas 2013/36/ES</w:t>
            </w:r>
            <w:r w:rsidRPr="007F4CC8">
              <w:rPr>
                <w:rStyle w:val="FootnoteReference"/>
                <w:rFonts w:eastAsia="Times New Roman"/>
              </w:rPr>
              <w:footnoteReference w:id="2"/>
            </w:r>
            <w:r>
              <w:rPr>
                <w:rFonts w:ascii="Times New Roman" w:hAnsi="Times New Roman"/>
                <w:sz w:val="24"/>
              </w:rPr>
              <w:t xml:space="preserve"> (“</w:t>
            </w:r>
            <w:r>
              <w:rPr>
                <w:rFonts w:ascii="Times New Roman" w:hAnsi="Times New Roman"/>
                <w:i/>
                <w:sz w:val="24"/>
              </w:rPr>
              <w:t>CRD</w:t>
            </w:r>
            <w:r>
              <w:rPr>
                <w:rFonts w:ascii="Times New Roman" w:hAnsi="Times New Roman"/>
                <w:sz w:val="24"/>
              </w:rPr>
              <w:t>”) 91. panta 3. un 4. punkts, atklāj direktora amatu skaitu, kas aprēķināts saskaņā ar šo pantu,</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iestādes atklāj faktiski ieņemto direktora amata vietu skaitu par katru pārvaldības struktūras locekli (neatkarīgi no tā, vai tas ir grupas uzņēmums, būtiska līdzdalība vai iestāde vienā un tajā pašā institucionālajā aizsardzības shēmā un vai direktora amats ir vai nav izpilddirektora amats) neatkarīgi no tā, vai direktora amats tiek ieņemts sabiedrībā, kas īsteno komerciālu mērķi,</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ja kompetentā iestāde apstiprinājusi papildu direktora amata vietu, visas iestādes, kurās šis loceklis ieņem direktora amatu, atklāj šo faktu, norādot arī tās kompetentās iestādes nosaukumu, kura apstiprinājusi papildu direktora amata vietu.</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211F21E9"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Atklājot informāciju par darbā pieņemšanas politiku vadības struktūras locekļu atlasei saskaņā ar </w:t>
            </w:r>
            <w:r>
              <w:rPr>
                <w:rFonts w:ascii="Times New Roman" w:hAnsi="Times New Roman"/>
                <w:i/>
                <w:sz w:val="24"/>
              </w:rPr>
              <w:t>CRR</w:t>
            </w:r>
            <w:r>
              <w:rPr>
                <w:rFonts w:ascii="Times New Roman" w:hAnsi="Times New Roman"/>
                <w:sz w:val="24"/>
              </w:rPr>
              <w:t xml:space="preserve"> 435. panta 2. punkta b) apakšpunktu, iestādes iekļauj informāciju par locekļu faktiskajām zināšanām, prasmēm un kompetenci. Iestādes iekļauj informāciju par politiku, kas, iespējams, izriet no pēctecības plānošanas, un par visām paredzamajām izmaiņām vadības struktūras vispārējā sastāvā.</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2226CEF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Atklājot informāciju par savu daudzveidības politiku saskaņā ar </w:t>
            </w:r>
            <w:r>
              <w:rPr>
                <w:rFonts w:ascii="Times New Roman" w:hAnsi="Times New Roman"/>
                <w:i/>
                <w:sz w:val="24"/>
              </w:rPr>
              <w:t>CRR</w:t>
            </w:r>
            <w:r>
              <w:rPr>
                <w:rFonts w:ascii="Times New Roman" w:hAnsi="Times New Roman"/>
                <w:sz w:val="24"/>
              </w:rPr>
              <w:t xml:space="preserve"> 435. panta 2. punkta c) apakšpunktu, iestādes atklāj informāciju par mērķiem un visiem būtiskajiem mērķrādītājiem, kas noteikti politikā, un to, ciktāl šie mērķi un mērķrādītāji ir sasniegti. </w:t>
            </w:r>
          </w:p>
          <w:p w14:paraId="45DF56C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jo īpaši atklāj informāciju par dzimumu dažādību, tajā skaitā: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ja ir noteikts mērķrādītājs attiecībā uz nepietiekami pārstāvēto dzimumu un daudzveidības politiku saistībā ar vecumu, izglītību, profesionālo pieredzi un ģeogrāfisko izcelsmi, – noteikto mērķrādītāju un to, ciktāl mērķrādītāji ir sasniegti,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ja mērķrādītājs nav sasniegts, iestādes atklāj iemeslus un – attiecīgā gadījumā – veiktos pasākumus mērķrādītāja sasniegšanai noteiktā laikposmā.</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atklāj, vai tās ir izveidojušas atsevišķu riska komiteju, un riska komitejas tikšanās reižu skaitu saskaņā ar </w:t>
            </w:r>
            <w:r>
              <w:rPr>
                <w:rFonts w:ascii="Times New Roman" w:hAnsi="Times New Roman"/>
                <w:i/>
                <w:sz w:val="24"/>
              </w:rPr>
              <w:t>CRR</w:t>
            </w:r>
            <w:r>
              <w:rPr>
                <w:rFonts w:ascii="Times New Roman" w:hAnsi="Times New Roman"/>
                <w:sz w:val="24"/>
              </w:rPr>
              <w:t xml:space="preserve"> 435. panta 2. punkta d) apakšpunktu.</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Sniedzot datus par plūsmu, kā vadības struktūra saņem riska informāciju </w:t>
            </w:r>
            <w:r>
              <w:rPr>
                <w:rFonts w:ascii="Times New Roman" w:hAnsi="Times New Roman"/>
                <w:i/>
                <w:sz w:val="24"/>
              </w:rPr>
              <w:t>CRR</w:t>
            </w:r>
            <w:r>
              <w:rPr>
                <w:rFonts w:ascii="Times New Roman" w:hAnsi="Times New Roman"/>
                <w:sz w:val="24"/>
              </w:rPr>
              <w:t xml:space="preserve"> 435. panta 2. punkta e) apakšpunkta piemērošanā, iestādes apraksta procesu, kā notiek riska atklāšana vadības struktūrai, jo īpaši riska darījumu biežumu, </w:t>
            </w:r>
            <w:r>
              <w:rPr>
                <w:rFonts w:ascii="Times New Roman" w:hAnsi="Times New Roman"/>
                <w:sz w:val="24"/>
              </w:rPr>
              <w:lastRenderedPageBreak/>
              <w:t xml:space="preserve">tvērumu un galveno saturu, un to, kā vadības struktūra tika iesaistīta atklājamā satura noteikšanā.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 xml:space="preserve"> </w:t>
      </w:r>
      <w:r>
        <w:tab/>
        <w:t xml:space="preserve">Eiropas Parlamenta un Padomes Regula (ES) Nr. 575/2013 (2013. gada 26. jūnijs) par prudenciālajām prasībām attiecībā uz kredītiestādēm, un ar ko groza Regulu (ES) Nr. 648/2012, kas grozīta ar Regulu (ES) 2024/1623 </w:t>
      </w:r>
      <w:r>
        <w:rPr>
          <w:color w:val="444444"/>
        </w:rPr>
        <w:t>(</w:t>
      </w:r>
      <w:hyperlink r:id="rId1" w:history="1">
        <w:r>
          <w:rPr>
            <w:rStyle w:val="Hyperlink"/>
            <w:color w:val="800080"/>
          </w:rPr>
          <w:t>OV L 176, 27.6.2013., 1. lpp.</w:t>
        </w:r>
      </w:hyperlink>
      <w:r>
        <w:rPr>
          <w:color w:val="800080"/>
          <w:u w:val="single"/>
        </w:rPr>
        <w:t xml:space="preserve">; </w:t>
      </w:r>
      <w:hyperlink r:id="rId2" w:history="1">
        <w:r>
          <w:rPr>
            <w:rStyle w:val="Hyperlink"/>
          </w:rPr>
          <w:t>Regula – ES – 2024/1623 – LV – EUR-Lex (europa.eu)</w:t>
        </w:r>
      </w:hyperlink>
      <w:r>
        <w:rPr>
          <w:color w:val="444444"/>
        </w:rPr>
        <w:t>)</w:t>
      </w:r>
      <w: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 xml:space="preserve"> </w:t>
      </w:r>
      <w:r>
        <w:tab/>
        <w:t>EIROPAS PARLAMENTA UN PADOMES DIREKTĪVA 2013/36/ES (2013. gada 26. jūnijs) par piekļuvi kredītiestāžu darbībai un kredītiestāžu un ieguldījumu brokeru sabiedrību prudenciālo uzraudzību, ar ko groza Direktīvu 2002/87/EK un atceļ Direktīvas 2006/48/EK un 2006/49/EK (OV L 176, 27.6.2013., 338.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9B3B08"/>
    <w:rsid w:val="00A040D0"/>
    <w:rsid w:val="00BA74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DB47C9-E725-4A69-AAC4-0D0981A26EFB}"/>
</file>

<file path=customXml/itemProps2.xml><?xml version="1.0" encoding="utf-8"?>
<ds:datastoreItem xmlns:ds="http://schemas.openxmlformats.org/officeDocument/2006/customXml" ds:itemID="{013DC8B8-2397-4D93-8695-FAC78174351C}"/>
</file>

<file path=customXml/itemProps3.xml><?xml version="1.0" encoding="utf-8"?>
<ds:datastoreItem xmlns:ds="http://schemas.openxmlformats.org/officeDocument/2006/customXml" ds:itemID="{A406ABAC-4CAA-420F-BEE3-90EB187A6FC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TotalTime>
  <Pages>4</Pages>
  <Words>996</Words>
  <Characters>6599</Characters>
  <Application>Microsoft Office Word</Application>
  <DocSecurity>0</DocSecurity>
  <Lines>143</Lines>
  <Paragraphs>53</Paragraphs>
  <ScaleCrop>false</ScaleCrop>
  <Company>XXXXXXX</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KALLUDRA Ilir (LUX-S2FRC)</cp:lastModifiedBy>
  <cp:revision>5</cp:revision>
  <dcterms:created xsi:type="dcterms:W3CDTF">2021-03-11T11:48:00Z</dcterms:created>
  <dcterms:modified xsi:type="dcterms:W3CDTF">2024-10-18T11:37:00Z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