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LIITE XXXIV – Ohjeet palkka- ja palkkiopolitiikkaa koskevia julkistamislomakkeita varten</w:t>
      </w:r>
    </w:p>
    <w:p w14:paraId="27BC952C" w14:textId="77777777" w:rsidR="00965CEB" w:rsidRPr="007A2A88" w:rsidRDefault="00965CEB" w:rsidP="00965CEB">
      <w:pPr>
        <w:pStyle w:val="Titlelevel2"/>
        <w:spacing w:before="120" w:after="120"/>
        <w:rPr>
          <w:rFonts w:ascii="Times New Roman" w:hAnsi="Times New Roman"/>
          <w:b/>
          <w:color w:val="auto"/>
          <w:sz w:val="22"/>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Lomake EU REMA – Palkka- ja palkkiopolitiikka: </w:t>
      </w:r>
      <w:r>
        <w:rPr>
          <w:rFonts w:ascii="Times New Roman" w:hAnsi="Times New Roman"/>
          <w:color w:val="auto"/>
          <w:sz w:val="24"/>
        </w:rPr>
        <w:t>Joustava lomake.</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Laitosten on julkistettava vakavaraisuusasetuksen</w:t>
      </w:r>
      <w:r w:rsidRPr="007F4CC8">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450 artiklan 1 kohdan a, b, c, d, e, f, j ja k alakohdassa ja 450 artiklan 2 kohdassa tarkoitetut tiedot noudattamalla jäljempänä tässä liitteessä annettuja ohjeita täyttääkseen EPV:n tietoteknisten ratkaisujen liitteessä XXXIII olevan lomakkeen EU REMA.</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Lomake on joustava. Jos laitokset soveltavat erilaista lomakemuotoa, niiden on toimitettava tiedot, jotka ovat vertailukelpoisia tässä lomakkeessa edellytettyjen tietojen kanssa ja jotka ovat yhtä yksityiskohtaisia kuin tässä lomakkeessa edellytetyt tiedot ja sisältävät kaikki vaaditut tiedot.</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Tässä lomakkeessa ja tässä liitteessä esitetyissä muissa lomakkeissa myöntämisellä tarkoitetaan muuttuvan palkkion myöntämistä tietyksi ansaintajaksoksi riippumatta siitä, milloin myönnetty määrä tosiasiallisesti maksetaan.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Lainsäädäntöviitteet ja ohjeet</w:t>
            </w:r>
          </w:p>
        </w:tc>
      </w:tr>
      <w:tr w:rsidR="00965CEB" w:rsidRPr="007F4CC8" w14:paraId="284F051F" w14:textId="77777777" w:rsidTr="00D34E6C">
        <w:trPr>
          <w:trHeight w:val="238"/>
        </w:trPr>
        <w:tc>
          <w:tcPr>
            <w:tcW w:w="1525"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65CEB" w:rsidRPr="007F4CC8" w14:paraId="366273C6"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7A843606" w14:textId="19FCA7E8" w:rsidR="00965CEB" w:rsidRPr="007F4CC8" w:rsidRDefault="00965CEB" w:rsidP="004F3087">
            <w:pPr>
              <w:pStyle w:val="Applicationdirecte"/>
              <w:spacing w:before="0" w:after="0"/>
              <w:jc w:val="center"/>
            </w:pPr>
            <w:r>
              <w:t>a</w:t>
            </w:r>
          </w:p>
        </w:tc>
        <w:tc>
          <w:tcPr>
            <w:tcW w:w="7514"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ilmoitetaan palkkoja ja palkkioita valvovia elimiä koskevat tiedot. Ilmoitettujen tietojen on sisällettävä seuraavat:</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palkka- ja palkkiopolitiikkaa valvovan pääasiallisen elimen (ylin hallintoelin ja palkka- ja palkkiokomitea, jos sellainen on perustettu) nimi, kokoonpano ja toimeksianto sekä kyseisen pääasiallisen elimen tilikauden aikana pitämien kokousten lukumäärä;</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ulkopuoliset konsultit, joilta on pyydetty neuvontaa, konsulttitoimeksiannon tehnyt elin ja kyseeseen tulevat palkitsemisjärjestelmän osa-alueet;</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kuvaus laitoksen palkka- ja palkkiopolitiikan soveltamisalasta (esim. alueittain ja liiketoiminta-alueittain), mukaan lukien se, missä määrin sitä sovelletaan kolmansissa maissa sijaitseviin tytäryrityksiin ja sivuliikkeisiin;</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kuvaus henkilöstöstä tai henkilöstöryhmistä, joiden ammatillisella toiminnalla on merkittävä vaikutus laitoksen riskiprofiiliin (nimetyt henkilöt).</w:t>
            </w:r>
          </w:p>
        </w:tc>
      </w:tr>
      <w:tr w:rsidR="00965CEB" w:rsidRPr="007F4CC8" w14:paraId="2FEF2CFD"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514"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ilmoitetaan tiedot nimettyjen henkilöiden palkitsemisjärjestelmän ominaisuuksista ja rakenteesta. Ilmoitettujen tietojen on sisällettävä seuraavat:</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yleiskatsaus palkka- ja palkkiopolitiikan keskeisistä piirteistä ja tavoitteista sekä tiedot päätöksentekoprosessista, jota käytetään </w:t>
            </w:r>
            <w:r>
              <w:rPr>
                <w:rFonts w:ascii="Times New Roman" w:hAnsi="Times New Roman"/>
                <w:sz w:val="24"/>
              </w:rPr>
              <w:lastRenderedPageBreak/>
              <w:t>palkka- ja palkkiopolitiikan määrittämisessä, ja asianomaisten sidosryhmien roolista (esim. yhtiökokous);</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tiedot tulosten mittaamisessa sekä etukäteen ja jälkikäteen tehtävissä riskioikaisuissa käytetyistä kriteereistä;</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tiedot siitä, ovatko ylin hallintoelin ja palkka- ja palkkiokomitea (jos sellainen on perustettu) tarkistaneet laitoksen palkka- ja palkkiopolitiikkaa kuluneen vuoden aikana, ja jos sitä on tarkistettu, yhteenveto mahdollisesti tehdyistä muutoksista, niiden syistä ja niiden vaikutuksesta palkkoihin ja palkkioihin;</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tiedot siitä, miten laitos varmistaa, että sisäisissä valvontatehtävissä työskentelevälle henkilöstölle maksetaan palkka ja palkkiot siten, etteivät ne ole riippuvaisia heidän valvonnassaan olevista liiketoiminta-alueista;</w:t>
            </w:r>
          </w:p>
          <w:p w14:paraId="0551D89A" w14:textId="67D96EE2"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taatun muuttuvan palkkion ja erorahan myöntämisperiaatteet ja </w:t>
            </w:r>
            <w:r w:rsidR="007A2A88">
              <w:rPr>
                <w:rFonts w:ascii="Times New Roman" w:hAnsi="Times New Roman"/>
                <w:sz w:val="24"/>
              </w:rPr>
              <w:noBreakHyphen/>
            </w:r>
            <w:r>
              <w:rPr>
                <w:rFonts w:ascii="Times New Roman" w:hAnsi="Times New Roman"/>
                <w:sz w:val="24"/>
              </w:rPr>
              <w:t>kriteerit.</w:t>
            </w:r>
          </w:p>
        </w:tc>
      </w:tr>
      <w:tr w:rsidR="00965CEB" w:rsidRPr="007F4CC8" w14:paraId="6A1C9518"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514"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Tässä annetaan kuvaus siitä, miten nykyiset ja tulevat riskit otetaan huomioon palkitsemisprosesseissa.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Ilmoitettujen tietojen on sisällettävä yleiskatsaus keskeisistä riskeistä, niiden mittaamisesta ja siitä, miten nämä mittarit vaikuttavat palkkoihin ja palkkioihin.</w:t>
            </w:r>
          </w:p>
        </w:tc>
      </w:tr>
      <w:tr w:rsidR="00965CEB" w:rsidRPr="007F4CC8" w14:paraId="7E128A2E"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514"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ilmoitetaan direktiivin 2013/36/EU</w:t>
            </w:r>
            <w:r w:rsidRPr="007F4CC8">
              <w:rPr>
                <w:rStyle w:val="FootnoteReference"/>
                <w:rFonts w:ascii="Times New Roman" w:hAnsi="Times New Roman"/>
                <w:sz w:val="24"/>
              </w:rPr>
              <w:footnoteReference w:id="2"/>
            </w:r>
            <w:r>
              <w:rPr>
                <w:rFonts w:ascii="Times New Roman" w:hAnsi="Times New Roman"/>
                <w:sz w:val="24"/>
              </w:rPr>
              <w:t>, jäljempänä ’vakavaraisuusdirektiivi’, 94 artiklan 1 kohdan g alakohdan mukaisesti vahvistetut palkitsemisen kiinteiden ja muuttuvien osien suhteet.</w:t>
            </w:r>
          </w:p>
        </w:tc>
      </w:tr>
      <w:tr w:rsidR="00965CEB" w:rsidRPr="007F4CC8" w14:paraId="55F04AE7"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514"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annetaan kuvaus siitä, miten laitos pyrkii yhdistämään tuloksen mittausjakson aikana saavutetut tulokset palkka- ja palkkiotasoihin.</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Ilmoitettujen tietojen on sisällettävä seuraavat:</w:t>
            </w:r>
          </w:p>
          <w:p w14:paraId="13DAA836" w14:textId="5595019D"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yleiskatsaus laitoksen, liiketoiminta-alueiden ja yksityishenkilöiden tärkeimmistä tuloskriteereistä ja -mittareista</w:t>
            </w:r>
            <w:r w:rsidR="007A2A88">
              <w:rPr>
                <w:rFonts w:ascii="Times New Roman" w:hAnsi="Times New Roman"/>
                <w:sz w:val="24"/>
              </w:rPr>
              <w:t>;</w:t>
            </w:r>
          </w:p>
          <w:p w14:paraId="4673DEDB" w14:textId="506BC19F"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yleiskatsaus siitä, miten yksilöllisten muuttuvien palkkioiden määrät ovat sidoksissa laitoksen laajuiseen ja yksilökohtaiseen tulokseen</w:t>
            </w:r>
            <w:r w:rsidR="007A2A88">
              <w:rPr>
                <w:rFonts w:ascii="Times New Roman" w:hAnsi="Times New Roman"/>
                <w:sz w:val="24"/>
              </w:rPr>
              <w:t>;</w:t>
            </w:r>
          </w:p>
          <w:p w14:paraId="66395D16" w14:textId="50EFC594"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tiedot kriteereistä, joita käyttäen määritetään tasapaino erityyppisten myönnettyjen instrumenttien välillä, mukaan lukien osakkeet, vastaavat omistusosuudet, optiot ja muut instrumentit</w:t>
            </w:r>
            <w:r w:rsidR="007A2A88">
              <w:rPr>
                <w:rFonts w:ascii="Times New Roman" w:hAnsi="Times New Roman"/>
                <w:sz w:val="24"/>
              </w:rPr>
              <w:t>;</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tiedot toimenpiteistä, jotka laitos toteuttaa muuttuvien palkkioiden mukauttamiseksi siinä tapauksessa, että tulosmittareiden arvot ovat heikkoja, mukaan lukien laitoksen kriteerit tulosmittareiden arvojen määrittämiseksi silloin, kun niitä pidetään ”heikkoina”. Vakavaraisuusdirektiivin 94 artiklan 1 kohdan n alakohdan mukaan muuttuva palkkio maksetaan tai oikeus siihen syntyy ainoastaan, jos se on perusteltua laitoksen, liiketoimintayksikön ja kyseisen henkilön aikaansaaman tuloksen perusteella. Laitosten on selitettävä kriteerit/kynnysarvot, joiden perusteella määritetään, että tulos on heikko eikä riitä perusteeksi sille, että muuttuva palkkio maksetaan tai oikeus siihen syntyy.</w:t>
            </w:r>
          </w:p>
        </w:tc>
      </w:tr>
      <w:tr w:rsidR="00965CEB" w:rsidRPr="007F4CC8" w14:paraId="1F6FE8CC"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f</w:t>
            </w:r>
          </w:p>
        </w:tc>
        <w:tc>
          <w:tcPr>
            <w:tcW w:w="7514"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annetaan kuvaus siitä, miten laitos pyrkii mukauttamaan palkkoja ja palkkioita pitkän aikavälin tulosten huomioon ottamiseksi.</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Ilmoitettujen tietojen on sisällettävä seuraavat:</w:t>
            </w:r>
          </w:p>
          <w:p w14:paraId="4C34D32C" w14:textId="204582C0"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yleiskatsaus laitoksen toimintaperiaatteista, jotka koskevat muuttuviin palkkioihin liittyviä lykkäyksiä, instrumentteina suoritettavia maksuja ja pidättämisaikoja sekä muuttuvia palkkioita koskevien oikeuksien saavuttamista, mukaan lukien tapaukset, joissa tällaiset toimintaperiaatteet poikkeavat toisistaan henkilöstön jäsenten tai henkilöstöryhmien välillä</w:t>
            </w:r>
            <w:r w:rsidR="00084733">
              <w:rPr>
                <w:rFonts w:ascii="Times New Roman" w:hAnsi="Times New Roman"/>
                <w:sz w:val="24"/>
              </w:rPr>
              <w:t>;</w:t>
            </w:r>
          </w:p>
          <w:p w14:paraId="21961ED2" w14:textId="25B5C789"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tiedot laitoksen kriteereistä, jotka koskevat jälkikäteen tehtäviä mukautuksia (palkkion riskiperusteinen alennus lykkäyksen aikana ja takaisinperintä sen jälkeen kun oikeus palkkioon on syntynyt, jos kansallinen lainsäädäntö sallii)</w:t>
            </w:r>
            <w:r w:rsidR="00084733">
              <w:rPr>
                <w:rFonts w:ascii="Times New Roman" w:hAnsi="Times New Roman"/>
                <w:sz w:val="24"/>
              </w:rPr>
              <w:t>;</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tapauksen mukaan osakeomistusta koskevat vaatimukset, joita voidaan asettaa nimetyille henkilöille.</w:t>
            </w:r>
          </w:p>
        </w:tc>
      </w:tr>
      <w:tr w:rsidR="00965CEB" w:rsidRPr="007F4CC8" w14:paraId="67C1F135"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g</w:t>
            </w:r>
          </w:p>
        </w:tc>
        <w:tc>
          <w:tcPr>
            <w:tcW w:w="7514" w:type="dxa"/>
            <w:tcBorders>
              <w:top w:val="single" w:sz="4" w:space="0" w:color="auto"/>
              <w:left w:val="single" w:sz="4" w:space="0" w:color="auto"/>
              <w:bottom w:val="single" w:sz="4" w:space="0" w:color="auto"/>
              <w:right w:val="single" w:sz="4" w:space="0" w:color="auto"/>
            </w:tcBorders>
            <w:vAlign w:val="center"/>
          </w:tcPr>
          <w:p w14:paraId="4DFEC57B" w14:textId="2DA02FC9"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annetaan kuvaus vakavaraisuusasetuksen 450 artiklan 1 kohdan f</w:t>
            </w:r>
            <w:r w:rsidR="00084733">
              <w:rPr>
                <w:rFonts w:ascii="Times New Roman" w:hAnsi="Times New Roman"/>
                <w:sz w:val="24"/>
              </w:rPr>
              <w:t> </w:t>
            </w:r>
            <w:r>
              <w:rPr>
                <w:rFonts w:ascii="Times New Roman" w:hAnsi="Times New Roman"/>
                <w:sz w:val="24"/>
              </w:rPr>
              <w:t>alakohdassa tarkoitetuista mahdolliseen muuttuvien palkkio-osien järjestelmään ja mahdollisiin muihin muuna kuin käteisenä myönnettäviin etuihin sovellettavista keskeisistä parametreista ja perusteista. Ilmoitettujen tietojen on sisällettävä seuraavat:</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tiedot erityisistä riski-/tulosindikaattoreista, joita käytetään palkitsemisen muuttuvien osien määrittämisessä, sekä kriteereistä, joiden perusteella määritetään tasapaino erityyppisten myönnettyjen instrumenttien välillä, mukaan lukien osakkeet, vastaavat omistusosuudet, osakesidonnaiset instrumentit, vastaavat muut kuin käteisinstrumentit, optiot ja muut instrumentit.</w:t>
            </w:r>
          </w:p>
        </w:tc>
      </w:tr>
      <w:tr w:rsidR="00965CEB" w:rsidRPr="007F4CC8" w14:paraId="1226A1BD"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514"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ilmoitetaan vakavaraisuusasetuksen 450 artiklan 1 kohdan j alakohdassa tarkoitettu kunkin ylimmän hallintoelimen tai toimivan johdon jäsenen palkan ja palkkioiden kokonaismäärä asianomaisen jäsenvaltion tai toimivaltaisen viranomaisen pyynnöstä.</w:t>
            </w:r>
          </w:p>
        </w:tc>
      </w:tr>
      <w:tr w:rsidR="00965CEB" w:rsidRPr="007F4CC8" w14:paraId="55274E16"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514" w:type="dxa"/>
            <w:tcBorders>
              <w:top w:val="single" w:sz="4" w:space="0" w:color="auto"/>
              <w:left w:val="single" w:sz="4" w:space="0" w:color="auto"/>
              <w:bottom w:val="single" w:sz="4" w:space="0" w:color="auto"/>
              <w:right w:val="single" w:sz="4" w:space="0" w:color="auto"/>
            </w:tcBorders>
            <w:vAlign w:val="center"/>
          </w:tcPr>
          <w:p w14:paraId="76700BF7" w14:textId="7D4BF40B" w:rsidR="00965CEB" w:rsidRPr="007F4CC8" w:rsidRDefault="00965CEB" w:rsidP="004F3087">
            <w:pPr>
              <w:spacing w:before="60" w:after="120"/>
              <w:jc w:val="both"/>
              <w:rPr>
                <w:rFonts w:ascii="Times New Roman" w:hAnsi="Times New Roman"/>
                <w:sz w:val="24"/>
              </w:rPr>
            </w:pPr>
            <w:r>
              <w:rPr>
                <w:rFonts w:ascii="Times New Roman" w:hAnsi="Times New Roman"/>
                <w:sz w:val="24"/>
              </w:rPr>
              <w:t>Tässä ilmoitetaan vakavaraisuusasetuksen 450 artiklan 1 kohdan k</w:t>
            </w:r>
            <w:r w:rsidR="00084733">
              <w:rPr>
                <w:rFonts w:ascii="Times New Roman" w:hAnsi="Times New Roman"/>
                <w:sz w:val="24"/>
              </w:rPr>
              <w:t> </w:t>
            </w:r>
            <w:r>
              <w:rPr>
                <w:rFonts w:ascii="Times New Roman" w:hAnsi="Times New Roman"/>
                <w:sz w:val="24"/>
              </w:rPr>
              <w:t>alakohdassa tarkoitettu tieto siitä, onko laitokseen sovellettu vakavaraisuusdirektiivin 94 artiklan 3 kohdassa säädettyä poikkeusta.</w:t>
            </w:r>
          </w:p>
          <w:p w14:paraId="43880B53" w14:textId="08E9B96A" w:rsidR="00965CEB" w:rsidRPr="007F4CC8" w:rsidRDefault="00965CEB" w:rsidP="004F3087">
            <w:pPr>
              <w:spacing w:before="60" w:after="120"/>
              <w:jc w:val="both"/>
              <w:rPr>
                <w:rFonts w:ascii="Times New Roman" w:hAnsi="Times New Roman"/>
                <w:sz w:val="24"/>
              </w:rPr>
            </w:pPr>
            <w:r>
              <w:rPr>
                <w:rFonts w:ascii="Times New Roman" w:hAnsi="Times New Roman"/>
                <w:sz w:val="24"/>
              </w:rPr>
              <w:t>Sovellettaessa kyseistä alakohtaa laitosten, joihin on sovellettu tällaista poikkeusta, on ilmoitettava, onko tämä tehty vakavaraisuusdirektiivin 94</w:t>
            </w:r>
            <w:r w:rsidR="00084733">
              <w:rPr>
                <w:rFonts w:ascii="Times New Roman" w:hAnsi="Times New Roman"/>
                <w:sz w:val="24"/>
              </w:rPr>
              <w:t> </w:t>
            </w:r>
            <w:r>
              <w:rPr>
                <w:rFonts w:ascii="Times New Roman" w:hAnsi="Times New Roman"/>
                <w:sz w:val="24"/>
              </w:rPr>
              <w:t>artiklan 3 kohdan a ja/tai b alakohdan perusteella. Laitosten on myös ilmoitettava, mihin palkitsemisvaatimuksiin ne soveltavat poikkeusta tai poikkeuksia (vakavaraisuusdirektiivin 94 artiklan 1 kohdan l ja/tai m ja/tai o</w:t>
            </w:r>
            <w:r w:rsidR="00084733">
              <w:rPr>
                <w:rFonts w:ascii="Times New Roman" w:hAnsi="Times New Roman"/>
                <w:sz w:val="24"/>
              </w:rPr>
              <w:t> </w:t>
            </w:r>
            <w:r>
              <w:rPr>
                <w:rFonts w:ascii="Times New Roman" w:hAnsi="Times New Roman"/>
                <w:sz w:val="24"/>
              </w:rPr>
              <w:t>alakohta), niiden henkilöstön jäsenten lukumäärä, joihin poikkeusta tai poikkeuksia sovelletaan, ja tällaisten henkilöstön jäsenten palkkioiden kokonaismäärä jaettuna kiinteisiin ja muuttuviin osiin.</w:t>
            </w:r>
          </w:p>
        </w:tc>
      </w:tr>
      <w:tr w:rsidR="00965CEB" w:rsidRPr="007F4CC8" w14:paraId="2297665A"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j</w:t>
            </w:r>
          </w:p>
        </w:tc>
        <w:tc>
          <w:tcPr>
            <w:tcW w:w="7514" w:type="dxa"/>
            <w:tcBorders>
              <w:top w:val="single" w:sz="4" w:space="0" w:color="auto"/>
              <w:left w:val="single" w:sz="4" w:space="0" w:color="auto"/>
              <w:bottom w:val="single" w:sz="4" w:space="0" w:color="auto"/>
              <w:right w:val="single" w:sz="4" w:space="0" w:color="auto"/>
            </w:tcBorders>
            <w:vAlign w:val="center"/>
          </w:tcPr>
          <w:p w14:paraId="68C682DE" w14:textId="44827179" w:rsidR="00965CEB" w:rsidRPr="007F4CC8" w:rsidRDefault="00965CEB" w:rsidP="004F3087">
            <w:pPr>
              <w:spacing w:before="60" w:after="120"/>
              <w:jc w:val="both"/>
              <w:rPr>
                <w:rFonts w:ascii="Times New Roman" w:hAnsi="Times New Roman"/>
                <w:sz w:val="24"/>
              </w:rPr>
            </w:pPr>
            <w:r>
              <w:rPr>
                <w:rFonts w:ascii="Times New Roman" w:hAnsi="Times New Roman"/>
                <w:sz w:val="24"/>
              </w:rPr>
              <w:t>Suurten laitosten on julkistettava vakavaraisuusasetuksen 450 artiklan 2</w:t>
            </w:r>
            <w:r w:rsidR="00084733">
              <w:rPr>
                <w:rFonts w:ascii="Times New Roman" w:hAnsi="Times New Roman"/>
                <w:sz w:val="24"/>
              </w:rPr>
              <w:t> </w:t>
            </w:r>
            <w:r>
              <w:rPr>
                <w:rFonts w:ascii="Times New Roman" w:hAnsi="Times New Roman"/>
                <w:sz w:val="24"/>
              </w:rPr>
              <w:t>kohdassa tarkoitetut määrälliset tiedot laitoksen koko ylimmän hallintoelimen palkkioista eroteltuina liikkeenjohtoon osallistuvien ja muiden jäsenten palkkioihin.</w:t>
            </w:r>
          </w:p>
        </w:tc>
      </w:tr>
    </w:tbl>
    <w:p w14:paraId="253E4D29" w14:textId="77777777" w:rsidR="00965CEB" w:rsidRPr="007A2A88" w:rsidRDefault="00965CEB" w:rsidP="00965CEB">
      <w:pPr>
        <w:pStyle w:val="Titlelevel2"/>
        <w:spacing w:before="120" w:after="120"/>
        <w:rPr>
          <w:rFonts w:ascii="Times New Roman" w:hAnsi="Times New Roman" w:cs="Times New Roman"/>
          <w:b/>
          <w:color w:val="auto"/>
          <w:sz w:val="24"/>
        </w:rPr>
      </w:pPr>
    </w:p>
    <w:p w14:paraId="6222D5CA" w14:textId="77777777" w:rsidR="00965CEB" w:rsidRPr="007A2A88" w:rsidRDefault="00965CEB" w:rsidP="00965CEB">
      <w:pPr>
        <w:pStyle w:val="Titlelevel2"/>
        <w:spacing w:before="120" w:after="120"/>
        <w:rPr>
          <w:rFonts w:ascii="Times New Roman" w:hAnsi="Times New Roman" w:cs="Times New Roman"/>
          <w:b/>
          <w:color w:val="auto"/>
          <w:sz w:val="24"/>
        </w:rPr>
      </w:pPr>
    </w:p>
    <w:p w14:paraId="6D70938D" w14:textId="77777777" w:rsidR="00965CEB" w:rsidRPr="007A2A88"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7A2A88"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REM1 – Tilikauden osalta myönnetyt palkat ja palkkiot: </w:t>
      </w:r>
      <w:r>
        <w:rPr>
          <w:rFonts w:ascii="Times New Roman" w:hAnsi="Times New Roman"/>
          <w:color w:val="auto"/>
          <w:sz w:val="24"/>
        </w:rPr>
        <w:t>Vakiomuotoinen lomake.</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Laitosten on sovellettava tässä liitteessä jäljempänä annettuja ohjeita täyttääkseen tämän täytäntöönpanoasetuksen liitteessä XXXIII olevan lomakkeen EU REM1 vakavaraisuusasetuksen 450 artiklan 1 kohdan h alakohdan i–ii alakohdan mukaisesti.</w:t>
      </w:r>
    </w:p>
    <w:p w14:paraId="667CF96F" w14:textId="77777777" w:rsidR="00965CEB" w:rsidRPr="007A2A88"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Lainsäädäntöviitteet ja ohjeet</w:t>
            </w:r>
          </w:p>
        </w:tc>
      </w:tr>
      <w:tr w:rsidR="00965CEB" w:rsidRPr="007F4CC8" w14:paraId="6BE5DB3C" w14:textId="77777777" w:rsidTr="00D34E6C">
        <w:trPr>
          <w:trHeight w:val="238"/>
        </w:trPr>
        <w:tc>
          <w:tcPr>
            <w:tcW w:w="1525"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65CEB" w:rsidRPr="007F4CC8" w14:paraId="796E3667"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ja 9</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Nimettyjen henkilöiden lukumäärä</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Vakavaraisuusdirektiivin 92 artiklassa ja vakavaraisuusdirektiivin 94 artiklan 2 kohdan täytäntöönpanemiseksi annetussa nimettyä henkilöstöä koskevassa komission delegoidussa asetuksessa</w:t>
            </w:r>
            <w:r w:rsidRPr="007F4CC8">
              <w:rPr>
                <w:rStyle w:val="FootnoteReference"/>
                <w:rFonts w:ascii="Times New Roman" w:hAnsi="Times New Roman" w:cs="Times New Roman"/>
                <w:sz w:val="24"/>
              </w:rPr>
              <w:footnoteReference w:id="3"/>
            </w:r>
            <w:r>
              <w:rPr>
                <w:rFonts w:ascii="Times New Roman" w:hAnsi="Times New Roman"/>
                <w:sz w:val="24"/>
              </w:rPr>
              <w:t xml:space="preserve"> tarkoitettujen sellaisten henkilöstön jäsenten lukumäärä, joiden ammatillisella toiminnalla on merkittävä vaikutus laitoksen riskiprofiiliin ja jotka ovat tässä lomakkeessa lueteltujen palkitsemisen osatekijöiden edunsaajia. Määrä lasketaan kokoaikaiseksi muutettuna muiden nimettyjen henkilöiden kuin ylimmän hallintoelimen jäsenten osalta; ylimmän hallintoelimen osalta ilmoitetaan jäsenten lukumäärä henkilöstömääränä.</w:t>
            </w:r>
          </w:p>
        </w:tc>
      </w:tr>
      <w:tr w:rsidR="00965CEB" w:rsidRPr="007F4CC8" w14:paraId="6023846F"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Kiinteät palkkiot yhteensä</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Tämän lomakkeen riveillä 3–7 ilmoitettujen määrien summa</w:t>
            </w:r>
          </w:p>
        </w:tc>
      </w:tr>
      <w:tr w:rsidR="00965CEB" w:rsidRPr="007F4CC8" w14:paraId="58079187"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käteisperusteinen</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Kiinteiden palkkioiden käteisenä maksettava osa</w:t>
            </w:r>
          </w:p>
        </w:tc>
      </w:tr>
      <w:tr w:rsidR="00965CEB" w:rsidRPr="007F4CC8" w14:paraId="7596F3C7"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osakkeet tai vastaavat omistusosuudet</w:t>
            </w:r>
          </w:p>
          <w:p w14:paraId="14E3789E" w14:textId="7458795C"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Kiinteisiin palkkioihin sisältyvien vakavaraisuusdirektiivin 94 artiklan 1</w:t>
            </w:r>
            <w:r w:rsidR="00084733">
              <w:rPr>
                <w:rFonts w:ascii="Times New Roman" w:hAnsi="Times New Roman"/>
                <w:sz w:val="24"/>
              </w:rPr>
              <w:t> </w:t>
            </w:r>
            <w:r>
              <w:rPr>
                <w:rFonts w:ascii="Times New Roman" w:hAnsi="Times New Roman"/>
                <w:sz w:val="24"/>
              </w:rPr>
              <w:t>kohdan l alakohdan i alakohdassa tarkoitettujen laitoksen oikeudellisen rakenteen mukaan määräytyvien osakkeiden tai vastaavien omistusosuuksien määrien summa.</w:t>
            </w:r>
          </w:p>
        </w:tc>
      </w:tr>
      <w:tr w:rsidR="00965CEB" w:rsidRPr="007F4CC8" w14:paraId="048B3C44"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Josta: osakesidonnaiset instrumentit tai vastaavat muut kuin käteisinstrumentit </w:t>
            </w:r>
          </w:p>
          <w:p w14:paraId="54EF89ED" w14:textId="5B4BE24B"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Kiinteisiin palkkioihin sisältyvien vakavaraisuusdirektiivin 94 artiklan 1</w:t>
            </w:r>
            <w:r w:rsidR="00084733">
              <w:rPr>
                <w:rFonts w:ascii="Times New Roman" w:hAnsi="Times New Roman"/>
                <w:sz w:val="24"/>
              </w:rPr>
              <w:t> </w:t>
            </w:r>
            <w:r>
              <w:rPr>
                <w:rFonts w:ascii="Times New Roman" w:hAnsi="Times New Roman"/>
                <w:sz w:val="24"/>
              </w:rPr>
              <w:t>kohdan l alakohdan i alakohdassa tarkoitettujen osakesidonnaisten instrumenttien tai vastaavien muiden kuin käteisinstrumenttien määrien summa.</w:t>
            </w:r>
          </w:p>
        </w:tc>
      </w:tr>
      <w:tr w:rsidR="00965CEB" w:rsidRPr="007F4CC8" w14:paraId="67599F4D"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muut instrumentit</w:t>
            </w:r>
          </w:p>
          <w:p w14:paraId="06C24EE7" w14:textId="5A38842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Kiinteisiin palkkioihin sisältyvien vakavaraisuusdirektiivin 94 artiklan 1</w:t>
            </w:r>
            <w:r w:rsidR="00084733">
              <w:rPr>
                <w:rFonts w:ascii="Times New Roman" w:hAnsi="Times New Roman"/>
                <w:sz w:val="24"/>
              </w:rPr>
              <w:t> </w:t>
            </w:r>
            <w:r>
              <w:rPr>
                <w:rFonts w:ascii="Times New Roman" w:hAnsi="Times New Roman"/>
                <w:sz w:val="24"/>
              </w:rPr>
              <w:t>kohdan l alakohdan ii alakohdassa tarkoitettujen muiden instrumenttien määrä.</w:t>
            </w:r>
          </w:p>
        </w:tc>
      </w:tr>
      <w:tr w:rsidR="00965CEB" w:rsidRPr="007F4CC8" w14:paraId="31124981"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muut osat</w:t>
            </w:r>
          </w:p>
          <w:p w14:paraId="35C192C0" w14:textId="431A0EFB"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tilikauden osalta myönnettyjen kiinteiden palkkioiden määrät, jotka ovat muita määriä kuin otsakkeen ”Kiinteät palkkiot yhteensä” alla olevilla muilla riveillä ilmoitettuja määriä</w:t>
            </w:r>
            <w:r w:rsidR="00587B7A">
              <w:rPr>
                <w:rFonts w:ascii="Times New Roman" w:hAnsi="Times New Roman"/>
                <w:sz w:val="24"/>
              </w:rPr>
              <w:t>.</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Tällaisia voisivat olla vakavaraisuusdirektiivin johdanto-osan 64 kappaleessa tarkoitetut suhteutetut säännölliset eläkemaksut tai edut (silloin kun edut eivät perustu tuloskriteereihin) taikka muunlaiset palkitsemismuodot, kuten autoetu.</w:t>
            </w:r>
          </w:p>
        </w:tc>
      </w:tr>
      <w:tr w:rsidR="00965CEB" w:rsidRPr="007F4CC8" w14:paraId="32ABF286"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Muuttuvat palkkiot yhteensä</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Tämän lomakkeen riveillä 11, EU-13a, EU-13b, EU-14x ja 15 olevien määrien summa</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Kaikkien sellaisten palkkion osien summa, jotka eivät ole tämän lomakkeen rivillä 2 ilmoitettuja kiinteitä palkkioita, mukaan lukien asianomaisena vuonna myönnetyt taatut muuttuvat palkkiot ja erorahat.</w:t>
            </w:r>
          </w:p>
        </w:tc>
      </w:tr>
      <w:tr w:rsidR="00965CEB" w:rsidRPr="007F4CC8" w14:paraId="76911A24"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käteisperusteinen</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Muuttuvien palkkioiden käteisenä maksettava osa</w:t>
            </w:r>
          </w:p>
        </w:tc>
      </w:tr>
      <w:tr w:rsidR="00965CEB" w:rsidRPr="007F4CC8" w14:paraId="721EE2BE"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7A2A88" w:rsidRDefault="00965CEB" w:rsidP="004F3087">
            <w:pPr>
              <w:autoSpaceDE w:val="0"/>
              <w:autoSpaceDN w:val="0"/>
              <w:adjustRightInd w:val="0"/>
              <w:jc w:val="center"/>
              <w:rPr>
                <w:rFonts w:ascii="Times New Roman" w:hAnsi="Times New Roman" w:cs="Times New Roman"/>
                <w:sz w:val="24"/>
                <w:lang w:val="sv-SE"/>
              </w:rPr>
            </w:pPr>
            <w:r w:rsidRPr="007A2A88">
              <w:rPr>
                <w:rFonts w:ascii="Times New Roman" w:hAnsi="Times New Roman"/>
                <w:sz w:val="24"/>
                <w:lang w:val="sv-SE"/>
              </w:rPr>
              <w:t>12, EU-14a, EU-14b, EU-14y ja 16</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lykätty</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Vakavaraisuusdirektiivin 94 artiklan mukaisesti määritetyt muuttuvien palkkioiden lykätyt määrät erityyppisten osien mukaan jaoteltuina.</w:t>
            </w:r>
          </w:p>
        </w:tc>
      </w:tr>
      <w:tr w:rsidR="00965CEB" w:rsidRPr="007F4CC8" w14:paraId="2F521362"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osakkeet tai vastaavat omistusosuudet</w:t>
            </w:r>
          </w:p>
          <w:p w14:paraId="4498A72C" w14:textId="4237367C"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Muuttuviin palkkioihin sisältyvien vakavaraisuusdirektiivin 94 artiklan 1</w:t>
            </w:r>
            <w:r w:rsidR="00084733">
              <w:rPr>
                <w:rFonts w:ascii="Times New Roman" w:hAnsi="Times New Roman"/>
                <w:sz w:val="24"/>
              </w:rPr>
              <w:t> </w:t>
            </w:r>
            <w:r>
              <w:rPr>
                <w:rFonts w:ascii="Times New Roman" w:hAnsi="Times New Roman"/>
                <w:sz w:val="24"/>
              </w:rPr>
              <w:t>kohdan l alakohdan i alakohdassa tarkoitettujen laitoksen oikeudellisen rakenteen mukaan määräytyvien osakkeiden tai vastaavien omistusosuuksien määrien summa.</w:t>
            </w:r>
          </w:p>
        </w:tc>
      </w:tr>
      <w:tr w:rsidR="00965CEB" w:rsidRPr="007F4CC8" w14:paraId="54AF9B69"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Josta: osakesidonnaiset instrumentit tai vastaavat muut kuin käteisinstrumentit </w:t>
            </w:r>
          </w:p>
          <w:p w14:paraId="6FA62A3F" w14:textId="2C4199D3"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Muuttuviin palkkioihin sisältyvien vakavaraisuusdirektiivin 94 artiklan 1</w:t>
            </w:r>
            <w:r w:rsidR="00084733">
              <w:rPr>
                <w:rFonts w:ascii="Times New Roman" w:hAnsi="Times New Roman"/>
                <w:sz w:val="24"/>
              </w:rPr>
              <w:t> </w:t>
            </w:r>
            <w:r>
              <w:rPr>
                <w:rFonts w:ascii="Times New Roman" w:hAnsi="Times New Roman"/>
                <w:sz w:val="24"/>
              </w:rPr>
              <w:t>kohdan l alakohdan i alakohdassa tarkoitettujen osakesidonnaisten instrumenttien tai vastaavien muiden kuin käteisinstrumenttien määrien summa.</w:t>
            </w:r>
          </w:p>
        </w:tc>
      </w:tr>
      <w:tr w:rsidR="00965CEB" w:rsidRPr="007F4CC8" w14:paraId="5FFBFCE4"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muut instrumentit</w:t>
            </w:r>
          </w:p>
          <w:p w14:paraId="4D8E1D04" w14:textId="675CBA2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Muuttuviin palkkioihin sisältyvien vakavaraisuusdirektiivin 94 artiklan 1</w:t>
            </w:r>
            <w:r w:rsidR="00084733">
              <w:rPr>
                <w:rFonts w:ascii="Times New Roman" w:hAnsi="Times New Roman"/>
                <w:sz w:val="24"/>
              </w:rPr>
              <w:t> </w:t>
            </w:r>
            <w:r>
              <w:rPr>
                <w:rFonts w:ascii="Times New Roman" w:hAnsi="Times New Roman"/>
                <w:sz w:val="24"/>
              </w:rPr>
              <w:t>kohdan l alakohdan ii alakohdassa tarkoitettujen muiden instrumenttien määrä</w:t>
            </w:r>
          </w:p>
        </w:tc>
      </w:tr>
      <w:tr w:rsidR="00965CEB" w:rsidRPr="007F4CC8" w14:paraId="4B762FE1"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Josta: muut osat</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tilikauden osalta myönnettyjen muuttuvien palkkioiden määrät, jotka ovat muita määriä kuin otsakkeen ”Muuttuvat palkkiot yhteensä” alla olevilla muilla riveillä ilmoitettuja määriä.</w:t>
            </w:r>
          </w:p>
        </w:tc>
      </w:tr>
      <w:tr w:rsidR="00965CEB" w:rsidRPr="007F4CC8" w14:paraId="765DE5F9"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Palkitsemisen kokonaismäärä</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Tämän lomakkeen riveillä 2–10 ilmoitettujen määrien summa</w:t>
            </w:r>
          </w:p>
        </w:tc>
      </w:tr>
      <w:tr w:rsidR="00965CEB" w:rsidRPr="007F4CC8" w14:paraId="7636FF7D" w14:textId="77777777" w:rsidTr="00D34E6C">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Sarakkeen kirjain</w:t>
            </w:r>
          </w:p>
        </w:tc>
        <w:tc>
          <w:tcPr>
            <w:tcW w:w="75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Selitys</w:t>
            </w:r>
          </w:p>
        </w:tc>
      </w:tr>
      <w:tr w:rsidR="00965CEB" w:rsidRPr="007F4CC8" w14:paraId="032AF07C"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Valvontatehtäväänsä hoitava ylin hallintoelin</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Vakavaraisuusdirektiivin 3 artiklan 1 kohdan 8 alakohdassa määritelty valvontatehtäväänsä hoitava ylin hallintoelin, joka hoitaa tehtäväänsä valvoa ja seurata johdon päätöksentekoa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Laitosten on ilmoitettava tiedot henkilöstömäärien perusteella.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Vakavaraisuusasetuksen 13 artiklassa säädetään, että EU:ssa emoyrityksenä toimivien laitosten on julkistettava nämä tiedot konsolidoidun asemansa perusteella ja EU:ssa emoyrityksenä toimivien laitosten suurten tytäryritysten on julkistettava nämä tiedot yksittäisinä yrityksinä tai tarvittaessa vakavaraisuusasetuksen ja vakavaraisuusdirektiivin mukaisesti alakonsolidointiryhmän tasolla. Tiedot julkistavan yhteisön on sisällytettävä tähän sarakkeeseen tiedot ylimmästä hallintoelimestään. Jos tiedot julkistetaan vakavaraisuusasetuksen 6 ja 13 artiklan mukaisesti konsolidoidulla tai alakonsolidointiryhmän tasolla, tiedot tytäryritysten ylimpien hallintoelinten nimetyistä henkilöistä on julkistettava asianomaisella liiketoiminta-alueella.</w:t>
            </w:r>
          </w:p>
        </w:tc>
      </w:tr>
      <w:tr w:rsidR="00965CEB" w:rsidRPr="007F4CC8" w14:paraId="01418590"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Johtotehtäväänsä hoitava ylin hallintoelin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Ylimmän hallintoelimen johtotehtävistä vastaavat ylimmän hallintoelimen jäsenet</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Laitosten on ilmoitettava tiedot henkilöstömäärien perusteella.</w:t>
            </w:r>
          </w:p>
          <w:p w14:paraId="5BD47962" w14:textId="6B5E5264"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Laitosten on ilmoitettava tiedot henkilöstömäärien perusteella. Vakavaraisuusasetuksen 13 artiklan mukaisesti EU:ssa emoyrityksenä toimivien laitosten on julkistettava nämä tiedot konsolidoidun asemansa perusteella ja EU:ssa emoyrityksenä toimivien laitosten suurten tytäryritysten on julkistettava nämä tiedot yksittäisinä yrityksinä tai tarvittaessa vakavaraisuusasetuksen ja vakavaraisuusdirektiivin mukaisesti alakonsolidointiryhmän tasolla.</w:t>
            </w:r>
            <w:r w:rsidR="00084733">
              <w:rPr>
                <w:rFonts w:ascii="Times New Roman" w:hAnsi="Times New Roman"/>
                <w:sz w:val="24"/>
              </w:rPr>
              <w:t xml:space="preserve"> </w:t>
            </w:r>
            <w:r>
              <w:rPr>
                <w:rFonts w:ascii="Times New Roman" w:hAnsi="Times New Roman"/>
                <w:sz w:val="24"/>
              </w:rPr>
              <w:t>Tiedot julkistavan yhteisön on sisällytettävä tähän sarakkeeseen tiedot ylimmästä hallintoelimestään. Jos tiedot julkistetaan vakavaraisuusasetuksen 6 ja 13 artiklan mukaisesti konsolidoidulla tai alakonsolidointiryhmän tasolla, tiedot tytäryritysten ylimpien hallintoelinten nimetyistä henkilöistä on julkistettava asianomaisella liiketoiminta-alueella.</w:t>
            </w:r>
          </w:p>
        </w:tc>
      </w:tr>
      <w:tr w:rsidR="00965CEB" w:rsidRPr="007F4CC8" w14:paraId="07AF1D01"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Muu toimiva johto</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Vakavaraisuusdirektiivin 3 artiklan 1 kohdan 9 alakohdassa määritelty toimiva johto</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Laitosten on ilmoitettava tässä niiden toimivan johdon jäsenten lukumäärä, joita ei ole ilmoitettu otsakkeessa ”Johtotehtäväänsä hoitava ylin hallintoelin” tai otsakkeessa ”Muut nimetyt henkilöt”. Laitosten on ilmoitettava tiedot kokoaikavastaavina.</w:t>
            </w:r>
          </w:p>
        </w:tc>
      </w:tr>
      <w:tr w:rsidR="00965CEB" w:rsidRPr="007F4CC8" w14:paraId="4E09CB27" w14:textId="77777777" w:rsidTr="00D34E6C">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Muut nimetyt henkilöt</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Sellainen muu henkilöstö, joka ei kuulu valvontatehtäväänsä tai johtotehtäväänsä hoitavaan ylimpään hallintoelimeen tai toimivaan johtoon mutta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Laitokset voivat sisällyttää tähän lomakkeeseen lomakkeessa EU REM5 ehdotetun liiketoiminta-alueittaisen jaottelun. Laitosten on ilmoitettava tiedot kokoaikavastaavina.</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Lomake EU REM2 – Erityiskorvaukset henkilöstön jäsenille, joiden ammatillisella toiminnalla on merkittävä vaikutus laitoksen riskiprofiiliin (nimetyt henkilöt): </w:t>
      </w:r>
      <w:r>
        <w:rPr>
          <w:rFonts w:ascii="Times New Roman" w:hAnsi="Times New Roman"/>
          <w:color w:val="auto"/>
          <w:sz w:val="24"/>
        </w:rPr>
        <w:t>Vakiomuotoinen lomake.</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Laitosten on julkistettava vakavaraisuusasetuksen 450 artiklan 1 kohdan h alakohdan v-vii alakohdassa tarkoitetut tiedot noudattamalla jäljempänä tässä liitteessä annettuja ohjeita täyttääkseen tämän täytäntöönpanoasetuksen liitteessä XXXIII olevan lomakkeen EU REM2.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
        <w:gridCol w:w="7514"/>
      </w:tblGrid>
      <w:tr w:rsidR="00965CEB" w:rsidRPr="007F4CC8" w14:paraId="011801DC" w14:textId="77777777" w:rsidTr="004F3087">
        <w:trPr>
          <w:trHeight w:val="90"/>
        </w:trPr>
        <w:tc>
          <w:tcPr>
            <w:tcW w:w="90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Lainsäädäntöviitteet ja ohjeet</w:t>
            </w:r>
          </w:p>
        </w:tc>
      </w:tr>
      <w:tr w:rsidR="00965CEB" w:rsidRPr="007F4CC8" w14:paraId="270A64D0" w14:textId="77777777" w:rsidTr="00587B7A">
        <w:trPr>
          <w:trHeight w:val="238"/>
        </w:trPr>
        <w:tc>
          <w:tcPr>
            <w:tcW w:w="1525" w:type="dxa"/>
            <w:gridSpan w:val="2"/>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ja 6</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Nimettyjen henkilöiden lukumäärä</w:t>
            </w:r>
          </w:p>
          <w:p w14:paraId="50587A1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Vakavaraisuusdirektiivin 92 artiklassa ja vakavaraisuusdirektiivin 94 artiklan 2 kohdan täytäntöönpanemiseksi annetussa nimettyä henkilöstöä koskevassa komission delegoidussa asetuksessa tarkoitettujen sellaisten nimettyjen henkilöiden lukumäärä, joiden ammatillisella toiminnalla on merkittävä vaikutus laitoksen riskiprofiiliin, kunkin palkitsemisen osatekijän osalta.</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Tämän lomakkeen sarakkeiden a ja b (ylin hallintoelin) osalta arvon on perustuttava henkilöstömäärään. Tämän lomakkeen sarakkeissa c ja d arvo lasketaan kokoaikavastaavana (FTE).</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Tämän lomakkeen rivi 4 viittaa aiempina kausina myönnettyihin ja tilikauden (kuluva vuosi) aikana maksettuihin erorahoihin, ja rivi 6 viittaa tilikauden (kuluva vuosi) aikana myönnettyihin erorahoihin.</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Taatut muuttuvat palkkiot – Kokonaismäärä</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Vakavaraisuusdirektiivin 94 artiklan 1 kohdan e alakohdassa tarkoitettujen taattujen muuttuvien palkkioiden määrä.</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Josta: tilikauden aikana maksetut taatut muuttuvat palkkiot, joita ei oteta huomioon palkkiokatossa</w:t>
            </w:r>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Vakavaraisuusdirektiivin 94 artiklan 1 kohdan e alakohdassa tarkoitettujen taattujen muuttuvien palkkioiden määrät, jotka on maksettu tilikauden (kuluva vuosi) aikana ja joita ei oteta huomioon palkkiokatossa</w:t>
            </w:r>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Vakavaraisuusasetuksen 450 artiklan 1 kohdan g alakohdassa ja h alakohdan v–vi alakohdassa tarkoitettujen julkistettavien tietojen osalta laitosten on ilmoitettava selvästi, vastaavatko liiketoiminta-alueittain jaotellut palkitsemista koskevat aggregoidut määrälliset tiedot palkkiokattoa, kun kyseessä ovat uusien palkkionsaajien aloitusrahat sekä erorahat.</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5</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Edellisten kausien erorahat, jotka on maksettu kuluvalla tilikaudella – Kokonaismäärä</w:t>
            </w:r>
          </w:p>
          <w:p w14:paraId="6BDFFBCB"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Sellaisten vakavaraisuusdirektiivin 94 artiklan 1 kohdan h alakohdassa tarkoitettujen erorahojen määrä, jotka on myönnetty aiempina kausina ja maksettu tilikauden (kuluva vuosi) aikana</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Tilikauden aikana myönnetyt erorahat – Kokonaismäärä</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Sellaisten vakavaraisuusdirektiivin 94 artiklan 1 kohdan h alakohdassa tarkoitettujen erorahojen määrä, jotka on myönnetty tilikaudella (kuluvana vuonna)</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 xml:space="preserve">Josta: tilikauden aikana myönnetyt erorahat – maksettu tilikauden aikana </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Sellaisten vakavaraisuusdirektiivin 94 artiklan 1 kohdan h alakohdassa tarkoitettujen erorahojen määrä, jotka on myönnetty ja maksettu tilikauden (kuluva vuosi) aikana</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Josta: tilikauden aikana myönnetyt erorahat – lykätty</w:t>
            </w:r>
          </w:p>
          <w:p w14:paraId="2B8A3E35" w14:textId="375AD79A"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Sellaisten tilikaudella myönnettyjen vakavaraisuusdirektiivin 94 artiklan 1</w:t>
            </w:r>
            <w:r w:rsidR="00084733">
              <w:rPr>
                <w:rFonts w:ascii="Times New Roman" w:hAnsi="Times New Roman"/>
                <w:sz w:val="24"/>
              </w:rPr>
              <w:t> </w:t>
            </w:r>
            <w:r>
              <w:rPr>
                <w:rFonts w:ascii="Times New Roman" w:hAnsi="Times New Roman"/>
                <w:sz w:val="24"/>
              </w:rPr>
              <w:t>kohdan h alakohdassa tarkoitettujen erorahojen määrä, joita on lykätty, vakavaraisuusdirektiivin 94 artiklan mukaisesti määritettynä</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Josta: tilikauden aikana maksetut erorahat, joita ei oteta huomioon palkkiokatossa</w:t>
            </w:r>
          </w:p>
          <w:p w14:paraId="3020E32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Sellaisten vakavaraisuusdirektiivin 94 artiklan 1 kohdan h alakohdassa tarkoitettujen erorahojen määrä, jotka on maksettu tilikauden aikana mutta joita ei oteta huomioon palkkiokatossa</w:t>
            </w:r>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Vakavaraisuusasetuksen 450 artiklan 1 kohdan g alakohdassa ja h alakohdan v–vi alakohdassa tarkoitettujen julkistettavien tietojen osalta laitosten on ilmoitettava selvästi, vastaavatko liiketoiminta-alueittain jaotellut palkitsemista koskevat aggregoidut määrälliset tiedot palkkiokattoa, kun kyseessä ovat uusien palkkionsaajien aloitusrahat sekä erorahat.</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gridSpan w:val="2"/>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Josta: tilikauden aikana myönnetyt erorahat – suurin yksittäiselle henkilölle myönnetty eroraha</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Tilikauden aikana yksittäiselle henkilölle myönnetyn suurimman, vakavaraisuusdirektiivin 94 artiklan 1 kohdan h alakohdassa tarkoitetun erorahan määrä</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Sarakkeen kirjain</w:t>
            </w:r>
          </w:p>
        </w:tc>
        <w:tc>
          <w:tcPr>
            <w:tcW w:w="76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Selitys</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Valvontatehtäväänsä hoitava ylin hallintoelin</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Vakavaraisuusdirektiivin 3 artiklan 1 kohdan 8 alakohdassa määritelty valvontatehtäväänsä hoitava ylin hallintoelin, joka hoitaa tehtäväänsä valvoa ja seurata johdon päätöksentekoa (henkilöstömäärä)</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Johtotehtäväänsä hoitava ylin hallintoelin</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Ylimmän hallintoelimen johtotehtävistä vastaavat ylimmän hallintoelimen jäsenet (henkilöstömäärä)</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Muu toimiva johto</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Vakavaraisuusdirektiivin 3 artiklan 1 kohdan 9 alakohdassa määritelty toimiva johto</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Laitosten on ilmoitettava tässä niiden toimivan johdon jäsenten lukumäärä (kokoaikavastaavana), joita ei ole ilmoitettu otsakkeissa ”Johtotehtäväänsä hoitava ylin hallintoelin” ja ”Muut nimetyt henkilöt”.</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d</w:t>
            </w:r>
          </w:p>
        </w:tc>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Muut nimetyt henkilöt</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Sellainen muu henkilöstö, joka ei kuulu valvontatehtäväänsä tai johtotehtäväänsä hoitavaan ylimpään hallintoelimeen tai toimivaan johtoon mutta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Laitokset voivat sisällyttää tähän lomakkeeseen lomakkeessa EU REM5 ehdotetun liiketoiminta-alueittaisen jaottelun (kokoaikavastaavana).</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Lomake EU REM3 – Lykätyt palkkiot: </w:t>
      </w:r>
      <w:r>
        <w:rPr>
          <w:rFonts w:ascii="Times New Roman" w:hAnsi="Times New Roman"/>
          <w:color w:val="auto"/>
          <w:sz w:val="24"/>
        </w:rPr>
        <w:t>Vakiomuotoinen lomake.</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Laitosten on julkistettava vakavaraisuusasetuksen 450 artiklan 1 kohdan h alakohdan iii-iv alakohdassa tarkoitetut tiedot noudattamalla jäljempänä tässä liitteessä annettuja ohjeita täyttääkseen tämän täytäntöönpanoasetuksen liitteessä XXXIII olevan lomakkeen EU REM3.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Lainsäädäntöviitteet ja ohjeet</w:t>
            </w:r>
          </w:p>
        </w:tc>
      </w:tr>
      <w:tr w:rsidR="00965CEB" w:rsidRPr="007F4CC8" w14:paraId="596FBD77" w14:textId="77777777" w:rsidTr="00587B7A">
        <w:trPr>
          <w:trHeight w:val="238"/>
        </w:trPr>
        <w:tc>
          <w:tcPr>
            <w:tcW w:w="1525"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65CEB" w:rsidRPr="007F4CC8" w14:paraId="600F239C"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514"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Valvontatehtäväänsä hoitava ylin hallintoelin</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Vakavaraisuusdirektiivin 3 artiklan 1 kohdan 8 alakohdassa määritelty valvontatehtäväänsä hoitava ylin hallintoelin, joka hoitaa tehtäväänsä valvoa ja seurata johdon päätöksentekoa</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Tämän lomakkeen riveillä 2, 3, 4, 5 ja 6 ilmoitettujen määrien summa</w:t>
            </w:r>
          </w:p>
        </w:tc>
      </w:tr>
      <w:tr w:rsidR="00965CEB" w:rsidRPr="007F4CC8" w14:paraId="7B48C31E"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2, 8, 14 ja 20</w:t>
            </w:r>
          </w:p>
        </w:tc>
        <w:tc>
          <w:tcPr>
            <w:tcW w:w="7514"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Käteisperusteinen</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Muuttuvien palkkioiden käteisenä maksettava osa</w:t>
            </w:r>
          </w:p>
        </w:tc>
      </w:tr>
      <w:tr w:rsidR="00965CEB" w:rsidRPr="007F4CC8" w14:paraId="33B142D2"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ja 21</w:t>
            </w:r>
          </w:p>
        </w:tc>
        <w:tc>
          <w:tcPr>
            <w:tcW w:w="7514"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Osakkeet tai vastaavat omistusosuudet </w:t>
            </w:r>
          </w:p>
          <w:p w14:paraId="4B63188A" w14:textId="3C14FCF6" w:rsidR="00965CEB" w:rsidRPr="007F4CC8" w:rsidRDefault="00965CEB" w:rsidP="004F3087">
            <w:pPr>
              <w:spacing w:before="60" w:after="120"/>
              <w:jc w:val="both"/>
              <w:rPr>
                <w:rFonts w:ascii="Times New Roman" w:hAnsi="Times New Roman"/>
                <w:b/>
                <w:sz w:val="24"/>
              </w:rPr>
            </w:pPr>
            <w:r>
              <w:rPr>
                <w:rFonts w:ascii="Times New Roman" w:hAnsi="Times New Roman"/>
                <w:sz w:val="24"/>
              </w:rPr>
              <w:t>Muuttuviin palkkioihin sisältyvien vakavaraisuusdirektiivin 94 artiklan 1</w:t>
            </w:r>
            <w:r w:rsidR="00084733">
              <w:rPr>
                <w:rFonts w:ascii="Times New Roman" w:hAnsi="Times New Roman"/>
                <w:sz w:val="24"/>
              </w:rPr>
              <w:t> </w:t>
            </w:r>
            <w:r>
              <w:rPr>
                <w:rFonts w:ascii="Times New Roman" w:hAnsi="Times New Roman"/>
                <w:sz w:val="24"/>
              </w:rPr>
              <w:t>kohdan l alakohdan i alakohdassa tarkoitettujen laitoksen oikeudellisen rakenteen mukaan määräytyvien osakkeiden tai vastaavien omistusosuuksien määrien summa.</w:t>
            </w:r>
          </w:p>
        </w:tc>
      </w:tr>
      <w:tr w:rsidR="00965CEB" w:rsidRPr="007F4CC8" w14:paraId="7446B000"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ja 22</w:t>
            </w:r>
          </w:p>
        </w:tc>
        <w:tc>
          <w:tcPr>
            <w:tcW w:w="7514"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Osakesidonnaiset instrumentit tai vastaavat muut kuin käteisinstrumentit </w:t>
            </w:r>
          </w:p>
          <w:p w14:paraId="362CEB2B" w14:textId="092518D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Muuttuviin palkkioihin sisältyvien vakavaraisuusdirektiivin 94 artiklan 1</w:t>
            </w:r>
            <w:r w:rsidR="00084733">
              <w:rPr>
                <w:rFonts w:ascii="Times New Roman" w:hAnsi="Times New Roman"/>
                <w:sz w:val="24"/>
              </w:rPr>
              <w:t> </w:t>
            </w:r>
            <w:r>
              <w:rPr>
                <w:rFonts w:ascii="Times New Roman" w:hAnsi="Times New Roman"/>
                <w:sz w:val="24"/>
              </w:rPr>
              <w:t>kohdan l alakohdan i alakohdassa tarkoitettujen osakesidonnaisten instrumenttien tai vastaavien muiden kuin käteisinstrumenttien määrien summa.</w:t>
            </w:r>
          </w:p>
        </w:tc>
      </w:tr>
      <w:tr w:rsidR="00965CEB" w:rsidRPr="007F4CC8" w14:paraId="00D93458"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ja 23</w:t>
            </w:r>
          </w:p>
        </w:tc>
        <w:tc>
          <w:tcPr>
            <w:tcW w:w="7514"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Muut instrumentit</w:t>
            </w:r>
          </w:p>
          <w:p w14:paraId="4C0BEEE9" w14:textId="1C3D132D" w:rsidR="00965CEB" w:rsidRPr="007F4CC8" w:rsidRDefault="00965CEB" w:rsidP="004F3087">
            <w:pPr>
              <w:spacing w:before="60" w:after="120"/>
              <w:jc w:val="both"/>
              <w:rPr>
                <w:rFonts w:ascii="Times New Roman" w:hAnsi="Times New Roman"/>
                <w:sz w:val="24"/>
              </w:rPr>
            </w:pPr>
            <w:r>
              <w:rPr>
                <w:rFonts w:ascii="Times New Roman" w:hAnsi="Times New Roman"/>
                <w:sz w:val="24"/>
              </w:rPr>
              <w:t>Muuttuviin palkkioihin sisältyvien vakavaraisuusdirektiivin 94 artiklan 1</w:t>
            </w:r>
            <w:r w:rsidR="00084733">
              <w:rPr>
                <w:rFonts w:ascii="Times New Roman" w:hAnsi="Times New Roman"/>
                <w:sz w:val="24"/>
              </w:rPr>
              <w:t> </w:t>
            </w:r>
            <w:r>
              <w:rPr>
                <w:rFonts w:ascii="Times New Roman" w:hAnsi="Times New Roman"/>
                <w:sz w:val="24"/>
              </w:rPr>
              <w:t>kohdan l alakohdan ii alakohdassa tarkoitettujen muiden instrumenttien määrä</w:t>
            </w:r>
          </w:p>
        </w:tc>
      </w:tr>
      <w:tr w:rsidR="00965CEB" w:rsidRPr="007F4CC8" w14:paraId="582939B0"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ja 24</w:t>
            </w:r>
          </w:p>
        </w:tc>
        <w:tc>
          <w:tcPr>
            <w:tcW w:w="7514"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Muut osat</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Sellaiset muuttuvien palkkioiden määrät, joita ei ole ilmoitettu seuraavilla riveillä: ”Käteisperusteinen”, ”Osakkeet tai vastaavat omistusosuudet” kyseisen laitoksen oikeudellisen rakenteen mukaan, ”Osakesidonnaiset instrumentit tai vastaavat muut kuin käteisinstrumentit” tai ”Muut instrumentit”.</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Tällaisia voisivat olla vakavaraisuusdirektiivin johdanto-osan 64 kappaleessa tarkoitetut suhteutetut säännölliset eläkemaksut tai edut (silloin kun edut eivät perustu tuloskriteereihin) taikka muunlaiset palkitsemismuodot, kuten autoetu.</w:t>
            </w:r>
          </w:p>
        </w:tc>
      </w:tr>
      <w:tr w:rsidR="00965CEB" w:rsidRPr="007F4CC8" w14:paraId="1E2113D9"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514"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Johtotehtäväänsä hoitava ylin hallintoelin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Ylimmän hallintoelimen johtotehtävistä vastaavat ylimmän hallintoelimen jäsenet; tämän lomakkeen riveillä 8, 9, 10, 11 ja 12 ilmoitettujen määrien summa.</w:t>
            </w:r>
          </w:p>
        </w:tc>
      </w:tr>
      <w:tr w:rsidR="00965CEB" w:rsidRPr="007F4CC8" w14:paraId="6BB9DE71"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514"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Muu toimiva johto</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Vakavaraisuusdirektiivin 3 artiklan 1 kohdan 9 alakohdassa määritelty toimiva johto; tämän lomakkeen riveillä 14, 15, 16, 17 ja 18 ilmoitettujen määrien summa</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Laitosten on ilmoitettava tässä niiden toimivan johdon jäsenten lukumäärä, joita ei ole ilmoitettu otsakkeessa ”Johtotehtäväänsä hoitava ylin hallintoelin” tai otsakkeessa ”Muut nimetyt henkilöt”.</w:t>
            </w:r>
          </w:p>
        </w:tc>
      </w:tr>
      <w:tr w:rsidR="00965CEB" w:rsidRPr="007F4CC8" w14:paraId="60C2B242"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514"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Muut nimetyt henkilöt</w:t>
            </w:r>
          </w:p>
          <w:p w14:paraId="1561B7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Sellainen muu henkilöstö, joka ei kuulu valvontatehtäväänsä tai johtotehtäväänsä hoitavaan ylimpään hallintoelimeen tai toimivaan johtoon mutta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 tämän lomakkeen riveillä 20, 21, 22, 23 ja 24 ilmoitettujen määrien summa</w:t>
            </w:r>
          </w:p>
        </w:tc>
      </w:tr>
      <w:tr w:rsidR="00965CEB" w:rsidRPr="007F4CC8" w14:paraId="724701D0"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25</w:t>
            </w:r>
          </w:p>
        </w:tc>
        <w:tc>
          <w:tcPr>
            <w:tcW w:w="7514"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Kokonaismäärä</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Tämän lomakkeen riveillä 1, 7, 13 ja 19 ilmoitettujen määrien summa</w:t>
            </w:r>
          </w:p>
        </w:tc>
      </w:tr>
      <w:tr w:rsidR="00965CEB" w:rsidRPr="007F4CC8" w14:paraId="32AF233A"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Sarakkeen kirjain</w:t>
            </w:r>
          </w:p>
        </w:tc>
        <w:tc>
          <w:tcPr>
            <w:tcW w:w="75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Selitys</w:t>
            </w:r>
          </w:p>
        </w:tc>
      </w:tr>
      <w:tr w:rsidR="00965CEB" w:rsidRPr="007F4CC8" w14:paraId="03A75FCF"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sz w:val="24"/>
              </w:rPr>
              <w:t>Edellisiltä tuloskausilta myönnettyjen lykättyjen palkkioiden kokonaismäärä</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Vakavaraisuusdirektiivin 94 artiklan mukaisesti määritetty sellaisten lykättyjen palkkioiden määrä, jotka on myönnetty edellisiltä tuloskausilta (tämän lomakkeen sarakkeissa b ja c ilmoitettujen määrien summa)</w:t>
            </w:r>
          </w:p>
        </w:tc>
      </w:tr>
      <w:tr w:rsidR="00965CEB" w:rsidRPr="007F4CC8" w14:paraId="4861A172"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Josta: tilikauden aikana syntyvän oikeuden määrä</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Vakavaraisuusdirektiivin 94 artiklan mukaisesti määritetty edellisiltä tulosjaksoilta myönnettyjen sellaisten lykättyjen palkkioiden määrä, joihin syntyy oikeus tilikauden aikana</w:t>
            </w:r>
          </w:p>
        </w:tc>
      </w:tr>
      <w:tr w:rsidR="00965CEB" w:rsidRPr="007F4CC8" w14:paraId="4F4F4E4A"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Josta: tulevien tilikausien aikana syntyvän oikeuden määrä</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Vakavaraisuusdirektiivin 94 artiklan mukaisesti määritetty aiemmilta tulosjaksoilta myönnettyjen sellaisten lykättyjen palkkioiden määrä, joihin syntyy oikeus tulevien tilikausien aikana</w:t>
            </w:r>
          </w:p>
        </w:tc>
      </w:tr>
      <w:tr w:rsidR="00965CEB" w:rsidRPr="007F4CC8" w14:paraId="44F6D02E"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d</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Sellaisiin lykättyihin palkkioihin tilikauden aikana tehdyn tulosperusteisen oikaisun määrä, joihin syntyy oikeus tilikauden aikana</w:t>
            </w:r>
          </w:p>
          <w:p w14:paraId="1571AC97"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Vakavaraisuusdirektiivin 94 artiklan mukaisesti määritetty sellaisiin lykättyihin palkkioihin tehdyn tulosperusteisen oikaisun määrä, joihin syntyy oikeus tilikauden aikana</w:t>
            </w:r>
          </w:p>
        </w:tc>
      </w:tr>
      <w:tr w:rsidR="00965CEB" w:rsidRPr="007F4CC8" w14:paraId="5B84E881"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Sellaisiin lykättyihin palkkioihin tilikauden aikana tehdyn tulosperusteisen oikaisun määrä, joihin syntyy oikeus tulevien tilikausien aikana</w:t>
            </w:r>
          </w:p>
          <w:p w14:paraId="2D3814D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Vakavaraisuusdirektiivin 94 artiklan mukaisesti määritetty sellaisiin lykättyihin palkkioihin tehdyn tulosperusteisen oikaisun määrä, joihin syntyy oikeus tulevien toimintavuosien aikana</w:t>
            </w:r>
          </w:p>
        </w:tc>
      </w:tr>
      <w:tr w:rsidR="00965CEB" w:rsidRPr="007F4CC8" w14:paraId="22206507"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f</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Tilikauden aikana jälkikäteen tehtävistä implisiittisistä oikaisuista johtuvien oikaisujen kokonaismäärä tilikaudella (ts. instrumenttien hintojen muutoksista johtuvat lykättyjen palkkioiden arvonmuutokset)</w:t>
            </w:r>
          </w:p>
          <w:p w14:paraId="6472C5F0"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Tapauksen mukaan sellaisen arvonmuutoksen määrä tilikauden aikana, joka johtuu jälkikäteen tehtävistä implisiittisistä oikaisuista, kuten lykättyjen palkkioiden arvonmuutoksista, jotka ovat seurausta parhaan kyvyn mukaan arvioitujen instrumenttien hintojen muutoksista </w:t>
            </w:r>
          </w:p>
        </w:tc>
      </w:tr>
      <w:tr w:rsidR="00965CEB" w:rsidRPr="007F4CC8" w14:paraId="75104DD1"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EU–g</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Ennen tilikautta myönnettyjen tilikaudella maksettujen lykättyjen palkkioiden kokonaismäärä</w:t>
            </w:r>
          </w:p>
          <w:p w14:paraId="711625D8"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Vakavaraisuusdirektiivin 94 artiklan mukaisesti määritetty tilikaudella maksettujen lykättyjen palkkioiden määrä</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Lykätty palkkio katsotaan maksetuksi heti kun oikeus siihen on syntynyt.</w:t>
            </w:r>
          </w:p>
        </w:tc>
      </w:tr>
      <w:tr w:rsidR="00965CEB" w:rsidRPr="007F4CC8" w14:paraId="6F3ADEB8"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EU–h</w:t>
            </w:r>
          </w:p>
        </w:tc>
        <w:tc>
          <w:tcPr>
            <w:tcW w:w="7514"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Sellaisten edellisen tulosjakson osalta myönnettyjen lykättyjen palkkioiden kokonaismäärä, joihin on syntynyt oikeus mutta jotka pidätetään tietyksi ajaksi</w:t>
            </w:r>
          </w:p>
          <w:p w14:paraId="64A6D4B4"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Vakavaraisuusdirektiivin 94 artiklan mukaisesti määritetty sellaisten lykättyjen palkkioiden määrä, jotka pidätetään tietyksi ajaksi</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REM4 – Palkat ja palkkiot, joiden määrä on vähintään 1 miljoona euroa vuodessa: </w:t>
      </w:r>
      <w:r>
        <w:rPr>
          <w:rFonts w:ascii="Times New Roman" w:hAnsi="Times New Roman"/>
          <w:color w:val="auto"/>
          <w:sz w:val="24"/>
        </w:rPr>
        <w:t>Vakiomuotoinen lomake.</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Laitosten on julkistettava vakavaraisuusasetuksen 450 artiklan 1 kohdan i alakohdassa tarkoitetut tiedot noudattamalla jäljempänä tässä liitteessä annettuja ohjeita täyttääkseen tämän täytäntöönpanoasetuksen liitteessä XXXIII olevan lomakkeen EU REM4.</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Tiedot on toimitettava käyttäen tilikauden lopun määriä euroina. Kaikki määrät on ilmoitettava tarkkoina määrinä, toisin sanoen pyöristämättöminä määrinä, ja euroina (esim. ”1 234 567 euroa”, ei ”1,2 miljoonaa euroa”). Jos palkat ja palkkiot maksetaan muuna valuuttana kuin euroina, ilmoitettavien konsolidoitujen lukujen muuntamisessa on käytettävä komission rahoitussuunnittelussa ja talousarviossa käyttämää raportointivuoden joulukuun muuntokurssia.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Lainsäädäntöviitteet ja ohjeet</w:t>
            </w:r>
          </w:p>
        </w:tc>
      </w:tr>
      <w:tr w:rsidR="00965CEB" w:rsidRPr="007F4CC8" w14:paraId="6BD60B0D" w14:textId="77777777" w:rsidTr="00587B7A">
        <w:trPr>
          <w:trHeight w:val="238"/>
        </w:trPr>
        <w:tc>
          <w:tcPr>
            <w:tcW w:w="1525"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65CEB" w:rsidRPr="007F4CC8" w14:paraId="7A73EF6C"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Palkat ja palkkiot, jotka ovat 1–5 miljoonaa euroa tilikautta kohti, jaoteltuina 500 000 euron välein sijoittuvien luokkien mukaan</w:t>
            </w:r>
          </w:p>
        </w:tc>
      </w:tr>
      <w:tr w:rsidR="00965CEB" w:rsidRPr="007F4CC8" w14:paraId="1EAC8B57"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Palkat ja palkkiot, jotka ovat yli 5 miljoonaa euroa tilikautta kohti, jaoteltuina 1 miljoonan euron välein sijoittuvien luokkien mukaan</w:t>
            </w:r>
          </w:p>
        </w:tc>
      </w:tr>
      <w:tr w:rsidR="00965CEB" w:rsidRPr="007F4CC8" w14:paraId="3B14BCA0"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Sarakkeen kirjain</w:t>
            </w:r>
          </w:p>
        </w:tc>
        <w:tc>
          <w:tcPr>
            <w:tcW w:w="75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Selitys</w:t>
            </w:r>
          </w:p>
        </w:tc>
      </w:tr>
      <w:tr w:rsidR="00965CEB" w:rsidRPr="007F4CC8" w14:paraId="3F457083"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Niiden nimettyjen henkilöiden lukumäärä, joiden palkka ja palkkiot ovat olleet vähintään 1 miljoona euroa tilikautta kohden</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Laitosten on ilmoitettava tiedot henkilöstömäärien perusteella.</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REM5 – Tiedot henkilöstön jäsenistä, joiden ammatillisella toiminnalla on merkittävä vaikutus laitoksen riskiprofiiliin (nimetyt henkilöt): </w:t>
      </w:r>
      <w:r>
        <w:rPr>
          <w:rFonts w:ascii="Times New Roman" w:hAnsi="Times New Roman"/>
          <w:color w:val="auto"/>
          <w:sz w:val="24"/>
        </w:rPr>
        <w:t>Vakiomuotoinen lomake.</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Laitosten on julkistettava vakavaraisuusasetuksen 450 artiklan 1 kohdan g alakohdassa tarkoitetut tiedot noudattamalla jäljempänä tässä liitteessä annettuja ohjeita täyttääkseen tämän täytäntöönpanoasetuksen liitteessä XXXIII olevan lomakkeen EU REM5.</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Kun on kyse liiketoiminta-alueittaista jakoa koskevista sarakkeista, kaikki luotonanto, tukkuluotonanto mukaan luettuna, on sisällytettävä vähittäisluotonantoon. Investointipankkitoiminnan osalta siihen sisältyvät yritysrahoitus sekä kaupankäyntitoiminta. Lisäohjeita eri liiketoiminta-alueisiin sisältyvistä toiminnoista on vakavaraisuusasetuksen 317 artiklassa taulukossa, jossa määritellään operatiivisen riskin standardimenetelmän mukaiset liiketoiminta-alueet.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Lainsäädäntöviitteet ja ohjeet</w:t>
            </w:r>
          </w:p>
        </w:tc>
      </w:tr>
      <w:tr w:rsidR="00965CEB" w:rsidRPr="007F4CC8" w14:paraId="233293E2" w14:textId="77777777" w:rsidTr="00587B7A">
        <w:trPr>
          <w:trHeight w:val="687"/>
        </w:trPr>
        <w:tc>
          <w:tcPr>
            <w:tcW w:w="1525"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65CEB" w:rsidRPr="007F4CC8" w14:paraId="01F5A89D"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Nimettyjen henkilöiden kokonaislukumäärä</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Henkilöstön jäsenet, joiden ammatillisella toiminnalla on merkittävä vaikutus laitoksen ja sen tytäryritysten, mukaan lukien vakavaraisuusdirektiivin soveltamisalaan kuulumattomat tytäryritykset, riskiprofiiliin ja kaikki näiden ylimpien hallintoelinten jäsenet (nimetyt henkilöt)</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Arvo on ilmoitettava kokoaikavastaavana.</w:t>
            </w:r>
          </w:p>
        </w:tc>
      </w:tr>
      <w:tr w:rsidR="00965CEB" w:rsidRPr="007F4CC8" w14:paraId="66892647"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Josta: ylimmän hallintoelimen jäsenet</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Valvontatehtäväänsä hoitavan ylimmän hallintoelimen ja johtotehtäväänsä hoitavan ylimmän hallintoelimen jäsenten lukumäärä sekä koko ylimmän hallintoelimen jäsenten lukumäärä</w:t>
            </w:r>
          </w:p>
        </w:tc>
      </w:tr>
      <w:tr w:rsidR="00965CEB" w:rsidRPr="007F4CC8" w14:paraId="7E2EF40C"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Josta: muu toimiva johto</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Sellainen muu henkilöstö kuin ylimmän hallintoelimen jäsenet, joka kuuluu vakavaraisuusdirektiivin 3 artiklan 1 kohdan 9 alakohdassa määriteltyyn toimivaan johtoon</w:t>
            </w:r>
          </w:p>
        </w:tc>
      </w:tr>
      <w:tr w:rsidR="00965CEB" w:rsidRPr="007F4CC8" w14:paraId="576C78F0"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Josta: muut nimetyt henkilöt</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Sellainen muu henkilöstö kuin ylimmän hallintoelimen jäsenet ja toimivaan johtoon kuuluva henkilöstö,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w:t>
            </w:r>
          </w:p>
        </w:tc>
      </w:tr>
      <w:tr w:rsidR="00965CEB" w:rsidRPr="007F4CC8" w14:paraId="5E0A7C3D"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Nimettyjen henkilöiden palkkojen ja palkkioiden kokonaismäärä</w:t>
            </w:r>
          </w:p>
          <w:p w14:paraId="393FC237" w14:textId="474A824D"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Palkan ja palkkioiden kokonaismäärällä tarkoitetaan kaikenlaisia kiinteitä ja muuttuvia palkkioita, ja siihen sisältyvät laitosten suoraan henkilöstölle myöntämät tai niiden puolesta suoraan henkilöstölle myönnetyt rahalliset ja ei-rahalliset maksut ja etuudet vastikkeeksi henkilöstön tarjoamista ammatillisista palveluista, direktiivin 2011/61/EU</w:t>
            </w:r>
            <w:r>
              <w:rPr>
                <w:rStyle w:val="FootnoteReference"/>
                <w:rFonts w:cs="Times New Roman"/>
              </w:rPr>
              <w:footnoteReference w:id="4"/>
            </w:r>
            <w:r>
              <w:rPr>
                <w:rFonts w:ascii="Times New Roman" w:hAnsi="Times New Roman"/>
                <w:sz w:val="24"/>
              </w:rPr>
              <w:t xml:space="preserve"> 4 artiklan 1 kohdan d</w:t>
            </w:r>
            <w:r w:rsidR="00084733">
              <w:rPr>
                <w:rFonts w:ascii="Times New Roman" w:hAnsi="Times New Roman"/>
                <w:sz w:val="24"/>
              </w:rPr>
              <w:t> </w:t>
            </w:r>
            <w:r>
              <w:rPr>
                <w:rFonts w:ascii="Times New Roman" w:hAnsi="Times New Roman"/>
                <w:sz w:val="24"/>
              </w:rPr>
              <w:t>alakohdassa tarkoitettujen voitonjako-osuuksien maksut ja muut sellaisten menetelmien ja välineiden avulla suoritettavat maksut, jotka johtaisivat vakavaraisuusdirektiivissä asetettujen palkitsemista koskevien vaatimusten kiertämiseen, jos niitä ei pidettäisi palkitsemisena.</w:t>
            </w:r>
          </w:p>
        </w:tc>
      </w:tr>
      <w:tr w:rsidR="00965CEB" w:rsidRPr="007F4CC8" w14:paraId="05EE8EE0"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6</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Josta: muuttuvat palkkiot</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Kaikkien sellaisten palkkion osien summa, jotka eivät ole tämän lomakkeen rivillä 7 tarkoitettuja kiinteitä palkkioita.</w:t>
            </w:r>
          </w:p>
        </w:tc>
      </w:tr>
      <w:tr w:rsidR="00965CEB" w:rsidRPr="007F4CC8" w14:paraId="141C01A8"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Josta: kiinteät palkkiot</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katsottava palkkio kiinteäksi, jos sen myöntämisedellytykset ja määrä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perustuvat ennalta määrättyihin kriteereihin;</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eivät ole harkinnanvaraisia vaan perustuvat henkilöstön ammatilliseen kokemukseen ja palvelusvuosien määrään;</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ovat läpinäkyviä yksittäiselle henkilöstön jäsenelle myönnettävän yksittäisen määrän osalta;</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ovat pysyviä eli säilyvät tietyn ajanjakson, joka on sidoksissa tiettyyn asemaan ja tehtäviin organisaatiossa;</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ovat peruuttamattomia; pysyvää määrää muutetaan ainoastaan työehtosopimusneuvottelujen kautta tai uudelleenneuvottelujen jälkeen palkanmuodostusta koskevien kansallisten kriteerien mukaisesti;</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eivät ole vähennettävissä, lykättävissä tai peruutettavissa laitoksen toimesta;</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eivät tarjoa kannustimia riskinottoon; ja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eivät ole riippuvaisia työsuorituksesta tai tuloksesta. </w:t>
            </w:r>
          </w:p>
        </w:tc>
      </w:tr>
      <w:tr w:rsidR="00965CEB" w:rsidRPr="007F4CC8" w14:paraId="4A45635F" w14:textId="77777777" w:rsidTr="00587B7A">
        <w:trPr>
          <w:trHeight w:val="680"/>
        </w:trPr>
        <w:tc>
          <w:tcPr>
            <w:tcW w:w="15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Sarakkeen kirjain</w:t>
            </w:r>
          </w:p>
        </w:tc>
        <w:tc>
          <w:tcPr>
            <w:tcW w:w="75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Selitys</w:t>
            </w:r>
          </w:p>
        </w:tc>
      </w:tr>
      <w:tr w:rsidR="00965CEB" w:rsidRPr="007F4CC8" w14:paraId="2ED3053A"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ja c</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Ylin hallintoelin</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Laitoksen ylin hallintoelin valvontatehtävän ja johtotehtävän mukaan jaoteltuna</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Laitosten on ilmoitettava tiedot henkilöstömäärien perusteella.</w:t>
            </w:r>
          </w:p>
        </w:tc>
      </w:tr>
      <w:tr w:rsidR="00965CEB" w:rsidRPr="007F4CC8" w14:paraId="69B617A4"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d–h</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Liiketoiminta-alueet</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Laitoksen tärkeimmät liiketoiminta-alueet, kuten investointipankkitoiminta, vähittäispankkitoiminta, omaisuudenhoito, laitoksen tukitoiminnot ja riippumattomat sisäiset tarkastustoiminnot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Tiedot on ilmoitettava kokoaikavastaavana.</w:t>
            </w:r>
          </w:p>
        </w:tc>
      </w:tr>
      <w:tr w:rsidR="00965CEB" w:rsidRPr="007F4CC8" w14:paraId="427F8B5C" w14:textId="77777777" w:rsidTr="00587B7A">
        <w:trPr>
          <w:trHeight w:val="120"/>
        </w:trPr>
        <w:tc>
          <w:tcPr>
            <w:tcW w:w="1525"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514"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Kaikki muut</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Kaikki muut liiketoiminta-alueet, joita ei ole käsitelty edellisissä sarakkeissa erikseen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Tiedot on ilmoitettava kokoaikavastaavana.</w:t>
            </w:r>
          </w:p>
        </w:tc>
      </w:tr>
    </w:tbl>
    <w:p w14:paraId="32121E4A" w14:textId="77777777" w:rsidR="00993FC2" w:rsidRDefault="00993FC2"/>
    <w:sectPr w:rsidR="00993FC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C4E9B" w14:textId="77777777" w:rsidR="005F0EEF" w:rsidRDefault="005F0E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4F3C" w14:textId="77777777" w:rsidR="005F0EEF" w:rsidRDefault="005F0E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3314F978" w:rsidR="00965CEB" w:rsidRPr="00222AAB" w:rsidRDefault="00965CEB" w:rsidP="00965CEB">
      <w:pPr>
        <w:pStyle w:val="FootnoteText"/>
        <w:rPr>
          <w:rFonts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sidR="007A2A88">
        <w:t xml:space="preserve"> </w:t>
      </w:r>
      <w:r>
        <w:rPr>
          <w:color w:val="444444"/>
        </w:rPr>
        <w:t>(</w:t>
      </w:r>
      <w:hyperlink r:id="rId1" w:history="1">
        <w:r>
          <w:rPr>
            <w:rStyle w:val="Hyperlink"/>
            <w:color w:val="800080"/>
          </w:rPr>
          <w:t>EUVL L 176, 27.6.2013, s. 1</w:t>
        </w:r>
      </w:hyperlink>
      <w:r>
        <w:rPr>
          <w:color w:val="800080"/>
          <w:u w:val="single"/>
        </w:rPr>
        <w:t xml:space="preserve">; </w:t>
      </w:r>
      <w:hyperlink r:id="rId2" w:history="1">
        <w:r w:rsidR="007A2A88">
          <w:rPr>
            <w:rStyle w:val="Hyperlink"/>
          </w:rPr>
          <w:t>a</w:t>
        </w:r>
        <w:r>
          <w:rPr>
            <w:rStyle w:val="Hyperlink"/>
          </w:rPr>
          <w:t>setus - EU - 2024/1623 - FI - EUR-Lex (europa.eu)</w:t>
        </w:r>
      </w:hyperlink>
      <w:r>
        <w:rPr>
          <w:color w:val="444444"/>
        </w:rPr>
        <w:t>)</w:t>
      </w:r>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 xml:space="preserve"> </w:t>
      </w:r>
      <w:r>
        <w:tab/>
        <w:t>EUROOPAN PARLAMENTIN JA NEUVOSTON DIREKTIIVI 2013/36/EU, annettu 26 päivänä kesäkuuta 2013, oikeudesta harjoittaa luottolaitostoimintaa ja luottolaitosten vakavaraisuusvalvonnasta, direktiivin 2002/87/EY muuttamisesta sekä direktiivien 2006/48/EY ja 2006/49/EY kumoamisesta (EUVL L 176, 27.6.2013, s.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KOMISSION DELEGOITU ASETUS (EU) N:o 604/2014, annettu 4 päivänä maaliskuuta 2014, Euroopan parlamentin ja neuvoston direktiivin 2013/36/EU täydentämisestä teknisillä sääntelystandardeilla laadullisista ja asianmukaisista määrällisistä perusteista sellaisten henkilöstöryhmien yksilöimiseksi, joiden ammatillisella toiminnalla on merkittävä vaikutus laitoksen riskiprofiiliin (EUVL L 167, 6.6.2014, s. 30).</w:t>
      </w:r>
    </w:p>
  </w:footnote>
  <w:footnote w:id="4">
    <w:p w14:paraId="2890C799" w14:textId="1075AD66" w:rsidR="00965CEB" w:rsidRDefault="00965CEB" w:rsidP="00965CEB">
      <w:pPr>
        <w:pStyle w:val="FootnoteText"/>
      </w:pPr>
      <w:r>
        <w:rPr>
          <w:rStyle w:val="FootnoteReference"/>
        </w:rPr>
        <w:footnoteRef/>
      </w:r>
      <w:r>
        <w:t xml:space="preserve"> </w:t>
      </w:r>
      <w:r w:rsidR="00084733">
        <w:tab/>
      </w:r>
      <w:r>
        <w:t>Euroopan parlamentin ja neuvoston direktiivi 2011/61/EU, annettu 8 päivänä kesäkuuta 2011, vaihtoehtoisten sijoitusrahastojen hoitajista ja direktiivin 2003/41/EY ja 2009/65/EY sekä asetuksen (EY) N:o 1060/2009 ja (EU) N:o 1095/2010 muuttamisesta (EUVL L 174, 1.7.2011,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7776A9C4">
              <wp:simplePos x="914400" y="447675"/>
              <wp:positionH relativeFrom="page">
                <wp:align>left</wp:align>
              </wp:positionH>
              <wp:positionV relativeFrom="page">
                <wp:align>top</wp:align>
              </wp:positionV>
              <wp:extent cx="1988820" cy="376555"/>
              <wp:effectExtent l="0" t="0" r="11430" b="8890"/>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88820" cy="376555"/>
                      </a:xfrm>
                      <a:prstGeom prst="rect">
                        <a:avLst/>
                      </a:prstGeom>
                      <a:noFill/>
                      <a:ln>
                        <a:noFill/>
                      </a:ln>
                    </wps:spPr>
                    <wps:txbx>
                      <w:txbxContent>
                        <w:p w14:paraId="743AB8F0" w14:textId="28B7EB6C" w:rsidR="009E1CBE" w:rsidRPr="009E1CBE" w:rsidRDefault="00BD3EB1" w:rsidP="009E1CBE">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square" lIns="254000" tIns="19050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AA9260E" id="_x0000_t202" coordsize="21600,21600" o:spt="202" path="m,l,21600r21600,l21600,xe">
              <v:stroke joinstyle="miter"/>
              <v:path gradientshapeok="t" o:connecttype="rect"/>
            </v:shapetype>
            <v:shape id="Text Box 3" o:spid="_x0000_s1027" type="#_x0000_t202" alt="EBA Regular Use" style="position:absolute;margin-left:0;margin-top:0;width:156.6pt;height:29.65pt;z-index:251660288;visibility:visible;mso-wrap-style:square;mso-width-percent:0;mso-wrap-distance-left:0;mso-wrap-distance-top:0;mso-wrap-distance-right:0;mso-wrap-distance-bottom:0;mso-position-horizontal:left;mso-position-horizontal-relative:page;mso-position-vertical:top;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" filled="f" stroked="f">
              <v:textbox style="mso-fit-shape-to-text:t" inset="20pt,15pt,0,0">
                <w:txbxContent>
                  <w:p w14:paraId="743AB8F0" w14:textId="28B7EB6C" w:rsidR="009E1CBE" w:rsidRPr="009E1CBE" w:rsidRDefault="00BD3EB1" w:rsidP="009E1CBE">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sv-SE" w:vendorID="64" w:dllVersion="0" w:nlCheck="1" w:checkStyle="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084733"/>
    <w:rsid w:val="00126360"/>
    <w:rsid w:val="0030220F"/>
    <w:rsid w:val="00587B7A"/>
    <w:rsid w:val="005F0EEF"/>
    <w:rsid w:val="005F1AA5"/>
    <w:rsid w:val="007A2A88"/>
    <w:rsid w:val="0088399E"/>
    <w:rsid w:val="00965CEB"/>
    <w:rsid w:val="00993FC2"/>
    <w:rsid w:val="009E1CBE"/>
    <w:rsid w:val="00A9359E"/>
    <w:rsid w:val="00BD3EB1"/>
    <w:rsid w:val="00D34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DB680B-7B00-4BB5-A96F-A2D294CA06DD}"/>
</file>

<file path=customXml/itemProps2.xml><?xml version="1.0" encoding="utf-8"?>
<ds:datastoreItem xmlns:ds="http://schemas.openxmlformats.org/officeDocument/2006/customXml" ds:itemID="{45AD0024-C92C-45D3-A44E-4A73D3C23590}"/>
</file>

<file path=customXml/itemProps3.xml><?xml version="1.0" encoding="utf-8"?>
<ds:datastoreItem xmlns:ds="http://schemas.openxmlformats.org/officeDocument/2006/customXml" ds:itemID="{FBDFC834-6246-4286-A049-FF4D73B8EB8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49</TotalTime>
  <Pages>15</Pages>
  <Words>3462</Words>
  <Characters>28460</Characters>
  <Application>Microsoft Office Word</Application>
  <DocSecurity>0</DocSecurity>
  <Lines>661</Lines>
  <Paragraphs>339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12</cp:revision>
  <dcterms:created xsi:type="dcterms:W3CDTF">2021-03-11T13:58:00Z</dcterms:created>
  <dcterms:modified xsi:type="dcterms:W3CDTF">2024-10-03T07:27:00Z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