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 xml:space="preserve">BILAGA XXXIV– Instruktioner för mallarna för offentliggörande av ersättningspolicy</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Tabell EU REMA – Ersättningspolicy:</w:t>
      </w:r>
      <w:r>
        <w:rPr>
          <w:color w:val="auto"/>
          <w:sz w:val="24"/>
          <w:b/>
          <w:rFonts w:ascii="Times New Roman" w:hAnsi="Times New Roman"/>
        </w:rPr>
        <w:t xml:space="preserve"> </w:t>
      </w:r>
      <w:r>
        <w:rPr>
          <w:color w:val="auto"/>
          <w:sz w:val="24"/>
          <w:rFonts w:ascii="Times New Roman" w:hAnsi="Times New Roman"/>
        </w:rPr>
        <w:t xml:space="preserve">Flexibelt format</w:t>
      </w:r>
    </w:p>
    <w:p w14:paraId="6ACFB470" w14:textId="1A85C375"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den information som avses i artikel 450.1 a, b, c, d, e, f, j och k samt artikel  450.2 i kapitalkravsförordningen</w:t>
      </w:r>
      <w:r w:rsidRPr="007F4CC8">
        <w:rPr>
          <w:rStyle w:val="FootnoteReference"/>
          <w:rFonts w:ascii="Times New Roman" w:eastAsiaTheme="minorEastAsia" w:hAnsi="Times New Roman" w:cs="Times New Roman"/>
          <w:bCs w:val="0"/>
          <w:color w:val="auto"/>
          <w:sz w:val="24"/>
          <w:lang w:val="en-GB"/>
        </w:rPr>
        <w:footnoteReference w:id="1"/>
      </w:r>
      <w:r>
        <w:rPr>
          <w:color w:val="auto"/>
          <w:sz w:val="24"/>
          <w:rFonts w:ascii="Times New Roman" w:hAnsi="Times New Roman"/>
        </w:rPr>
        <w:t xml:space="preserve"> genom att i enlighet med instruktionerna nedan i denna bilaga fylla i tabell EU REMA, vilken återfinns i bilaga XXXIII till EBA:s it-lösningar.</w:t>
      </w:r>
    </w:p>
    <w:p w14:paraId="3D4A1A0C"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Tabellens format är flexibelt.</w:t>
      </w:r>
      <w:r>
        <w:rPr>
          <w:color w:val="auto"/>
          <w:sz w:val="24"/>
          <w:rFonts w:ascii="Times New Roman" w:hAnsi="Times New Roman"/>
        </w:rPr>
        <w:t xml:space="preserve"> </w:t>
      </w:r>
      <w:r>
        <w:rPr>
          <w:color w:val="auto"/>
          <w:sz w:val="24"/>
          <w:rFonts w:ascii="Times New Roman" w:hAnsi="Times New Roman"/>
        </w:rPr>
        <w:t xml:space="preserve">Om instituten tillämpar ett annat format ska de uppge information som är jämförbar med den information som krävs i tabellen, med motsvarande detaljnivå och inklusive all den substansinformation som krävs.</w:t>
      </w:r>
    </w:p>
    <w:p w14:paraId="5ED60910"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 tabellen och i de mallar som förklaras i denna bilaga avses med beviljande beviljandet av rörlig ersättning för en viss ackumuleringsperiod, oberoende av den faktiska tidpunkt då det beviljade beloppet betalas ut.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Information om de organ som övervakar ersättningar.</w:t>
            </w:r>
            <w:r>
              <w:rPr>
                <w:sz w:val="24"/>
                <w:rFonts w:ascii="Times New Roman" w:hAnsi="Times New Roman"/>
              </w:rPr>
              <w:t xml:space="preserve"> </w:t>
            </w:r>
            <w:r>
              <w:rPr>
                <w:sz w:val="24"/>
                <w:rFonts w:ascii="Times New Roman" w:hAnsi="Times New Roman"/>
              </w:rPr>
              <w:t xml:space="preserve">Följande upplysningar ska ingå:</w:t>
            </w:r>
          </w:p>
          <w:p w14:paraId="1488B17D"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Namnet på det organ (ledningsorganet och, om en sådan inrättats, ersättningskommittén) som är huvudansvarigt för övervakning av ersättningspolicyn, uppgifter om dess sammansättning och befogenheter samt antal möten per räkenskapsår i detta organ.</w:t>
            </w:r>
          </w:p>
          <w:p w14:paraId="5B0DD549"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Vilka externa konsulter som har rådfrågats, vilket organ som anlitade dem och inom vilka ersättningsområden de anlitades;</w:t>
            </w:r>
          </w:p>
          <w:p w14:paraId="3CBC394C"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En beskrivning av tillämpningsområdet för institutets ersättningspolicy (t.ex. per region, affärsområde), inbegripet i vilken omfattning policyn är tillämplig för dotterbolag och filialer i tredjeland;</w:t>
            </w:r>
          </w:p>
          <w:p w14:paraId="1BEEE20B" w14:textId="77777777" w:rsidR="00965CEB" w:rsidRPr="007F4CC8" w:rsidRDefault="00965CEB" w:rsidP="00965CEB">
            <w:pPr>
              <w:pStyle w:val="ListParagraph"/>
              <w:numPr>
                <w:ilvl w:val="0"/>
                <w:numId w:val="2"/>
              </w:numPr>
              <w:spacing w:before="60" w:after="120"/>
              <w:jc w:val="both"/>
              <w:rPr>
                <w:sz w:val="24"/>
                <w:rFonts w:ascii="Times New Roman" w:hAnsi="Times New Roman"/>
              </w:rPr>
            </w:pPr>
            <w:r>
              <w:rPr>
                <w:sz w:val="24"/>
                <w:rFonts w:ascii="Times New Roman" w:hAnsi="Times New Roman"/>
              </w:rPr>
              <w:t xml:space="preserve">En beskrivning av den personal eller de personalkategorier vars yrkesutövning har en väsentlig inverkan på institutets riskprofil (identifierad personal).</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Information om ersättningssystemets utformning och struktur för den identifierade personalen.</w:t>
            </w:r>
            <w:r>
              <w:rPr>
                <w:sz w:val="24"/>
                <w:rFonts w:ascii="Times New Roman" w:hAnsi="Times New Roman"/>
              </w:rPr>
              <w:t xml:space="preserve"> </w:t>
            </w:r>
            <w:r>
              <w:rPr>
                <w:sz w:val="24"/>
                <w:rFonts w:ascii="Times New Roman" w:hAnsi="Times New Roman"/>
              </w:rPr>
              <w:t xml:space="preserve">Följande upplysningar ska ingå:</w:t>
            </w:r>
          </w:p>
          <w:p w14:paraId="363C45D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översikt över ersättningspolicyns centrala egenskaper och mål, information om den beslutsprocess som används för att fastställa ersättningspolicyn och relevanta intressenters (t.ex. bolagsstämmans) roller.</w:t>
            </w:r>
          </w:p>
          <w:p w14:paraId="415080E8"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Information om vilka kriterier som används för mätning av resultat samt eventuella riskjusteringar i förhand och efterhand;</w:t>
            </w:r>
          </w:p>
          <w:p w14:paraId="486E0D69"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Uppgift om huruvida ledningsorganet och, där en sådan inrättats, ersättningskommittén under det gångna året har granskat institutets ersättningspolicy samt, om så är fallet, en översikt över de eventuella ändringar som införts, skälen till dessa ändringar och ändringarnas inverkan på ersättningen.</w:t>
            </w:r>
          </w:p>
          <w:p w14:paraId="410559C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Information om hur institutet säkerställer att personal inom interna kontrollfunktioner får ersättning oberoende av de verksamheter som de övervakar.</w:t>
            </w:r>
          </w:p>
          <w:p w14:paraId="0551D89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beskrivning av de policyer och kriterier som tillämpas för beviljande av garanterad rörlig ersättning och avgångsvederlag.</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En beskrivning av hur aktuella och framtida risker beaktas i ersättningsprocesserna</w:t>
            </w:r>
            <w:r>
              <w:rPr>
                <w:sz w:val="24"/>
                <w:rFonts w:ascii="Times New Roman" w:hAnsi="Times New Roman"/>
              </w:rPr>
              <w:t xml:space="preserve"> </w:t>
            </w:r>
          </w:p>
          <w:p w14:paraId="5A14C6D4"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Upplysningarna ska omfatta en översikt över de främsta riskerna, hur de mäts och hur dessa åtgärder påverkar ersättningen.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Förhållandet mellan fast och rörlig ersättning angivet i enlighet med artikel 94.1 g i direktiv 2013/36/EU (</w:t>
            </w:r>
            <w:r>
              <w:rPr>
                <w:sz w:val="24"/>
                <w:i/>
                <w:iCs/>
                <w:rFonts w:ascii="Times New Roman" w:hAnsi="Times New Roman"/>
              </w:rPr>
              <w:t xml:space="preserve">kapitalkravsdirektivet</w:t>
            </w:r>
            <w:r>
              <w:rPr>
                <w:sz w:val="24"/>
                <w:rFonts w:ascii="Times New Roman" w:hAnsi="Times New Roman"/>
              </w:rPr>
              <w:t xml:space="preserve">)</w:t>
            </w:r>
            <w:r w:rsidRPr="007F4CC8">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En beskrivning av de sätt på vilka institutet försöker sammankoppla resultaten under en resultatmätningsperiod med ersättningsnivåerna</w:t>
            </w:r>
          </w:p>
          <w:p w14:paraId="2C4FFE4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Följande upplysningar ska ingå:</w:t>
            </w:r>
          </w:p>
          <w:p w14:paraId="13DAA83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översikt över de huvudsakliga resultatkriterierna och resultatindikatorerna för institut, affärsområden och individer.</w:t>
            </w:r>
          </w:p>
          <w:p w14:paraId="4673DEDB"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översikt över hur individuella rörliga ersättningsbelopp kopplas till institutets och den enskildes resultat.</w:t>
            </w:r>
          </w:p>
          <w:p w14:paraId="66395D1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Uppgifter om vilka kriterier för att fastställa avvägningen mellan de olika typer av instrument som beviljas, inklusive aktier eller motsvarande ägarintressen, optioner och andra instrument.</w:t>
            </w:r>
          </w:p>
          <w:p w14:paraId="41B4F38D" w14:textId="77777777" w:rsidR="00965CEB" w:rsidRPr="007F4CC8" w:rsidRDefault="00965CEB" w:rsidP="00965CEB">
            <w:pPr>
              <w:pStyle w:val="ListParagraph"/>
              <w:numPr>
                <w:ilvl w:val="0"/>
                <w:numId w:val="3"/>
              </w:numPr>
              <w:spacing w:before="60" w:after="120"/>
              <w:jc w:val="both"/>
              <w:rPr>
                <w:sz w:val="24"/>
                <w:rFonts w:ascii="Times New Roman" w:hAnsi="Times New Roman"/>
              </w:rPr>
            </w:pPr>
            <w:r>
              <w:rPr>
                <w:sz w:val="24"/>
                <w:rFonts w:ascii="Times New Roman" w:hAnsi="Times New Roman"/>
              </w:rPr>
              <w:t xml:space="preserve">Uppgifter om de åtgärder som vidtas av institutet för att justera den rörliga ersättningen om indikatorerna visar på ett svagt resultat, inklusive institutets kriterier för när resultatindikatorerna ska anses visa på ett ”svagt” resultat.</w:t>
            </w:r>
            <w:r>
              <w:rPr>
                <w:sz w:val="24"/>
                <w:rFonts w:ascii="Times New Roman" w:hAnsi="Times New Roman"/>
              </w:rPr>
              <w:t xml:space="preserve"> </w:t>
            </w:r>
            <w:r>
              <w:rPr>
                <w:sz w:val="24"/>
                <w:rFonts w:ascii="Times New Roman" w:hAnsi="Times New Roman"/>
              </w:rPr>
              <w:t xml:space="preserve">I enlighet med artikel 94.1 n i kapitalkravsdirektivet ska den rörliga ersättningen endast betalas eller erhållas om den är motiverad med utgångspunkt från institutets, affärsenhetens och den berörda personens resultat.</w:t>
            </w:r>
            <w:r>
              <w:rPr>
                <w:sz w:val="24"/>
                <w:rFonts w:ascii="Times New Roman" w:hAnsi="Times New Roman"/>
              </w:rPr>
              <w:t xml:space="preserve"> </w:t>
            </w:r>
            <w:r>
              <w:rPr>
                <w:sz w:val="24"/>
                <w:rFonts w:ascii="Times New Roman" w:hAnsi="Times New Roman"/>
              </w:rPr>
              <w:t xml:space="preserve">Instituten ska förklara de kriterier/tröskelvärden som används för att fastställa att ett resultat är svagt och därmed inte kan motivera att den rörliga ersättningen betalas eller erhålls.</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En beskrivning av hur institutet går tillväga för att justera ersättningen för att ta hänsyn till långsiktiga resultat</w:t>
            </w:r>
          </w:p>
          <w:p w14:paraId="6FD7FDE9"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Följande upplysningar ska ingå:</w:t>
            </w:r>
          </w:p>
          <w:p w14:paraId="4C34D32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En översikt över institutets policy för uppskjuten ersättning, betalning i form av instrument, kvarhållandeperioder och övergång av äganderätt till rörlig ersättning, samt om detta skiljer sig åt mellan personal eller personalkategorier.</w:t>
            </w:r>
          </w:p>
          <w:p w14:paraId="21961ED2"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Uppgifter om institutets kriterier för efterhandsjusteringar (malus under uppskjuten ersättning och återkrav efter övergång av äganderätt, om detta tillåts enligt nationell lagstiftning).</w:t>
            </w:r>
          </w:p>
          <w:p w14:paraId="17291DFB" w14:textId="77777777" w:rsidR="00965CEB" w:rsidRPr="007F4CC8" w:rsidRDefault="00965CEB" w:rsidP="00965CEB">
            <w:pPr>
              <w:pStyle w:val="ListParagraph"/>
              <w:numPr>
                <w:ilvl w:val="0"/>
                <w:numId w:val="3"/>
              </w:numPr>
              <w:spacing w:before="60" w:after="120"/>
              <w:jc w:val="both"/>
              <w:rPr>
                <w:b/>
                <w:sz w:val="24"/>
                <w:szCs w:val="24"/>
                <w:rFonts w:ascii="Times New Roman" w:hAnsi="Times New Roman"/>
              </w:rPr>
            </w:pPr>
            <w:r>
              <w:rPr>
                <w:sz w:val="24"/>
                <w:rFonts w:ascii="Times New Roman" w:hAnsi="Times New Roman"/>
              </w:rPr>
              <w:t xml:space="preserve">I tillämpliga fall, krav på aktieinnehav som kan gälla för identifierad personal.</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 xml:space="preserve">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En beskrivning av de huvudsakliga parametrarna och motiveringen för samtliga förekommande system med rörliga ersättningsdelar och andra, icke-kontanta förmåner i enlighet med vad som avses i artikel 450.1 f i kapitalkravsförordningen.</w:t>
            </w:r>
            <w:r>
              <w:rPr>
                <w:sz w:val="24"/>
                <w:rFonts w:ascii="Times New Roman" w:hAnsi="Times New Roman"/>
              </w:rPr>
              <w:t xml:space="preserve"> </w:t>
            </w:r>
            <w:r>
              <w:rPr>
                <w:sz w:val="24"/>
                <w:rFonts w:ascii="Times New Roman" w:hAnsi="Times New Roman"/>
              </w:rPr>
              <w:t xml:space="preserve">Följande upplysningar ska ingå:</w:t>
            </w:r>
          </w:p>
          <w:p w14:paraId="41EACCD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Uppgifter om vilka särskilda risk-/resultatindikatorer som används för att fastställa rörliga ersättningsdelar och kriterier för att fastställa balansen mellan olika typer av instrument som beviljas, inbegripet aktier, motsvarande ägarintressen, aktierelaterade instrument, likvärdiga icke-kontanta instrument, optioner och andra instrument.</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 xml:space="preserve">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På begäran av den relevanta medlemsstaten eller behöriga myndigheten, den totala ersättningen för varje medlem av ledningsorganet eller den verkställande ledningen, i enlighet med artikel 450.1 j i kapitalkravsförordningen.</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 xml:space="preserve">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Information om huruvida institutet omfattas av ett undantag enligt artikel 94.3 i kapitalkravsdirektivet, i enlighet med artikel 450.1 k i kapitalkravsförordningen.</w:t>
            </w:r>
          </w:p>
          <w:p w14:paraId="43880B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Vid tillämpning av denna punkt ska institut som omfattas av ett sådant undantag ange om det är på grundval av artikel 94.3 a och/eller 94.3 b i kapitalkravsdirektivet.</w:t>
            </w:r>
            <w:r>
              <w:rPr>
                <w:sz w:val="24"/>
                <w:rFonts w:ascii="Times New Roman" w:hAnsi="Times New Roman"/>
              </w:rPr>
              <w:t xml:space="preserve"> </w:t>
            </w:r>
            <w:r>
              <w:rPr>
                <w:sz w:val="24"/>
                <w:rFonts w:ascii="Times New Roman" w:hAnsi="Times New Roman"/>
              </w:rPr>
              <w:t xml:space="preserve">De ska även ange för vilka av ersättningskraven som de tillämpar undantaget/undantagen (dvs. artikel 94.1 l och/eller m och/eller o i kapitalkravsdirektivet), antal anställda som omfattas av undantaget/undantagen och deras totala ersättning, fördelat på fast och rörlig ersättning.</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 xml:space="preserve">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Stora institut ska offentliggöra kvantitativ information om ersättningen till sina gemensamma ledningsorgan, fördelad på verkställande och icke-verkställande medlemmar i enlighet med artikel 450.2 i kapitalkravsförordningen.</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REM1 – Ersättning för räkenskapsåret:</w:t>
      </w:r>
      <w:r>
        <w:rPr>
          <w:color w:val="auto"/>
          <w:sz w:val="24"/>
          <w:b/>
          <w:rFonts w:ascii="Times New Roman" w:hAnsi="Times New Roman"/>
        </w:rPr>
        <w:t xml:space="preserve"> </w:t>
      </w:r>
      <w:r>
        <w:rPr>
          <w:color w:val="auto"/>
          <w:sz w:val="24"/>
          <w:rFonts w:ascii="Times New Roman" w:hAnsi="Times New Roman"/>
        </w:rPr>
        <w:t xml:space="preserve">Fast format</w:t>
      </w:r>
    </w:p>
    <w:p w14:paraId="0B701908"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följa instruktionerna som anges nedan i denna bilaga för att fylla i mall EU REM1 som presenteras i bilaga XXXIII till denna genomförandeförordning, vid tillämpning av artikel 450.1 h (i)–(ii) i kapitalkravsförordningen.</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och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Antal personer som är identifierad personal</w:t>
            </w:r>
          </w:p>
          <w:p w14:paraId="23AE8698"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Antalet anställda vilkas yrkesutövning har väsentlig inverkan på institutets riskprofil i enlighet med artikel 92 i kapitalkravsdirektivet och kommissionens delegerade förordning om identifierad personal</w:t>
            </w:r>
            <w:r w:rsidRPr="007F4CC8">
              <w:rPr>
                <w:rStyle w:val="FootnoteReference"/>
                <w:rFonts w:ascii="Times New Roman" w:hAnsi="Times New Roman" w:cs="Times New Roman"/>
                <w:sz w:val="24"/>
              </w:rPr>
              <w:footnoteReference w:id="3"/>
            </w:r>
            <w:r>
              <w:rPr>
                <w:sz w:val="24"/>
                <w:rFonts w:ascii="Times New Roman" w:hAnsi="Times New Roman"/>
              </w:rPr>
              <w:t xml:space="preserve">, genom vilken artikel 94.2 i kapitalkravsdirektivet (identifierad personal) genomförs, vilka erhåller de ersättningsdelar som förtecknas i denna mall.</w:t>
            </w:r>
            <w:r>
              <w:rPr>
                <w:sz w:val="24"/>
                <w:rFonts w:ascii="Times New Roman" w:hAnsi="Times New Roman"/>
              </w:rPr>
              <w:t xml:space="preserve"> </w:t>
            </w:r>
            <w:r>
              <w:rPr>
                <w:sz w:val="24"/>
                <w:rFonts w:ascii="Times New Roman" w:hAnsi="Times New Roman"/>
              </w:rPr>
              <w:t xml:space="preserve">Antalet identifierad personal ska anges i form av heltidsekvivalenter, med undantag för medlemmar av ledningsorganet, för vilka antalet ska offentliggöras i form av antal personer.</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Sammanlagd fast ersättning</w:t>
            </w:r>
          </w:p>
          <w:p w14:paraId="03654C0F"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Summan av beloppen i raderna 3–7 i denna mall</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kontantbaserad</w:t>
            </w:r>
          </w:p>
          <w:p w14:paraId="1A2351D8"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Det kontanta ersättningsbelopp som ingår i den fasta ersättningen</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aktier eller motsvarande ägarintressen</w:t>
            </w:r>
          </w:p>
          <w:p w14:paraId="14E3789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beloppen för de aktier eller, beroende på det berörda institutets rättsliga struktur, motsvarande ägarintressen, i enlighet med vad som avses i artikel 94.1 l i) i kapitalkravsdirektivet, som ingår i den fasta ersättningen.</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är kopplade till aktier eller likvärdiga icke-kontanta instrument</w:t>
            </w:r>
            <w:r>
              <w:rPr>
                <w:sz w:val="24"/>
                <w:rFonts w:ascii="Times New Roman" w:hAnsi="Times New Roman"/>
              </w:rPr>
              <w:t xml:space="preserve"> </w:t>
            </w:r>
          </w:p>
          <w:p w14:paraId="54EF89ED"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beloppen för de instrument kopplade till aktier eller de likvärdiga icke-kontanta instrument, i enlighet med vad som avses i artikel 94.1 l i) i kapitalkravsdirektivet, som ingår i den fasta ersättningen</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instrument</w:t>
            </w:r>
          </w:p>
          <w:p w14:paraId="06C24EE7"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fasta ersättningen</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former</w:t>
            </w:r>
          </w:p>
          <w:p w14:paraId="35C192C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 belopp av fast ersättning som beviljats för räkenskapsåret i någon annan form än de som offentliggörs på övriga rader under rubriken Sammanlagd fast ersättning</w:t>
            </w:r>
          </w:p>
          <w:p w14:paraId="5E279F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Det kan exempelvis röra sig om proportionella, regelbundna pensionsavsättningar eller förmåner (om sådana förmåner inte är kopplade till några resultatkriterier), i enlighet med vad som avses i skäl 64 i kapitalkravsdirektivet, eller andra former av ersättning, såsom bilersättning.</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Sammanlagd rörlig ersättning</w:t>
            </w:r>
          </w:p>
          <w:p w14:paraId="00FC93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beloppen i raderna 11, EU-13a, EU-13b, EU-14x och 15 i denna mall</w:t>
            </w:r>
          </w:p>
          <w:p w14:paraId="74BA85C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alla de ersättningsdelar som inte är fast ersättning som offentliggörs på rad 2 i denna mall, inbegripet garanterad rörlig ersättning och avgångsvederlag som beviljats under det berörda året.</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kontantbaserad</w:t>
            </w:r>
          </w:p>
          <w:p w14:paraId="2BEE787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Det kontanta ersättningsbelopp som ingår i den rörliga ersättningen</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EU-14a, EU-14b, EU-14y och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uppskjuten</w:t>
            </w:r>
          </w:p>
          <w:p w14:paraId="151C1A05"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Uppskjutna rörliga ersättningsbelopp efter typ av komponent, fastställda i enlighet med artikel 94 i kapitalkravsdirektivet.</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aktier eller motsvarande ägarintressen</w:t>
            </w:r>
          </w:p>
          <w:p w14:paraId="4498A7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beloppen för de aktier eller, beroende på det berörda institutets rättsliga struktur, motsvarande ägarintressen, i enlighet med vad som avses i artikel 94.1 l i) i kapitalkravsdirektivet, som ingår i den rörliga ersättningen.</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är kopplade till aktier eller likvärdiga icke-kontanta instrument</w:t>
            </w:r>
            <w:r>
              <w:rPr>
                <w:sz w:val="24"/>
                <w:rFonts w:ascii="Times New Roman" w:hAnsi="Times New Roman"/>
              </w:rPr>
              <w:t xml:space="preserve"> </w:t>
            </w:r>
          </w:p>
          <w:p w14:paraId="6FA62A3F"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beloppen för de instrument kopplade till aktier eller de likvärdiga icke-kontanta instrument, i enlighet med vad som avses i artikel 94.1 l i) i kapitalkravsdirektivet, som ingår i den rörliga ersättningen</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instrument</w:t>
            </w:r>
          </w:p>
          <w:p w14:paraId="4D8E1D04" w14:textId="77777777" w:rsidR="00965CEB" w:rsidRPr="007F4CC8" w:rsidRDefault="00965CEB" w:rsidP="004F3087">
            <w:pPr>
              <w:autoSpaceDE w:val="0"/>
              <w:autoSpaceDN w:val="0"/>
              <w:adjustRightInd w:val="0"/>
              <w:spacing w:after="120"/>
              <w:jc w:val="both"/>
              <w:rPr>
                <w:b/>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rörliga ersättningen</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former</w:t>
            </w:r>
          </w:p>
          <w:p w14:paraId="236742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 belopp av rörlig ersättning som beviljats för räkenskapsåret i någon annan form än de som offentliggörs på övriga rader under rubriken Rörlig ersättning</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Sammanlagd ersättning</w:t>
            </w:r>
          </w:p>
          <w:p w14:paraId="7D746BF1"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Summan av beloppen på raderna 2 och 10 i denna mall.</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Ledningsorgan med tillsynsfunktion</w:t>
            </w:r>
          </w:p>
          <w:p w14:paraId="5B08524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w:t>
            </w:r>
            <w:r>
              <w:rPr>
                <w:sz w:val="24"/>
                <w:rFonts w:ascii="Times New Roman" w:hAnsi="Times New Roman"/>
              </w:rPr>
              <w:t xml:space="preserve"> </w:t>
            </w:r>
          </w:p>
          <w:p w14:paraId="69498C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information baserat på antalet personer.</w:t>
            </w:r>
            <w:r>
              <w:rPr>
                <w:sz w:val="24"/>
                <w:rFonts w:ascii="Times New Roman" w:hAnsi="Times New Roman"/>
              </w:rPr>
              <w:t xml:space="preserve"> </w:t>
            </w:r>
          </w:p>
          <w:p w14:paraId="45A26C8B"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 enlighet med artikel 13 i kapitalkravsförordningen ska moderinstitut inom EU offentliggöra denna information på grundval av sin konsoliderade situation, medan stora dotterföretag till moderinstitut inom EU ska offentliggöra informationen på individuell nivå eller, i tillämpliga fall, i enlighet med nämnda förordning och kapitalkravsdirektivet, på undergruppsnivå.</w:t>
            </w:r>
            <w:r>
              <w:rPr>
                <w:sz w:val="24"/>
                <w:rFonts w:ascii="Times New Roman" w:hAnsi="Times New Roman"/>
              </w:rPr>
              <w:t xml:space="preserve"> </w:t>
            </w:r>
            <w:r>
              <w:rPr>
                <w:sz w:val="24"/>
                <w:rFonts w:ascii="Times New Roman" w:hAnsi="Times New Roman"/>
              </w:rPr>
              <w:t xml:space="preserve">Den enhet som offentliggör informationen anger i denna kolumn information om enhetens ledningsorgan.</w:t>
            </w:r>
            <w:r>
              <w:rPr>
                <w:sz w:val="24"/>
                <w:rFonts w:ascii="Times New Roman" w:hAnsi="Times New Roman"/>
              </w:rPr>
              <w:t xml:space="preserve"> </w:t>
            </w:r>
            <w:r>
              <w:rPr>
                <w:sz w:val="24"/>
                <w:rFonts w:ascii="Times New Roman" w:hAnsi="Times New Roman"/>
              </w:rPr>
              <w:t xml:space="preserve">Om informationen i enlighet med artiklarna 6 och 13 i kapitalkravsförordningen offentliggörs på grupp- eller undergruppsnivå ska information om identifierad personal i dotterföretagens ledningsorgan offentliggöras under respektive verksamhetsområde</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Ledningsorgan med förvaltande funktion</w:t>
            </w:r>
            <w:r>
              <w:rPr>
                <w:sz w:val="24"/>
                <w:rFonts w:ascii="Times New Roman" w:hAnsi="Times New Roman"/>
              </w:rPr>
              <w:t xml:space="preserve"> </w:t>
            </w:r>
          </w:p>
          <w:p w14:paraId="286AC6E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Medlemmar i ledningsorganet som ansvarar för dess förvaltningsfunktioner</w:t>
            </w:r>
          </w:p>
          <w:p w14:paraId="235DAD7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information baserat på antalet personer.</w:t>
            </w:r>
          </w:p>
          <w:p w14:paraId="5BD4796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information baserat på antalet personer.</w:t>
            </w:r>
            <w:r>
              <w:rPr>
                <w:sz w:val="24"/>
                <w:rFonts w:ascii="Times New Roman" w:hAnsi="Times New Roman"/>
              </w:rPr>
              <w:t xml:space="preserve"> </w:t>
            </w:r>
            <w:r>
              <w:rPr>
                <w:sz w:val="24"/>
                <w:rFonts w:ascii="Times New Roman" w:hAnsi="Times New Roman"/>
              </w:rPr>
              <w:t xml:space="preserve">I enlighet med artikel 13 i kapitalkravsförordningen.</w:t>
            </w:r>
            <w:r>
              <w:rPr>
                <w:sz w:val="24"/>
                <w:rFonts w:ascii="Times New Roman" w:hAnsi="Times New Roman"/>
              </w:rPr>
              <w:t xml:space="preserve"> </w:t>
            </w:r>
            <w:r>
              <w:rPr>
                <w:sz w:val="24"/>
                <w:rFonts w:ascii="Times New Roman" w:hAnsi="Times New Roman"/>
              </w:rPr>
              <w:t xml:space="preserve">Moderinstitut inom EU ska offentliggöra denna information på grundval av sin konsoliderade situation, medan stora dotterföretag till moderinstitut inom EU ska offentliggöra informationen på individuell nivå eller, i tillämpliga fall, i enlighet med nämnda förordning och kapitalkravsdirektivet, på undergruppsnivå. Den enhet som offentliggör informationen anger i denna kolumn information om enhetens ledningsorgan.</w:t>
            </w:r>
            <w:r>
              <w:rPr>
                <w:sz w:val="24"/>
                <w:rFonts w:ascii="Times New Roman" w:hAnsi="Times New Roman"/>
              </w:rPr>
              <w:t xml:space="preserve"> </w:t>
            </w:r>
            <w:r>
              <w:rPr>
                <w:sz w:val="24"/>
                <w:rFonts w:ascii="Times New Roman" w:hAnsi="Times New Roman"/>
              </w:rPr>
              <w:t xml:space="preserve">Om informationen i enlighet med artiklarna 6 och 13 i kapitalkravsförordningen offentliggörs på grupp- eller undergruppsnivå ska information om identifierad personal i dotterföretagens ledningsorgan offentliggöras under respektive verksamhetsområde</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Annan verkställande ledning</w:t>
            </w:r>
          </w:p>
          <w:p w14:paraId="43B1CA8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p>
          <w:p w14:paraId="16B3B8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w:t>
            </w:r>
            <w:r>
              <w:rPr>
                <w:sz w:val="24"/>
                <w:rFonts w:ascii="Times New Roman" w:hAnsi="Times New Roman"/>
              </w:rPr>
              <w:t xml:space="preserve"> </w:t>
            </w:r>
            <w:r>
              <w:rPr>
                <w:sz w:val="24"/>
                <w:rFonts w:ascii="Times New Roman" w:hAnsi="Times New Roman"/>
              </w:rPr>
              <w:t xml:space="preserve">Instituten ska offentliggöra information baserat på antalet heltidsekvivalenter.</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Annan identifierad personal</w:t>
            </w:r>
          </w:p>
          <w:p w14:paraId="6ECAE4F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Annan personal än den som tillhör kategorierna ledningsorgan med tillsynsfunktion, ledningsorgan med förvaltande 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r>
              <w:rPr>
                <w:sz w:val="24"/>
                <w:rFonts w:ascii="Times New Roman" w:hAnsi="Times New Roman"/>
              </w:rPr>
              <w:t xml:space="preserve"> </w:t>
            </w:r>
          </w:p>
          <w:p w14:paraId="78BEE2A5"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uppdelning per affärsområde som anges i mallen EU REM5 kan också inkluderas i den här mallen.</w:t>
            </w:r>
            <w:r>
              <w:rPr>
                <w:sz w:val="24"/>
                <w:rFonts w:ascii="Times New Roman" w:hAnsi="Times New Roman"/>
              </w:rPr>
              <w:t xml:space="preserve"> </w:t>
            </w:r>
            <w:r>
              <w:rPr>
                <w:sz w:val="24"/>
                <w:rFonts w:ascii="Times New Roman" w:hAnsi="Times New Roman"/>
              </w:rPr>
              <w:t xml:space="preserve">Instituten ska offentliggöra information baserat på antalet heltidsekvivalenter.</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Mall EU REM2 – Specialutbetalningar till personal vars yrkesutövning har en väsentlig inverkan på institutens riskprofil (identifierad personal)</w:t>
      </w:r>
      <w:r>
        <w:rPr>
          <w:color w:val="auto"/>
          <w:sz w:val="24"/>
          <w:b/>
          <w:rFonts w:ascii="Times New Roman" w:hAnsi="Times New Roman"/>
        </w:rPr>
        <w:t xml:space="preserve"> </w:t>
      </w:r>
      <w:r>
        <w:rPr>
          <w:color w:val="auto"/>
          <w:sz w:val="24"/>
          <w:rFonts w:ascii="Times New Roman" w:hAnsi="Times New Roman"/>
        </w:rPr>
        <w:t xml:space="preserve">Fast format</w:t>
      </w:r>
    </w:p>
    <w:p w14:paraId="031B19E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den information som avses i artikel 450.1 h v–vii i kapitalkravsförordningen genom att i enlighet med de instruktioner som ges nedan i denna bilaga fylla i mall EU REM2, vilken återfinns i bilaga XXXIII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 xml:space="preserve">1, 4 och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Antal personer som är identifierad personal</w:t>
            </w:r>
          </w:p>
          <w:p w14:paraId="50587A1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Antalet personer som är identifierad personal vilkas yrkesutövning har väsentlig inverkan på institutets riskprofil i enlighet med artikel 92 i kapitalkravsdirektivet och kommissionens delegerade förordning om identifierad personal, genom vilken artikel 94.2 i kapitalkravsdirektivet genomförs, för var och en av de specifika ersättningsdelarna</w:t>
            </w:r>
          </w:p>
          <w:p w14:paraId="6D4FEBDD"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För kolumnerna a och b i denna mall (ledningsorgan) ska värdet anges i antal personer.</w:t>
            </w:r>
            <w:r>
              <w:rPr>
                <w:sz w:val="24"/>
                <w:rFonts w:ascii="Times New Roman" w:hAnsi="Times New Roman"/>
              </w:rPr>
              <w:t xml:space="preserve"> </w:t>
            </w:r>
            <w:r>
              <w:rPr>
                <w:sz w:val="24"/>
                <w:rFonts w:ascii="Times New Roman" w:hAnsi="Times New Roman"/>
              </w:rPr>
              <w:t xml:space="preserve">För kolumnerna c och d i mallen ska värdet anges i heltidsekvivalenter.</w:t>
            </w:r>
          </w:p>
          <w:p w14:paraId="2E1869A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Rad 4 i denna mall avser avgångsvederlag som beviljats under föregående perioder och utbetalats under räkenskapsåret (innevarande år), medan rad 6 i denna mall avser beviljanden under räkenskapsåret (innevarande år).</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Beviljande av garanterad rörlig ersättning – sammanlagt belopp</w:t>
            </w:r>
          </w:p>
          <w:p w14:paraId="6D0F7C1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belopp som beviljats i garanterad rörlig ersättning i den mening som avses i artikel 94.1 e i kapitalkravsdirektivet.</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varav garanterad rörlig ersättning som betalats ut under räkenskapsåret och som inte medräknas i bonustaket</w:t>
            </w:r>
          </w:p>
          <w:p w14:paraId="35D0912A"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Belopp för garanterad rörlig ersättning i den mening som avses i artikel 94.1 e i kapitalkravsdirektivet som betalats ut under räkenskapsåret (innevarande år) och som inte medräknas i bonustaket</w:t>
            </w:r>
          </w:p>
          <w:p w14:paraId="1D5DC4D6"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Avseende den offentliggjorda information som avses i artikel 450.1 g och h v–vi i kapitalkravsförordningen ska instituten tydligt uppge huruvida de aggregerade kvantitativa uppgifterna om ersättningar, uppdelade per affärsområde, avspeglar bonustaket när det finns betalningar i samband med nyanställningar och avgångsvederlag i bilden.</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Avgångsvederlag som beviljats under föregående perioder och betalats ut under räkenskapsåret – sammanlagt belopp</w:t>
            </w:r>
          </w:p>
          <w:p w14:paraId="6BDFFBCB"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föregående perioder och betalats ut under räkenskapsåret (innevarande år)</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Avgångsvederlag som beviljats under räkenskapsåret – sammanlagt belopp</w:t>
            </w:r>
          </w:p>
          <w:p w14:paraId="370D85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räkenskapsåret (innevarande år)</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varav avgångsvederlag som beviljats under räkenskapsåret – utbetalda under räkenskapsåret</w:t>
            </w:r>
          </w:p>
          <w:p w14:paraId="75DA4E0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Det belopp som beviljats i avgångsvederlag i den mening som avses i artikel 94.1 h i kapitalkravsdirektivet under räkenskapsåret och som också har betalats ut under räkenskapsåret</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varav avgångsvederlag som beviljats under räkenskapsåret – uppskjutna</w:t>
            </w:r>
          </w:p>
          <w:p w14:paraId="2B8A3E3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räkenskapsåret och som skjutits upp, efter fastställande i enlighet med artikel 94 i kapitalkravsdirektivet.</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varav avgångsvederlag som betalats ut under räkenskapsåret och som inte medräknas i bonustaket</w:t>
            </w:r>
          </w:p>
          <w:p w14:paraId="3020E32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Belopp för avgångsvederlag i den mening som avses i artikel 94.1 h i kapitalkravsdirektivet som betalats ut under räkenskapsåret och som inte medräknas i bonustaket</w:t>
            </w:r>
          </w:p>
          <w:p w14:paraId="78B7D63D"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Avseende den offentliggjorda information som avses i artikel 450.1 g och h v–vi i kapitalkravsförordningen ska instituten tydligt uppge huruvida de aggregerade kvantitativa uppgifterna om ersättningar, uppdelade per affärsområde, avspeglar bonustaket när det finns betalningar i samband med nyanställningar och avgångsvederlag i bilden.</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varav avgångsvederlag som betalats ut under räkenskapsåret – högsta avgångsvederlag som beviljats en enskild person</w:t>
            </w:r>
          </w:p>
          <w:p w14:paraId="69C2783A"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Det högsta belopp som beviljats en enskild person i avgångsvederlag i den mening som avses i artikel 94.1 h i kapitalkravsdirektivet under räkenskapsåret.</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Förklaring</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tillsynsfunktion</w:t>
            </w:r>
          </w:p>
          <w:p w14:paraId="3734590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 (Antal personer)</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förvaltande funktion</w:t>
            </w:r>
          </w:p>
          <w:p w14:paraId="1A03D44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Medlemmar i ledningsorganet som ansvarar för dess förvaltningsfunktioner (Antal personer)</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Annan verkställande ledning</w:t>
            </w:r>
          </w:p>
          <w:p w14:paraId="1598A2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p>
          <w:p w14:paraId="1B942BBE"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 (heltidsekvivalenter).</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Annan identifierad personal</w:t>
            </w:r>
          </w:p>
          <w:p w14:paraId="01528962"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Annan personal än den som tillhör kategorierna ledningsorgan med tillsynsfunktion, ledningsorgan med förvaltande 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p>
          <w:p w14:paraId="566D1319"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Den uppdelning per affärsområde som anges i mallen EU REM5 kan också inkluderas i den här mallen (heltidsekvivalenter).</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Mall EU REM3 – Uppskjuten ersättning:</w:t>
      </w:r>
      <w:r>
        <w:rPr>
          <w:color w:val="auto"/>
          <w:sz w:val="24"/>
          <w:b/>
          <w:rFonts w:ascii="Times New Roman" w:hAnsi="Times New Roman"/>
        </w:rPr>
        <w:t xml:space="preserve"> </w:t>
      </w:r>
      <w:r>
        <w:rPr>
          <w:color w:val="auto"/>
          <w:sz w:val="24"/>
          <w:rFonts w:ascii="Times New Roman" w:hAnsi="Times New Roman"/>
        </w:rPr>
        <w:t xml:space="preserve">Fast format</w:t>
      </w:r>
    </w:p>
    <w:p w14:paraId="2F3BCD0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den information som avses i artikel 450.1 h iii–iv i kapitalkravsförordningen genom att i enlighet med de instruktioner som ges nedan i denna bilaga fylla i mall EU REM3, vilken återfinns i bilaga XXXIII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tillsynsfunktion</w:t>
            </w:r>
          </w:p>
          <w:p w14:paraId="42F62B7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w:t>
            </w:r>
          </w:p>
          <w:p w14:paraId="78EE110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Summan av beloppen på raderna 2, 3, 4, 5 och 6 i denna mall</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 xml:space="preserve">2, 8, 14 och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Kontantbaserad</w:t>
            </w:r>
          </w:p>
          <w:p w14:paraId="0BC40D8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kontanta ersättningsbelopp som ingår i den rörliga ersättningen</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 xml:space="preserve">3, 9, 15 och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Aktier eller motsvarande ägarintressen</w:t>
            </w:r>
            <w:r>
              <w:rPr>
                <w:b/>
                <w:sz w:val="24"/>
                <w:rFonts w:ascii="Times New Roman" w:hAnsi="Times New Roman"/>
              </w:rPr>
              <w:t xml:space="preserve"> </w:t>
            </w:r>
          </w:p>
          <w:p w14:paraId="4B63188A" w14:textId="77777777" w:rsidR="00965CEB" w:rsidRPr="007F4CC8" w:rsidRDefault="00965CEB" w:rsidP="004F3087">
            <w:pPr>
              <w:spacing w:before="60" w:after="120"/>
              <w:jc w:val="both"/>
              <w:rPr>
                <w:b/>
                <w:sz w:val="24"/>
                <w:rFonts w:ascii="Times New Roman" w:hAnsi="Times New Roman"/>
              </w:rPr>
            </w:pPr>
            <w:r>
              <w:rPr>
                <w:sz w:val="24"/>
                <w:rFonts w:ascii="Times New Roman" w:hAnsi="Times New Roman"/>
              </w:rPr>
              <w:t xml:space="preserve">Summan av beloppen för de aktier eller, beroende på det berörda institutets rättsliga struktur, motsvarande ägarintressen, i enlighet med vad som avses i artikel 94.1 l i) i kapitalkravsdirektivet, som ingår i den rörliga ersättningen.</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 xml:space="preserve">4, 10, 16 och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Instrument som är kopplade till aktier eller likvärdiga icke-kontanta instrument</w:t>
            </w:r>
            <w:r>
              <w:rPr>
                <w:b/>
                <w:sz w:val="24"/>
                <w:rFonts w:ascii="Times New Roman" w:hAnsi="Times New Roman"/>
              </w:rPr>
              <w:t xml:space="preserve"> </w:t>
            </w:r>
          </w:p>
          <w:p w14:paraId="362CEB2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beloppen för de instrument kopplade till aktier eller de likvärdiga icke-kontanta instrument, i enlighet med vad som avses i artikel 94.1 l i) i kapitalkravsdirektivet, som ingår i den rörliga ersättningen</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 xml:space="preserve">5, 11, 17 och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Andra instrument</w:t>
            </w:r>
          </w:p>
          <w:p w14:paraId="4C0BEEE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rörliga ersättningen</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 xml:space="preserve">6, 12, 18 och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Andra former</w:t>
            </w:r>
          </w:p>
          <w:p w14:paraId="05DE9AE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Rörlig ersättning utöver de belopp som offentliggörs på raderna ”Kontantbaserad”, ”Aktier eller, beroende på det berörda institutets rättsliga struktur, motsvarande ägarintressen eller instrument som är kopplade till aktier eller likvärdiga icke-kontanta instrument” och ”Andra instrument”</w:t>
            </w:r>
          </w:p>
          <w:p w14:paraId="47E931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Det kan exempelvis röra sig om proportionella, regelbundna pensionsavsättningar eller förmåner (om sådana förmåner inte är kopplade till några resultatkriterier), i enlighet med vad som avses i skäl 64 i kapitalkravsdirektivet, eller andra former av ersättning, såsom bilersättning.</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förvaltande funktion</w:t>
            </w:r>
            <w:r>
              <w:rPr>
                <w:b/>
                <w:sz w:val="24"/>
                <w:rFonts w:ascii="Times New Roman" w:hAnsi="Times New Roman"/>
              </w:rPr>
              <w:t xml:space="preserve"> </w:t>
            </w:r>
          </w:p>
          <w:p w14:paraId="7D897A2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 medlemmar i ledningsorganet som ansvarar för dess förvaltningsfunktioner,</w:t>
            </w:r>
            <w:r>
              <w:rPr>
                <w:sz w:val="24"/>
                <w:rFonts w:ascii="Times New Roman" w:hAnsi="Times New Roman"/>
              </w:rPr>
              <w:t xml:space="preserve"> </w:t>
            </w:r>
            <w:r>
              <w:rPr>
                <w:sz w:val="24"/>
                <w:rFonts w:ascii="Times New Roman" w:hAnsi="Times New Roman"/>
              </w:rPr>
              <w:t xml:space="preserve">summan av beloppen på raderna 8, 9, 10, 11 och 12 i denna mall</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Annan verkställande ledning</w:t>
            </w:r>
          </w:p>
          <w:p w14:paraId="015BE95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r>
              <w:rPr>
                <w:sz w:val="24"/>
                <w:rFonts w:ascii="Times New Roman" w:hAnsi="Times New Roman"/>
              </w:rPr>
              <w:t xml:space="preserve"> </w:t>
            </w:r>
            <w:r>
              <w:rPr>
                <w:sz w:val="24"/>
                <w:rFonts w:ascii="Times New Roman" w:hAnsi="Times New Roman"/>
              </w:rPr>
              <w:t xml:space="preserve">summan av beloppen på raderna 14, 15, 16, 17 och 18 i denna mall</w:t>
            </w:r>
          </w:p>
          <w:p w14:paraId="3E12A111"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Annan identifierad personal</w:t>
            </w:r>
          </w:p>
          <w:p w14:paraId="1561B7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Annan personal än den som tillhör kategorierna ledningsorgan med tillsynsfunktion, ledningsorgan med förvaltande 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r>
              <w:rPr>
                <w:sz w:val="24"/>
                <w:rFonts w:ascii="Times New Roman" w:hAnsi="Times New Roman"/>
              </w:rPr>
              <w:t xml:space="preserve"> </w:t>
            </w:r>
            <w:r>
              <w:rPr>
                <w:sz w:val="24"/>
                <w:rFonts w:ascii="Times New Roman" w:hAnsi="Times New Roman"/>
              </w:rPr>
              <w:t xml:space="preserve">summan av beloppen på raderna 20, 21, 22, 23 och 24 i denna mall</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Sammanlagt belopp</w:t>
            </w:r>
          </w:p>
          <w:p w14:paraId="70B531D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Summan av beloppen i raderna 1, 7, 13 och 19 i denna mall</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b/>
                <w:color w:val="000000"/>
                <w:sz w:val="24"/>
                <w:rFonts w:ascii="Times New Roman" w:hAnsi="Times New Roman"/>
              </w:rPr>
            </w:pPr>
            <w:r>
              <w:rPr>
                <w:b/>
                <w:sz w:val="24"/>
                <w:rFonts w:ascii="Times New Roman" w:hAnsi="Times New Roman"/>
              </w:rPr>
              <w:t xml:space="preserve">Sammanlagt uppskjutet ersättningsbelopp som beviljats för tidigare resultatperioder</w:t>
            </w:r>
          </w:p>
          <w:p w14:paraId="7D355FC1"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Uppskjutet ersättningsbelopp, såsom detta fastställts i enlighet med artikel 94 i kapitalkravsdirektivet, som beviljats för tidigare resultatperioder (summan av beloppen i kolumnerna b och c i denna mall)</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Varav belopp där äganderätten övergår under räkenskapsåret</w:t>
            </w:r>
          </w:p>
          <w:p w14:paraId="1877D636"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Uppskjutet ersättningsbelopp som beviljats för tidigare resultatperioder, såsom detta fastställts i enlighet med artikel 94 i kapitalkravsdirektivet, där äganderätten övergår under räkenskapsåret</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Varav belopp där äganderätten övergår under de påföljande räkenskapsåren</w:t>
            </w:r>
          </w:p>
          <w:p w14:paraId="41D97AF8"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Uppskjutet ersättningsbelopp som beviljats för tidigare resultatperioder, såsom detta fastställts i enlighet med artikel 94 i kapitalkravsdirektivet, där äganderätten övergår under de påföljande räkenskapsåren</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Belopp för resultatjustering som gjorts under räkenskapsåret av uppskjuten ersättning där äganderätten skulle övergå under räkenskapsåret</w:t>
            </w:r>
          </w:p>
          <w:p w14:paraId="1571AC97"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Belopp för resultatjusteringar av uppskjuten ersättning, såsom denna fastställts i enlighet med artikel 94 i kapitalkravsdirektivet, där äganderätten skulle övergå under räkenskapsåret</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Belopp för resultatjustering som gjorts under räkenskapsåret av uppskjuten ersättning där äganderätten skulle övergå under de påföljande räkenskapsåren</w:t>
            </w:r>
          </w:p>
          <w:p w14:paraId="2D3814D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Belopp för resultatjusteringar av uppskjuten ersättning, såsom denna fastställts i enlighet med artikel 94 i kapitalkravsdirektivet, där äganderätten skulle övergå under de påföljande resultatåren</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Sammanlagt belopp för justeringar under räkenskapsåret till följd av implicita efterhandsjusteringar under räkenskapsåret (dvs. ändrat värde av uppskjuten ersättning på grund av ändrade priser på instrument)</w:t>
            </w:r>
          </w:p>
          <w:p w14:paraId="6472C5F0"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I relevanta fall: bästa möjliga uppskattning av förändringen i värde under räkenskapsåret till följd av implicita efterhandsjusteringar, såsom ändrat värde av uppskjuten ersättning på grund av ändrade priser på instrument.</w:t>
            </w:r>
            <w:r>
              <w:rPr>
                <w:sz w:val="24"/>
                <w:rFonts w:ascii="Times New Roman" w:hAnsi="Times New Roman"/>
              </w:rPr>
              <w:t xml:space="preser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 xml:space="preserve">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Sammanlagt belopp för uppskjuten ersättning som beviljats före räkenskapsåret och som faktiskt betalats ut under räkenskapsåret</w:t>
            </w:r>
          </w:p>
          <w:p w14:paraId="711625D8"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Det uppskjutna ersättningsbelopp, såsom detta fastställts i enlighet med artikel 94 i kapitalkravsdirektivet, som har betalats ut under räkenskapsåret</w:t>
            </w:r>
          </w:p>
          <w:p w14:paraId="79B6CE2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Så snart äganderätten för uppskjuten ersättning har övergått ska den betraktas som utbetalad.</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 xml:space="preserve">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b/>
                <w:sz w:val="24"/>
                <w:rFonts w:ascii="Times New Roman" w:hAnsi="Times New Roman"/>
              </w:rPr>
            </w:pPr>
            <w:r>
              <w:rPr>
                <w:b/>
                <w:sz w:val="24"/>
                <w:rFonts w:ascii="Times New Roman" w:hAnsi="Times New Roman"/>
              </w:rPr>
              <w:t xml:space="preserve">Sammanlagt belopp för uppskjuten ersättning som beviljats för en tidigare resultatperiod där äganderätten har övergått men som omfattas av kvarhållandeperioder</w:t>
            </w:r>
          </w:p>
          <w:p w14:paraId="64A6D4B4"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Uppskjutet ersättningsbelopp som beviljats för tidigare resultatperioder där äganderätten har övergått men som omfattas av kvarhållandeperioder, som fastställts i enlighet med artikel 94 i kapitalkravsdirektivet</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REM4 – Ersättning på 1 miljon euro eller mer per år:</w:t>
      </w:r>
      <w:r>
        <w:rPr>
          <w:color w:val="auto"/>
          <w:sz w:val="24"/>
          <w:b/>
          <w:rFonts w:ascii="Times New Roman" w:hAnsi="Times New Roman"/>
        </w:rPr>
        <w:t xml:space="preserve"> </w:t>
      </w:r>
      <w:r>
        <w:rPr>
          <w:color w:val="auto"/>
          <w:sz w:val="24"/>
          <w:rFonts w:ascii="Times New Roman" w:hAnsi="Times New Roman"/>
        </w:rPr>
        <w:t xml:space="preserve">Fast format</w:t>
      </w:r>
    </w:p>
    <w:p w14:paraId="6DEF9BC5"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den information som avses i artikel 450.1 i) i kapitalkravsförordningen genom att följa de instruktioner som ges nedan i denna bilaga för att fylla i mallen EU REM4, vilken återfinns i bilaga XXXIII till denna genomförandeförordning.</w:t>
      </w:r>
    </w:p>
    <w:p w14:paraId="1C37B7B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Uppgifterna ska anges i euro vid räkenskapsårets utgång. Alla belopp ska anges som fullständiga belopp i euro, dvs. inte som avrundade belopp (t.ex. 1 234 567 euro, i stället för 1,2 miljoner euro).</w:t>
      </w:r>
      <w:r>
        <w:rPr>
          <w:color w:val="auto"/>
          <w:sz w:val="24"/>
          <w:rFonts w:ascii="Times New Roman" w:hAnsi="Times New Roman"/>
        </w:rPr>
        <w:t xml:space="preserve"> </w:t>
      </w:r>
      <w:r>
        <w:rPr>
          <w:color w:val="auto"/>
          <w:sz w:val="24"/>
          <w:rFonts w:ascii="Times New Roman" w:hAnsi="Times New Roman"/>
        </w:rPr>
        <w:t xml:space="preserve">Om ersättningen är i en annan valuta än euro ska den valutakurs som kommissionen använder för budgetplanering och budget för månaden december under rapporteringsåret användas för omräkning av de siffror som ska offentliggöras.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Ersättning på mellan 1 och 5 miljoner euro per räkenskapsår, uppdelat i intervall om 500 000 euro</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Ersättning på över 5 miljoner euro per räkenskapsår, uppdelat i intervall om 1 miljon euro</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Förklaring</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Uppgifter om identifierad personal som får en ersättning på minst 1 miljon euro per räkenskapsår</w:t>
            </w:r>
          </w:p>
          <w:p w14:paraId="760880E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offentliggöra information baserat på antalet personer.</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REM5 – Information om ersättning till personal vars yrkesutövning har en väsentlig inverkan på institutens riskprofil (identifierad personal):</w:t>
      </w:r>
      <w:r>
        <w:rPr>
          <w:color w:val="auto"/>
          <w:sz w:val="24"/>
          <w:b/>
          <w:rFonts w:ascii="Times New Roman" w:hAnsi="Times New Roman"/>
        </w:rPr>
        <w:t xml:space="preserve"> </w:t>
      </w:r>
      <w:r>
        <w:rPr>
          <w:color w:val="auto"/>
          <w:sz w:val="24"/>
          <w:rFonts w:ascii="Times New Roman" w:hAnsi="Times New Roman"/>
        </w:rPr>
        <w:t xml:space="preserve">Fast format</w:t>
      </w:r>
    </w:p>
    <w:p w14:paraId="247BF82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den information som avses i artikel 450.1 g i kapitalkravsförordningen genom att följa de instruktioner som ges nedan i denna bilaga för att fylla i mallen EU REM5, vilken återfinns i bilaga XXXIII till denna genomförandeförordning.</w:t>
      </w:r>
    </w:p>
    <w:p w14:paraId="42ECBD7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Avseende kolumnerna med uppdelning per affärsområde ska all utlåning, inbegripet kapitalmarknadsutlåning, ingå i privatutlåning.</w:t>
      </w:r>
      <w:r>
        <w:rPr>
          <w:color w:val="auto"/>
          <w:sz w:val="24"/>
          <w:rFonts w:ascii="Times New Roman" w:hAnsi="Times New Roman"/>
        </w:rPr>
        <w:t xml:space="preserve"> </w:t>
      </w:r>
      <w:r>
        <w:rPr>
          <w:color w:val="auto"/>
          <w:sz w:val="24"/>
          <w:rFonts w:ascii="Times New Roman" w:hAnsi="Times New Roman"/>
        </w:rPr>
        <w:t xml:space="preserve">För investmentbanktjänster ska företagsfinansiering och handel och finansförvaltning ingå.</w:t>
      </w:r>
      <w:r>
        <w:rPr>
          <w:color w:val="auto"/>
          <w:sz w:val="24"/>
          <w:rFonts w:ascii="Times New Roman" w:hAnsi="Times New Roman"/>
        </w:rPr>
        <w:t xml:space="preserve"> </w:t>
      </w:r>
      <w:r>
        <w:rPr>
          <w:color w:val="auto"/>
          <w:sz w:val="24"/>
          <w:rFonts w:ascii="Times New Roman" w:hAnsi="Times New Roman"/>
        </w:rPr>
        <w:t xml:space="preserve">För ytterligare vägledning om vilka verksamheter som ingår i dessa affärsområden, se den tabell i artikel 317 i kapitalkravsförordningen där affärsområdena enligt schablonmetoden för operativ risk anges.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Rättsliga hänvisningar och instruktioner</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Totalt antal personer som är identifierad personal</w:t>
            </w:r>
          </w:p>
          <w:p w14:paraId="2278F4D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Personal vars yrkesutövning har en väsentlig inverkan på institutens riskprofil (identifierad personal) vid ett institut och dess dotterföretag, inbegripet dotterföretag som inte omfattas av kapitalkravsdirektivet, och alla medlemmar i deras respektive ledningsorgan</w:t>
            </w:r>
          </w:p>
          <w:p w14:paraId="15553C4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Värdet ska offentliggöras i form av heltidsekvivalenter.</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medlemmar i ledningsorganet</w:t>
            </w:r>
          </w:p>
          <w:p w14:paraId="626C0F05"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Antal medlemmar i respektive ledningsorgan med tillsynsfunktion och med förvaltande funktion samt i hela ledningsorganet</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annan verkställande ledning</w:t>
            </w:r>
          </w:p>
          <w:p w14:paraId="1F28E03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Annan personal än medlemmarna i ledningsorganet som tillhör den verkställande ledningen enligt definitionen i artikel 3.1.9 i kapitalkravsdirektivet</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annan identifierad personal</w:t>
            </w:r>
          </w:p>
          <w:p w14:paraId="110712E4" w14:textId="77777777" w:rsidR="00965CEB" w:rsidRPr="007F4CC8" w:rsidRDefault="00965CEB" w:rsidP="004F3087">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Annan personal än de som är medlemmar i ledningsorganet eller tillhör den verkställande ledningen,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Sammanlagd ersättning till identifierad personal</w:t>
            </w:r>
          </w:p>
          <w:p w14:paraId="393FC23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Sammanlagd ersättning ska avse alla former av fast och rörlig ersättning och ska innefatta utbetalningar och förmåner, monetära eller icke-monetära, som beviljas direkt till personal av institut, eller för instituts räkning, i utbyte mot professionella tjänster som personalen utför, utbetalningar av carried interest i den mening som avses i artikel 4.1 d i direktiv 2011/61/EU</w:t>
            </w:r>
            <w:r>
              <w:rPr>
                <w:rStyle w:val="FootnoteReference"/>
                <w:rFonts w:cs="Times New Roman"/>
              </w:rPr>
              <w:footnoteReference w:id="4"/>
            </w:r>
            <w:r>
              <w:rPr>
                <w:sz w:val="24"/>
                <w:rFonts w:ascii="Times New Roman" w:hAnsi="Times New Roman"/>
              </w:rPr>
              <w:t xml:space="preserve">, och andra utbetalningar med metoder och instrument som, om de inte betraktades som ersättning, skulle innebära ett kringgående av ersättningskraven i kapitalkravsdirektivet.</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rörlig ersättning</w:t>
            </w:r>
          </w:p>
          <w:p w14:paraId="4089EA4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alla de ersättningsdelar som inte är fast ersättning som redovisas på rad 7 i denna mall.</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fast ersättning</w:t>
            </w:r>
          </w:p>
          <w:p w14:paraId="6D2B67C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betrakta ersättning som fast när villkoren för att bevilja den och beloppet för den</w:t>
            </w:r>
            <w:r>
              <w:rPr>
                <w:sz w:val="24"/>
                <w:rFonts w:ascii="Times New Roman" w:hAnsi="Times New Roman"/>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baseras på i förväg fastställda kriterier,</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är icke-diskretionära och avspeglar den anställdes yrkeserfarenhet och tjänsteår,</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är transparenta i fråga om det enskilda belopp som beviljas den enskilde anställde,</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är permanenta, dvs. upprätthålls över en period som är knuten till den specifika rollen och de specifika ansvarsområdena i organisationen,</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inte går att återkalla,</w:t>
            </w:r>
            <w:r>
              <w:rPr>
                <w:sz w:val="24"/>
                <w:rFonts w:ascii="Times New Roman" w:hAnsi="Times New Roman"/>
              </w:rPr>
              <w:t xml:space="preserve"> </w:t>
            </w:r>
            <w:r>
              <w:rPr>
                <w:sz w:val="24"/>
                <w:rFonts w:ascii="Times New Roman" w:hAnsi="Times New Roman"/>
              </w:rPr>
              <w:t xml:space="preserve">och det permanenta beloppet endast kan ändras genom kollektiva förhandlingar eller efter omförhandling i enlighet med nationella kriterier för lönesättning,</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inte går att sänka, innehålla eller upphäva av institutet,</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inte ger incitament för risktagande</w:t>
            </w:r>
            <w:r>
              <w:rPr>
                <w:sz w:val="24"/>
                <w:rFonts w:ascii="Times New Roman" w:hAnsi="Times New Roman"/>
              </w:rPr>
              <w:t xml:space="preserve"> </w:t>
            </w:r>
            <w:r>
              <w:rPr>
                <w:sz w:val="24"/>
                <w:rFonts w:ascii="Times New Roman" w:hAnsi="Times New Roman"/>
              </w:rPr>
              <w:t xml:space="preserve">och</w:t>
            </w:r>
            <w:r>
              <w:rPr>
                <w:sz w:val="24"/>
                <w:rFonts w:ascii="Times New Roman" w:hAnsi="Times New Roman"/>
              </w:rPr>
              <w:t xml:space="preserv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inte är beroende av resultat.</w:t>
            </w:r>
            <w:r>
              <w:rPr>
                <w:sz w:val="24"/>
                <w:rFonts w:ascii="Times New Roman" w:hAnsi="Times New Roman"/>
              </w:rPr>
              <w:t xml:space="preserv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Förklaring</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a, b och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w:t>
            </w:r>
          </w:p>
          <w:p w14:paraId="2D246C9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Institutets ledningsorgan, med en uppdelning mellan ledningsorganet i dess tillsynsfunktion och i dess förvaltande funktion.</w:t>
            </w:r>
          </w:p>
          <w:p w14:paraId="6966FBB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information baserat på antalet personer.</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Affärsområden</w:t>
            </w:r>
          </w:p>
          <w:p w14:paraId="3897E6F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Institutets huvudsakliga affärsområden, såsom investmentbanktjänster, privata banktjänster, kapitalförvaltning, företagsfunktioner, oberoende interna kontrollfunktioner</w:t>
            </w:r>
            <w:r>
              <w:rPr>
                <w:sz w:val="24"/>
                <w:rFonts w:ascii="Times New Roman" w:hAnsi="Times New Roman"/>
              </w:rPr>
              <w:t xml:space="preserve"> </w:t>
            </w:r>
          </w:p>
          <w:p w14:paraId="3683649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Informationen ska offentliggöras i form av heltidsekvivalenter.</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Övriga</w:t>
            </w:r>
          </w:p>
          <w:p w14:paraId="73AEF5B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Samtliga affärsområden som inte redovisats separat i de föregående kolumnerna</w:t>
            </w:r>
            <w:r>
              <w:rPr>
                <w:sz w:val="24"/>
                <w:rFonts w:ascii="Times New Roman" w:hAnsi="Times New Roman"/>
              </w:rPr>
              <w:t xml:space="preserve"> </w:t>
            </w:r>
          </w:p>
          <w:p w14:paraId="1A1569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Informationen ska offentliggöras i form av heltidsekvivalenter.</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r>
      <w:r>
        <w:t xml:space="preserve">Kommissionens delegerade förordning (EU) nr 604/2014 av den 4 mars 2014 som kompletterar Europaparlamentets och rådets direktiv 2013/36/EU vad gäller tekniska standarder för tillsyn avseende kvalitativa och kvantitativa kriterier för att fastställa personalkategorier vars yrkesutövning har väsentlig inverkan på ett instituts riskprofil (EUT L 167, 6.6.2014, s. 30).</w:t>
      </w:r>
    </w:p>
  </w:footnote>
  <w:footnote w:id="4">
    <w:p w14:paraId="2890C799" w14:textId="77777777" w:rsidR="00965CEB" w:rsidRDefault="00965CEB" w:rsidP="00965CEB">
      <w:pPr>
        <w:pStyle w:val="FootnoteText"/>
      </w:pPr>
      <w:r>
        <w:rPr>
          <w:rStyle w:val="FootnoteReference"/>
        </w:rPr>
        <w:footnoteRef/>
      </w:r>
      <w:r>
        <w:tab/>
      </w:r>
      <w:r>
        <w:t xml:space="preserve">Europaparlamentets och rådets direktiv 2011/61/EU av den 8 juni 2011 om förvaltare av alternativa investeringsfonder samt om ändring av direktiv 2003/41/EG och 2009/65/EG och förordningarna (EG) nr 1060/2009 och (EU) nr 1095/2010 (EUT L 174, 1.7.2011,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sv-SE"/>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965CEB"/>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DFACAF-6F0B-46F4-BBB3-F19B457E526E}"/>
</file>

<file path=customXml/itemProps2.xml><?xml version="1.0" encoding="utf-8"?>
<ds:datastoreItem xmlns:ds="http://schemas.openxmlformats.org/officeDocument/2006/customXml" ds:itemID="{8C1FDC0D-FCEF-4D7D-8749-04570048D9B1}"/>
</file>

<file path=customXml/itemProps3.xml><?xml version="1.0" encoding="utf-8"?>
<ds:datastoreItem xmlns:ds="http://schemas.openxmlformats.org/officeDocument/2006/customXml" ds:itemID="{15A26B65-DCFF-44EF-8B95-9C75844D196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European Banking Authority</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