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329B3" w14:textId="77777777" w:rsidR="001A67EA" w:rsidRPr="007F4CC8" w:rsidRDefault="001A67EA" w:rsidP="001A67EA">
      <w:pPr>
        <w:pStyle w:val="Annexetitre"/>
        <w:spacing w:before="0"/>
      </w:pPr>
      <w:r>
        <w:t>ANEXO XVIII — Divulgación de información sobre el uso de técnicas de reducción del riesgo de crédito</w:t>
      </w:r>
    </w:p>
    <w:p w14:paraId="180377CB" w14:textId="77777777" w:rsidR="001A67EA" w:rsidRPr="007F4CC8" w:rsidRDefault="001A67EA" w:rsidP="001A67EA">
      <w:pPr>
        <w:spacing w:after="120"/>
        <w:rPr>
          <w:rFonts w:ascii="Times New Roman" w:hAnsi="Times New Roman" w:cs="Times New Roman"/>
          <w:sz w:val="24"/>
        </w:rPr>
      </w:pPr>
    </w:p>
    <w:p w14:paraId="58177053" w14:textId="77777777" w:rsidR="001A67EA" w:rsidRPr="007F4CC8" w:rsidRDefault="001A67EA" w:rsidP="001A67EA">
      <w:pPr>
        <w:spacing w:after="120"/>
        <w:rPr>
          <w:rFonts w:ascii="Times New Roman" w:hAnsi="Times New Roman"/>
          <w:sz w:val="24"/>
        </w:rPr>
      </w:pPr>
      <w:r>
        <w:rPr>
          <w:rFonts w:ascii="Times New Roman" w:hAnsi="Times New Roman"/>
          <w:b/>
          <w:sz w:val="24"/>
        </w:rPr>
        <w:t>Cuadro EU-CRC — Requisitos de divulgación de información cualitativa relacionados con las técnicas de reducción del riesgo de crédito. Cuadro flexible</w:t>
      </w:r>
    </w:p>
    <w:p w14:paraId="163D083B" w14:textId="60F05672" w:rsidR="001A67EA" w:rsidRPr="007F4CC8" w:rsidRDefault="001A67EA" w:rsidP="001A67EA">
      <w:pPr>
        <w:spacing w:after="120"/>
        <w:jc w:val="both"/>
        <w:rPr>
          <w:rFonts w:ascii="Times New Roman" w:hAnsi="Times New Roman" w:cs="Times New Roman"/>
          <w:sz w:val="24"/>
        </w:rPr>
      </w:pPr>
      <w:r>
        <w:rPr>
          <w:rFonts w:ascii="Times New Roman" w:hAnsi="Times New Roman"/>
          <w:sz w:val="24"/>
        </w:rPr>
        <w:t>Las entidades divulgarán la información a que se refiere el artículo 453, letras a) a e), del Reglamento (UE) n.º 575/2013</w:t>
      </w:r>
      <w:r>
        <w:rPr>
          <w:rStyle w:val="FootnoteReference"/>
          <w:rFonts w:ascii="Times New Roman" w:hAnsi="Times New Roman" w:cs="Times New Roman"/>
          <w:sz w:val="24"/>
        </w:rPr>
        <w:footnoteReference w:id="1"/>
      </w:r>
      <w:r>
        <w:rPr>
          <w:rFonts w:ascii="Times New Roman" w:hAnsi="Times New Roman"/>
          <w:sz w:val="24"/>
        </w:rPr>
        <w:t xml:space="preserve"> («RRC») siguiendo las instrucciones que figuran a continuación en el presente anexo para cumplimentar el cuadro EU CRC, que se recoge en el anexo XVII de las soluciones informáticas de la ABE.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A67EA" w:rsidRPr="007F4CC8" w14:paraId="4AD1712D"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E717E60" w14:textId="77777777" w:rsidR="001A67EA" w:rsidRPr="007F4CC8" w:rsidRDefault="001A67EA"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Referencia</w:t>
            </w:r>
          </w:p>
          <w:p w14:paraId="2309F288" w14:textId="77777777" w:rsidR="001A67EA" w:rsidRPr="007F4CC8" w:rsidRDefault="001A67EA"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de la fila</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FAA1416" w14:textId="77777777" w:rsidR="001A67EA" w:rsidRPr="007F4CC8" w:rsidRDefault="001A67EA" w:rsidP="004F3087">
            <w:pPr>
              <w:spacing w:after="120"/>
              <w:rPr>
                <w:rFonts w:ascii="Times New Roman" w:hAnsi="Times New Roman" w:cs="Times New Roman"/>
                <w:b/>
                <w:sz w:val="24"/>
              </w:rPr>
            </w:pPr>
            <w:r>
              <w:rPr>
                <w:rFonts w:ascii="Times New Roman" w:hAnsi="Times New Roman"/>
                <w:b/>
                <w:sz w:val="24"/>
              </w:rPr>
              <w:t>Referencias jurídicas e instrucciones</w:t>
            </w:r>
          </w:p>
        </w:tc>
      </w:tr>
      <w:tr w:rsidR="001A67EA" w:rsidRPr="007F4CC8" w14:paraId="60B868A1"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5FEF9560" w14:textId="77777777" w:rsidR="001A67EA" w:rsidRPr="007F4CC8" w:rsidRDefault="001A67EA"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05426F67" w14:textId="77777777" w:rsidR="001A67EA" w:rsidRPr="007F4CC8" w:rsidRDefault="001A67EA" w:rsidP="004F3087">
            <w:pPr>
              <w:spacing w:after="120"/>
              <w:rPr>
                <w:rFonts w:ascii="Times New Roman" w:hAnsi="Times New Roman" w:cs="Times New Roman"/>
                <w:b/>
                <w:sz w:val="24"/>
              </w:rPr>
            </w:pPr>
            <w:r>
              <w:rPr>
                <w:rFonts w:ascii="Times New Roman" w:hAnsi="Times New Roman"/>
                <w:b/>
                <w:sz w:val="24"/>
              </w:rPr>
              <w:t>Explicación</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06"/>
        <w:gridCol w:w="1496"/>
        <w:gridCol w:w="6270"/>
      </w:tblGrid>
      <w:tr w:rsidR="001A67EA" w:rsidRPr="007F4CC8" w14:paraId="6046C957" w14:textId="77777777" w:rsidTr="004F3087">
        <w:trPr>
          <w:cnfStyle w:val="100000000000" w:firstRow="1" w:lastRow="0" w:firstColumn="0" w:lastColumn="0" w:oddVBand="0" w:evenVBand="0" w:oddHBand="0" w:evenHBand="0" w:firstRowFirstColumn="0" w:firstRowLastColumn="0" w:lastRowFirstColumn="0" w:lastRowLastColumn="0"/>
          <w:trHeight w:val="843"/>
        </w:trPr>
        <w:tc>
          <w:tcPr>
            <w:tcW w:w="140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1D92DAC2"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color w:val="000000"/>
                <w:sz w:val="24"/>
              </w:rPr>
              <w:t>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25DEF807" w14:textId="77777777" w:rsidR="001A67EA" w:rsidRPr="001D6B7E" w:rsidRDefault="001A67EA" w:rsidP="004F3087">
            <w:pPr>
              <w:spacing w:after="120"/>
              <w:jc w:val="both"/>
              <w:rPr>
                <w:rFonts w:ascii="Times New Roman" w:hAnsi="Times New Roman" w:cs="Times New Roman"/>
                <w:sz w:val="24"/>
                <w:lang w:val="es-ES"/>
              </w:rPr>
            </w:pPr>
            <w:r w:rsidRPr="001D6B7E">
              <w:rPr>
                <w:rFonts w:ascii="Times New Roman" w:hAnsi="Times New Roman"/>
                <w:sz w:val="24"/>
                <w:lang w:val="es-ES"/>
              </w:rPr>
              <w:t>Artículo 453, letra a), del RRC</w:t>
            </w:r>
          </w:p>
        </w:tc>
        <w:tc>
          <w:tcPr>
            <w:tcW w:w="6782"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5DDFD2E" w14:textId="77777777" w:rsidR="001A67EA" w:rsidRPr="001D6B7E" w:rsidRDefault="001A67EA" w:rsidP="004F3087">
            <w:pPr>
              <w:spacing w:after="120"/>
              <w:jc w:val="both"/>
              <w:rPr>
                <w:rFonts w:ascii="Times New Roman" w:hAnsi="Times New Roman" w:cs="Times New Roman"/>
                <w:sz w:val="24"/>
                <w:lang w:val="es-ES"/>
              </w:rPr>
            </w:pPr>
            <w:r w:rsidRPr="001D6B7E">
              <w:rPr>
                <w:rFonts w:ascii="Times New Roman" w:hAnsi="Times New Roman"/>
                <w:sz w:val="24"/>
                <w:lang w:val="es-ES"/>
              </w:rPr>
              <w:t>Cuando divulguen información sobre sus políticas de compensación y el uso de la compensación de conformidad con el artículo 453, letra a), del RRC, las entidades facilitarán una descripción clara de las políticas y procesos de reducción del riesgo de crédito en relación con los acuerdos de compensación dentro y fuera de balance y los acuerdos marco de compensación. Asimismo, indicarán en qué medida se han utilizado los acuerdos de compensación dentro y fuera de balance y los acuerdos marco de compensación, y su importancia con respecto a la gestión del riesgo de crédito. Las entidades podrían, en particular, presentar detalles sobre las técnicas utilizadas, así como sobre las posiciones cubiertas por los acuerdos de compensación en balance y los instrumentos financieros incluidos en los acuerdos marco de compensación. Además, podrían exponerse las condiciones necesarias para garantizar la eficacia de dichas técnicas y los controles establecidos respecto del riesgo jurídico.</w:t>
            </w:r>
          </w:p>
        </w:tc>
      </w:tr>
      <w:tr w:rsidR="001A67EA" w:rsidRPr="007F4CC8" w14:paraId="088E4178" w14:textId="77777777" w:rsidTr="004F3087">
        <w:trPr>
          <w:trHeight w:val="841"/>
        </w:trPr>
        <w:tc>
          <w:tcPr>
            <w:tcW w:w="1407" w:type="dxa"/>
          </w:tcPr>
          <w:p w14:paraId="16A703B9"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color w:val="000000"/>
                <w:sz w:val="24"/>
              </w:rPr>
              <w:t>b)</w:t>
            </w:r>
          </w:p>
        </w:tc>
        <w:tc>
          <w:tcPr>
            <w:tcW w:w="883" w:type="dxa"/>
          </w:tcPr>
          <w:p w14:paraId="20468003" w14:textId="77777777" w:rsidR="001A67EA" w:rsidRPr="001D6B7E" w:rsidRDefault="001A67EA" w:rsidP="004F3087">
            <w:pPr>
              <w:spacing w:after="120"/>
              <w:jc w:val="both"/>
              <w:rPr>
                <w:rFonts w:ascii="Times New Roman" w:eastAsia="Times New Roman" w:hAnsi="Times New Roman" w:cs="Times New Roman"/>
                <w:iCs/>
                <w:sz w:val="24"/>
                <w:lang w:val="es-ES"/>
              </w:rPr>
            </w:pPr>
            <w:r w:rsidRPr="001D6B7E">
              <w:rPr>
                <w:rFonts w:ascii="Times New Roman" w:hAnsi="Times New Roman"/>
                <w:sz w:val="24"/>
                <w:lang w:val="es-ES"/>
              </w:rPr>
              <w:t>Artículo 453, letra b),</w:t>
            </w:r>
          </w:p>
          <w:p w14:paraId="4BA9C895" w14:textId="77777777" w:rsidR="001A67EA" w:rsidRPr="001D6B7E" w:rsidRDefault="001A67EA" w:rsidP="004F3087">
            <w:pPr>
              <w:spacing w:after="120"/>
              <w:jc w:val="both"/>
              <w:rPr>
                <w:rFonts w:ascii="Times New Roman" w:hAnsi="Times New Roman" w:cs="Times New Roman"/>
                <w:sz w:val="24"/>
                <w:lang w:val="es-ES"/>
              </w:rPr>
            </w:pPr>
            <w:r w:rsidRPr="001D6B7E">
              <w:rPr>
                <w:rFonts w:ascii="Times New Roman" w:hAnsi="Times New Roman"/>
                <w:sz w:val="24"/>
                <w:lang w:val="es-ES"/>
              </w:rPr>
              <w:t>del RRC</w:t>
            </w:r>
          </w:p>
        </w:tc>
        <w:tc>
          <w:tcPr>
            <w:tcW w:w="6782" w:type="dxa"/>
          </w:tcPr>
          <w:p w14:paraId="4B80DFA2" w14:textId="77777777" w:rsidR="001A67EA" w:rsidRPr="001D6B7E" w:rsidRDefault="001A67EA" w:rsidP="004F3087">
            <w:pPr>
              <w:spacing w:after="120"/>
              <w:jc w:val="both"/>
              <w:rPr>
                <w:rFonts w:ascii="Times New Roman" w:hAnsi="Times New Roman" w:cs="Times New Roman"/>
                <w:sz w:val="24"/>
                <w:lang w:val="es-ES"/>
              </w:rPr>
            </w:pPr>
            <w:r w:rsidRPr="001D6B7E">
              <w:rPr>
                <w:rFonts w:ascii="Times New Roman" w:hAnsi="Times New Roman"/>
                <w:sz w:val="24"/>
                <w:lang w:val="es-ES"/>
              </w:rPr>
              <w:t>Al divulgar las características esenciales de sus políticas y procesos de valoración y gestión de las garantías reales admisibles de conformidad con el artículo 453, letra b), del RRC, las entidades divulgarán:</w:t>
            </w:r>
          </w:p>
          <w:p w14:paraId="2A102C16" w14:textId="77777777" w:rsidR="001A67EA" w:rsidRPr="001D6B7E" w:rsidRDefault="001A67EA" w:rsidP="004F3087">
            <w:pPr>
              <w:spacing w:after="120"/>
              <w:jc w:val="both"/>
              <w:rPr>
                <w:rFonts w:ascii="Times New Roman" w:hAnsi="Times New Roman" w:cs="Times New Roman"/>
                <w:sz w:val="24"/>
                <w:lang w:val="es-ES"/>
              </w:rPr>
            </w:pPr>
            <w:r w:rsidRPr="001D6B7E">
              <w:rPr>
                <w:rFonts w:ascii="Times New Roman" w:hAnsi="Times New Roman"/>
                <w:sz w:val="24"/>
                <w:lang w:val="es-ES"/>
              </w:rPr>
              <w:t>— la base para la evaluación y valoración de las garantías reales pignoradas, incluida la evaluación de la seguridad jurídica de las técnicas de reducción del riesgo de crédito;</w:t>
            </w:r>
          </w:p>
          <w:p w14:paraId="4978007D" w14:textId="77777777" w:rsidR="001A67EA" w:rsidRPr="001D6B7E" w:rsidRDefault="001A67EA" w:rsidP="004F3087">
            <w:pPr>
              <w:spacing w:after="120"/>
              <w:jc w:val="both"/>
              <w:rPr>
                <w:rFonts w:ascii="Times New Roman" w:hAnsi="Times New Roman" w:cs="Times New Roman"/>
                <w:sz w:val="24"/>
                <w:lang w:val="es-ES"/>
              </w:rPr>
            </w:pPr>
            <w:r w:rsidRPr="001D6B7E">
              <w:rPr>
                <w:rFonts w:ascii="Times New Roman" w:hAnsi="Times New Roman"/>
                <w:sz w:val="24"/>
                <w:lang w:val="es-ES"/>
              </w:rPr>
              <w:t>— el tipo de valoración (valor de mercado, valor hipotecario, otros tipos de valores);</w:t>
            </w:r>
          </w:p>
          <w:p w14:paraId="1BB7939A" w14:textId="77777777" w:rsidR="001A67EA" w:rsidRPr="001D6B7E" w:rsidRDefault="001A67EA" w:rsidP="004F3087">
            <w:pPr>
              <w:spacing w:after="120"/>
              <w:jc w:val="both"/>
              <w:rPr>
                <w:rFonts w:ascii="Times New Roman" w:hAnsi="Times New Roman" w:cs="Times New Roman"/>
                <w:sz w:val="24"/>
                <w:lang w:val="es-ES"/>
              </w:rPr>
            </w:pPr>
            <w:r w:rsidRPr="001D6B7E">
              <w:rPr>
                <w:rFonts w:ascii="Times New Roman" w:hAnsi="Times New Roman"/>
                <w:sz w:val="24"/>
                <w:lang w:val="es-ES"/>
              </w:rPr>
              <w:t>— en qué medida se reduce el valor calculado de la garantía real mediante un recorte de valoración;</w:t>
            </w:r>
          </w:p>
          <w:p w14:paraId="6CA64CC4" w14:textId="77777777" w:rsidR="001A67EA" w:rsidRPr="001D6B7E" w:rsidRDefault="001A67EA" w:rsidP="004F3087">
            <w:pPr>
              <w:spacing w:after="120"/>
              <w:jc w:val="both"/>
              <w:rPr>
                <w:rFonts w:ascii="Times New Roman" w:hAnsi="Times New Roman" w:cs="Times New Roman"/>
                <w:sz w:val="24"/>
                <w:lang w:val="es-ES"/>
              </w:rPr>
            </w:pPr>
            <w:r w:rsidRPr="001D6B7E">
              <w:rPr>
                <w:rFonts w:ascii="Times New Roman" w:hAnsi="Times New Roman"/>
                <w:sz w:val="24"/>
                <w:lang w:val="es-ES"/>
              </w:rPr>
              <w:lastRenderedPageBreak/>
              <w:t>— el proceso, la frecuencia y los métodos establecidos para controlar el valor de las garantías reales hipotecarias y otras garantías reales físicas.</w:t>
            </w:r>
          </w:p>
          <w:p w14:paraId="42DBE288" w14:textId="77777777" w:rsidR="001A67EA" w:rsidRPr="001D6B7E" w:rsidRDefault="001A67EA" w:rsidP="004F3087">
            <w:pPr>
              <w:spacing w:after="120"/>
              <w:jc w:val="both"/>
              <w:rPr>
                <w:rFonts w:ascii="Times New Roman" w:hAnsi="Times New Roman" w:cs="Times New Roman"/>
                <w:sz w:val="24"/>
                <w:lang w:val="es-ES"/>
              </w:rPr>
            </w:pPr>
            <w:r w:rsidRPr="001D6B7E">
              <w:rPr>
                <w:rFonts w:ascii="Times New Roman" w:hAnsi="Times New Roman"/>
                <w:sz w:val="24"/>
                <w:lang w:val="es-ES"/>
              </w:rPr>
              <w:t>Con carácter adicional, las entidades también podrían indicar si existe un sistema de límites de exposición crediticia y la incidencia de las garantías reales aceptadas en la cuantificación de dichos límites.</w:t>
            </w:r>
          </w:p>
        </w:tc>
      </w:tr>
      <w:tr w:rsidR="001A67EA" w:rsidRPr="007F4CC8" w:rsidDel="00915DC9" w14:paraId="3A5626B8" w14:textId="77777777" w:rsidTr="004F3087">
        <w:trPr>
          <w:trHeight w:val="973"/>
        </w:trPr>
        <w:tc>
          <w:tcPr>
            <w:tcW w:w="1407" w:type="dxa"/>
          </w:tcPr>
          <w:p w14:paraId="547245B3"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color w:val="000000"/>
                <w:sz w:val="24"/>
              </w:rPr>
              <w:lastRenderedPageBreak/>
              <w:t>c)</w:t>
            </w:r>
          </w:p>
        </w:tc>
        <w:tc>
          <w:tcPr>
            <w:tcW w:w="883" w:type="dxa"/>
          </w:tcPr>
          <w:p w14:paraId="3EE8CB34" w14:textId="77777777" w:rsidR="001A67EA" w:rsidRPr="001D6B7E" w:rsidRDefault="001A67EA" w:rsidP="004F3087">
            <w:pPr>
              <w:spacing w:after="120"/>
              <w:jc w:val="both"/>
              <w:rPr>
                <w:rFonts w:ascii="Times New Roman" w:hAnsi="Times New Roman" w:cs="Times New Roman"/>
                <w:sz w:val="24"/>
                <w:lang w:val="es-ES"/>
              </w:rPr>
            </w:pPr>
            <w:r w:rsidRPr="001D6B7E">
              <w:rPr>
                <w:rFonts w:ascii="Times New Roman" w:hAnsi="Times New Roman"/>
                <w:sz w:val="24"/>
                <w:lang w:val="es-ES"/>
              </w:rPr>
              <w:t>Artículo 453, letra c) del RRC</w:t>
            </w:r>
          </w:p>
        </w:tc>
        <w:tc>
          <w:tcPr>
            <w:tcW w:w="6782" w:type="dxa"/>
          </w:tcPr>
          <w:p w14:paraId="03C8684E" w14:textId="77777777" w:rsidR="001A67EA" w:rsidRPr="001D6B7E" w:rsidDel="00915DC9" w:rsidRDefault="001A67EA" w:rsidP="004F3087">
            <w:pPr>
              <w:spacing w:after="120"/>
              <w:jc w:val="both"/>
              <w:rPr>
                <w:rFonts w:ascii="Times New Roman" w:hAnsi="Times New Roman" w:cs="Times New Roman"/>
                <w:sz w:val="24"/>
                <w:lang w:val="es-ES"/>
              </w:rPr>
            </w:pPr>
            <w:r w:rsidRPr="001D6B7E">
              <w:rPr>
                <w:rFonts w:ascii="Times New Roman" w:hAnsi="Times New Roman"/>
                <w:sz w:val="24"/>
                <w:lang w:val="es-ES"/>
              </w:rPr>
              <w:t>Al describir las garantías reales aceptadas de conformidad con el artículo 453, letra c), del RRC, las entidades facilitarán una descripción detallada de los principales tipos de garantías reales aceptados para reducir el riesgo de crédito, por tipo de exposiciones.</w:t>
            </w:r>
          </w:p>
        </w:tc>
      </w:tr>
      <w:tr w:rsidR="001A67EA" w:rsidRPr="007F4CC8" w14:paraId="0B958E6C" w14:textId="77777777" w:rsidTr="004F3087">
        <w:trPr>
          <w:trHeight w:val="1265"/>
        </w:trPr>
        <w:tc>
          <w:tcPr>
            <w:tcW w:w="1407" w:type="dxa"/>
          </w:tcPr>
          <w:p w14:paraId="16182508"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color w:val="000000"/>
                <w:sz w:val="24"/>
              </w:rPr>
              <w:t>d)</w:t>
            </w:r>
          </w:p>
        </w:tc>
        <w:tc>
          <w:tcPr>
            <w:tcW w:w="883" w:type="dxa"/>
          </w:tcPr>
          <w:p w14:paraId="3751629F" w14:textId="77777777" w:rsidR="001A67EA" w:rsidRPr="001D6B7E" w:rsidRDefault="001A67EA" w:rsidP="004F3087">
            <w:pPr>
              <w:spacing w:after="120"/>
              <w:jc w:val="both"/>
              <w:rPr>
                <w:rFonts w:ascii="Times New Roman" w:hAnsi="Times New Roman" w:cs="Times New Roman"/>
                <w:sz w:val="24"/>
                <w:lang w:val="es-ES"/>
              </w:rPr>
            </w:pPr>
            <w:r w:rsidRPr="001D6B7E">
              <w:rPr>
                <w:rFonts w:ascii="Times New Roman" w:hAnsi="Times New Roman"/>
                <w:sz w:val="24"/>
                <w:lang w:val="es-ES"/>
              </w:rPr>
              <w:t>Artículo 453, letra d), del RRC</w:t>
            </w:r>
          </w:p>
        </w:tc>
        <w:tc>
          <w:tcPr>
            <w:tcW w:w="6782" w:type="dxa"/>
          </w:tcPr>
          <w:p w14:paraId="484148E0" w14:textId="77777777" w:rsidR="001A67EA" w:rsidRPr="001D6B7E" w:rsidRDefault="001A67EA" w:rsidP="004F3087">
            <w:pPr>
              <w:spacing w:after="120"/>
              <w:jc w:val="both"/>
              <w:rPr>
                <w:rFonts w:ascii="Times New Roman" w:hAnsi="Times New Roman" w:cs="Times New Roman"/>
                <w:sz w:val="24"/>
                <w:lang w:val="es-ES"/>
              </w:rPr>
            </w:pPr>
            <w:r w:rsidRPr="001D6B7E">
              <w:rPr>
                <w:rFonts w:ascii="Times New Roman" w:hAnsi="Times New Roman"/>
                <w:sz w:val="24"/>
                <w:lang w:val="es-ES"/>
              </w:rPr>
              <w:t xml:space="preserve">La descripción de los principales tipos de garantes y contrapartes de derivados de crédito y su solvencia que debe facilitarse de conformidad con el artículo 453, letra d), del RRC abarcará los derivados de crédito utilizados a efectos de reducir los requisitos de capital, excluidos los utilizados en el marco de estructuras de titulización sintética. Las entidades también podrían incluir una descripción de los métodos utilizados para reconocer los efectos de las garantías personales o los derivados de crédito proporcionados por los principales tipos de garantes y contrapartes. </w:t>
            </w:r>
          </w:p>
        </w:tc>
      </w:tr>
      <w:tr w:rsidR="001A67EA" w:rsidRPr="007F4CC8" w14:paraId="45D6C7FC" w14:textId="77777777" w:rsidTr="004F3087">
        <w:trPr>
          <w:trHeight w:val="1405"/>
        </w:trPr>
        <w:tc>
          <w:tcPr>
            <w:tcW w:w="1407" w:type="dxa"/>
          </w:tcPr>
          <w:p w14:paraId="03857EEF"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color w:val="000000"/>
                <w:sz w:val="24"/>
              </w:rPr>
              <w:t>e)</w:t>
            </w:r>
          </w:p>
        </w:tc>
        <w:tc>
          <w:tcPr>
            <w:tcW w:w="883" w:type="dxa"/>
          </w:tcPr>
          <w:p w14:paraId="3363450E" w14:textId="77777777" w:rsidR="001A67EA" w:rsidRPr="001D6B7E" w:rsidRDefault="001A67EA" w:rsidP="004F3087">
            <w:pPr>
              <w:spacing w:after="120"/>
              <w:jc w:val="both"/>
              <w:rPr>
                <w:rFonts w:ascii="Times New Roman" w:hAnsi="Times New Roman" w:cs="Times New Roman"/>
                <w:sz w:val="24"/>
                <w:lang w:val="es-ES"/>
              </w:rPr>
            </w:pPr>
            <w:r w:rsidRPr="001D6B7E">
              <w:rPr>
                <w:rFonts w:ascii="Times New Roman" w:hAnsi="Times New Roman"/>
                <w:sz w:val="24"/>
                <w:lang w:val="es-ES"/>
              </w:rPr>
              <w:t>Artículo 453, letra e), del RRC</w:t>
            </w:r>
          </w:p>
        </w:tc>
        <w:tc>
          <w:tcPr>
            <w:tcW w:w="6782" w:type="dxa"/>
          </w:tcPr>
          <w:p w14:paraId="025D06B4" w14:textId="77777777" w:rsidR="001A67EA" w:rsidRPr="001D6B7E" w:rsidRDefault="001A67EA" w:rsidP="004F3087">
            <w:pPr>
              <w:spacing w:after="120"/>
              <w:jc w:val="both"/>
              <w:rPr>
                <w:rFonts w:ascii="Times New Roman" w:hAnsi="Times New Roman" w:cs="Times New Roman"/>
                <w:sz w:val="24"/>
                <w:lang w:val="es-ES"/>
              </w:rPr>
            </w:pPr>
            <w:r w:rsidRPr="001D6B7E">
              <w:rPr>
                <w:rFonts w:ascii="Times New Roman" w:hAnsi="Times New Roman"/>
                <w:sz w:val="24"/>
                <w:lang w:val="es-ES"/>
              </w:rPr>
              <w:t>Al facilitar información sobre las concentraciones de riesgo de crédito o de mercado dentro de la reducción del riesgo de crédito aplicada de conformidad con el artículo 453, letra e), del RRC, las entidades proporcionarán un análisis de cualquier concentración que se produzca debido a las medidas de reducción del riesgo de crédito y que pueda impedir que los instrumentos de reducción del riesgo de crédito sean eficaces. Las concentraciones consideradas a la hora de divulgar tal información podrían incluir las concentraciones por tipo de instrumento utilizado como garantía, por ente (concentración por tipo de garante y proveedores de derivados de crédito), por sector, por zona geográfica, por moneda, por calificación crediticia u otros factores que puedan influir en el valor de la protección y, por tanto, reducirla.</w:t>
            </w:r>
          </w:p>
        </w:tc>
      </w:tr>
    </w:tbl>
    <w:p w14:paraId="5BC2E8E9" w14:textId="77777777" w:rsidR="001A67EA" w:rsidRPr="007F4CC8" w:rsidRDefault="001A67EA" w:rsidP="001A67EA">
      <w:pPr>
        <w:spacing w:after="120"/>
        <w:rPr>
          <w:rFonts w:ascii="Times New Roman" w:hAnsi="Times New Roman" w:cs="Times New Roman"/>
          <w:sz w:val="24"/>
        </w:rPr>
      </w:pPr>
    </w:p>
    <w:p w14:paraId="5F6E25BC" w14:textId="77777777" w:rsidR="001A67EA" w:rsidRPr="007F4CC8" w:rsidRDefault="001A67EA" w:rsidP="001A67EA">
      <w:pPr>
        <w:spacing w:after="120"/>
        <w:rPr>
          <w:rFonts w:ascii="Times New Roman" w:hAnsi="Times New Roman" w:cs="Times New Roman"/>
          <w:b/>
          <w:sz w:val="24"/>
        </w:rPr>
      </w:pPr>
      <w:r>
        <w:rPr>
          <w:rFonts w:ascii="Times New Roman" w:hAnsi="Times New Roman"/>
          <w:b/>
          <w:sz w:val="24"/>
        </w:rPr>
        <w:t>Plantilla EU CR3 — Panorámica de las técnicas de reducción del riesgo de crédito: Divulgación de información sobre el uso de técnicas de reducción del riesgo de crédito. Plantilla fija.</w:t>
      </w:r>
    </w:p>
    <w:p w14:paraId="1FAA7723" w14:textId="77777777" w:rsidR="001A67EA" w:rsidRPr="007F4CC8" w:rsidRDefault="001A67EA" w:rsidP="001A67EA">
      <w:pPr>
        <w:spacing w:after="120"/>
        <w:jc w:val="both"/>
        <w:rPr>
          <w:rFonts w:ascii="Times New Roman" w:hAnsi="Times New Roman" w:cs="Times New Roman"/>
          <w:sz w:val="24"/>
        </w:rPr>
      </w:pPr>
      <w:r>
        <w:rPr>
          <w:rFonts w:ascii="Times New Roman" w:hAnsi="Times New Roman"/>
          <w:sz w:val="24"/>
        </w:rPr>
        <w:t>Las entidades divulgarán la información a que se refiere el artículo 453, letra f), del RRC siguiendo las instrucciones que figuran a continuación en el presente anexo para cumplimentar la plantilla EU CR3, que se recoge en el anexo XVII del presente Reglamento de Ejecución.</w:t>
      </w:r>
    </w:p>
    <w:p w14:paraId="69A94B62" w14:textId="77777777" w:rsidR="001A67EA" w:rsidRPr="007F4CC8" w:rsidRDefault="001A67EA" w:rsidP="001A67EA">
      <w:pPr>
        <w:spacing w:after="120"/>
        <w:jc w:val="both"/>
        <w:rPr>
          <w:rFonts w:ascii="Times New Roman" w:eastAsia="Times New Roman" w:hAnsi="Times New Roman" w:cs="Times New Roman"/>
          <w:b/>
          <w:iCs/>
          <w:sz w:val="24"/>
        </w:rPr>
      </w:pPr>
      <w:r>
        <w:rPr>
          <w:rFonts w:ascii="Times New Roman" w:hAnsi="Times New Roman"/>
          <w:sz w:val="24"/>
        </w:rPr>
        <w:t xml:space="preserve">Esta plantilla abarca todas las técnicas de reducción del riesgo de crédito reconocidas con arreglo al marco contable aplicable, con independencia de que se reconozcan en el RRC, y entre ellas, sin ánimo de exhaustividad, todos los tipos de garantías reales, garantías financieras </w:t>
      </w:r>
      <w:r>
        <w:rPr>
          <w:rFonts w:ascii="Times New Roman" w:hAnsi="Times New Roman"/>
          <w:sz w:val="24"/>
        </w:rPr>
        <w:lastRenderedPageBreak/>
        <w:t>y derivados de crédito utilizados con respecto a todas las exposiciones garantizadas, tanto si se utiliza el método estándar como el método IRB para el cálculo del importe de la exposición ponderada por riesgo. Las entidades complementarán la plantilla con una reseña en la que expliquen cualesquiera cambios significativos habidos durante el período de divulgación y los principales factores determinantes de tales cambios.</w:t>
      </w:r>
    </w:p>
    <w:p w14:paraId="1EBDEE5B" w14:textId="77777777" w:rsidR="001A67EA" w:rsidRPr="007F4CC8" w:rsidRDefault="001A67EA" w:rsidP="001A67EA">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A67EA" w:rsidRPr="007F4CC8" w14:paraId="3A73F47C"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76DE748" w14:textId="77777777" w:rsidR="001A67EA" w:rsidRPr="007F4CC8" w:rsidRDefault="001A67EA"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Referencia de la columna</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E4EA746" w14:textId="77777777" w:rsidR="001A67EA" w:rsidRPr="007F4CC8" w:rsidRDefault="001A67EA" w:rsidP="004F3087">
            <w:pPr>
              <w:spacing w:after="120"/>
              <w:rPr>
                <w:rFonts w:ascii="Times New Roman" w:hAnsi="Times New Roman" w:cs="Times New Roman"/>
                <w:b/>
                <w:sz w:val="24"/>
              </w:rPr>
            </w:pPr>
            <w:r>
              <w:rPr>
                <w:rFonts w:ascii="Times New Roman" w:hAnsi="Times New Roman"/>
                <w:b/>
                <w:sz w:val="24"/>
              </w:rPr>
              <w:t>Referencias jurídicas e instrucciones</w:t>
            </w:r>
          </w:p>
        </w:tc>
      </w:tr>
      <w:tr w:rsidR="001A67EA" w:rsidRPr="007F4CC8" w14:paraId="583C89A3"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0D76FA8A" w14:textId="77777777" w:rsidR="001A67EA" w:rsidRPr="007F4CC8" w:rsidRDefault="001A67EA"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28762A2B" w14:textId="77777777" w:rsidR="001A67EA" w:rsidRPr="007F4CC8" w:rsidRDefault="001A67EA" w:rsidP="004F3087">
            <w:pPr>
              <w:spacing w:after="120"/>
              <w:rPr>
                <w:rFonts w:ascii="Times New Roman" w:hAnsi="Times New Roman" w:cs="Times New Roman"/>
                <w:b/>
                <w:sz w:val="24"/>
              </w:rPr>
            </w:pPr>
            <w:r>
              <w:rPr>
                <w:rFonts w:ascii="Times New Roman" w:hAnsi="Times New Roman"/>
                <w:b/>
                <w:sz w:val="24"/>
              </w:rPr>
              <w:t>Explicación</w:t>
            </w:r>
          </w:p>
        </w:tc>
      </w:tr>
      <w:tr w:rsidR="001A67EA" w:rsidRPr="007F4CC8" w14:paraId="35223F05" w14:textId="77777777" w:rsidTr="004F3087">
        <w:trPr>
          <w:trHeight w:val="316"/>
        </w:trPr>
        <w:tc>
          <w:tcPr>
            <w:tcW w:w="1413" w:type="dxa"/>
          </w:tcPr>
          <w:p w14:paraId="25792023"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32D2A419" w14:textId="77777777"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Importe en libros no garantizado </w:t>
            </w:r>
          </w:p>
          <w:p w14:paraId="55EE3490"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El importe en libros de las exposiciones (netas de correcciones de valor / deterioro de valor) que no son objeto de ninguna técnica de reducción del riesgo de crédito, con independencia de que esta técnica se reconozca en el RRC. </w:t>
            </w:r>
          </w:p>
          <w:p w14:paraId="2E635E37"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Se refiere, en particular, a las exposiciones en relación con las cuales ni se han aportado garantías reales ni se han recibido garantías financieras. No se incluirá la parte no garantizada de las exposiciones parcialmente garantizadas.</w:t>
            </w:r>
          </w:p>
        </w:tc>
      </w:tr>
      <w:tr w:rsidR="001A67EA" w:rsidRPr="007F4CC8" w14:paraId="475E6E51" w14:textId="77777777" w:rsidTr="004F3087">
        <w:trPr>
          <w:trHeight w:val="316"/>
        </w:trPr>
        <w:tc>
          <w:tcPr>
            <w:tcW w:w="1413" w:type="dxa"/>
          </w:tcPr>
          <w:p w14:paraId="7DD870E3"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736FBF01" w14:textId="77777777"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Importe en libros garantizado </w:t>
            </w:r>
          </w:p>
          <w:p w14:paraId="20FF8406"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Importe en libros de las exposiciones que llevan asociada al menos una técnica de reducción del riesgo de crédito (garantías reales, garantías financieras, derivados de crédito).</w:t>
            </w:r>
          </w:p>
          <w:p w14:paraId="05789AFF"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En el supuesto de que el valor de las garantías reales, las garantías financieras y los derivados de crédito que garanticen una exposición supere el importe en libros de esta, solo se incluirán los valores hasta el importe en libros de dicha exposición. En el supuesto de que el importe en libros de una exposición supere el valor de las garantías reales, las garantías financieras y los derivados de crédito que la garanticen, se incluirá el importe en libros íntegro de dicha exposición.</w:t>
            </w:r>
          </w:p>
          <w:p w14:paraId="7EDEE0AE"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A efectos de las siguientes columnas c, d y e, la asignación del importe en libros de las exposiciones con múltiples garantías a sus diferentes técnicas de reducción del riesgo de crédito se hará por orden de prioridad, empezando por la técnica de reducción del riesgo de crédito que previsiblemente se aplicará en primer lugar en ausencia de pago, y dentro de los límites del importe en libros de las exposiciones garantizadas. Cualquier parte de la exposición se incluirá únicamente en una de las columnas c, d o e de esta plantilla. </w:t>
            </w:r>
          </w:p>
        </w:tc>
      </w:tr>
      <w:tr w:rsidR="001A67EA" w:rsidRPr="007F4CC8" w14:paraId="37B3496C" w14:textId="77777777" w:rsidTr="004F3087">
        <w:trPr>
          <w:trHeight w:val="316"/>
        </w:trPr>
        <w:tc>
          <w:tcPr>
            <w:tcW w:w="1413" w:type="dxa"/>
          </w:tcPr>
          <w:p w14:paraId="0CBB040D"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14:paraId="7D972C67" w14:textId="1CD1E4FC"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Del cual: garantizado por garantías reales</w:t>
            </w:r>
          </w:p>
          <w:p w14:paraId="2B8F68C6"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Se trata de un subconjunto de la columna b de esta plantilla que corresponde al importe en libros de las exposiciones (netas de correcciones de valor / deterioro de valor) o partes de exposiciones garantizadas por garantías reales. En el supuesto de que una exposición esté garantizada por garantías reales y otras técnicas de reducción del riesgo de crédito a las que se prevea recurrir con anterioridad en ausencia de pago, el importe en libros de la exposición garantizado por garantías reales será la parte restante de la exposición, una vez consideradas las partes de la exposición ya garantizadas por otras técnicas de reducción, hasta llegar al importe en libros de dicha exposición.</w:t>
            </w:r>
          </w:p>
        </w:tc>
      </w:tr>
      <w:tr w:rsidR="001A67EA" w:rsidRPr="007F4CC8" w14:paraId="50B32400" w14:textId="77777777" w:rsidTr="004F3087">
        <w:trPr>
          <w:trHeight w:val="316"/>
        </w:trPr>
        <w:tc>
          <w:tcPr>
            <w:tcW w:w="1413" w:type="dxa"/>
          </w:tcPr>
          <w:p w14:paraId="741497BC"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d</w:t>
            </w:r>
          </w:p>
        </w:tc>
        <w:tc>
          <w:tcPr>
            <w:tcW w:w="7654" w:type="dxa"/>
          </w:tcPr>
          <w:p w14:paraId="550E0FE4" w14:textId="77777777"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Del cual: garantizado por garantías financieras </w:t>
            </w:r>
          </w:p>
          <w:p w14:paraId="17847CC4"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Se trata de un subconjunto de la columna b de esta plantilla que corresponde al importe en libros de las exposiciones (netas de correcciones de valor / deterioro de valor) o partes de exposiciones garantizadas por garantías financieras. En el supuesto de que una exposición esté garantizada por garantías financieras y otras técnicas de reducción del riesgo de crédito a las que se prevea recurrir con anterioridad en ausencia de pago, el importe en libros de la exposición garantizado por garantías financieras será la parte restante de la exposición, una vez consideradas las partes de la exposición ya garantizadas por otras técnicas de reducción, sin que pueda superarse el importe en libros de dicha exposición.</w:t>
            </w:r>
          </w:p>
        </w:tc>
      </w:tr>
      <w:tr w:rsidR="001A67EA" w:rsidRPr="007F4CC8" w14:paraId="674417F3" w14:textId="77777777" w:rsidTr="004F3087">
        <w:trPr>
          <w:trHeight w:val="316"/>
        </w:trPr>
        <w:tc>
          <w:tcPr>
            <w:tcW w:w="1413" w:type="dxa"/>
          </w:tcPr>
          <w:p w14:paraId="0378E1B4"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w:t>
            </w:r>
          </w:p>
        </w:tc>
        <w:tc>
          <w:tcPr>
            <w:tcW w:w="7654" w:type="dxa"/>
          </w:tcPr>
          <w:p w14:paraId="4F7777BA" w14:textId="77777777"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Del cual: garantizado por derivados de crédito </w:t>
            </w:r>
          </w:p>
          <w:p w14:paraId="35390365"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Se trata de un subconjunto de la columna d (garantías financieras) de esta plantilla que corresponde al importe en libros de las exposiciones (netas de correcciones de valor / deterioro de valor) o partes de exposiciones garantizadas por derivados de crédito. En el supuesto de que una exposición esté garantizada por derivados de crédito y otras técnicas de reducción del riesgo de crédito a las que se prevea recurrir con anterioridad en ausencia de pago, el importe en libros de la exposición garantizado por derivados de crédito será la parte restante de la exposición, una vez consideradas las partes de la exposición ya garantizadas por otras técnicas de reducción, sin que pueda superarse el importe en libros de dicha exposición. </w:t>
            </w:r>
          </w:p>
        </w:tc>
      </w:tr>
    </w:tbl>
    <w:p w14:paraId="3A57B273" w14:textId="77777777" w:rsidR="001A67EA" w:rsidRPr="007F4CC8" w:rsidRDefault="001A67EA" w:rsidP="001A67EA">
      <w:pPr>
        <w:spacing w:after="120"/>
        <w:rPr>
          <w:rFonts w:ascii="Times New Roman" w:hAnsi="Times New Roman" w:cs="Times New Roman"/>
          <w:sz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1A67EA" w:rsidRPr="007F4CC8" w14:paraId="4ED59B80" w14:textId="77777777" w:rsidTr="004F3087">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5165B234" w14:textId="77777777" w:rsidR="001A67EA" w:rsidRPr="007F4CC8" w:rsidRDefault="001A67EA"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Referencia de la fila</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45725938" w14:textId="77777777" w:rsidR="001A67EA" w:rsidRPr="007F4CC8" w:rsidRDefault="001A67EA" w:rsidP="004F3087">
            <w:pPr>
              <w:spacing w:after="120"/>
              <w:rPr>
                <w:rFonts w:ascii="Times New Roman" w:hAnsi="Times New Roman" w:cs="Times New Roman"/>
                <w:b/>
                <w:sz w:val="24"/>
              </w:rPr>
            </w:pPr>
            <w:r>
              <w:rPr>
                <w:rFonts w:ascii="Times New Roman" w:hAnsi="Times New Roman"/>
                <w:b/>
                <w:sz w:val="24"/>
              </w:rPr>
              <w:t>Referencias jurídicas e instrucciones</w:t>
            </w:r>
          </w:p>
        </w:tc>
      </w:tr>
      <w:tr w:rsidR="001A67EA" w:rsidRPr="007F4CC8" w14:paraId="2D299A07" w14:textId="77777777" w:rsidTr="004F3087">
        <w:trPr>
          <w:trHeight w:val="420"/>
        </w:trPr>
        <w:tc>
          <w:tcPr>
            <w:tcW w:w="1381" w:type="dxa"/>
            <w:vMerge/>
            <w:tcBorders>
              <w:left w:val="single" w:sz="4" w:space="0" w:color="auto"/>
              <w:right w:val="single" w:sz="4" w:space="0" w:color="auto"/>
            </w:tcBorders>
            <w:shd w:val="clear" w:color="auto" w:fill="D9D9D9" w:themeFill="background1" w:themeFillShade="D9"/>
          </w:tcPr>
          <w:p w14:paraId="73BB5563" w14:textId="77777777" w:rsidR="001A67EA" w:rsidRPr="007F4CC8" w:rsidRDefault="001A67EA" w:rsidP="004F3087">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74C7B9A3" w14:textId="77777777" w:rsidR="001A67EA" w:rsidRPr="007F4CC8" w:rsidRDefault="001A67EA" w:rsidP="004F3087">
            <w:pPr>
              <w:spacing w:after="120"/>
              <w:rPr>
                <w:rFonts w:ascii="Times New Roman" w:hAnsi="Times New Roman" w:cs="Times New Roman"/>
                <w:b/>
                <w:sz w:val="24"/>
              </w:rPr>
            </w:pPr>
            <w:r>
              <w:rPr>
                <w:rFonts w:ascii="Times New Roman" w:hAnsi="Times New Roman"/>
                <w:b/>
                <w:sz w:val="24"/>
              </w:rPr>
              <w:t>Explicación</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8266"/>
      </w:tblGrid>
      <w:tr w:rsidR="001A67EA" w:rsidRPr="007F4CC8" w14:paraId="67790BED" w14:textId="77777777" w:rsidTr="004F3087">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3006C31B"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 xml:space="preserve">1 </w:t>
            </w:r>
          </w:p>
        </w:tc>
        <w:tc>
          <w:tcPr>
            <w:tcW w:w="826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0E779E01" w14:textId="77777777" w:rsidR="001A67EA" w:rsidRPr="001D6B7E" w:rsidRDefault="001A67EA" w:rsidP="004F3087">
            <w:pPr>
              <w:spacing w:after="120"/>
              <w:jc w:val="both"/>
              <w:rPr>
                <w:rFonts w:ascii="Times New Roman" w:hAnsi="Times New Roman" w:cs="Times New Roman"/>
                <w:b/>
                <w:sz w:val="24"/>
                <w:u w:val="single"/>
                <w:lang w:val="es-ES"/>
              </w:rPr>
            </w:pPr>
            <w:r w:rsidRPr="001D6B7E">
              <w:rPr>
                <w:rFonts w:ascii="Times New Roman" w:hAnsi="Times New Roman"/>
                <w:b/>
                <w:sz w:val="24"/>
                <w:u w:val="single"/>
                <w:lang w:val="es-ES"/>
              </w:rPr>
              <w:t>Préstamos y anticipos</w:t>
            </w:r>
          </w:p>
          <w:p w14:paraId="1DF552E0" w14:textId="77777777" w:rsidR="001A67EA" w:rsidRPr="001D6B7E" w:rsidRDefault="001A67EA" w:rsidP="004F3087">
            <w:pPr>
              <w:spacing w:after="120"/>
              <w:jc w:val="both"/>
              <w:rPr>
                <w:rFonts w:ascii="Times New Roman" w:hAnsi="Times New Roman" w:cs="Times New Roman"/>
                <w:sz w:val="24"/>
                <w:lang w:val="es-ES"/>
              </w:rPr>
            </w:pPr>
            <w:r w:rsidRPr="001D6B7E">
              <w:rPr>
                <w:rFonts w:ascii="Times New Roman" w:hAnsi="Times New Roman"/>
                <w:sz w:val="24"/>
                <w:lang w:val="es-ES"/>
              </w:rPr>
              <w:t>Los «préstamos y anticipos» son instrumentos de deuda mantenidos por la entidad que no son valores; esta partida incluye los «préstamos» de conformidad con el Reglamento (UE) n.º 1071/2013 («Reglamento del BCE sobre el balance»)</w:t>
            </w:r>
            <w:r>
              <w:rPr>
                <w:rStyle w:val="FootnoteReference"/>
                <w:rFonts w:ascii="Times New Roman" w:hAnsi="Times New Roman" w:cs="Times New Roman"/>
                <w:sz w:val="24"/>
              </w:rPr>
              <w:footnoteReference w:id="2"/>
            </w:r>
            <w:r w:rsidRPr="001D6B7E">
              <w:rPr>
                <w:rFonts w:ascii="Times New Roman" w:hAnsi="Times New Roman"/>
                <w:sz w:val="24"/>
                <w:lang w:val="es-ES"/>
              </w:rPr>
              <w:t>, así como los anticipos que no pueden clasificarse como «préstamos» de conformidad con dicho Reglamento, tal como se definen en el anexo V, parte 1, punto 32, del Reglamento de Ejecución (UE) n.º 680/2014 de la Comisión</w:t>
            </w:r>
            <w:r>
              <w:rPr>
                <w:rStyle w:val="FootnoteReference"/>
                <w:rFonts w:ascii="Times New Roman" w:hAnsi="Times New Roman" w:cs="Times New Roman"/>
                <w:sz w:val="24"/>
              </w:rPr>
              <w:footnoteReference w:id="3"/>
            </w:r>
            <w:r w:rsidRPr="001D6B7E">
              <w:rPr>
                <w:rFonts w:ascii="Times New Roman" w:hAnsi="Times New Roman"/>
                <w:sz w:val="24"/>
                <w:lang w:val="es-ES"/>
              </w:rPr>
              <w:t>.</w:t>
            </w:r>
          </w:p>
        </w:tc>
      </w:tr>
      <w:tr w:rsidR="001A67EA" w:rsidRPr="007F4CC8" w14:paraId="04E2555D" w14:textId="77777777" w:rsidTr="004F3087">
        <w:trPr>
          <w:trHeight w:val="843"/>
        </w:trPr>
        <w:tc>
          <w:tcPr>
            <w:tcW w:w="1363" w:type="dxa"/>
            <w:tcBorders>
              <w:top w:val="single" w:sz="4" w:space="0" w:color="auto"/>
              <w:left w:val="single" w:sz="4" w:space="0" w:color="auto"/>
              <w:right w:val="single" w:sz="4" w:space="0" w:color="auto"/>
            </w:tcBorders>
          </w:tcPr>
          <w:p w14:paraId="29CB77EA"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2</w:t>
            </w:r>
          </w:p>
        </w:tc>
        <w:tc>
          <w:tcPr>
            <w:tcW w:w="8266" w:type="dxa"/>
            <w:tcBorders>
              <w:top w:val="single" w:sz="4" w:space="0" w:color="auto"/>
              <w:left w:val="single" w:sz="4" w:space="0" w:color="auto"/>
              <w:right w:val="single" w:sz="4" w:space="0" w:color="auto"/>
            </w:tcBorders>
          </w:tcPr>
          <w:p w14:paraId="7DC4064C" w14:textId="77777777" w:rsidR="001A67EA" w:rsidRPr="001D6B7E" w:rsidRDefault="001A67EA" w:rsidP="004F3087">
            <w:pPr>
              <w:spacing w:after="120"/>
              <w:jc w:val="both"/>
              <w:rPr>
                <w:rFonts w:ascii="Times New Roman" w:hAnsi="Times New Roman" w:cs="Times New Roman"/>
                <w:b/>
                <w:sz w:val="24"/>
                <w:u w:val="single"/>
                <w:lang w:val="es-ES"/>
              </w:rPr>
            </w:pPr>
            <w:r w:rsidRPr="001D6B7E">
              <w:rPr>
                <w:rFonts w:ascii="Times New Roman" w:hAnsi="Times New Roman"/>
                <w:b/>
                <w:sz w:val="24"/>
                <w:u w:val="single"/>
                <w:lang w:val="es-ES"/>
              </w:rPr>
              <w:t>Valores representativos de deuda</w:t>
            </w:r>
          </w:p>
          <w:p w14:paraId="64329DF3" w14:textId="77777777" w:rsidR="001A67EA" w:rsidRPr="001D6B7E" w:rsidRDefault="001A67EA" w:rsidP="004F3087">
            <w:pPr>
              <w:spacing w:after="120"/>
              <w:jc w:val="both"/>
              <w:rPr>
                <w:rFonts w:ascii="Times New Roman" w:hAnsi="Times New Roman" w:cs="Times New Roman"/>
                <w:sz w:val="24"/>
                <w:lang w:val="es-ES"/>
              </w:rPr>
            </w:pPr>
            <w:r w:rsidRPr="001D6B7E">
              <w:rPr>
                <w:rFonts w:ascii="Times New Roman" w:hAnsi="Times New Roman"/>
                <w:sz w:val="24"/>
                <w:lang w:val="es-ES"/>
              </w:rPr>
              <w:t>Los «valores representativos de deuda» son instrumentos de deuda mantenidos por la entidad, emitidos como valores y que no son préstamos de conformidad con el Reglamento del BCE sobre el balance, tal como se definen en el anexo V, parte 1, punto 31, del Reglamento de Ejecución (UE) n.º 680/2014 de la Comisión.</w:t>
            </w:r>
          </w:p>
        </w:tc>
      </w:tr>
      <w:tr w:rsidR="001A67EA" w:rsidRPr="007F4CC8" w14:paraId="05FBC0A7" w14:textId="77777777" w:rsidTr="004F3087">
        <w:trPr>
          <w:trHeight w:val="843"/>
        </w:trPr>
        <w:tc>
          <w:tcPr>
            <w:tcW w:w="1363" w:type="dxa"/>
            <w:tcBorders>
              <w:top w:val="single" w:sz="4" w:space="0" w:color="auto"/>
              <w:left w:val="single" w:sz="4" w:space="0" w:color="auto"/>
              <w:right w:val="single" w:sz="4" w:space="0" w:color="auto"/>
            </w:tcBorders>
          </w:tcPr>
          <w:p w14:paraId="79F17B57"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lastRenderedPageBreak/>
              <w:t>3</w:t>
            </w:r>
          </w:p>
        </w:tc>
        <w:tc>
          <w:tcPr>
            <w:tcW w:w="8266" w:type="dxa"/>
            <w:tcBorders>
              <w:top w:val="single" w:sz="4" w:space="0" w:color="auto"/>
              <w:left w:val="single" w:sz="4" w:space="0" w:color="auto"/>
              <w:right w:val="single" w:sz="4" w:space="0" w:color="auto"/>
            </w:tcBorders>
          </w:tcPr>
          <w:p w14:paraId="4015BF67" w14:textId="77777777" w:rsidR="001A67EA" w:rsidRPr="001D6B7E" w:rsidRDefault="001A67EA" w:rsidP="004F3087">
            <w:pPr>
              <w:spacing w:after="120"/>
              <w:jc w:val="both"/>
              <w:rPr>
                <w:rFonts w:ascii="Times New Roman" w:hAnsi="Times New Roman" w:cs="Times New Roman"/>
                <w:b/>
                <w:sz w:val="24"/>
                <w:u w:val="single"/>
                <w:lang w:val="es-ES"/>
              </w:rPr>
            </w:pPr>
            <w:r w:rsidRPr="001D6B7E">
              <w:rPr>
                <w:rFonts w:ascii="Times New Roman" w:hAnsi="Times New Roman"/>
                <w:b/>
                <w:sz w:val="24"/>
                <w:u w:val="single"/>
                <w:lang w:val="es-ES"/>
              </w:rPr>
              <w:t>Total</w:t>
            </w:r>
          </w:p>
          <w:p w14:paraId="1D5CA391" w14:textId="77777777" w:rsidR="001A67EA" w:rsidRPr="001D6B7E" w:rsidRDefault="001A67EA" w:rsidP="004F3087">
            <w:pPr>
              <w:spacing w:after="120"/>
              <w:jc w:val="both"/>
              <w:rPr>
                <w:rFonts w:ascii="Times New Roman" w:hAnsi="Times New Roman" w:cs="Times New Roman"/>
                <w:sz w:val="24"/>
                <w:lang w:val="es-ES"/>
              </w:rPr>
            </w:pPr>
            <w:r w:rsidRPr="001D6B7E">
              <w:rPr>
                <w:rFonts w:ascii="Times New Roman" w:hAnsi="Times New Roman"/>
                <w:sz w:val="24"/>
                <w:lang w:val="es-ES"/>
              </w:rPr>
              <w:t>Suma de los importes de las filas 1 y 2 de esta plantilla</w:t>
            </w:r>
          </w:p>
        </w:tc>
      </w:tr>
      <w:tr w:rsidR="001A67EA" w:rsidRPr="007F4CC8" w14:paraId="232D94F6" w14:textId="77777777" w:rsidTr="004F3087">
        <w:trPr>
          <w:trHeight w:val="843"/>
        </w:trPr>
        <w:tc>
          <w:tcPr>
            <w:tcW w:w="1363" w:type="dxa"/>
            <w:tcBorders>
              <w:top w:val="single" w:sz="4" w:space="0" w:color="auto"/>
              <w:left w:val="single" w:sz="4" w:space="0" w:color="auto"/>
              <w:right w:val="single" w:sz="4" w:space="0" w:color="auto"/>
            </w:tcBorders>
          </w:tcPr>
          <w:p w14:paraId="261A8B61"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4</w:t>
            </w:r>
          </w:p>
        </w:tc>
        <w:tc>
          <w:tcPr>
            <w:tcW w:w="8266" w:type="dxa"/>
            <w:tcBorders>
              <w:top w:val="single" w:sz="4" w:space="0" w:color="auto"/>
              <w:left w:val="single" w:sz="4" w:space="0" w:color="auto"/>
              <w:right w:val="single" w:sz="4" w:space="0" w:color="auto"/>
            </w:tcBorders>
          </w:tcPr>
          <w:p w14:paraId="6361D15E" w14:textId="77777777" w:rsidR="001A67EA" w:rsidRPr="001D6B7E" w:rsidRDefault="001A67EA" w:rsidP="004F3087">
            <w:pPr>
              <w:spacing w:after="120"/>
              <w:jc w:val="both"/>
              <w:rPr>
                <w:rFonts w:ascii="Times New Roman" w:hAnsi="Times New Roman" w:cs="Times New Roman"/>
                <w:b/>
                <w:sz w:val="24"/>
                <w:u w:val="single"/>
                <w:lang w:val="es-ES"/>
              </w:rPr>
            </w:pPr>
            <w:r w:rsidRPr="001D6B7E">
              <w:rPr>
                <w:rFonts w:ascii="Times New Roman" w:hAnsi="Times New Roman"/>
                <w:b/>
                <w:sz w:val="24"/>
                <w:u w:val="single"/>
                <w:lang w:val="es-ES"/>
              </w:rPr>
              <w:t>De las cuales: exposiciones dudosas</w:t>
            </w:r>
          </w:p>
          <w:p w14:paraId="3AA9E7C7" w14:textId="77777777" w:rsidR="001A67EA" w:rsidRPr="001D6B7E" w:rsidRDefault="001A67EA" w:rsidP="004F3087">
            <w:pPr>
              <w:spacing w:after="120"/>
              <w:jc w:val="both"/>
              <w:rPr>
                <w:rFonts w:ascii="Times New Roman" w:hAnsi="Times New Roman" w:cs="Times New Roman"/>
                <w:sz w:val="24"/>
                <w:lang w:val="es-ES"/>
              </w:rPr>
            </w:pPr>
            <w:r w:rsidRPr="001D6B7E">
              <w:rPr>
                <w:rFonts w:ascii="Times New Roman" w:hAnsi="Times New Roman"/>
                <w:sz w:val="24"/>
                <w:lang w:val="es-ES"/>
              </w:rPr>
              <w:t>Exposiciones dudosas con arreglo al artículo 47 </w:t>
            </w:r>
            <w:r w:rsidRPr="001D6B7E">
              <w:rPr>
                <w:rFonts w:ascii="Times New Roman" w:hAnsi="Times New Roman"/>
                <w:i/>
                <w:sz w:val="24"/>
                <w:lang w:val="es-ES"/>
              </w:rPr>
              <w:t>bis</w:t>
            </w:r>
            <w:r w:rsidRPr="001D6B7E">
              <w:rPr>
                <w:rFonts w:ascii="Times New Roman" w:hAnsi="Times New Roman"/>
                <w:sz w:val="24"/>
                <w:lang w:val="es-ES"/>
              </w:rPr>
              <w:t xml:space="preserve"> del RRC.</w:t>
            </w:r>
          </w:p>
        </w:tc>
      </w:tr>
      <w:tr w:rsidR="001A67EA" w:rsidRPr="007F4CC8" w14:paraId="1562F9C2" w14:textId="77777777" w:rsidTr="004F3087">
        <w:trPr>
          <w:trHeight w:val="843"/>
        </w:trPr>
        <w:tc>
          <w:tcPr>
            <w:tcW w:w="1363" w:type="dxa"/>
            <w:tcBorders>
              <w:top w:val="single" w:sz="4" w:space="0" w:color="auto"/>
              <w:left w:val="single" w:sz="4" w:space="0" w:color="auto"/>
              <w:right w:val="single" w:sz="4" w:space="0" w:color="auto"/>
            </w:tcBorders>
          </w:tcPr>
          <w:p w14:paraId="26B868C7"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EU-5</w:t>
            </w:r>
          </w:p>
        </w:tc>
        <w:tc>
          <w:tcPr>
            <w:tcW w:w="8266" w:type="dxa"/>
            <w:tcBorders>
              <w:top w:val="single" w:sz="4" w:space="0" w:color="auto"/>
              <w:left w:val="single" w:sz="4" w:space="0" w:color="auto"/>
              <w:right w:val="single" w:sz="4" w:space="0" w:color="auto"/>
            </w:tcBorders>
          </w:tcPr>
          <w:p w14:paraId="0B9851BE" w14:textId="77777777" w:rsidR="001A67EA" w:rsidRPr="001D6B7E" w:rsidRDefault="001A67EA" w:rsidP="004F3087">
            <w:pPr>
              <w:spacing w:after="120"/>
              <w:jc w:val="both"/>
              <w:rPr>
                <w:rFonts w:ascii="Times New Roman" w:hAnsi="Times New Roman" w:cs="Times New Roman"/>
                <w:b/>
                <w:sz w:val="24"/>
                <w:u w:val="single"/>
                <w:lang w:val="es-ES"/>
              </w:rPr>
            </w:pPr>
            <w:r w:rsidRPr="001D6B7E">
              <w:rPr>
                <w:rFonts w:ascii="Times New Roman" w:hAnsi="Times New Roman"/>
                <w:b/>
                <w:sz w:val="24"/>
                <w:u w:val="single"/>
                <w:lang w:val="es-ES"/>
              </w:rPr>
              <w:t>De las cuales: con impago</w:t>
            </w:r>
          </w:p>
          <w:p w14:paraId="6D84A962" w14:textId="77777777" w:rsidR="001A67EA" w:rsidRPr="001D6B7E" w:rsidRDefault="001A67EA" w:rsidP="004F3087">
            <w:pPr>
              <w:spacing w:after="120"/>
              <w:jc w:val="both"/>
              <w:rPr>
                <w:rFonts w:ascii="Times New Roman" w:hAnsi="Times New Roman" w:cs="Times New Roman"/>
                <w:sz w:val="24"/>
                <w:lang w:val="es-ES"/>
              </w:rPr>
            </w:pPr>
            <w:r w:rsidRPr="001D6B7E">
              <w:rPr>
                <w:rFonts w:ascii="Times New Roman" w:hAnsi="Times New Roman"/>
                <w:sz w:val="24"/>
                <w:lang w:val="es-ES"/>
              </w:rPr>
              <w:t>Exposiciones con impago de conformidad con artículo 178 del RRC</w:t>
            </w:r>
          </w:p>
        </w:tc>
      </w:tr>
    </w:tbl>
    <w:p w14:paraId="11144359" w14:textId="77777777" w:rsidR="001A67EA" w:rsidRPr="007F4CC8" w:rsidRDefault="001A67EA" w:rsidP="001A67EA">
      <w:pPr>
        <w:spacing w:after="120"/>
        <w:rPr>
          <w:rFonts w:ascii="Times New Roman" w:hAnsi="Times New Roman" w:cs="Times New Roman"/>
          <w:sz w:val="24"/>
          <w:highlight w:val="yellow"/>
        </w:rPr>
      </w:pPr>
    </w:p>
    <w:p w14:paraId="516865D4" w14:textId="77777777" w:rsidR="001A67EA" w:rsidRPr="007F4CC8" w:rsidRDefault="001A67EA" w:rsidP="001A67EA">
      <w:pPr>
        <w:spacing w:after="120"/>
        <w:rPr>
          <w:rFonts w:ascii="Times New Roman" w:hAnsi="Times New Roman" w:cs="Times New Roman"/>
          <w:sz w:val="24"/>
          <w:highlight w:val="yellow"/>
        </w:rPr>
      </w:pPr>
    </w:p>
    <w:p w14:paraId="2D174E35" w14:textId="77777777" w:rsidR="00993FC2" w:rsidRDefault="00993FC2" w:rsidP="001A67EA"/>
    <w:sectPr w:rsidR="00993FC2">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6916F" w14:textId="77777777" w:rsidR="00FE2307" w:rsidRDefault="00FE2307" w:rsidP="001A67EA">
      <w:r>
        <w:separator/>
      </w:r>
    </w:p>
  </w:endnote>
  <w:endnote w:type="continuationSeparator" w:id="0">
    <w:p w14:paraId="6DA24895" w14:textId="77777777" w:rsidR="00FE2307" w:rsidRDefault="00FE2307" w:rsidP="001A6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856962"/>
      <w:docPartObj>
        <w:docPartGallery w:val="Page Numbers (Bottom of Page)"/>
        <w:docPartUnique/>
      </w:docPartObj>
    </w:sdtPr>
    <w:sdtEndPr>
      <w:rPr>
        <w:noProof/>
      </w:rPr>
    </w:sdtEndPr>
    <w:sdtContent>
      <w:p w14:paraId="4DF45D7D" w14:textId="77777777" w:rsidR="001A67EA" w:rsidRDefault="001A67EA">
        <w:pPr>
          <w:pStyle w:val="Footer"/>
          <w:jc w:val="right"/>
        </w:pPr>
        <w:r>
          <w:fldChar w:fldCharType="begin"/>
        </w:r>
        <w:r>
          <w:instrText xml:space="preserve"> PAGE   \* MERGEFORMAT </w:instrText>
        </w:r>
        <w:r>
          <w:fldChar w:fldCharType="separate"/>
        </w:r>
        <w:r>
          <w:t>4</w:t>
        </w:r>
        <w:r>
          <w:fldChar w:fldCharType="end"/>
        </w:r>
      </w:p>
    </w:sdtContent>
  </w:sdt>
  <w:p w14:paraId="32B367C4" w14:textId="77777777" w:rsidR="001A67EA" w:rsidRDefault="001A67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ED53A" w14:textId="77777777" w:rsidR="00FE2307" w:rsidRDefault="00FE2307" w:rsidP="001A67EA">
      <w:r>
        <w:separator/>
      </w:r>
    </w:p>
  </w:footnote>
  <w:footnote w:type="continuationSeparator" w:id="0">
    <w:p w14:paraId="308DFB3F" w14:textId="77777777" w:rsidR="00FE2307" w:rsidRDefault="00FE2307" w:rsidP="001A67EA">
      <w:r>
        <w:continuationSeparator/>
      </w:r>
    </w:p>
  </w:footnote>
  <w:footnote w:id="1">
    <w:p w14:paraId="46EBDC9A" w14:textId="0643DC4B" w:rsidR="001A67EA" w:rsidRPr="00222AAB" w:rsidRDefault="001A67EA" w:rsidP="001A67EA">
      <w:pPr>
        <w:pStyle w:val="FootnoteText"/>
        <w:rPr>
          <w:rFonts w:cstheme="minorHAnsi"/>
        </w:rPr>
      </w:pPr>
      <w:r>
        <w:rPr>
          <w:rStyle w:val="FootnoteReference"/>
          <w:rFonts w:cstheme="minorHAnsi"/>
        </w:rPr>
        <w:footnoteRef/>
      </w:r>
      <w:r>
        <w:t xml:space="preserve"> </w:t>
      </w:r>
      <w:r>
        <w:tab/>
        <w:t>Reglamento (UE) n.º 575/2013 del Parlamento Europeo y del Consejo, de 26 de junio de 2013, sobre los requisitos prudenciales de las entidades de crédito, y por el que se modifica el Reglamento (UE) n.º 648/2012, modificado por el Reglamento (UE) 2024/1623 [</w:t>
      </w:r>
      <w:hyperlink r:id="rId1" w:history="1">
        <w:r>
          <w:rPr>
            <w:rStyle w:val="Hyperlink"/>
            <w:color w:val="800080"/>
          </w:rPr>
          <w:t>DO L 176 de 27.6.2013, p. 1</w:t>
        </w:r>
      </w:hyperlink>
      <w:r>
        <w:t>;</w:t>
      </w:r>
      <w:r>
        <w:rPr>
          <w:color w:val="800080"/>
          <w:u w:val="single"/>
        </w:rPr>
        <w:t xml:space="preserve"> </w:t>
      </w:r>
      <w:hyperlink r:id="rId2" w:history="1">
        <w:r>
          <w:rPr>
            <w:rStyle w:val="Hyperlink"/>
          </w:rPr>
          <w:t>Reglamento — UE — 2024/1623 — ES — EUR-Lex (europa.eu)</w:t>
        </w:r>
      </w:hyperlink>
      <w:r>
        <w:t>].</w:t>
      </w:r>
    </w:p>
  </w:footnote>
  <w:footnote w:id="2">
    <w:p w14:paraId="617AD8CF" w14:textId="77777777" w:rsidR="001A67EA" w:rsidRPr="00222AAB" w:rsidRDefault="001A67EA" w:rsidP="001A67EA">
      <w:pPr>
        <w:pStyle w:val="FootnoteText"/>
        <w:rPr>
          <w:rFonts w:cstheme="minorHAnsi"/>
        </w:rPr>
      </w:pPr>
      <w:r>
        <w:rPr>
          <w:rStyle w:val="FootnoteReference"/>
          <w:rFonts w:cstheme="minorHAnsi"/>
        </w:rPr>
        <w:footnoteRef/>
      </w:r>
      <w:r>
        <w:t xml:space="preserve"> </w:t>
      </w:r>
      <w:r>
        <w:tab/>
        <w:t>Reglamento (UE) n.º 1071/2013 del Banco Central Europeo, de 24 de septiembre de 2013, relativo al balance del sector de las instituciones financieras monetarias (BCE/2013/33) (DO L 297 de 7.11.2013, p. 1).</w:t>
      </w:r>
    </w:p>
  </w:footnote>
  <w:footnote w:id="3">
    <w:p w14:paraId="40DC675F" w14:textId="77777777" w:rsidR="001A67EA" w:rsidRPr="00222AAB" w:rsidRDefault="001A67EA" w:rsidP="001A67EA">
      <w:pPr>
        <w:pStyle w:val="FootnoteText"/>
        <w:rPr>
          <w:rFonts w:cstheme="minorHAnsi"/>
        </w:rPr>
      </w:pPr>
      <w:r>
        <w:rPr>
          <w:rStyle w:val="FootnoteReference"/>
          <w:rFonts w:cstheme="minorHAnsi"/>
        </w:rPr>
        <w:footnoteRef/>
      </w:r>
      <w:r>
        <w:t xml:space="preserve"> </w:t>
      </w:r>
      <w:r>
        <w:tab/>
        <w:t>Reglamento de Ejecución (UE) n.º 680/2014 de la Comisión, de 16 de abril de 2014, por el que se establecen normas técnicas de ejecución en relación con la comunicación de información con fines de supervisión por parte de las entidades, de conformidad con el Reglamento (UE) n.º 575/2013 del Parlamento Europeo y del Consejo (DO L 191 de 28.6.2014,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4CD94" w14:textId="0D45C6BA" w:rsidR="00D03F87" w:rsidRDefault="00D03F87">
    <w:pPr>
      <w:pStyle w:val="Header"/>
    </w:pPr>
    <w:r>
      <w:rPr>
        <w:noProof/>
      </w:rPr>
      <mc:AlternateContent>
        <mc:Choice Requires="wps">
          <w:drawing>
            <wp:anchor distT="0" distB="0" distL="0" distR="0" simplePos="0" relativeHeight="251659264" behindDoc="0" locked="0" layoutInCell="1" allowOverlap="1" wp14:anchorId="48E57A27" wp14:editId="38EFA058">
              <wp:simplePos x="635" y="635"/>
              <wp:positionH relativeFrom="page">
                <wp:align>left</wp:align>
              </wp:positionH>
              <wp:positionV relativeFrom="page">
                <wp:align>top</wp:align>
              </wp:positionV>
              <wp:extent cx="1273175" cy="376555"/>
              <wp:effectExtent l="0" t="0" r="3175" b="4445"/>
              <wp:wrapNone/>
              <wp:docPr id="1511192801" name="Text Box 2"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CF14E2E" w14:textId="6051178C" w:rsidR="00D03F87" w:rsidRPr="00D03F87" w:rsidRDefault="00D03F87" w:rsidP="00D03F87">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8E57A27" id="_x0000_t202" coordsize="21600,21600" o:spt="202" path="m,l,21600r21600,l21600,xe">
              <v:stroke joinstyle="miter"/>
              <v:path gradientshapeok="t" o:connecttype="rect"/>
            </v:shapetype>
            <v:shape id="Text Box 2" o:spid="_x0000_s1026" type="#_x0000_t202" alt="Title:  - Description: Uso habitual de la AB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4CF14E2E" w14:textId="6051178C" w:rsidR="00D03F87" w:rsidRPr="00D03F87" w:rsidRDefault="00D03F87" w:rsidP="00D03F87">
                    <w:pPr>
                      <w:rPr>
                        <w:noProof/>
                        <w:color w:val="000000"/>
                        <w:sz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A84A0" w14:textId="4D7564CB" w:rsidR="00D03F87" w:rsidRDefault="00D03F87">
    <w:pPr>
      <w:pStyle w:val="Header"/>
    </w:pPr>
    <w:r>
      <w:rPr>
        <w:noProof/>
      </w:rPr>
      <mc:AlternateContent>
        <mc:Choice Requires="wps">
          <w:drawing>
            <wp:anchor distT="0" distB="0" distL="0" distR="0" simplePos="0" relativeHeight="251660288" behindDoc="0" locked="0" layoutInCell="1" allowOverlap="1" wp14:anchorId="2BA8A8F2" wp14:editId="73F2E6A4">
              <wp:simplePos x="914400" y="447675"/>
              <wp:positionH relativeFrom="page">
                <wp:align>left</wp:align>
              </wp:positionH>
              <wp:positionV relativeFrom="page">
                <wp:align>top</wp:align>
              </wp:positionV>
              <wp:extent cx="1273175" cy="376555"/>
              <wp:effectExtent l="0" t="0" r="3175" b="4445"/>
              <wp:wrapNone/>
              <wp:docPr id="551966805" name="Text Box 3"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B33A51A" w14:textId="77519130" w:rsidR="00D03F87" w:rsidRPr="00D03F87" w:rsidRDefault="00D03F87" w:rsidP="00D03F87">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BA8A8F2" id="_x0000_t202" coordsize="21600,21600" o:spt="202" path="m,l,21600r21600,l21600,xe">
              <v:stroke joinstyle="miter"/>
              <v:path gradientshapeok="t" o:connecttype="rect"/>
            </v:shapetype>
            <v:shape id="Text Box 3" o:spid="_x0000_s1027" type="#_x0000_t202" alt="Title:  - Description: Uso habitual de la AB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2B33A51A" w14:textId="77519130" w:rsidR="00D03F87" w:rsidRPr="00D03F87" w:rsidRDefault="00D03F87" w:rsidP="00D03F87">
                    <w:pPr>
                      <w:rPr>
                        <w:noProof/>
                        <w:color w:val="000000"/>
                        <w:sz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F2360" w14:textId="228A2E9F" w:rsidR="00D03F87" w:rsidRDefault="00D03F87">
    <w:pPr>
      <w:pStyle w:val="Header"/>
    </w:pPr>
    <w:r>
      <w:rPr>
        <w:noProof/>
      </w:rPr>
      <mc:AlternateContent>
        <mc:Choice Requires="wps">
          <w:drawing>
            <wp:anchor distT="0" distB="0" distL="0" distR="0" simplePos="0" relativeHeight="251658240" behindDoc="0" locked="0" layoutInCell="1" allowOverlap="1" wp14:anchorId="2A2B5F7B" wp14:editId="256233AA">
              <wp:simplePos x="635" y="635"/>
              <wp:positionH relativeFrom="page">
                <wp:align>left</wp:align>
              </wp:positionH>
              <wp:positionV relativeFrom="page">
                <wp:align>top</wp:align>
              </wp:positionV>
              <wp:extent cx="1273175" cy="376555"/>
              <wp:effectExtent l="0" t="0" r="3175" b="4445"/>
              <wp:wrapNone/>
              <wp:docPr id="413512796" name="Text Box 1"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95F4275" w14:textId="46855021" w:rsidR="00D03F87" w:rsidRPr="00D03F87" w:rsidRDefault="00D03F87" w:rsidP="00D03F87">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A2B5F7B" id="_x0000_t202" coordsize="21600,21600" o:spt="202" path="m,l,21600r21600,l21600,xe">
              <v:stroke joinstyle="miter"/>
              <v:path gradientshapeok="t" o:connecttype="rect"/>
            </v:shapetype>
            <v:shape id="Text Box 1" o:spid="_x0000_s1028" type="#_x0000_t202" alt="Title:  - Description: Uso habitual de la AB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295F4275" w14:textId="46855021" w:rsidR="00D03F87" w:rsidRPr="00D03F87" w:rsidRDefault="00D03F87" w:rsidP="00D03F87">
                    <w:pPr>
                      <w:rPr>
                        <w:noProof/>
                        <w:color w:val="000000"/>
                        <w:sz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82C49"/>
    <w:rsid w:val="001A67EA"/>
    <w:rsid w:val="001D6B7E"/>
    <w:rsid w:val="00382C49"/>
    <w:rsid w:val="004E6337"/>
    <w:rsid w:val="00993FC2"/>
    <w:rsid w:val="00CA68B1"/>
    <w:rsid w:val="00D03F87"/>
    <w:rsid w:val="00FE23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50B00"/>
  <w15:chartTrackingRefBased/>
  <w15:docId w15:val="{10B9F566-ECEB-472F-BF93-6D8F7AA9F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67EA"/>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1A67EA"/>
    <w:rPr>
      <w:rFonts w:eastAsiaTheme="minorEastAsia"/>
      <w:sz w:val="20"/>
      <w:szCs w:val="20"/>
      <w:lang w:val="en-US"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1A67EA"/>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1A67EA"/>
    <w:rPr>
      <w:rFonts w:eastAsiaTheme="minorEastAsia"/>
      <w:sz w:val="18"/>
      <w:szCs w:val="18"/>
      <w:lang w:val="es-E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1A67EA"/>
    <w:rPr>
      <w:rFonts w:asciiTheme="minorHAnsi" w:hAnsiTheme="minorHAnsi"/>
      <w:sz w:val="22"/>
      <w:szCs w:val="18"/>
      <w:vertAlign w:val="superscript"/>
    </w:rPr>
  </w:style>
  <w:style w:type="character" w:styleId="Hyperlink">
    <w:name w:val="Hyperlink"/>
    <w:basedOn w:val="DefaultParagraphFont"/>
    <w:uiPriority w:val="99"/>
    <w:rsid w:val="001A67EA"/>
    <w:rPr>
      <w:color w:val="0563C1" w:themeColor="hyperlink"/>
      <w:u w:val="single"/>
    </w:rPr>
  </w:style>
  <w:style w:type="paragraph" w:customStyle="1" w:styleId="Annexetitre">
    <w:name w:val="Annexe titre"/>
    <w:basedOn w:val="Normal"/>
    <w:next w:val="Normal"/>
    <w:rsid w:val="001A67EA"/>
    <w:pPr>
      <w:spacing w:before="120" w:after="120"/>
      <w:jc w:val="center"/>
    </w:pPr>
    <w:rPr>
      <w:rFonts w:ascii="Times New Roman" w:eastAsia="Times New Roman" w:hAnsi="Times New Roman" w:cs="Times New Roman"/>
      <w:b/>
      <w:sz w:val="24"/>
      <w:u w:val="single"/>
    </w:rPr>
  </w:style>
  <w:style w:type="table" w:styleId="TableProfessional">
    <w:name w:val="Table Professional"/>
    <w:basedOn w:val="TableNormal"/>
    <w:uiPriority w:val="99"/>
    <w:semiHidden/>
    <w:unhideWhenUsed/>
    <w:rsid w:val="001A67EA"/>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1A67EA"/>
    <w:pPr>
      <w:tabs>
        <w:tab w:val="center" w:pos="4513"/>
        <w:tab w:val="right" w:pos="9026"/>
      </w:tabs>
    </w:pPr>
  </w:style>
  <w:style w:type="character" w:customStyle="1" w:styleId="HeaderChar">
    <w:name w:val="Header Char"/>
    <w:basedOn w:val="DefaultParagraphFont"/>
    <w:link w:val="Header"/>
    <w:uiPriority w:val="99"/>
    <w:rsid w:val="001A67EA"/>
    <w:rPr>
      <w:rFonts w:eastAsiaTheme="minorEastAsia"/>
      <w:szCs w:val="24"/>
    </w:rPr>
  </w:style>
  <w:style w:type="paragraph" w:styleId="Footer">
    <w:name w:val="footer"/>
    <w:basedOn w:val="Normal"/>
    <w:link w:val="FooterChar"/>
    <w:uiPriority w:val="99"/>
    <w:unhideWhenUsed/>
    <w:rsid w:val="001A67EA"/>
    <w:pPr>
      <w:tabs>
        <w:tab w:val="center" w:pos="4513"/>
        <w:tab w:val="right" w:pos="9026"/>
      </w:tabs>
    </w:pPr>
  </w:style>
  <w:style w:type="character" w:customStyle="1" w:styleId="FooterChar">
    <w:name w:val="Footer Char"/>
    <w:basedOn w:val="DefaultParagraphFont"/>
    <w:link w:val="Footer"/>
    <w:uiPriority w:val="99"/>
    <w:rsid w:val="001A67EA"/>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S/TXT/?uri=OJ:L_202401623" TargetMode="External"/><Relationship Id="rId1" Type="http://schemas.openxmlformats.org/officeDocument/2006/relationships/hyperlink" Target="https://eur-lex.europa.eu/legal-content/ES/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F6440E-06C4-400C-8990-057A29C1AEA8}"/>
</file>

<file path=customXml/itemProps2.xml><?xml version="1.0" encoding="utf-8"?>
<ds:datastoreItem xmlns:ds="http://schemas.openxmlformats.org/officeDocument/2006/customXml" ds:itemID="{9E6C8A26-BD91-4B9E-A268-0865420E9674}"/>
</file>

<file path=customXml/itemProps3.xml><?xml version="1.0" encoding="utf-8"?>
<ds:datastoreItem xmlns:ds="http://schemas.openxmlformats.org/officeDocument/2006/customXml" ds:itemID="{BEFA16C4-664B-4886-8A25-1CF9EE44324E}"/>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5</Pages>
  <Words>1730</Words>
  <Characters>9155</Characters>
  <Application>Microsoft Office Word</Application>
  <DocSecurity>0</DocSecurity>
  <Lines>217</Lines>
  <Paragraphs>83</Paragraphs>
  <ScaleCrop>false</ScaleCrop>
  <Company>European Banking Authority</Company>
  <LinksUpToDate>false</LinksUpToDate>
  <CharactersWithSpaces>10802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MARTINEZ MARTOS Dolores (DGT)</cp:lastModifiedBy>
  <cp:revision>5</cp:revision>
  <dcterms:created xsi:type="dcterms:W3CDTF">2021-03-11T13:17:00Z</dcterms:created>
  <dcterms:modified xsi:type="dcterms:W3CDTF">2024-10-18T08:28:00Z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18a5b45c,5a12f8e1,20e65855</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2024-09-26T15:08:54Z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70db11ff-dbab-49fe-8b5a-723b3ae89617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