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PRILOG VIII. – Upute za obrasce o objavi regulatornog kapitala</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Obrazac EU CC1 – Sastav regulatornog kapitala</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Institucije objavljuju informacije iz članka 437. točaka (a), (d), (e) i (f) </w:t>
      </w:r>
      <w:r>
        <w:rPr>
          <w:rFonts w:ascii="Times New Roman" w:hAnsi="Times New Roman"/>
          <w:color w:val="000000"/>
          <w:sz w:val="24"/>
        </w:rPr>
        <w:t>Uredbe (EU) br. 575/2013</w:t>
      </w:r>
      <w:r>
        <w:rPr>
          <w:rStyle w:val="FootnoteReference"/>
          <w:rFonts w:cs="Times New Roman"/>
          <w:color w:val="000000"/>
        </w:rPr>
        <w:footnoteReference w:id="1"/>
      </w:r>
      <w:r>
        <w:rPr>
          <w:rFonts w:ascii="Times New Roman" w:hAnsi="Times New Roman"/>
          <w:color w:val="000000"/>
          <w:sz w:val="24"/>
        </w:rPr>
        <w:t xml:space="preserve"> („CRR”)</w:t>
      </w:r>
      <w:r>
        <w:rPr>
          <w:rFonts w:ascii="Times New Roman" w:hAnsi="Times New Roman"/>
          <w:sz w:val="24"/>
        </w:rPr>
        <w:t xml:space="preserve"> ispunjavanjem obrasca EU CC1 iz Priloga VII. IT rješenjima EBA-e prema uputama iz ovog Priloga.</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Za potrebe obrasca EU CC1, regulatorna usklađenja podrazumijevaju odbitke od regulatornog kapitala i bonitetne filtre.</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Institucije su dužne ispuniti stupac (b) ovog obrasca i iskazati izvor svakog značajnog podatka, na koji će se upućivati u odgovarajućim redcima u obrascu EU 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Institucije uz obrazac prilažu opis svih ograničenja primijenjenih pri izračunu regulatornog kapitala u skladu s CRR-om i instrumente, bonitetne filtre i odbitke na koje se ta ograničenja odnose. Navode i detaljno objašnjenje osnove za izračun stopa kapitala ako se izračunavaju primjenom elemenata regulatornog kapitala koji se određuju na nekoj drugoj osnovi, a ne na onoj propisanoj u CRR-u.</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Pravna osnova i upute</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Broj retka</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Objašnjenje</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Instrumenti kapitala i povezani računi premija na dionice</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Instrumenti kapitala i povezani računi premija na dionice u skladu s člankom 26. stavkom 1. točkama (a) i (b) i člancima 27., 28. i 29. CRR-a te EBA-inim popisom iz članka 26. stavka 3. CRR-a, te njihova raščlamba po vrsti instrumenta.</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Zadržana dobit</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Zadržana dobit prije svih regulatornih usklađenja u skladu s člankom 26. stavkom 1. točkom (c) CRR-a (prije uvrštenja prijelazne neto dobiti ili gubitaka).</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Akumulirana ostala sveobuhvatna dobit (i druge rezerve)</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akumulirane ostale sveobuhvatne dobiti i drugih rezervi u skladu s člankom 26. stavkom 1. točkama (d) i (e) CRR-a.</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Rezerve za opće bankovne rizike</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Iznos rezervi za opće bankovne rizike u skladu s člankom 26. stavkom 1. točkom (f) CRR-a.</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stavki koje ispunjavaju uvjete iz članka 484. stavka 3. CRR-a i povezani računi premija na dionice koji se postupno isključuju iz redovnog osnovnog kapitala</w:t>
            </w:r>
          </w:p>
          <w:p w14:paraId="434ED6B8" w14:textId="5D2F0EB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stavki koje ispunjavaju uvjete iz članka 484. stavka 3. CRR-a i povezani računi premija na dionice koji se postupno isključuju iz dopunskog kapitala kako je opisano u članku 486. stavku 2. CRR-a</w:t>
            </w:r>
            <w:r w:rsidR="00154839">
              <w:rPr>
                <w:rFonts w:ascii="Times New Roman" w:hAnsi="Times New Roman"/>
                <w:sz w:val="24"/>
              </w:rPr>
              <w:t>.</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Manjinski udjeli (iznos dopušten u konsolidiranom redovnom osnovnom kapitalu)</w:t>
            </w:r>
          </w:p>
          <w:p w14:paraId="64724C4C" w14:textId="7154D86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Manjinski udjeli (iznos dopušten u konsolidiranom redovnom osnovnom kapitalu) u skladu s člankom 84. CRR-a</w:t>
            </w:r>
            <w:r w:rsidR="00154839">
              <w:rPr>
                <w:rFonts w:ascii="Times New Roman" w:hAnsi="Times New Roman"/>
                <w:sz w:val="24"/>
              </w:rPr>
              <w:t>.</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Neovisno provjerena dobit tekuće godine ostvarena tijekom poslovne godine umanjena za predvidive troškove ili dividende</w:t>
            </w:r>
          </w:p>
          <w:p w14:paraId="30173762" w14:textId="5EFEB14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Neovisno provjerena dobit tekuće godine ostvarena tijekom poslovne godine umanjena za predvidive troškove ili dividende u skladu s člankom 26. stavkom 2 CRR-a</w:t>
            </w:r>
            <w:r w:rsidR="00154839">
              <w:rPr>
                <w:rFonts w:ascii="Times New Roman" w:hAnsi="Times New Roman"/>
                <w:sz w:val="24"/>
              </w:rPr>
              <w:t>.</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Redovni osnovni kapital (CET1) prije regulatornih usklađenja</w:t>
            </w:r>
          </w:p>
          <w:p w14:paraId="5517D0EC" w14:textId="6BE48E5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Zbroj iznosa iz redaka od 1 do EU-5a ovog obrasca</w:t>
            </w:r>
            <w:r w:rsidR="00154839">
              <w:rPr>
                <w:rFonts w:ascii="Times New Roman" w:hAnsi="Times New Roman"/>
                <w:sz w:val="24"/>
              </w:rPr>
              <w:t>.</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Dodatna vrijednosna usklađenja (negativan iznos)</w:t>
            </w:r>
          </w:p>
          <w:p w14:paraId="24604E94" w14:textId="3A35A8B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Dodatna vrijednosna usklađenja u skladu s člancima 34. i 105. CRR-a (negativan iznos)</w:t>
            </w:r>
            <w:r w:rsidR="00154839">
              <w:rPr>
                <w:rFonts w:ascii="Times New Roman" w:hAnsi="Times New Roman"/>
                <w:sz w:val="24"/>
              </w:rPr>
              <w:t>.</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Nematerijalna imovina (umanjena za povezanu poreznu obvezu) (negativan iznos)</w:t>
            </w:r>
          </w:p>
          <w:p w14:paraId="5E398664" w14:textId="3796AAA2"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Nematerijalna imovina (umanjena za povezanu poreznu obvezu) u skladu s člankom 36. stavkom 1. točkom (b) i člankom 37. CRR-a (negativan iznos)</w:t>
            </w:r>
            <w:r w:rsidR="00154839">
              <w:rPr>
                <w:rFonts w:ascii="Times New Roman" w:hAnsi="Times New Roman"/>
                <w:sz w:val="24"/>
              </w:rPr>
              <w:t>.</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Nije primjenjivo</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Odgođena porezna imovina koja ovisi o budućoj profitabilnosti, isključujući onu koja proizlazi iz privremenih razlika (umanjena za povezanu poreznu obvezu ako su ispunjeni uvjeti iz članka 38. stavka 3. CRR-a) (negativan iznos)</w:t>
            </w:r>
          </w:p>
          <w:p w14:paraId="2A0A42E4" w14:textId="2A1CD222"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Odgođena porezna imovina koja ovisi o budućoj profitabilnosti, isključujući onu koja proizlazi iz privremenih razlika (umanjena za povezanu poreznu obvezu ako su ispunjeni uvjeti iz članka 38. stavka 3. </w:t>
            </w:r>
            <w:r>
              <w:rPr>
                <w:rFonts w:ascii="Times New Roman" w:hAnsi="Times New Roman"/>
                <w:sz w:val="24"/>
              </w:rPr>
              <w:lastRenderedPageBreak/>
              <w:t>CRR-a) u skladu s člankom 36. stavkom 1. točkom (c) i člankom 38. CRR-a (negativan iznos)</w:t>
            </w:r>
            <w:r w:rsidR="00154839">
              <w:rPr>
                <w:rFonts w:ascii="Times New Roman" w:hAnsi="Times New Roman"/>
                <w:sz w:val="24"/>
              </w:rPr>
              <w:t>.</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Rezerve iz fer vrednovanja koje se odnose na dobitke ili gubitke na osnovi zaštite novčanog toka financijskih instrumenata koji se ne vrednuju po fer vrijednosti</w:t>
            </w:r>
          </w:p>
          <w:p w14:paraId="28EED647" w14:textId="2EB62E8E"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Rezerve iz fer vrednovanja koje se odnose na dobitke ili gubitke na osnovi zaštite novčanog toka financijskih instrumenata koji se ne vrednuju po fer vrijednosti u skladu s člankom 33. stavkom 1. točkom (a) CRR-a</w:t>
            </w:r>
            <w:r w:rsidR="00154839">
              <w:rPr>
                <w:rFonts w:ascii="Times New Roman" w:hAnsi="Times New Roman"/>
                <w:sz w:val="24"/>
              </w:rPr>
              <w:t>.</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Negativni iznosi koji proizlaze iz izračuna iznosa očekivanih gubitaka</w:t>
            </w:r>
          </w:p>
          <w:p w14:paraId="1056ED1A" w14:textId="1E24CD03"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Negativni iznosi koji proizlaze iz izračuna iznosa očekivanih gubitaka u skladu s člankom 36. stavkom 1. točkom (d) i člankom 40. CRR-a</w:t>
            </w:r>
            <w:r w:rsidR="00154839">
              <w:rPr>
                <w:rFonts w:ascii="Times New Roman" w:hAnsi="Times New Roman"/>
                <w:sz w:val="24"/>
              </w:rPr>
              <w:t>.</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Svako povećanje kapitala nastalo kao rezultat sekuritizirane imovine (negativan iznos)</w:t>
            </w:r>
          </w:p>
          <w:p w14:paraId="0C6A56A7" w14:textId="04D9B440"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Svako povećanje kapitala nastalo kao rezultat sekuritizirane imovine u skladu s člankom 32. stavkom 1. CRR-a (negativan iznos)</w:t>
            </w:r>
            <w:r w:rsidR="00154839">
              <w:rPr>
                <w:rFonts w:ascii="Times New Roman" w:hAnsi="Times New Roman"/>
                <w:sz w:val="24"/>
              </w:rPr>
              <w:t>.</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Dobici ili gubici po obvezama vrednovanim po fer vrijednosti nastali kao rezultat promjena kreditne sposobnosti same institucije</w:t>
            </w:r>
          </w:p>
          <w:p w14:paraId="07C3FABE" w14:textId="2EE4ABA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Dobici ili gubici po obvezama vrednovanim po fer vrijednosti nastali kao rezultat promjena kreditne sposobnosti same institucije u skladu s člankom 33. stavkom 1. točkom (b) CRR-a</w:t>
            </w:r>
            <w:r w:rsidR="00154839">
              <w:rPr>
                <w:rFonts w:ascii="Times New Roman" w:hAnsi="Times New Roman"/>
                <w:sz w:val="24"/>
              </w:rPr>
              <w:t>.</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Imovina mirovinskog fonda pod pokroviteljstvom poslodavca (negativan iznos)</w:t>
            </w:r>
          </w:p>
          <w:p w14:paraId="7FE0A992" w14:textId="159A0C8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Imovina mirovinskog fonda pod pokroviteljstvom poslodavca u skladu s člankom 36. stavkom 1. točkom (e) i člankom 41. CRR-a (negativan iznos)</w:t>
            </w:r>
            <w:r w:rsidR="00154839">
              <w:rPr>
                <w:rFonts w:ascii="Times New Roman" w:hAnsi="Times New Roman"/>
                <w:sz w:val="24"/>
              </w:rPr>
              <w:t>.</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vlastite instrumente redovnog osnovnog kapitala (negativan iznos)</w:t>
            </w:r>
          </w:p>
          <w:p w14:paraId="77709E9C" w14:textId="51E0196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vlastite instrumente redovnog osnovnog kapitala kako je opisano u članku 36. stavku 1. točki (f) i članku 42. CRR-a (negativan iznos)</w:t>
            </w:r>
            <w:r w:rsidR="00154839">
              <w:rPr>
                <w:rFonts w:ascii="Times New Roman" w:hAnsi="Times New Roman"/>
                <w:sz w:val="24"/>
              </w:rPr>
              <w:t>.</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u instrumente redovnog osnovnog kapitala subjekata financijskog sektora ako ti subjekti imaju s institucijom recipročno međusobno ulaganje čiji je cilj umjetno povećati regulatorni kapital institucije (negativan iznos)</w:t>
            </w:r>
          </w:p>
          <w:p w14:paraId="2AFFD0C1" w14:textId="1D3B1CE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Izravna, neizravna i sintetska ulaganja u instrumente redovnog osnovnog kapitala subjekata financijskog sektora ako ti subjekti imaju s institucijom recipročno međusobno ulaganje čiji je cilj umjetno povećati regulatorni </w:t>
            </w:r>
            <w:r>
              <w:rPr>
                <w:rFonts w:ascii="Times New Roman" w:hAnsi="Times New Roman"/>
                <w:sz w:val="24"/>
              </w:rPr>
              <w:lastRenderedPageBreak/>
              <w:t>kapital institucije kako je opisano u članku 36. stavku 1. točki (g) i članku 44. CRR-a (negativan iznos)</w:t>
            </w:r>
            <w:r w:rsidR="00154839">
              <w:rPr>
                <w:rFonts w:ascii="Times New Roman" w:hAnsi="Times New Roman"/>
                <w:sz w:val="24"/>
              </w:rPr>
              <w:t>.</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instrumente redovnog osnovnog kapitala subjekata financijskog sektora ako institucija nema značajno ulaganje u te subjekte (iznos iznad praga od 10 % i umanjeno za prihvatljive kratke pozicije) (negativan iznos)</w:t>
            </w:r>
          </w:p>
          <w:p w14:paraId="3D0E5CB4" w14:textId="7FD14C6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u instrumente redovnog osnovnog kapitala subjekata financijskog sektora ako institucija nema značajno ulaganje u te subjekte (iznos iznad praga od 10 % i umanjeno za prihvatljive kratke pozicije) kako je opisano u članku 36. stavku 1. točki (h), člancima 43., 45., 46., članku 49. stavcima 2. i 3. i članku 79. CRR-a (negativan iznos)</w:t>
            </w:r>
            <w:r w:rsidR="00154839">
              <w:rPr>
                <w:rFonts w:ascii="Times New Roman" w:hAnsi="Times New Roman"/>
                <w:sz w:val="24"/>
              </w:rPr>
              <w:t>.</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instrumente redovnog osnovnog kapitala subjekata financijskog sektora ako institucija ima značajno ulaganje u te subjekte (iznos iznad praga od 10 % i umanjeno za prihvatljive kratke pozicije) (negativan iznos)</w:t>
            </w:r>
          </w:p>
          <w:p w14:paraId="39DCB46F" w14:textId="1B6D980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instrumente redovnog osnovnog kapitala subjekata financijskog sektora ako institucija ima značajno ulaganje u te subjekte (iznos iznad praga od 10 % i umanjeno za prihvatljive kratke pozicije) kako je opisano u članku 36. stavku 1. točki (i), člancima 43., 45., 47., članku 48. stavku 1. točki (b) i članku 49. stavcima od 1. do 3. CRR-a (negativan iznos)</w:t>
            </w:r>
            <w:r w:rsidR="00154839">
              <w:rPr>
                <w:rFonts w:ascii="Times New Roman" w:hAnsi="Times New Roman"/>
                <w:sz w:val="24"/>
              </w:rPr>
              <w:t>.</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Nije primjenjivo</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izloženosti sljedećih stavki kojima se dodjeljuje ponder rizika od 1 250 %, ako se institucija odluči za alternativu odbicima</w:t>
            </w:r>
          </w:p>
          <w:p w14:paraId="2CA8C5B0" w14:textId="566E722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izloženosti kojima se dodjeljuje ponder rizika od 1 250 %, ako se institucija odluči za alternativu odbicima, kako je opisano u članku 36. stavku 1. točki (k) CRR-a</w:t>
            </w:r>
            <w:r w:rsidR="00154839">
              <w:rPr>
                <w:rFonts w:ascii="Times New Roman" w:hAnsi="Times New Roman"/>
                <w:sz w:val="24"/>
              </w:rPr>
              <w:t>.</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kvalificirani udjeli izvan financijskog sektora (negativan iznos)</w:t>
            </w:r>
          </w:p>
          <w:p w14:paraId="0056EA61" w14:textId="661E16A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iznosa u retku EU-20a, iznos koji se odnosi na kvalificirane udjele zvan financijskog sektora u skladu s člankom 36. stavkom 1. točkom (i) i člancima od 89. do 91. CRR-a (negativan iznos)</w:t>
            </w:r>
            <w:r w:rsidR="00154839">
              <w:rPr>
                <w:rFonts w:ascii="Times New Roman" w:hAnsi="Times New Roman"/>
                <w:sz w:val="24"/>
              </w:rPr>
              <w:t>.</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sekuritizacijske pozicije (negativan iznos)</w:t>
            </w:r>
          </w:p>
          <w:p w14:paraId="232BFB2B" w14:textId="2B59339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iznosa u retku EU-20a ovog obrasca, iznos koji se odnosi na sekuritizacijske pozicije, u skladu s člankom 36. stavkom 1. točkom (k) podtočkom ii., člankom 243. stavkom 1. točkom (b), člankom 244. stavkom 1. tokom (b) i člankom 258. CRR-a (negativan iznos)</w:t>
            </w:r>
            <w:r w:rsidR="00154839">
              <w:rPr>
                <w:rFonts w:ascii="Times New Roman" w:hAnsi="Times New Roman"/>
                <w:sz w:val="24"/>
              </w:rPr>
              <w:t>.</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slobodne isporuke (negativan iznos)</w:t>
            </w:r>
          </w:p>
          <w:p w14:paraId="218B6C2A" w14:textId="181CA63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Od iznosa u retku EU-20a ovog obrasca, iznos koji se odnosi na slobodne isporuke u skladu s člankom 36. stavkom 1. točkom (k) podtočkom iii. i člankom 379. stavkom 3. CRR-a (negativan iznos)</w:t>
            </w:r>
            <w:r w:rsidR="00154839">
              <w:rPr>
                <w:rFonts w:ascii="Times New Roman" w:hAnsi="Times New Roman"/>
                <w:sz w:val="24"/>
              </w:rPr>
              <w:t>.</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Odgođena porezna imovina koja proizlazi iz privremenih razlika (iznos iznad praga od 10 %, umanjeno za povezanu poreznu obvezu ako su ispunjeni uvjeti iz članka 38. stavka 3. CRR-a) (negativan iznos)</w:t>
            </w:r>
          </w:p>
          <w:p w14:paraId="1047B9CB" w14:textId="1E21193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Odgođena porezna imovina koja proizlazi iz privremenih razlika (iznos iznad praga od 10 %, umanjeno za povezanu poreznu obvezu ako su ispunjeni uvjeti iz članka 38. stavka 3. CRR-a), kako je opisano u članku 36. stavku 1. točki (c), članku 38. i članku 48. stavku 1. točki (a) CRR-a (negativan iznos)</w:t>
            </w:r>
            <w:r w:rsidR="00154839">
              <w:rPr>
                <w:rFonts w:ascii="Times New Roman" w:hAnsi="Times New Roman"/>
                <w:sz w:val="24"/>
              </w:rPr>
              <w:t>.</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koji premašuje prag od 17,65 % (negativan iznos)</w:t>
            </w:r>
          </w:p>
          <w:p w14:paraId="5ADBAB1C" w14:textId="76D23F2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koji premašuje prag od 17,65 % u skladu s člankom 48. stavkom 1. CRR-a (negativan iznos)</w:t>
            </w:r>
            <w:r w:rsidR="00154839">
              <w:rPr>
                <w:rFonts w:ascii="Times New Roman" w:hAnsi="Times New Roman"/>
                <w:sz w:val="24"/>
              </w:rPr>
              <w:t>.</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izravna, neizravna i sintetska ulaganja institucije u instrumente redovnog osnovnog kapitala subjekata financijskog sektora ako institucija u tim subjektima ima značajno ulaganje</w:t>
            </w:r>
          </w:p>
          <w:p w14:paraId="63DF0E4F" w14:textId="7ACCCC7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iznosa u retku 22 ovog obrasca, iznos izravnih, neizravnih i sintetskih ulaganja institucije u instrumente redovnog osnovnog kapitala subjekata financijskog sektora ako institucija u tim subjektima ima značajno ulaganje, kako je opisano u članku 36. stavku 1. točki (i) i članku 48. stavku 1. točki (b) CRR-a</w:t>
            </w:r>
            <w:r w:rsidR="00154839">
              <w:rPr>
                <w:rFonts w:ascii="Times New Roman" w:hAnsi="Times New Roman"/>
                <w:sz w:val="24"/>
              </w:rPr>
              <w:t>.</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Nije primjenjivo</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odgođena porezna imovina koja proizlazi iz privremenih razlika</w:t>
            </w:r>
          </w:p>
          <w:p w14:paraId="482D0A2D" w14:textId="1DCE198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iznosa u retku 22 ovog obrasca, iznos odgođene porezne imovine koja proizlazi iz privremenih razlika, kako je opisano u članku 36. stavku 1. točki (c), članku 38. i članku 48. stavku 1. točki (a) CRR-a</w:t>
            </w:r>
            <w:r w:rsidR="00154839">
              <w:rPr>
                <w:rFonts w:ascii="Times New Roman" w:hAnsi="Times New Roman"/>
                <w:sz w:val="24"/>
              </w:rPr>
              <w:t>.</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Gubici tekuće financijske godine (negativan iznos)</w:t>
            </w:r>
          </w:p>
          <w:p w14:paraId="21AC5462" w14:textId="06B701F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Gubici tekuće financijske godine u skladu s člankom 36. stavkom 1. točkom (a) CRR-a (negativan iznos)</w:t>
            </w:r>
            <w:r w:rsidR="00154839">
              <w:rPr>
                <w:rFonts w:ascii="Times New Roman" w:hAnsi="Times New Roman"/>
                <w:sz w:val="24"/>
              </w:rPr>
              <w:t>.</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Predvidivi porezni troškovi povezani sa stavkama dodatnog osnovnog kapitala ako institucija na odgovarajući način uskladi iznos stavki dodatnog osnovnog kapitala u onoj mjeri u kojoj takvi porezni troškovi umanjuju iznos do kojeg se te stavke mogu koristiti za pokrivanje rizika ili gubitaka (negativan iznos)</w:t>
            </w:r>
          </w:p>
          <w:p w14:paraId="734D12DC" w14:textId="35D39FC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Iznos predvidivih poreznih troškova povezanih sa stavkama dodatnog osnovnog kapitala koji se može predvidjeti u trenutku njihova izračun, osim ako institucija na odgovarajući način uskladi iznos stavki dodatnog </w:t>
            </w:r>
            <w:r>
              <w:rPr>
                <w:rFonts w:ascii="Times New Roman" w:hAnsi="Times New Roman"/>
                <w:sz w:val="24"/>
              </w:rPr>
              <w:lastRenderedPageBreak/>
              <w:t>osnovnog kapitala u onoj mjeri u kojoj takvi porezni troškovi umanjuju iznos do kojeg se te stavke mogu koristiti za pokrivanje rizika ili gubitaka, u skladu s člankom 36. stavkom 1. točkom (l) CRR-a (negativan iznos)</w:t>
            </w:r>
            <w:r w:rsidR="00154839">
              <w:rPr>
                <w:rFonts w:ascii="Times New Roman" w:hAnsi="Times New Roman"/>
                <w:sz w:val="24"/>
              </w:rPr>
              <w:t>.</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Nije primjenjivo</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odbici od dodatnog osnovnog kapitala koji premašuju stavke dodatnog osnovnog kapitala institucije (negativan iznos)</w:t>
            </w:r>
          </w:p>
          <w:p w14:paraId="355E3AEB" w14:textId="12A635F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odbici od dodatnog osnovnog kapitala koji premašuju stavke dodatnog osnovnog kapitala institucije, kako je opisano u članku 36. stavku 1. točki (j) CRR-a (negativan iznos)</w:t>
            </w:r>
            <w:r w:rsidR="00154839">
              <w:rPr>
                <w:rFonts w:ascii="Times New Roman" w:hAnsi="Times New Roman"/>
                <w:sz w:val="24"/>
              </w:rPr>
              <w:t>.</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Ostala regulatorna usklađenja</w:t>
            </w:r>
          </w:p>
          <w:p w14:paraId="2E4AF0F7" w14:textId="0D7225C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Institucije u ovom retku objavljuju svako primjenjivo regulatorno usklađenje, koje je iskazano za potrebe nadzornog izvješćivanja, ali nije uključeno ni u jedan drugi redak ovog obrasca, uključujući iznos usklađenja zbog prelaska na primjenu MSFI-ja 9, ako je relevantno i do isteka prijelaznog razdoblja</w:t>
            </w:r>
            <w:r w:rsidR="00154839">
              <w:rPr>
                <w:rFonts w:ascii="Times New Roman" w:hAnsi="Times New Roman"/>
                <w:sz w:val="24"/>
              </w:rPr>
              <w:t>.</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Ukupna regulatorna usklađenja redovnog osnovnog kapitala</w:t>
            </w:r>
          </w:p>
          <w:p w14:paraId="45C480D1" w14:textId="6F20B263"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Izračunavaju se kao zbroj iznosa iz redaka od 7 do EU-20a, 21, 22 i od EU-25a do EU-27a ovog obrasca</w:t>
            </w:r>
            <w:r w:rsidR="00154839">
              <w:rPr>
                <w:rFonts w:ascii="Times New Roman" w:hAnsi="Times New Roman"/>
                <w:sz w:val="24"/>
              </w:rPr>
              <w:t>.</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Redovni osnovni kapital</w:t>
            </w:r>
          </w:p>
          <w:p w14:paraId="7AF2FC11" w14:textId="54687168" w:rsidR="00C85971" w:rsidRPr="007F4CC8" w:rsidRDefault="00C85971" w:rsidP="00D819DE">
            <w:pPr>
              <w:spacing w:after="200"/>
              <w:jc w:val="both"/>
              <w:rPr>
                <w:rFonts w:ascii="Times New Roman" w:hAnsi="Times New Roman"/>
                <w:sz w:val="24"/>
              </w:rPr>
            </w:pPr>
            <w:r>
              <w:rPr>
                <w:rFonts w:ascii="Times New Roman" w:hAnsi="Times New Roman"/>
                <w:sz w:val="24"/>
              </w:rPr>
              <w:t>Izračunava se tako da se od retka 6 oduzme redak 28 ovog obrasca</w:t>
            </w:r>
            <w:r w:rsidR="00154839">
              <w:rPr>
                <w:rFonts w:ascii="Times New Roman" w:hAnsi="Times New Roman"/>
                <w:sz w:val="24"/>
              </w:rPr>
              <w:t>.</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Instrumenti kapitala i povezani računi premija na dionice</w:t>
            </w:r>
          </w:p>
          <w:p w14:paraId="78F65A5E" w14:textId="45D37CE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Instrumenti kapitala i povezani računi premija na dionice u skladu s člancima 51 i 52. CRR-a</w:t>
            </w:r>
            <w:r w:rsidR="00154839">
              <w:rPr>
                <w:rFonts w:ascii="Times New Roman" w:hAnsi="Times New Roman"/>
                <w:sz w:val="24"/>
              </w:rPr>
              <w:t>.</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klasificirani kao kapital u skladu s primjenjivim računovodstvenim standardima</w:t>
            </w:r>
          </w:p>
          <w:p w14:paraId="6088A1D4" w14:textId="5D6C30E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u retku 30 ovog obrasca klasificiran kao kapital u skladu s primjenjivim računovodstvenim standardima</w:t>
            </w:r>
            <w:r w:rsidR="00154839">
              <w:rPr>
                <w:rFonts w:ascii="Times New Roman" w:hAnsi="Times New Roman"/>
                <w:sz w:val="24"/>
              </w:rPr>
              <w:t>.</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klasificirani kao obveze u skladu s primjenjivim računovodstvenim standardom</w:t>
            </w:r>
          </w:p>
          <w:p w14:paraId="4C02CCA1" w14:textId="1A9D704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u retku 30 ovog obrasca klasificiran kao obveze u skladu s primjenjivim računovodstvenim standardima</w:t>
            </w:r>
            <w:r w:rsidR="00154839">
              <w:rPr>
                <w:rFonts w:ascii="Times New Roman" w:hAnsi="Times New Roman"/>
                <w:sz w:val="24"/>
              </w:rPr>
              <w:t>.</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24E9238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stavki koje ispunjavaju uvjete iz članka 484. stavka 4. CRR-a i povezani računi premija na dionice koji se postupno isključuju iz redovnog osnovnog kapitala</w:t>
            </w:r>
            <w:r w:rsidR="00154839">
              <w:rPr>
                <w:rFonts w:ascii="Times New Roman" w:hAnsi="Times New Roman"/>
                <w:sz w:val="24"/>
              </w:rPr>
              <w:t>.</w:t>
            </w:r>
          </w:p>
          <w:p w14:paraId="5AA40DAC" w14:textId="1F0462F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Iznos stavki koje ispunjavaju uvjete iz članka 484. stavka 4. CRR-a i povezani računi premija na dionice koji se postupno isključuju iz dopunskog kapitala u skladu s člankom 486. stavkom 3. CRR-a</w:t>
            </w:r>
            <w:r w:rsidR="00154839">
              <w:rPr>
                <w:rFonts w:ascii="Times New Roman" w:hAnsi="Times New Roman"/>
                <w:sz w:val="24"/>
              </w:rPr>
              <w:t>.</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EU-33a</w:t>
            </w:r>
          </w:p>
        </w:tc>
        <w:tc>
          <w:tcPr>
            <w:tcW w:w="7242" w:type="dxa"/>
            <w:vAlign w:val="center"/>
          </w:tcPr>
          <w:p w14:paraId="399F784E" w14:textId="065623D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stavki koje ispunjavaju uvjete iz članka 494.a stavka 1. CRR-a koje se postupno isključuju iz redovnog osnovnog kapitala</w:t>
            </w:r>
            <w:r w:rsidR="00154839">
              <w:rPr>
                <w:rFonts w:ascii="Times New Roman" w:hAnsi="Times New Roman"/>
                <w:sz w:val="24"/>
              </w:rPr>
              <w:t>.</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31A9646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stavki koje ispunjavaju uvjete iz članka 494.b stavka 1. CRR-a koje se postupno isključuju iz redovnog osnovnog kapitala</w:t>
            </w:r>
            <w:r w:rsidR="00154839">
              <w:rPr>
                <w:rFonts w:ascii="Times New Roman" w:hAnsi="Times New Roman"/>
                <w:sz w:val="24"/>
              </w:rPr>
              <w:t>.</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4A7D2B2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osnovni kapital uključen u konsolidirani dodatni osnovni kapital (uključujući manjinske udjele koji nisu navedeni u retku 5) u izdanju društava kćeri koji drže treće strane</w:t>
            </w:r>
            <w:r w:rsidR="00154839">
              <w:rPr>
                <w:rFonts w:ascii="Times New Roman" w:hAnsi="Times New Roman"/>
                <w:sz w:val="24"/>
              </w:rPr>
              <w:t>.</w:t>
            </w:r>
          </w:p>
          <w:p w14:paraId="33267B84" w14:textId="7F9EF89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osnovni kapital uključen u konsolidirani dodatni osnovni kapital (uključujući manjinske udjele koji nisu navedeni u retku 5 ovog obrasca) u izdanju društava kćeri koji drže treće strane, kako je opisano u člancima 85. i 86. CRR-a</w:t>
            </w:r>
            <w:r w:rsidR="00154839">
              <w:rPr>
                <w:rFonts w:ascii="Times New Roman" w:hAnsi="Times New Roman"/>
                <w:sz w:val="24"/>
              </w:rPr>
              <w:t>.</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instrumenti u izdanju društava kćeri koji se postupno ukidaju</w:t>
            </w:r>
          </w:p>
          <w:p w14:paraId="6DA4F142" w14:textId="10B3D87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u retku 34 ovog obrasca koji se odnosi na instrumente u izdanju društava kćeri koji se postupno ukidaju, kako je opisano u članku 486. stavku 3. CRR-a</w:t>
            </w:r>
            <w:r w:rsidR="00154839">
              <w:rPr>
                <w:rFonts w:ascii="Times New Roman" w:hAnsi="Times New Roman"/>
                <w:sz w:val="24"/>
              </w:rPr>
              <w:t>.</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Redovni osnovni kapital (AT1) prije regulatornih usklađenja</w:t>
            </w:r>
          </w:p>
          <w:p w14:paraId="282C0FB0" w14:textId="5E83B01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Zbroj iznosa iz redaka 30, 33, EU-33a, EU-33b i 34 ovog obrasca</w:t>
            </w:r>
            <w:r w:rsidR="00154839">
              <w:rPr>
                <w:rFonts w:ascii="Times New Roman" w:hAnsi="Times New Roman"/>
                <w:sz w:val="24"/>
              </w:rPr>
              <w:t>.</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vlastite instrumente dodatnog osnovnog kapitala (negativan iznos)</w:t>
            </w:r>
          </w:p>
          <w:p w14:paraId="58F9FBF2" w14:textId="7D06FC9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vlastite instrumente dodatnog osnovnog kapitala, kako je opisano u članku 52. stavku 1. točki (b), članku 56. točki (a) i članku 57. CRR-a (negativan iznos)</w:t>
            </w:r>
            <w:r w:rsidR="00154839">
              <w:rPr>
                <w:rFonts w:ascii="Times New Roman" w:hAnsi="Times New Roman"/>
                <w:sz w:val="24"/>
              </w:rPr>
              <w:t>.</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u instrumente dodatnog osnovnog kapitala subjekata financijskog sektora ako ti subjekti imaju s institucijom recipročno međusobno ulaganje čiji je cilj umjetno povećati regulatorni kapital institucije (negativan iznos)</w:t>
            </w:r>
          </w:p>
          <w:p w14:paraId="6BE90ADF" w14:textId="1014A9A3"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u instrumente dodatnog osnovnog kapitala subjekata financijskog sektora ako ti subjekti imaju s institucijom recipročno međusobno ulaganje čiji je cilj umjetno povećati regulatorni kapital institucije kako je opisano u članku 56. točki (b) i članku 58. CRR-a (negativan iznos)</w:t>
            </w:r>
            <w:r w:rsidR="00154839">
              <w:rPr>
                <w:rFonts w:ascii="Times New Roman" w:hAnsi="Times New Roman"/>
                <w:sz w:val="24"/>
              </w:rPr>
              <w:t>.</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Izravna, neizravna i sintetska ulaganja u instrumente dodatnog osnovnog kapitala subjekata financijskog sektora ako institucija nema značajno </w:t>
            </w:r>
            <w:r>
              <w:rPr>
                <w:rFonts w:ascii="Times New Roman" w:hAnsi="Times New Roman"/>
                <w:sz w:val="24"/>
              </w:rPr>
              <w:lastRenderedPageBreak/>
              <w:t>ulaganje u te subjekte (iznos iznad praga od 10 % i umanjeno za prihvatljive kratke pozicije) (negativan iznos)</w:t>
            </w:r>
          </w:p>
          <w:p w14:paraId="3530D914" w14:textId="03BC8D0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u instrumente dodatnog osnovnog kapitala subjekata financijskog sektora ako institucija nema značajno ulaganje u te subjekte (iznos iznad praga od 10 % i umanjeno za prihvatljive kratke pozicije), kako je opisano u članku 56. točki (c) i člancima 59., 60. i 79. CRR-a (negativan iznos)</w:t>
            </w:r>
            <w:r w:rsidR="00154839">
              <w:rPr>
                <w:rFonts w:ascii="Times New Roman" w:hAnsi="Times New Roman"/>
                <w:sz w:val="24"/>
              </w:rPr>
              <w:t>.</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instrumente dodatnog osnovnog kapitala subjekata financijskog sektora ako institucija ima značajno ulaganje u te subjekte (umanjeno za prihvatljive kratke pozicije) (negativan iznos)</w:t>
            </w:r>
          </w:p>
          <w:p w14:paraId="63735E89" w14:textId="737B5C4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instrumente dodatnog osnovnog kapitala subjekata financijskog sektora ako institucija ima značajno ulaganje u te subjekte (umanjeno za prihvatljive kratke pozicije), kako je opisano u članku 56. točki (d) i člancima 59. i 79. CRR-a (negativan iznos)</w:t>
            </w:r>
            <w:r w:rsidR="00154839">
              <w:rPr>
                <w:rFonts w:ascii="Times New Roman" w:hAnsi="Times New Roman"/>
                <w:sz w:val="24"/>
              </w:rPr>
              <w:t>.</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Nije primjenjivo</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odbici od dopunskog kapitala koji premašuju stavke dopunskog kapitala institucije (negativan iznos)</w:t>
            </w:r>
          </w:p>
          <w:p w14:paraId="089D0403" w14:textId="5E90BB2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odbici od dopunskog kapitala koji premašuju stavke dopunskog kapitala institucije, kako je opisano u članku 56. točki (e) CRR-a (negativan iznos)</w:t>
            </w:r>
            <w:r w:rsidR="00154839">
              <w:rPr>
                <w:rFonts w:ascii="Times New Roman" w:hAnsi="Times New Roman"/>
                <w:sz w:val="24"/>
              </w:rPr>
              <w:t>.</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Ostala regulatorna usklađenja dodatnog osnovnog kapitala</w:t>
            </w:r>
          </w:p>
          <w:p w14:paraId="482C6DB9" w14:textId="7167D400"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Institucije u ovom retku objavljuju svako primjenjivo regulatorno usklađenje, koje je iskazano za potrebe nadzornog izvješćivanja, ali nije uključeno ni u jedan drugi redak ovog obrasca</w:t>
            </w:r>
            <w:r w:rsidR="00154839">
              <w:rPr>
                <w:rFonts w:ascii="Times New Roman" w:hAnsi="Times New Roman"/>
                <w:sz w:val="24"/>
              </w:rPr>
              <w:t>.</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Ukupna regulatorna usklađenja dodatnog osnovnog kapitala (AT1)</w:t>
            </w:r>
          </w:p>
          <w:p w14:paraId="35FB6719" w14:textId="373CFD3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Zbroj iznosa iz redaka od 37 do EU-42a ovog obrasca</w:t>
            </w:r>
            <w:r w:rsidR="00154839">
              <w:rPr>
                <w:rFonts w:ascii="Times New Roman" w:hAnsi="Times New Roman"/>
                <w:sz w:val="24"/>
              </w:rPr>
              <w:t>.</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Dodatni osnovni kapital (AT1)</w:t>
            </w:r>
          </w:p>
          <w:p w14:paraId="37C4BA87" w14:textId="39CBBCBE" w:rsidR="00C85971" w:rsidRPr="007F4CC8" w:rsidRDefault="00C85971" w:rsidP="00D819DE">
            <w:pPr>
              <w:spacing w:after="200"/>
              <w:jc w:val="both"/>
              <w:rPr>
                <w:rFonts w:ascii="Times New Roman" w:hAnsi="Times New Roman"/>
                <w:sz w:val="24"/>
              </w:rPr>
            </w:pPr>
            <w:r>
              <w:rPr>
                <w:rFonts w:ascii="Times New Roman" w:hAnsi="Times New Roman"/>
                <w:sz w:val="24"/>
              </w:rPr>
              <w:t>Dodatni osnovni kapital izračunava se tako da se retka 36 oduzme redak 43 ovog obrasca</w:t>
            </w:r>
            <w:r w:rsidR="00154839">
              <w:rPr>
                <w:rFonts w:ascii="Times New Roman" w:hAnsi="Times New Roman"/>
                <w:sz w:val="24"/>
              </w:rPr>
              <w:t>.</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Osnovni kapital (T1 = CET1 + AT1)</w:t>
            </w:r>
          </w:p>
          <w:p w14:paraId="72DB0E03" w14:textId="5814859C" w:rsidR="00C85971" w:rsidRPr="007F4CC8" w:rsidRDefault="00C85971" w:rsidP="00D819DE">
            <w:pPr>
              <w:spacing w:after="200"/>
              <w:jc w:val="both"/>
              <w:rPr>
                <w:rFonts w:ascii="Times New Roman" w:hAnsi="Times New Roman"/>
                <w:sz w:val="24"/>
              </w:rPr>
            </w:pPr>
            <w:r>
              <w:rPr>
                <w:rFonts w:ascii="Times New Roman" w:hAnsi="Times New Roman"/>
                <w:sz w:val="24"/>
              </w:rPr>
              <w:t>Osnovni kapital, izračunava se tako da se zbroje redak 29 i redak 44 ovog obrasca</w:t>
            </w:r>
            <w:r w:rsidR="00154839">
              <w:rPr>
                <w:rFonts w:ascii="Times New Roman" w:hAnsi="Times New Roman"/>
                <w:sz w:val="24"/>
              </w:rPr>
              <w:t>.</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Instrumenti kapitala i povezani računi premija na dionice</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Instrumenti kapitala i povezani računi premija na dionice, kako je opisano u člancima 62. i 63. CRR-a</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47</w:t>
            </w:r>
          </w:p>
        </w:tc>
        <w:tc>
          <w:tcPr>
            <w:tcW w:w="7242" w:type="dxa"/>
            <w:vAlign w:val="center"/>
          </w:tcPr>
          <w:p w14:paraId="4080F054" w14:textId="2656A18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stavki koje ispunjavaju uvjete iz članka 484. stavka 5. CRR-a i povezani računi premija na dionice koji se postupno isključuju iz dopunskog kapitala kako je opisano u članku 486. stavku 4. CRR-a</w:t>
            </w:r>
            <w:r w:rsidR="00154839">
              <w:rPr>
                <w:rFonts w:ascii="Times New Roman" w:hAnsi="Times New Roman"/>
                <w:sz w:val="24"/>
              </w:rPr>
              <w:t>.</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stavki koje ispunjavaju uvjete iz članka 494.a stavka 2. CRR-a koje se postupno isključuju iz dopunskog kapitala</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stavki koje ispunjavaju uvjete iz članka 494.b stavka 2. CRR-a koje se postupno isključuju iz dopunskog kapitala</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instrumenti regulatornog kapitala uključeni u konsolidirani dopunski kapital (uključujući manjinske udjele i instrumente dodatnog osnovnog kapitala koji nisu navedeni u retku 5 ili retku 34) u izdanju društava kćeri koje drže treće strane</w:t>
            </w:r>
          </w:p>
          <w:p w14:paraId="34FA1FFB" w14:textId="64800C3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instrumenti regulatornog kapitala uključeni u konsolidirani dopunski kapital (uključujući manjinske udjele i instrumente dodatnog osnovnog kapitala koji nisu navedeni u retku 5 ili retku 34 ovog obrasca) u izdanju društava kćeri koje drže treće strane, kako je opisano u člancima 87. i 88. CRR-a</w:t>
            </w:r>
            <w:r w:rsidR="00154839">
              <w:rPr>
                <w:rFonts w:ascii="Times New Roman" w:hAnsi="Times New Roman"/>
                <w:sz w:val="24"/>
              </w:rPr>
              <w:t>.</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instrumenti u izdanju društava kćeri koji se postupno ukidaju</w:t>
            </w:r>
          </w:p>
          <w:p w14:paraId="4A6AC434" w14:textId="1F62699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iznosa u retku 48 ovog obrasca, iznos koji se odnosi na instrumente u izdanju društava kćeri koji se postupno ukidaju, kako je opisano u članku 486. stavku 4. CRR-a</w:t>
            </w:r>
            <w:r w:rsidR="00154839">
              <w:rPr>
                <w:rFonts w:ascii="Times New Roman" w:hAnsi="Times New Roman"/>
                <w:sz w:val="24"/>
              </w:rPr>
              <w:t>.</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Ispravci vrijednosti za kreditni rizik</w:t>
            </w:r>
          </w:p>
          <w:p w14:paraId="17F4C3B8" w14:textId="1D7968C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Ispravci vrijednosti za kreditni rizik u skladu s člankom 62. točkama (c) i (d) CRR-a</w:t>
            </w:r>
            <w:r w:rsidR="00154839">
              <w:rPr>
                <w:rFonts w:ascii="Times New Roman" w:hAnsi="Times New Roman"/>
                <w:sz w:val="24"/>
              </w:rPr>
              <w:t>.</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Dopunski kapital (T2) prije regulatornih usklađenja</w:t>
            </w:r>
          </w:p>
          <w:p w14:paraId="0DD0BE98" w14:textId="55B54021" w:rsidR="00C85971" w:rsidRPr="007F4CC8" w:rsidRDefault="00C85971" w:rsidP="00D819DE">
            <w:pPr>
              <w:spacing w:after="200"/>
              <w:jc w:val="both"/>
              <w:rPr>
                <w:rFonts w:ascii="Times New Roman" w:hAnsi="Times New Roman"/>
                <w:sz w:val="24"/>
              </w:rPr>
            </w:pPr>
            <w:r>
              <w:rPr>
                <w:rFonts w:ascii="Times New Roman" w:hAnsi="Times New Roman"/>
                <w:sz w:val="24"/>
              </w:rPr>
              <w:t>Zbroj iznosa iz redaka od 46 do 48 i retka 50 ovog obrasca</w:t>
            </w:r>
            <w:r w:rsidR="00154839">
              <w:rPr>
                <w:rFonts w:ascii="Times New Roman" w:hAnsi="Times New Roman"/>
                <w:sz w:val="24"/>
              </w:rPr>
              <w:t>.</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vlastite instrumente dopunskog kapitala i podređene kredite (negativan iznos)</w:t>
            </w:r>
          </w:p>
          <w:p w14:paraId="19B0E00E" w14:textId="256A27C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vlastite instrumente dopunskog kapitala i podređene kredite, kako je opisano u članku 63. točki (b) podtočki i., članku 66. točki (a) i članku 67. CRR-a (negativan iznos)</w:t>
            </w:r>
            <w:r w:rsidR="00154839">
              <w:rPr>
                <w:rFonts w:ascii="Times New Roman" w:hAnsi="Times New Roman"/>
                <w:sz w:val="24"/>
              </w:rPr>
              <w:t>.</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484C572"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u instrumente dopunskog kapitala i podređene kredite subjekata financijskog sektora ako ti subjekti imaju s institucijom recipročno međusobno ulaganje čiji je cilj umjetno povećati regulatorni kapital institucije (negativan iznos)</w:t>
            </w:r>
            <w:r w:rsidR="00154839">
              <w:rPr>
                <w:rFonts w:ascii="Times New Roman" w:hAnsi="Times New Roman"/>
                <w:sz w:val="24"/>
              </w:rPr>
              <w:t>.</w:t>
            </w:r>
          </w:p>
          <w:p w14:paraId="63EF50C5" w14:textId="2497A38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Izravna, neizravna i sintetska ulaganja u instrumente dopunskog kapitala i podređene kredite subjekata financijskog sektora ako ti subjekti imaju s institucijom recipročno međusobno ulaganje čiji je cilj umjetno povećati regulatorni kapital institucije, kako je opisano u članku 66. točki (b) i članku 68. CRR-a (negativan iznos)</w:t>
            </w:r>
            <w:r w:rsidR="00154839">
              <w:rPr>
                <w:rFonts w:ascii="Times New Roman" w:hAnsi="Times New Roman"/>
                <w:sz w:val="24"/>
              </w:rPr>
              <w:t>.</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54</w:t>
            </w:r>
          </w:p>
        </w:tc>
        <w:tc>
          <w:tcPr>
            <w:tcW w:w="7242" w:type="dxa"/>
            <w:vAlign w:val="center"/>
          </w:tcPr>
          <w:p w14:paraId="630CD7FA" w14:textId="6869F28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u instrumente dopunskog kapitala i podređene kredite subjekata financijskog sektora ako institucija nema značajno ulaganje u te subjekte (iznos iznad praga od 10 % i umanjeno za prihvatljive kratke pozicije) (negativan iznos)</w:t>
            </w:r>
            <w:r w:rsidR="00154839">
              <w:rPr>
                <w:rFonts w:ascii="Times New Roman" w:hAnsi="Times New Roman"/>
                <w:sz w:val="24"/>
              </w:rPr>
              <w:t>.</w:t>
            </w:r>
          </w:p>
          <w:p w14:paraId="7EC68967" w14:textId="4389CF2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u instrumente dopunskog kapitala i podređene kredite subjekata financijskog sektora ako institucija nema značajno ulaganje u te subjekte (iznos iznad praga od 10 % i umanjeno za prihvatljive kratke pozicije), kako je opisano u članku 66. točki (c) i člancima 69., 70. i 79. CRR-a (negativan iznos)</w:t>
            </w:r>
            <w:r w:rsidR="00154839">
              <w:rPr>
                <w:rFonts w:ascii="Times New Roman" w:hAnsi="Times New Roman"/>
                <w:sz w:val="24"/>
              </w:rPr>
              <w:t>.</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Nije primjenjivo</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18DCE82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instrumente dopunskog kapitala i podređene kredite subjekata financijskog sektora ako institucija ima značajno ulaganje u te subjekte (umanjeno za prihvatljive kratke pozicije) (negativan iznos)</w:t>
            </w:r>
            <w:r w:rsidR="00154839">
              <w:rPr>
                <w:rFonts w:ascii="Times New Roman" w:hAnsi="Times New Roman"/>
                <w:sz w:val="24"/>
              </w:rPr>
              <w:t>.</w:t>
            </w:r>
          </w:p>
          <w:p w14:paraId="29E41F27" w14:textId="6DC309F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neizravna i sintetska ulaganja institucije u instrumente dopunskog kapitala i podređene kredite subjekata financijskog sektora ako institucija ima značajno ulaganje u te subjekte (umanjeno za prihvatljive kratke pozicije) u skladu s člankom 66. točkom (d) i člancima 69. i 79. CRR-a (negativan iznos)</w:t>
            </w:r>
            <w:r w:rsidR="00154839">
              <w:rPr>
                <w:rFonts w:ascii="Times New Roman" w:hAnsi="Times New Roman"/>
                <w:sz w:val="24"/>
              </w:rPr>
              <w:t>.</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Nije primjenjivo</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6AFD5AE3" w14:textId="6E6234D9"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Odbici kvalificiranih prihvatljivih obveza koji premašuju stavke prihvatljivih obveza institucije (negativan iznos)</w:t>
            </w:r>
            <w:r w:rsidR="00154839">
              <w:rPr>
                <w:rFonts w:ascii="Times New Roman" w:hAnsi="Times New Roman"/>
                <w:color w:val="000000" w:themeColor="text1"/>
                <w:sz w:val="24"/>
              </w:rPr>
              <w:t>.</w:t>
            </w:r>
          </w:p>
          <w:p w14:paraId="1494AF54" w14:textId="347548C6"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 xml:space="preserve">Kvalificirani prihvatljivi odbici obveza koji premašuju stavke prihvatljivih obveza institucije, u skladu s </w:t>
            </w:r>
            <w:r>
              <w:rPr>
                <w:rFonts w:ascii="Times New Roman" w:hAnsi="Times New Roman"/>
                <w:sz w:val="24"/>
              </w:rPr>
              <w:t xml:space="preserve">člankom 66. točkom (e) CRR-a </w:t>
            </w:r>
            <w:r>
              <w:rPr>
                <w:rFonts w:ascii="Times New Roman" w:hAnsi="Times New Roman"/>
                <w:color w:val="000000" w:themeColor="text1"/>
                <w:sz w:val="24"/>
              </w:rPr>
              <w:t>(negativan iznos)</w:t>
            </w:r>
            <w:r w:rsidR="00154839">
              <w:rPr>
                <w:rFonts w:ascii="Times New Roman" w:hAnsi="Times New Roman"/>
                <w:color w:val="000000" w:themeColor="text1"/>
                <w:sz w:val="24"/>
              </w:rPr>
              <w:t>.</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Ostala regulatorna usklađenja dopunskog kapitala</w:t>
            </w:r>
          </w:p>
          <w:p w14:paraId="6FD61B58" w14:textId="1275B3B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Institucije u ovom retku objavljuju svako primjenjivo regulatorno usklađenje, koje je iskazano za potrebe nadzornog izvješćivanja, ali nije uključeno ni u jedan drugi redak ovog obrasca</w:t>
            </w:r>
            <w:r w:rsidR="00154839">
              <w:rPr>
                <w:rFonts w:ascii="Times New Roman" w:hAnsi="Times New Roman"/>
                <w:sz w:val="24"/>
              </w:rPr>
              <w:t>.</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Ukupna regulatorna usklađenja dopunskog kapitala</w:t>
            </w:r>
          </w:p>
          <w:p w14:paraId="75EB0C97" w14:textId="487B460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Zbroj iznosa iz redaka od 52 do EU-56b ovog obrasca</w:t>
            </w:r>
            <w:r w:rsidR="00154839">
              <w:rPr>
                <w:rFonts w:ascii="Times New Roman" w:hAnsi="Times New Roman"/>
                <w:sz w:val="24"/>
              </w:rPr>
              <w:t>.</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Dopunski kapital (T2)</w:t>
            </w:r>
          </w:p>
          <w:p w14:paraId="716BEA17" w14:textId="3C3A1AEA" w:rsidR="00C85971" w:rsidRPr="007F4CC8" w:rsidRDefault="00C85971" w:rsidP="00D819DE">
            <w:pPr>
              <w:spacing w:after="200"/>
              <w:jc w:val="both"/>
              <w:rPr>
                <w:rFonts w:ascii="Times New Roman" w:hAnsi="Times New Roman"/>
                <w:sz w:val="24"/>
              </w:rPr>
            </w:pPr>
            <w:r>
              <w:rPr>
                <w:rFonts w:ascii="Times New Roman" w:hAnsi="Times New Roman"/>
                <w:sz w:val="24"/>
              </w:rPr>
              <w:lastRenderedPageBreak/>
              <w:t>Dopunski kapital izračunava se tako da se retka 51 oduzme redak 57 ovog obrasca</w:t>
            </w:r>
            <w:r w:rsidR="00154839">
              <w:rPr>
                <w:rFonts w:ascii="Times New Roman" w:hAnsi="Times New Roman"/>
                <w:sz w:val="24"/>
              </w:rPr>
              <w:t>.</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Ukupni kapital (TC = T1 + T2)</w:t>
            </w:r>
          </w:p>
          <w:p w14:paraId="2B99CB69" w14:textId="1C27487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Ukupni kapital izračunava se tako da se zbroje redak 45 i redak 58 ovog obrasca</w:t>
            </w:r>
            <w:r w:rsidR="00154839">
              <w:rPr>
                <w:rFonts w:ascii="Times New Roman" w:hAnsi="Times New Roman"/>
                <w:sz w:val="24"/>
              </w:rPr>
              <w:t>.</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Ukupni iznos izloženosti riziku</w:t>
            </w:r>
          </w:p>
          <w:p w14:paraId="07C03EC1" w14:textId="2A13E5A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Ukupni iznos izloženosti riziku na razini grupe</w:t>
            </w:r>
            <w:r w:rsidR="00154839">
              <w:rPr>
                <w:rFonts w:ascii="Times New Roman" w:hAnsi="Times New Roman"/>
                <w:sz w:val="24"/>
              </w:rPr>
              <w:t>.</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Redovni osnovni kapital</w:t>
            </w:r>
          </w:p>
          <w:p w14:paraId="7AAE0F8C" w14:textId="585F25FE"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Redovni osnovni kapital (kao postotak ukupnog iznosa izloženosti rizicima) izračunava se tako da se redak 29 podijeli s retkom 60 (izraženo kao postotak) ovog obrasca u skladu s člankom 92. stavkom 2. točkom (a) CRR-a</w:t>
            </w:r>
            <w:r w:rsidR="00154839">
              <w:rPr>
                <w:rFonts w:ascii="Times New Roman" w:hAnsi="Times New Roman"/>
                <w:sz w:val="24"/>
              </w:rPr>
              <w:t>.</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Osnovni kapital</w:t>
            </w:r>
          </w:p>
          <w:p w14:paraId="476DDDEE" w14:textId="55415CA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Osnovni kapital (kao postotak ukupnog iznosa izloženosti rizicima) izračunava se tako da se redak 45 podijeli s retkom 60 (izraženo kao postotak) ovog obrasca u skladu s člankom 92. stavkom 2. točkom (b) CRR-a</w:t>
            </w:r>
            <w:r w:rsidR="00154839">
              <w:rPr>
                <w:rFonts w:ascii="Times New Roman" w:hAnsi="Times New Roman"/>
                <w:sz w:val="24"/>
              </w:rPr>
              <w:t>.</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Ukupni kapital</w:t>
            </w:r>
          </w:p>
          <w:p w14:paraId="75C13C00" w14:textId="478D967E"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Ukupni kapital (kao postotak ukupnog iznosa izloženosti rizicima) izračunava se tako da se redak 59 podijeli s retkom 60 (izraženo kao postotak) ovog obrasca u skladu s člankom 92. stavkom 2. točkom (c) CRR-a</w:t>
            </w:r>
            <w:r w:rsidR="00154839">
              <w:rPr>
                <w:rFonts w:ascii="Times New Roman" w:hAnsi="Times New Roman"/>
                <w:sz w:val="24"/>
              </w:rPr>
              <w:t>.</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Sveukupni kapitalni zahtjevi institucije za redovni osnovni kapital (CET1)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Sveukupni kapitalni zahtjevi institucije za redovni osnovni kapital izračunavaju se tako da se zbroje zahtjev za CET1 u skladu s člankom 92. stavkom 1. tokom (a) CRR-a, dodatni zahtjev za CET1 koji su institucije dužne držati u skladu s člankom 104. stavkom 1. točkom (a) Direktive 2013/36/EU</w:t>
            </w:r>
            <w:r>
              <w:rPr>
                <w:rStyle w:val="FootnoteReference"/>
                <w:rFonts w:cs="Times New Roman"/>
                <w:lang w:eastAsia="ja-JP"/>
              </w:rPr>
              <w:footnoteReference w:id="2"/>
            </w:r>
            <w:r>
              <w:rPr>
                <w:rFonts w:ascii="Times New Roman" w:hAnsi="Times New Roman"/>
                <w:sz w:val="24"/>
              </w:rPr>
              <w:t xml:space="preserve"> („CRD”) i zahtjev za kombinirani zaštitni sloj u skladu s člankom 128. stavkom 6. CRD-a, izraženo kao postotak iznosa izloženosti rizicima.</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Izračunava se tako da se 4,5 % uveća za zahtjeve iz stupa 2. za dodatni regulatorni kapital koji su institucije dužne držati u skladu s člankom 104. stavkom 1. točkom (a) CRD-a i zahtjev za kombinirani zaštitni sloj koji se izračunava u skladu s člancima 128., 129., 130., 131. i 133. CRD-a.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 xml:space="preserve">U ovom se retku iskazuje stopa redovnog osnovnog kapitala relevantna za procjenu ograničenja distribucija.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zaštitni sloj za očuvanje kapitala</w:t>
            </w:r>
          </w:p>
          <w:p w14:paraId="210E1B9C" w14:textId="1DD32F5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u retku 64 (izražen kao postotni udio ukupnog iznosa izloženosti rizicima) ovog obrasca koji se odnosi na zahtjev za zaštitni sloj za očuvanje kapitala u skladu s člankom 129. CRD-a</w:t>
            </w:r>
            <w:r w:rsidR="00154839">
              <w:rPr>
                <w:rFonts w:ascii="Times New Roman" w:hAnsi="Times New Roman"/>
                <w:sz w:val="24"/>
              </w:rPr>
              <w:t>.</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zahtjev za protuciklički zaštitni sloj kapitala</w:t>
            </w:r>
          </w:p>
          <w:p w14:paraId="19B69C3B" w14:textId="24014153"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u retku 64 (izražen kao postotni udio ukupnog iznosa izloženosti rizicima) ovog obrasca koji se odnosi na zahtjev za protuciklički zaštitni sloj kapitala u skladu s člankom 130. CRD-a</w:t>
            </w:r>
            <w:r w:rsidR="00154839">
              <w:rPr>
                <w:rFonts w:ascii="Times New Roman" w:hAnsi="Times New Roman"/>
                <w:sz w:val="24"/>
              </w:rPr>
              <w:t>.</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zahtjev za zaštitni sloj za sistemski rizik</w:t>
            </w:r>
          </w:p>
          <w:p w14:paraId="465CB0EB" w14:textId="5F33C92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u retku 64 (izražen kao postotni udio ukupnog iznosa izloženosti rizicima) ovog obrasca koji se odnosi na zahtjev za zaštitni sloj za sistemski rizik u skladu s člankom 133. CRD-a</w:t>
            </w:r>
            <w:r w:rsidR="00154839">
              <w:rPr>
                <w:rFonts w:ascii="Times New Roman" w:hAnsi="Times New Roman"/>
                <w:sz w:val="24"/>
              </w:rPr>
              <w:t>.</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 čega: zahtjev za zaštitni sloj za globalnu sistemski važnu instituciju (GSV) ili drugu sistemski važnu instituciju (OSV institucija)</w:t>
            </w:r>
          </w:p>
          <w:p w14:paraId="2DA57F1D" w14:textId="60B9636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u retku 64 (izražen kao postotni udio ukupnog iznosa izloženosti rizicima) ovog obrasca koji se odnosi na zahtjev za zaštitni sloj za GSV ili OSV institucije u skladu s člankom 131. CRD-a</w:t>
            </w:r>
            <w:r w:rsidR="00154839">
              <w:rPr>
                <w:rFonts w:ascii="Times New Roman" w:hAnsi="Times New Roman"/>
                <w:sz w:val="24"/>
              </w:rPr>
              <w:t>.</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Od čega: Dodatni kapitalni zahtjevi za upravljanje rizicima koji nisu rizik prekomjerne financijske poluge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u retku 64 (izražen kao postotni udio ukupnog iznosa izloženosti rizicima) ovog obrasca koji se odnosi na zahtjeve za dodatni regulatorni kapital koji proizlaze iz postupka nadzorne provjere, koji moraju biti ispunjeni redovnim osnovnim kapitalom, kako je navedeno u članku 104. stavku 1. točki (a) Direktive 2013/36/EU.</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Redovni osnovni kapital (kao postotak iznosa izloženosti rizicima) dostupan nakon ispunjenja minimalnih kapitalnih zahtjeva</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Izračunava se tako da se od retka 61 oduzme 4,5 (postotni bodovi), redak EU-67b i redovni osnovni kapital koji institucija koristi da ispuni zahtjeve za dodatni osnovni i dopunski kapital.</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Nije primjenjivo</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Nije primjenjivo</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Nije primjenjivo</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Izravna i neizravna ulaganja u regulatorni kapital i prihvatljive obveze subjekata financijskog sektora ako institucija nema značajno ulaganje u te </w:t>
            </w:r>
            <w:r>
              <w:rPr>
                <w:rFonts w:ascii="Times New Roman" w:hAnsi="Times New Roman"/>
                <w:sz w:val="24"/>
              </w:rPr>
              <w:lastRenderedPageBreak/>
              <w:t>subjekte (iznos ispod praga od 10 % i umanjeno za prihvatljive kratke pozicije)</w:t>
            </w:r>
          </w:p>
          <w:p w14:paraId="1F5B774D" w14:textId="0DB3516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i neizravna ulaganja u regulatorni kapital i prihvatljive obveze subjekata financijskog sektora ako institucija nema značajno ulaganje u te subjekte (iznos ispod praga od 10 % i umanjeno za prihvatljive kratke pozicije) u skladu s člankom 36. stavkom 1. točkom (h), člancima 45. i 46., člankom 56. točkom (c), člancima 59. i 60., člankom 66. točkom (c), člancima 69., 70. i 72.i CRR-a</w:t>
            </w:r>
            <w:r w:rsidR="00154839">
              <w:rPr>
                <w:rFonts w:ascii="Times New Roman" w:hAnsi="Times New Roman"/>
                <w:sz w:val="24"/>
              </w:rPr>
              <w:t>.</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i neizravna ulaganja institucije u instrumente redovnog osnovnog kapitala subjekata financijskog sektora ako institucija ima značajno ulaganje u te subjekte (iznos ispod praga od 17,65 % i umanjeno za prihvatljive kratke pozicije)</w:t>
            </w:r>
          </w:p>
          <w:p w14:paraId="5A38514E" w14:textId="3346399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Izravna i neizravna ulaganja institucije u instrumente redovnog osnovnog kapitala subjekata financijskog sektora ako institucija ima značajno ulaganje u te subjekte (iznos ispod praga od 17,65 % i umanjeno za prihvatljive kratke pozicije) u skladu s člankom 36. stavkom 1. točkom (i), člancima 43., 45. i 47., člankom 48. stavkom 1. točkom (b) te člankom 49. stavcima od 1. do 3. CRR-a (ukupni iznos takvih ulaganja koja nisu objavljena u redcima 19 i 23 ovog obrasca)</w:t>
            </w:r>
            <w:r w:rsidR="00154839">
              <w:rPr>
                <w:rFonts w:ascii="Times New Roman" w:hAnsi="Times New Roman"/>
                <w:sz w:val="24"/>
              </w:rPr>
              <w:t>.</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Nije primjenjivo</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Odgođena porezna imovina koja proizlazi iz privremenih razlika (iznos ispod praga od 17,65 %, umanjeno za povezanu poreznu obvezu ako su ispunjeni uvjeti iz članka 38. stavka 3. CRR-a)</w:t>
            </w:r>
          </w:p>
          <w:p w14:paraId="3D7670CB" w14:textId="281BAAD9"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Odgođena porezna imovina koja proizlazi iz privremenih razlika (iznos ispod praga od 17,65 % u skladu s člankom 48. stavkom 2. točkom (b) CRR-a, umanjeno za povezanu poreznu obvezu ako su ispunjeni uvjeti iz članka 38. stavka 3. CRR-a) u skladu s člankom 36. stavkom 1. točkom (c) te člancima 38. i 48. CRR-a (ukupni iznos takve odgođene porezne imovine koja nije objavljena u redcima 21 i 25 ovog obrasca)</w:t>
            </w:r>
            <w:r w:rsidR="00154839">
              <w:rPr>
                <w:rFonts w:ascii="Times New Roman" w:hAnsi="Times New Roman"/>
                <w:sz w:val="24"/>
              </w:rPr>
              <w:t>.</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Ispravci vrijednosti za kreditni rizik uključeni u dopunski kapital za izloženosti na koje se primjenjuje standardizirani pristup (prije primjene gornje granice)</w:t>
            </w:r>
          </w:p>
          <w:p w14:paraId="5F64B02C" w14:textId="487616A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Ispravci vrijednosti za kreditni rizik uključeni u dopunski kapital za izloženosti na koje se primjenjuje standardizirani pristup u skladu s člankom 62. točkom (c) CRR-a</w:t>
            </w:r>
            <w:r w:rsidR="00154839">
              <w:rPr>
                <w:rFonts w:ascii="Times New Roman" w:hAnsi="Times New Roman"/>
                <w:sz w:val="24"/>
              </w:rPr>
              <w:t>.</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Gornja granica za uključenje ispravaka vrijednosti za kreditni rizik u dopunski kapital u skladu sa standardiziranim pristupom</w:t>
            </w:r>
          </w:p>
          <w:p w14:paraId="3A3B34B4" w14:textId="754F097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Gornja granica za uključenje ispravaka vrijednosti za kreditni rizik u dopunski kapital u skladu sa standardiziranim pristupom u skladu s člankom 62. točkom (c) CRR-a</w:t>
            </w:r>
            <w:r w:rsidR="00154839">
              <w:rPr>
                <w:rFonts w:ascii="Times New Roman" w:hAnsi="Times New Roman"/>
                <w:sz w:val="24"/>
              </w:rPr>
              <w:t>.</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Ispravci vrijednosti za kreditni rizik uključeni u dopunski kapital za izloženosti na koje se primjenjuje pristup zasnovan na internim rejting-sustavima (prije primjene gornje granice)</w:t>
            </w:r>
          </w:p>
          <w:p w14:paraId="68CD65AF" w14:textId="742BC292"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Ispravci vrijednosti za kreditni rizik uključeni u dopunski kapital za izloženosti na koje se primjenjuje pristup zasnovan na internim rejting-sustavima u skladu s člankom 62. točkom (d) CRR-a</w:t>
            </w:r>
            <w:r w:rsidR="00154839">
              <w:rPr>
                <w:rFonts w:ascii="Times New Roman" w:hAnsi="Times New Roman"/>
                <w:sz w:val="24"/>
              </w:rPr>
              <w:t>.</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Gornja granica za uključenje ispravaka vrijednosti za kreditni rizik u dopunski kapital u skladu s pristupom zasnovanim na internim rejting-sustavima</w:t>
            </w:r>
          </w:p>
          <w:p w14:paraId="63CECB1B" w14:textId="4DD443D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Gornja granica za uključenje ispravaka vrijednosti za kreditni rizik u dopunski kapital u skladu s pristupom zasnovanim na internim rejting-sustavima u skladu s člankom 62. točkom (d) CRR-a</w:t>
            </w:r>
            <w:r w:rsidR="00154839">
              <w:rPr>
                <w:rFonts w:ascii="Times New Roman" w:hAnsi="Times New Roman"/>
                <w:sz w:val="24"/>
              </w:rPr>
              <w:t>.</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Aktualna gornja granica za instrumente redovnog osnovnog kapitala koji se postupno isključuju</w:t>
            </w:r>
          </w:p>
          <w:p w14:paraId="1D5E4031" w14:textId="633C539E"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Aktualna gornja granica za instrumente redovnog osnovnog kapitala koji se postupno isključuju u skladu s člankom 484. stavkom 3. i člankom 486. stavcima 2. i 5. CRR-a</w:t>
            </w:r>
            <w:r w:rsidR="00154839">
              <w:rPr>
                <w:rFonts w:ascii="Times New Roman" w:hAnsi="Times New Roman"/>
                <w:sz w:val="24"/>
              </w:rPr>
              <w:t>.</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isključen iz redovnog osnovnog kapitala zbog gornje granice (višak iznad gornje granice nakon otkupa i dospijeća)</w:t>
            </w:r>
          </w:p>
          <w:p w14:paraId="6C527904" w14:textId="1C60C88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isključen iz redovnog osnovnog kapitala zbog gornje granice (višak iznad gornje granice nakon otkupa i dospijeća) u skladu s člankom 484. stavkom 3. i člankom 486. stavcima 2. i 5. CRR-a</w:t>
            </w:r>
            <w:r w:rsidR="00154839">
              <w:rPr>
                <w:rFonts w:ascii="Times New Roman" w:hAnsi="Times New Roman"/>
                <w:sz w:val="24"/>
              </w:rPr>
              <w:t>.</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Aktualna gornja granica za instrumente dodatnog osnovnog kapitala koji se postupno isključuju</w:t>
            </w:r>
          </w:p>
          <w:p w14:paraId="44449516" w14:textId="47FA1E70"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Aktualna gornja granica za instrumente dodatnog osnovnog kapitala koji se postupno isključuju u skladu s člankom 484. stavkom 4., člankom 486. stavcima 3. i 5. CRR-a</w:t>
            </w:r>
            <w:r w:rsidR="00154839">
              <w:rPr>
                <w:rFonts w:ascii="Times New Roman" w:hAnsi="Times New Roman"/>
                <w:sz w:val="24"/>
              </w:rPr>
              <w:t>.</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isključen iz dodatnog osnovnog kapitala zbog gornje granice (višak iznad gornje granice nakon otkupa i dospijeća)</w:t>
            </w:r>
          </w:p>
          <w:p w14:paraId="127E661D" w14:textId="616E936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isključen iz dodatnog osnovnog kapitala zbog gornje granice (višak iznad gornje granice nakon otkupa i dospijeća) u skladu s člankom 484. stavkom 4. i člankom 486. stavcima 3. i 5. CRR-a</w:t>
            </w:r>
            <w:r w:rsidR="00154839">
              <w:rPr>
                <w:rFonts w:ascii="Times New Roman" w:hAnsi="Times New Roman"/>
                <w:sz w:val="24"/>
              </w:rPr>
              <w:t>.</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Aktualna gornja granica za instrumente dopunskog kapitala koji se postupno isključuju</w:t>
            </w:r>
          </w:p>
          <w:p w14:paraId="47E5FAF3" w14:textId="6A1941F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Aktualna gornja granica za instrumente dopunskog kapitala koji se postupno isključuju u skladu s člankom 484. stavkom 5. i člankom 486. stavcima 4. i 5. CRR-a</w:t>
            </w:r>
            <w:r w:rsidR="00154839">
              <w:rPr>
                <w:rFonts w:ascii="Times New Roman" w:hAnsi="Times New Roman"/>
                <w:sz w:val="24"/>
              </w:rPr>
              <w:t>.</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isključen iz dopunskog kapitala zbog gornje granice (višak iznad gornje granice nakon otkupa i dospijeća)</w:t>
            </w:r>
          </w:p>
          <w:p w14:paraId="58872994" w14:textId="6604640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Iznos isključen iz dopunskog kapitala zbog gornje granice (višak iznad gornje granice nakon otkupa i dospijeća) u skladu s člankom 484. stavkom 5. i člankom 486. stavcima 4. i 5. CRR-a</w:t>
            </w:r>
            <w:r w:rsidR="00154839">
              <w:rPr>
                <w:rFonts w:ascii="Times New Roman" w:hAnsi="Times New Roman"/>
                <w:sz w:val="24"/>
              </w:rPr>
              <w:t>.</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Obrazac EU CC2 – Usklađenje regulatornog kapitala i bilance u revidiranim financijskim izvješćima</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Institucije objavljuju informacije iz članka 437. točke (a) </w:t>
      </w:r>
      <w:r>
        <w:rPr>
          <w:rFonts w:ascii="Times New Roman" w:hAnsi="Times New Roman"/>
          <w:color w:val="000000"/>
          <w:sz w:val="24"/>
        </w:rPr>
        <w:t>CRR-a</w:t>
      </w:r>
      <w:r>
        <w:rPr>
          <w:rFonts w:ascii="Times New Roman" w:hAnsi="Times New Roman"/>
          <w:sz w:val="24"/>
        </w:rPr>
        <w:t xml:space="preserve"> ispunjavanjem obrasca EU CC2 iz Priloga VII. ovoj Provedbenoj uredbi prema uputama iz ovog Priloga.</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Institucije objavljuju bilancu iz svojih objavljenih financijskih izvješća. Financijska izvješća su revidirana financijska izvješća za objave na kraju godine.</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Redci u ovom obrascu su fleksibilni i institucije ih popunjavaju u skladu sa svojim financijskim izvješćima. Stavke regulatornog kapitala u revidiranim financijskim izvješćima uključuju sve stavke koje su komponente regulatornog kapitala ili sve stavke koje su odbijene od regulatornog kapitala, uključujući kapital, obveze kao što su dugovanja, ili druge stavke bilance koje utječu na regulatorni kapital, kao što su nematerijalna imovina, goodwill, odgođena porezna imovina. Institucije prema potrebi proširuju stavke regulatornog kapitala iz bilance kako bi osigurale da su sve komponente uključene u obrazac za objavu sastava regulatornog kapitala (obrazac EU CC1) iskazane zasebno. Institucije proširuju elemente bilance samo do razine detaljnosti potrebne za dobivanje komponenti koje se propisuju u obrascu EU CC1. Objave su proporcionalne složenosti bilance institucije.</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Stupci su fiksni i informacije se objavljuju kako slijedi:</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stupac a: institucije iskazuju brojčane vrijednosti iskazane u bilanci iz svojih objavljenih financijskih izvješća u skladu s opsegom računovodstvene konsolidacije;</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stupac b: institucije iskazuju brojčane vrijednosti u skladu s opsegom bonitetne konsolidacije;</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stupac c: institucije iskazuju uzajamno upućivanje između stavke regulatornog kapitala u obrascu EU CC2 i relevantnih stavki u obrascu za objavu regulatornog kapitala EU CC1. Upućivanje u stupcu c obrasca EU CC2 treba povezati s upućivanjem u stupcu b obrasca EU CC1.</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Opseg računovodstvene konsolidacije institucija i opseg bonitetne konsolidacije u sljedećim su slučajevima potpuno jednaki te se stupci (a) i (b) ovog obrasca spajaju i ta se činjenica jasno objavljuje:</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kada institucije ispunjavaju svoje obveze iz dijela osmog CRR-a na konsolidiranoj ili potkonsolidiranoj osnovi, ali su opseg i metoda konsolidacije u skladu s kojima je sastavljena bilanca u financijskim izvješćima jednaki opsegu i metodi konsolidacije koji su definirani u skladu s dijelom prvim glavom II. poglavljem 2. CRR-a, a institucije su jasno navele da nema razlika između tih opsega i metoda konsolidacije;</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kada institucije ispunjavaju svoje obveze iz dijela osmog CRR-a na pojedinačnoj osnovi.</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Tablica EU CCA – Glavne značajke instrumenata regulatornog kapitala i instrumenata prihvatljivih obveza</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Institucije objavljuju informacije iz članka 437. točaka (b) i (c) </w:t>
      </w:r>
      <w:r>
        <w:rPr>
          <w:rFonts w:ascii="Times New Roman" w:hAnsi="Times New Roman"/>
          <w:color w:val="000000"/>
          <w:sz w:val="24"/>
        </w:rPr>
        <w:t>CRR-a</w:t>
      </w:r>
      <w:r>
        <w:rPr>
          <w:rFonts w:ascii="Times New Roman" w:hAnsi="Times New Roman"/>
          <w:sz w:val="24"/>
        </w:rPr>
        <w:t xml:space="preserve"> ispunjavanjem obrasca EU CCA iz Priloga VII. ovoj Provedbenoj uredbi prema uputama iz ovog Priloga.</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Institucije ispunjavaju tablicu EU CCA za sljedeće kategorije: instrumenti redovnog osnovnog kapitala, instrumenti dodatnog osnovnog kapitala, instrumenti dopunskog kapitala te, u smislu članka 72.b CRR-a, instrumenti prihvatljivih obveza.</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Tablica sadržava zasebne stupce sa značajkama svakog instrumenta regulatornog kapitala i instrumenta prihvatljivih obveza. Ako različiti instrumenti iz iste kategorije imaju jednake značajke, institucije mogu ispuniti samo jedan stupac i u njemu objaviti te jednake značajke te navesti izdanja na koja se jednake značajke odnose. Pri objavi informacija o tim instrumentima u stupcima, institucije su ih dužne grupirati u tri odjeljka (horizontalno duž tablice) i tako naznačiti ispunjavaju li se njima i. samo zahtjevi za regulatorni kapital (ali ne i za prihvatljive obveze); ii. zahtjevi za regulatorni kapital i zahtjevi za prihvatljive obveze ili iii. samo zahtjevi za prihvatljive obveze (ali ne i za regulatorni kapital).</w:t>
      </w:r>
      <w: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Za instrumente prihvatljivih obveza koji nisu podređeni isključenim obvezama institucije objavljuju samo vrijednosne papire koji su zamjenjivi i prenosive financijske instrumente, pri čemu su isključeni krediti i depoziti.</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Upute za ispunjavanje tablice o glavnim značajkama instrumenata regulatornog kapitala i instrumenata prihvatljivih obveza</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Broj retka</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Objašnjenje</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Izdavatelj</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iskazuju naziv pravne osobe izdavatelja.</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Jedinstvena oznaka (npr. CUSIP, ISIN ili oznaka Bloomberg za privatni plasman)</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Slobodan unos teksta</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 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Javni ili privatni plasman</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Institucije navode je li riječ o javnom ili privatnom plasmanu instrumenata.</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Odabrati iz izbornika: [Javni] [Privatni]</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Propisi kojima se uređuju instrumenti</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navode pravo ili prava kojima su instrumenti uređeni.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Slobodan unos teksta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Ugovorno priznavanje ovlasti sanacijskih tijela za otpis i konverziju</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Institucije navode sadržava li instrument odredbu prema kojoj se, nakon odluke sanacijskog tijela ili relevantnog tijela treće zemlje, glavnica instrumenta trajno otpisuje ili se instrument konvertira u instrument redovnog osnovnog kapitala, u smislu, ako je primjenjivo, sljedećih odredaba:</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u vezi s instrumentima dodatnog osnovnog kapitala članak 52. stavak 1. točka (p) CRR-a,</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u vezi s instrumentima dopunskog kapitala članak 63. točka (n) ili točka (o) CRR-a,</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u vezi s prihvatljivim obvezama članak 72.b stavak 2. točka (n) CRR-a,</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u vezi sa svime navedenim i uređenim pravom treće zemlje članak 55. Direktive (EU) 2019/879 </w:t>
            </w:r>
            <w:r>
              <w:rPr>
                <w:rStyle w:val="FootnoteReference"/>
                <w:rFonts w:ascii="Times New Roman" w:eastAsia="Times New Roman" w:hAnsi="Times New Roman" w:cs="Times New Roman"/>
                <w:sz w:val="24"/>
                <w:lang w:eastAsia="en-GB"/>
              </w:rPr>
              <w:footnoteReference w:id="3"/>
            </w:r>
            <w:r>
              <w:rPr>
                <w:rFonts w:ascii="Times New Roman" w:hAnsi="Times New Roman"/>
                <w:sz w:val="24"/>
              </w:rPr>
              <w:t>(„BRRD”).</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Otpis i konverzija mogu biti u skladu s člankom 55. BRRD-a i bilo kojom od prve tri alineje.</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[DA] [NE]</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Aktualni tretman s obzirom na, ovisno o slučaju, prijelazna pravila CRR-a</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prijelazni tretman regulatornog kapitala sadržan u CRR-u. Izvorna klasifikacija instrumenta je referentna točka neovisno o mogućoj reklasifikaciji u druge razine regulatornog kapitala.</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[Redovni osnovni kapital] [Dodatni osnovni kapital] [Dopunski kapital] [Neprihvatljivo] [Nije primjenjivo]</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Slobodan unos teksta – navesti je li dio izdanja reklasificiran u niže razine kapitala</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Pravila CRR-a nakon prijelaznog razdoblja</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navode tretman regulatornog kapitala u skladu s CRR-om neovisno o prijelaznom tretmanu.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Odabrati iz izbornika: [Redovni osnovni kapital] [Dodatni osnovni kapital] [Dopunski kapital]</w:t>
            </w:r>
            <w:r>
              <w:t xml:space="preserve"> </w:t>
            </w:r>
            <w:r>
              <w:rPr>
                <w:rFonts w:ascii="Times New Roman" w:hAnsi="Times New Roman"/>
                <w:i/>
                <w:sz w:val="24"/>
              </w:rPr>
              <w:t>] [Prihvatljive obveze] [Neprihvatljivo]</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Priznat na pojedinačnoj / (pot)konsolidiranoj / pojedinačnoj i (pot)konsolidiranoj osnovi</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Institucije navode razinu ili razine unutar grupe na kojima je instrument uvršten u regulatorni kapital ili prihvatljive obveze.</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Odabrati iz izbornika: [Pojedinačno] [(Pot)konsolidirano] [Pojedinačno i (pot)konsolidirano]</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Vrsta instrumenta (vrste utvrđuje svaka država)</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navode vrstu instrumenta, ovisno o jurisdikciji.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Za instrumente redovnog osnovnog kapitala odabrati naziv instrumenta s popisa redovnog osnovnog kapitala koji EBA objavljuje u skladu s člankom 26. stavkom 3. CRR-a.</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Za ostale instrumente odabrati iz: opcija izbornika koje institucije dobiju od svake jurisdikcije – treba umetnuti pravna upućivanja na članke CRR-a za svaku vrstu instrumenta.</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Iznos priznat u regulatornom kapitalu ili prihvatljivim obvezama (valuta u milijunima, na zadnji datum izvještavanja)</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iznos koji je priznat u regulatornom kapitalu ili prihvatljivim obvezama.</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 – osobito naznačiti ako su neki dijelovi instrumenata u različitim razinama regulatornog kapitala i ako se iznos priznat u regulatornom kapitalu razlikuje od izdanog iznosa.</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Nominalni iznos instrumenta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Nominalni iznos instrumenta u valuti izdanja i izvještajnoj valuti.</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Cijena izdanja</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Cijena izdanja instrumenta</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Otkupna cijena</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Otkupna cijena instrumenta.</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Računovodstvena klasifikacija</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računovodstvenu klasifikaciju.</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Odabrati iz izbornika: [Dionički kapital] [Obveza – amortizirani trošak] [Obveza – opcija fer vrijednosti] [Nekontrolirajući udio u konsolidiranom društvu kćeri]</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Izvorni datum izdavanja</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datum izdavanja.</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Slobodan unos teksta</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Bez dospijeća ili s dospijećem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je li instrument s dospijećem ili bez dospijeća.</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[Bez dospijeća] [S dospijećem]</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Izvorni rok dospijeća</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Za instrument s dospijećem institucije navode izvorni rok dospijeća (dan, mjesec i godina). Za instrumente bez dospijeća navodi se „Bez dospijeća”.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Slobodan unos teksta</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Opcija kupnje izdavatelja uz prethodno odobrenje nadzornog tijela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postoji li opcija kupnje za izdavatelja (sve vrste opcija kupnje).</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[Da] [Ne]</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Neobvezni datum izvršenja opcije kupnje, uvjetni datumi izvršenja opcije kupnje i otkupna vrijednost</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Za instrument s opcijom kupnje za izdavatelja institucije navode prvi datum izvršenja opcije kupnje ako instrument ima opciju kupnje na određeni datum (dan, mjesec i godina) te, dodatno, sadržava li instrument opciju kupnje u slučaju određenog poreznog i/ili regulatornog događaja. Institucije navode i otkupnu cijenu, što olakšava procjenu trajnosti.</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Naknadni datumi izvršenja opcije kupnje, prema potrebi</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ima li naknadnih datuma izvršenja opcija kupnje i njihovu učestalost, ako je primjenjivo, što olakšava procjenu trajnosti.</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Slobodan unos teksta</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Fiksna ili promjenjiva dividenda/kupon</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navode jesu li kupon/dividenda s fiksnom ili promjenjivom kamatnom stopom tijekom trajanja instrumenta ili su trenutačno s fiksnom, a </w:t>
            </w:r>
            <w:r>
              <w:rPr>
                <w:rFonts w:ascii="Times New Roman" w:hAnsi="Times New Roman"/>
                <w:sz w:val="24"/>
              </w:rPr>
              <w:lastRenderedPageBreak/>
              <w:t xml:space="preserve">u budućnosti će biti s promjenjivom kamatnom stopom, ili su trenutačno s promjenjivom, a u budućnosti će biti s fiksnom kamatnom stopom.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Odabrati iz izbornika: [Fiksna], [Promjenjiva] [Fiksna prema promjenjivoj], [Promjenjiva prema fiksnoj]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Kuponska stopa i povezani indeksi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navode kuponsku stopu instrumenta i sve povezane indekse koji su referentni za kupon/dividendu.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Slobodan unos teksta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Postojanje mehanizama obveznog otkazivanja dividende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navode sprečava li neisplata kupona ili dividende za instrument isplatu dividende na redovne dionice (tj. postoji li mehanizam obveznog otkazivanja dividende).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Odabrati iz izbornika: [da], [ne]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Puno diskrecijsko pravo, djelomično diskrecijsko pravo ili obvezno (u vremenskom pogledu)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ima li izdavatelj puno diskrecijsko pravo, djelomično diskrecijsko pravo ili ne može odlučivati o isplati kupona/dividende. Ako ima puno diskrecijsko pravo otkazati isplate kupona/dividendi u svim okolnostima, institucija je dužna odabrati „puno diskrecijsko pravo” (i ako postoji mehanizam obveznog otkazivanja dividende koji ne može spriječiti instituciju da otkaže isplate po instrumentu). Ako postoje uvjeti koji moraju biti ispunjeni prije otkazivanja isplate (npr. regulatorni kapital ispod određenog praga), institucija je dužna odabrati „djelomično diskrecijsko pravo”. Ako ne može otkazati plaćanje izvan okvira nesolventnosti, institucija mora odabrati „obvezno”.</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[Puno diskrecijsko pravo] [Djelomično diskrecijsko pravo] [Obvezno]</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Slobodan unos teksta (navesti razloge za diskrecijsko pravo, postoje li mehanizmi obvezne isplate dividende, mehanizmi obveznog otkazivanja dividende, alternativni mehanizam kuponske isplate (ACSM))</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Puno diskrecijsko pravo, djelomično diskrecijsko pravo ili obvezno (u pogledu iznosa)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ima li izdavatelj puno diskrecijsko pravo, djelomično diskrecijsko pravo ili ne može odlučivati o iznosu kupona/dividende.</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[Puno diskrecijsko pravo] [Djelomično diskrecijsko pravo] [Obvezno]</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Postojanje ugovorne odredbe o povećanju prinosa ili drugih poticaja za otkup</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postoje li ugovorne odredbe o povećanju prinosa ili drugi poticaji za otkup.</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[Da] [Ne]</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Nekumulativni ili kumulativni</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jesu li dividende/kuponi kumulativni ili nekumulativni.</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[Nekumulativni] [Kumulativni ]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Konvertibilni ili nekonvertibilni</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je li instrument konvertibilan.</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[Konvertibilan] [Nekonvertibilan]</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Ako su konvertibilni, pokretač(i) konverzije</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uvjete za konverziju instrumenta, uključujući trenutak neodrživosti redovnog poslovanja. Ako jedno ili više tijela mogu pokrenuti konverziju, navodi se popis tih tijela. Za svako se tijelo navodi jesu li uvjeti ugovora o instrumentu pravna osnova na temelju koje tijelo pokreće konverziju (ugovorni pristup) ili je pravna osnova utvrđena zakonskim sredstvima (zakonski pristup).</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Ako su konvertibilni, potpuno ili djelomično</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hoće li se instrument uvijek konvertirati u cijelosti, može li se konvertirati u cijelosti ili djelomično ili će se uvijek konvertirati djelomično.</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[Uvijek potpuno] [Potpuno i djelomično] [Uvijek djelomično]</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Ako su konvertibilni, stopa konverzije</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navode stopu konverzije u instrument većeg kapaciteta za apsorpciju gubitaka.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Ako su konvertibilni, je li konverzija obvezna i li neobvezna</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Za konvertibilne instrumente institucije navode je li konverzija obvezna ili neobvezna.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Odabrati iz izbornika: [Obvezna] [Neobvezna] [Nije primjenjivo] i [odabir imatelja] [odabir izdavatelja] [odabir imatelja i izdavatelja]</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Ako su konvertibilni, navesti vrstu instrumenta u koji se mogu konvertirati</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Za konvertibilne instrumente institucije navode instrument u koji se mogu konvertirati. To olakšava procjenu kapaciteta za apsorpciju gubitaka.</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[Redovni osnovni kapital ] [Dodatni osnovni kapital ] [Dopunski kapital ] [Ostalo]</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Ako su konvertibilni, navesti vrstu instrumenta u koji se mogu konvertirati</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Značajke smanjenja vrijednosti</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navode postoji li značajka smanjenja vrijednosti.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[Da] [Ne]</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U slučaju smanjenja vrijednosti, pokretač(i) smanjenja vrijednosti</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navode pokretače smanjenja vrijednosti, uključujući trenutak neodrživosti redovnog poslovanja. Ako jedno ili više tijela mogu pokrenuti smanjenje vrijednosti, navodi se popis tih tijela. Za svako se tijelo navodi jesu li uvjeti ugovora o instrumentu pravna osnova na temelju koje tijelo pokreće smanjenje vrijednosti (ugovorni pristup) ili je pravna osnova utvrđena zakonskim sredstvima (zakonski pristup).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U slučaju smanjenja vrijednosti, potpuno ili djelomično</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može li instrumentu uvijek potpuno smanjiti vrijednost, može li mu se vrijednost smanjiti potpuno i djelomično ili uvijek djelomično. To olakšava procjenu kapaciteta za apsorpciju gubitaka pri smanjenju vrijednosti.</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[Uvijek potpuno] [Potpuno i djelomično] [Uvijek djelomično]</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U slučaju smanjenja vrijednosti, trajno ili privremeno</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Za instrument smanjene vrijednosti institucije navode je li smanjenje vrijednosti trajno ili privremeno.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[Trajno] [Privremeno] [Nije primjenjivo]</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U slučaju privremenog smanjenja vrijednosti, opis mehanizama povećanja vrijednosti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Institucije opisuju mehanizam povećanja vrijednosti.</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Vrsta podređenosti (samo za prihvatljive obveze)</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navode ispunjava li instrument zahtjeve neke od vrsta podređenosti opisanih u članku 72.b stavku 2. točki (d) podtočkama i., ii. i iii. CRR-a.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[Ugovorna] ako instrument ispunjava zahtjeve iz članka 72.b stavka 2. točke (d) podtočke i. CRR-a;</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[Zakonska] ako instrument ispunjava zahtjeve iz članka 72.b stavka 2. točke (d) podtočke ii. CRR-a;</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[Strukturna] ako instrument ispunjava zahtjeve iz članka 72.b stavka 2. točke (d) podtočke iii. CRR-a;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[Izuzeće od podređenosti] ako instrument ne ispunjava zahtjeve ni za jedan od navedenih oblika podređenosti i ako je instituciji dopušteno da u skladu s člankom 72.b stavkom 4. CRR-a da u stavke prihvatljivih obveza uključi nepodređene obveze.</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Položaj instrumenta u redovnom postupku u slučaju insolventnosti</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položaj instrumenta u redovnom postupku u slučaju insolventnosti.</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Kako je definirano u [provedbenim tehničkim standardima izvješćivanja o minimalnom zahtjevu za regulatorni kapital i prihvatljive obveze (MREL)].</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Mjesto u hijerarhiji u slučaju likvidacije (navesti vrstu instrumenta koja mu je neposredno nadređena)</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instrument kojem je neposredno podređen. Ako je primjenjivo, banke navode brojeve stupaca za instrumente u popunjenoj tablici s glavnim značajkama kojima je određeni instrument najneposrednije podređen.</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Nesukladne značajke konvertiranih instrumenata</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postoje li nesukladne značajke.</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Odabrati iz izbornika: [Da] [Ne]</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Ako postoje, navesti nesukladne značajke</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Ako nesukladne značajke postoje, institucije ih navode.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Slobodan unos teksta</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Poveznica na sve uvjete instrumenta (označivanje)</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navode poveznicu na prospekt izdanja, uključujući sve uvjete instrumenta.</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tab/>
      </w:r>
      <w:r>
        <w:rPr>
          <w:sz w:val="18"/>
        </w:rPr>
        <w:t xml:space="preserve">Uredba (EU) br. 575/2013 Europskog parlamenta i Vijeća od 26. lipnja 2013. o bonitetnim zahtjevima za kreditne institucije i o izmjeni Uredbe (EU) br. 648/2012, kako je izmijenjena Uredbom (EU) 2024/1623 </w:t>
      </w:r>
      <w:r>
        <w:rPr>
          <w:color w:val="444444"/>
          <w:sz w:val="18"/>
        </w:rPr>
        <w:t>(</w:t>
      </w:r>
      <w:hyperlink r:id="rId1" w:history="1">
        <w:r>
          <w:rPr>
            <w:color w:val="800080"/>
            <w:sz w:val="18"/>
            <w:u w:val="single"/>
          </w:rPr>
          <w:t>SL L 176, 27.6.2013., str. 1.</w:t>
        </w:r>
      </w:hyperlink>
      <w:r>
        <w:t>;</w:t>
      </w:r>
      <w:r>
        <w:rPr>
          <w:color w:val="800080"/>
          <w:sz w:val="18"/>
          <w:u w:val="single"/>
        </w:rPr>
        <w:t xml:space="preserve"> </w:t>
      </w:r>
      <w:hyperlink r:id="rId2" w:history="1">
        <w:r>
          <w:rPr>
            <w:rStyle w:val="Hyperlink"/>
            <w:sz w:val="18"/>
          </w:rPr>
          <w:t>Uredba – EU – 2024/1623 – HR – EUR-Lex (europa.eu)</w:t>
        </w:r>
      </w:hyperlink>
      <w:r>
        <w:rPr>
          <w:color w:val="444444"/>
          <w:sz w:val="18"/>
        </w:rPr>
        <w:t>)</w:t>
      </w:r>
      <w:r>
        <w:rPr>
          <w:sz w:val="18"/>
        </w:rP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 xml:space="preserve"> </w:t>
      </w:r>
      <w:r>
        <w:tab/>
        <w:t>DIREKTIVA (EU) 2019/879 EUROPSKOG PARLAMENTA I VIJEĆA od 20. svibnja 2019. o izmjeni Direktive 2014/59/EU u pogledu kapaciteta pokrivanja gubitaka i dokapitalizacije kreditnih institucija i investicijskih društava te Direktive 98/26/EZ (SL L 150, 7.6.2019., str.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BA redovita primjen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EBA redovita primjen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BA redovita primjen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154839"/>
    <w:rsid w:val="0023015D"/>
    <w:rsid w:val="004E3F4D"/>
    <w:rsid w:val="0085507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R/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8A432A-0656-4EBB-A8C0-5CB084832427}"/>
</file>

<file path=customXml/itemProps2.xml><?xml version="1.0" encoding="utf-8"?>
<ds:datastoreItem xmlns:ds="http://schemas.openxmlformats.org/officeDocument/2006/customXml" ds:itemID="{7C8CEBD6-4BC3-4806-8807-7AE2A17D6961}"/>
</file>

<file path=customXml/itemProps3.xml><?xml version="1.0" encoding="utf-8"?>
<ds:datastoreItem xmlns:ds="http://schemas.openxmlformats.org/officeDocument/2006/customXml" ds:itemID="{41683BC7-83B0-402E-B91E-5B1D6755095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18</TotalTime>
  <Pages>26</Pages>
  <Words>6810</Words>
  <Characters>40316</Characters>
  <Application>Microsoft Office Word</Application>
  <DocSecurity>0</DocSecurity>
  <Lines>983</Lines>
  <Paragraphs>604</Paragraphs>
  <ScaleCrop>false</ScaleCrop>
  <Company>European Banking Authority</Company>
  <LinksUpToDate>false</LinksUpToDate>
  <CharactersWithSpaces>46522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HEIDL Ana (DGT)</cp:lastModifiedBy>
  <cp:revision>6</cp:revision>
  <dcterms:created xsi:type="dcterms:W3CDTF">2021-03-11T11:52:00Z</dcterms:created>
  <dcterms:modified xsi:type="dcterms:W3CDTF">2024-10-07T13:40:00Z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