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EF4D" w14:textId="322C5171" w:rsidR="00E114F3" w:rsidRPr="00B34A8E" w:rsidRDefault="00E114F3" w:rsidP="00D93432">
      <w:pPr>
        <w:pStyle w:val="Annexetitre"/>
        <w:spacing w:before="0"/>
        <w:jc w:val="left"/>
      </w:pPr>
      <w:r w:rsidRPr="00B34A8E">
        <w:t>PRÍLOHA XXXII – Pokyny pre vzory na zverejňovanie informácií</w:t>
      </w:r>
      <w:r w:rsidR="00B34A8E">
        <w:t xml:space="preserve"> o </w:t>
      </w:r>
      <w:r w:rsidRPr="00B34A8E">
        <w:t>operačnom riziku</w:t>
      </w:r>
    </w:p>
    <w:p w14:paraId="672A6659" w14:textId="77777777" w:rsidR="00E114F3" w:rsidRPr="00B34A8E" w:rsidRDefault="00E114F3" w:rsidP="00E114F3">
      <w:pPr>
        <w:spacing w:after="120"/>
        <w:jc w:val="both"/>
        <w:rPr>
          <w:rFonts w:ascii="Times New Roman" w:hAnsi="Times New Roman"/>
          <w:b/>
          <w:bCs/>
          <w:sz w:val="24"/>
        </w:rPr>
      </w:pPr>
    </w:p>
    <w:p w14:paraId="384DD143" w14:textId="6C51DD1C" w:rsidR="00E114F3" w:rsidRPr="00B34A8E" w:rsidRDefault="00E114F3" w:rsidP="00E114F3">
      <w:pPr>
        <w:spacing w:after="120"/>
        <w:rPr>
          <w:rFonts w:ascii="Times New Roman" w:hAnsi="Times New Roman"/>
          <w:bCs/>
          <w:sz w:val="24"/>
        </w:rPr>
      </w:pPr>
      <w:r w:rsidRPr="00B34A8E">
        <w:rPr>
          <w:rFonts w:ascii="Times New Roman" w:hAnsi="Times New Roman"/>
          <w:b/>
          <w:sz w:val="24"/>
        </w:rPr>
        <w:t>Tabuľka EU ORA – Kvalitatívne informácie</w:t>
      </w:r>
      <w:r w:rsidR="00B34A8E">
        <w:rPr>
          <w:rFonts w:ascii="Times New Roman" w:hAnsi="Times New Roman"/>
          <w:b/>
          <w:sz w:val="24"/>
        </w:rPr>
        <w:t xml:space="preserve"> o </w:t>
      </w:r>
      <w:r w:rsidRPr="00B34A8E">
        <w:rPr>
          <w:rFonts w:ascii="Times New Roman" w:hAnsi="Times New Roman"/>
          <w:b/>
          <w:sz w:val="24"/>
        </w:rPr>
        <w:t xml:space="preserve">operačnom riziku. </w:t>
      </w:r>
      <w:r w:rsidRPr="00B34A8E">
        <w:rPr>
          <w:rFonts w:ascii="Times New Roman" w:hAnsi="Times New Roman"/>
          <w:sz w:val="24"/>
        </w:rPr>
        <w:t>Flexibilná tabuľka</w:t>
      </w:r>
    </w:p>
    <w:p w14:paraId="2E1E5572" w14:textId="31D22806" w:rsidR="00E114F3" w:rsidRPr="00B34A8E" w:rsidRDefault="2A1FD4BE" w:rsidP="44B77564">
      <w:pPr>
        <w:numPr>
          <w:ilvl w:val="0"/>
          <w:numId w:val="1"/>
        </w:numPr>
        <w:spacing w:after="120"/>
        <w:jc w:val="both"/>
        <w:rPr>
          <w:rFonts w:ascii="Calibri" w:eastAsia="Times New Roman" w:hAnsi="Calibri" w:cs="Times New Roman"/>
          <w:color w:val="000000"/>
        </w:rPr>
      </w:pPr>
      <w:r w:rsidRPr="00B34A8E">
        <w:rPr>
          <w:rFonts w:ascii="Times New Roman" w:hAnsi="Times New Roman"/>
          <w:sz w:val="24"/>
        </w:rPr>
        <w:t>Inštitúcie zverejňujú informácie uvedené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tejto tabuľke pri uplatňovaní článku 435 ods. 1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 xml:space="preserve">článku 446 ods. 1 písm. a)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</w:t>
      </w:r>
      <w:r w:rsidRPr="00B34A8E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B34A8E">
        <w:rPr>
          <w:rFonts w:ascii="Times New Roman" w:hAnsi="Times New Roman"/>
          <w:sz w:val="24"/>
        </w:rPr>
        <w:t>.</w:t>
      </w:r>
    </w:p>
    <w:p w14:paraId="728254AD" w14:textId="2B05BCCF" w:rsidR="00E114F3" w:rsidRPr="00B34A8E" w:rsidRDefault="00E114F3" w:rsidP="00E114F3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bCs/>
          <w:sz w:val="24"/>
        </w:rPr>
      </w:pPr>
      <w:r w:rsidRPr="00B34A8E">
        <w:rPr>
          <w:rFonts w:ascii="Times New Roman" w:hAnsi="Times New Roman"/>
          <w:sz w:val="24"/>
        </w:rPr>
        <w:t>Inštitúcie pri vypĺňaní tabuľky na zverejňovanie informácií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operačnom riziku EU ORA uvedenej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prílohe XXXI dokumentu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IT riešeniami orgánu EBA uplatňujú pokyny uvedené ďalej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tejto prílohe.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E114F3" w:rsidRPr="00B34A8E" w14:paraId="4FA5DD43" w14:textId="77777777" w:rsidTr="44B7756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879875" w14:textId="5B2E42D2" w:rsidR="00E114F3" w:rsidRPr="00B34A8E" w:rsidRDefault="00E114F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Odkazy na právne predpisy</w:t>
            </w:r>
            <w:r w:rsidR="00B34A8E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pokyny</w:t>
            </w:r>
          </w:p>
        </w:tc>
      </w:tr>
      <w:tr w:rsidR="00E114F3" w:rsidRPr="00B34A8E" w14:paraId="0BB6A5B1" w14:textId="77777777" w:rsidTr="44B7756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522B50" w14:textId="77777777" w:rsidR="00E114F3" w:rsidRPr="00B34A8E" w:rsidRDefault="00E114F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Číslo riadku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504D8" w14:textId="77777777" w:rsidR="00E114F3" w:rsidRPr="00B34A8E" w:rsidRDefault="00E114F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Vysvetlenie</w:t>
            </w:r>
          </w:p>
        </w:tc>
      </w:tr>
      <w:tr w:rsidR="00E114F3" w:rsidRPr="00B34A8E" w14:paraId="70735BA0" w14:textId="77777777" w:rsidTr="00A31C3A">
        <w:trPr>
          <w:trHeight w:val="17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5523" w14:textId="77777777" w:rsidR="00E114F3" w:rsidRPr="00B34A8E" w:rsidRDefault="00E114F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color w:val="000000"/>
                <w:sz w:val="24"/>
              </w:rPr>
              <w:t>a)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E5B9" w14:textId="0EC46D3A" w:rsidR="00E114F3" w:rsidRPr="00B34A8E" w:rsidRDefault="00E114F3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Zverejňovanie informácií</w:t>
            </w:r>
            <w:r w:rsidR="00B34A8E">
              <w:rPr>
                <w:rFonts w:ascii="Times New Roman" w:hAnsi="Times New Roman"/>
                <w:b/>
                <w:color w:val="000000"/>
                <w:sz w:val="24"/>
              </w:rPr>
              <w:t xml:space="preserve"> o </w:t>
            </w: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cieľoch</w:t>
            </w:r>
            <w:r w:rsidR="00B34A8E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politikách riadenia rizík</w:t>
            </w:r>
          </w:p>
          <w:p w14:paraId="65684A44" w14:textId="13FF3D0E" w:rsidR="00E114F3" w:rsidRPr="00B34A8E" w:rsidRDefault="2A1FD4B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Inštitúcie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435 ods. 1 písm. a)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 zverejňujú svoje ciele, politiky, rámce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usmernenia na riadenie operačného rizika vrátane stratégií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postupov riadenia tohto rizika.</w:t>
            </w:r>
            <w:r w:rsidRPr="00B34A8E">
              <w:t xml:space="preserve"> </w:t>
            </w:r>
            <w:r w:rsidRPr="00B34A8E">
              <w:br/>
            </w:r>
          </w:p>
        </w:tc>
      </w:tr>
      <w:tr w:rsidR="00E114F3" w:rsidRPr="00B34A8E" w14:paraId="37A6A0B3" w14:textId="77777777" w:rsidTr="00A31C3A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78CA" w14:textId="2DA3AF49" w:rsidR="00E114F3" w:rsidRPr="00B34A8E" w:rsidRDefault="00E114F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color w:val="000000"/>
                <w:sz w:val="24"/>
              </w:rPr>
              <w:t>b)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32F9" w14:textId="47140B20" w:rsidR="00885AC5" w:rsidRPr="00B34A8E" w:rsidRDefault="00885AC5" w:rsidP="00885AC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Zverejňovanie informácií</w:t>
            </w:r>
            <w:r w:rsidR="00B34A8E">
              <w:rPr>
                <w:rFonts w:ascii="Times New Roman" w:hAnsi="Times New Roman"/>
                <w:b/>
                <w:color w:val="000000"/>
                <w:sz w:val="24"/>
              </w:rPr>
              <w:t xml:space="preserve"> o </w:t>
            </w: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štruktúre</w:t>
            </w:r>
            <w:r w:rsidR="00B34A8E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organizácii funkcie riadenia operačného rizika</w:t>
            </w:r>
          </w:p>
          <w:p w14:paraId="739779F0" w14:textId="4B4563F0" w:rsidR="00E114F3" w:rsidRPr="00B34A8E" w:rsidRDefault="00885AC5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 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435 ods. 1 písm. b)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 inštitúcie zverejňujú štruktúru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organizáciu funkcie riadenia operačného rizika vrátane informácií</w:t>
            </w:r>
            <w:r w:rsidR="00B34A8E">
              <w:rPr>
                <w:rFonts w:ascii="Times New Roman" w:hAnsi="Times New Roman"/>
                <w:sz w:val="24"/>
              </w:rPr>
              <w:t xml:space="preserve"> o </w:t>
            </w:r>
            <w:r w:rsidRPr="00B34A8E">
              <w:rPr>
                <w:rFonts w:ascii="Times New Roman" w:hAnsi="Times New Roman"/>
                <w:sz w:val="24"/>
              </w:rPr>
              <w:t>základe právomoci funkcie riadenia operačného rizika, jej právomociach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zodpovednosti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 so zakladajúcimi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riadiacimi dokumentmi inštitúcie</w:t>
            </w:r>
            <w:r w:rsidR="00B34A8E">
              <w:rPr>
                <w:rFonts w:ascii="Times New Roman" w:hAnsi="Times New Roman"/>
                <w:sz w:val="24"/>
              </w:rPr>
              <w:t xml:space="preserve"> a o </w:t>
            </w:r>
            <w:r w:rsidRPr="00B34A8E">
              <w:rPr>
                <w:rFonts w:ascii="Times New Roman" w:hAnsi="Times New Roman"/>
                <w:sz w:val="24"/>
              </w:rPr>
              <w:t>jej kontrolnej funkcie.</w:t>
            </w:r>
          </w:p>
        </w:tc>
      </w:tr>
      <w:tr w:rsidR="00E114F3" w:rsidRPr="00B34A8E" w14:paraId="30DA08C8" w14:textId="77777777" w:rsidTr="00A31C3A">
        <w:trPr>
          <w:trHeight w:val="1403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AF50" w14:textId="6B123167" w:rsidR="00E114F3" w:rsidRPr="00B34A8E" w:rsidRDefault="00E114F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color w:val="000000"/>
                <w:sz w:val="24"/>
              </w:rPr>
              <w:t>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D347" w14:textId="6ADAD719" w:rsidR="005129A3" w:rsidRPr="00B34A8E" w:rsidRDefault="005129A3" w:rsidP="005129A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Opis rozsahu</w:t>
            </w:r>
            <w:r w:rsidR="00B34A8E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color w:val="000000"/>
                <w:sz w:val="24"/>
              </w:rPr>
              <w:t>povahy systému merania</w:t>
            </w:r>
          </w:p>
          <w:p w14:paraId="2426746E" w14:textId="6AAC6E5C" w:rsidR="00E114F3" w:rsidRPr="00B34A8E" w:rsidRDefault="005129A3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 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435 ods. 1 písm. c)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 inštitúcie zverejňujú rozsah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povahu systému merania operačného rizika (t. j. systémy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údaje používané na meranie operačného rizika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cieľom odhadnúť požiadavku na vlastné zdroje pre operačné riziko).</w:t>
            </w:r>
          </w:p>
        </w:tc>
      </w:tr>
      <w:tr w:rsidR="00E114F3" w:rsidRPr="00B34A8E" w14:paraId="530FAA18" w14:textId="77777777" w:rsidTr="00A31C3A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C3DB" w14:textId="0C63D270" w:rsidR="00E114F3" w:rsidRPr="00B34A8E" w:rsidRDefault="00E114F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color w:val="000000"/>
                <w:sz w:val="24"/>
              </w:rPr>
              <w:t>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CC0D" w14:textId="3CDBF55A" w:rsidR="005D02AE" w:rsidRPr="00B34A8E" w:rsidRDefault="005D02AE" w:rsidP="005D02A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b/>
                <w:color w:val="000000" w:themeColor="text1"/>
                <w:sz w:val="24"/>
              </w:rPr>
              <w:t>Opis rozsahu</w:t>
            </w:r>
            <w:r w:rsidR="00B34A8E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color w:val="000000" w:themeColor="text1"/>
                <w:sz w:val="24"/>
              </w:rPr>
              <w:t>povahy rámca vykazovania operačného rizika</w:t>
            </w:r>
          </w:p>
          <w:p w14:paraId="1EE9A69D" w14:textId="0CE6DEF7" w:rsidR="00E114F3" w:rsidRPr="00B34A8E" w:rsidRDefault="005D02A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 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435 ods. 1 písm. c)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 inštitúcie zverejňujú pre výkonný manažment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správnu radu rozsah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povahu rámca vykazovania operačného rizika.</w:t>
            </w:r>
          </w:p>
        </w:tc>
      </w:tr>
      <w:tr w:rsidR="00E5460F" w:rsidRPr="00B34A8E" w14:paraId="1120D006" w14:textId="77777777" w:rsidTr="00A31C3A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99FF" w14:textId="263ED99A" w:rsidR="00E5460F" w:rsidRPr="00B34A8E" w:rsidRDefault="00E5460F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color w:val="000000"/>
                <w:sz w:val="24"/>
              </w:rPr>
              <w:lastRenderedPageBreak/>
              <w:t>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49C5" w14:textId="638A5128" w:rsidR="00E25C0C" w:rsidRPr="00B34A8E" w:rsidRDefault="00E25C0C" w:rsidP="00E25C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34A8E">
              <w:rPr>
                <w:rFonts w:ascii="Times New Roman" w:hAnsi="Times New Roman"/>
                <w:b/>
                <w:color w:val="000000" w:themeColor="text1"/>
                <w:sz w:val="24"/>
              </w:rPr>
              <w:t>Opis politík</w:t>
            </w:r>
            <w:r w:rsidR="00B34A8E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color w:val="000000" w:themeColor="text1"/>
                <w:sz w:val="24"/>
              </w:rPr>
              <w:t>stratégií zmierňovania rizika</w:t>
            </w:r>
            <w:r w:rsidR="00B34A8E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color w:val="000000" w:themeColor="text1"/>
                <w:sz w:val="24"/>
              </w:rPr>
              <w:t>hedžingu rizika</w:t>
            </w:r>
          </w:p>
          <w:p w14:paraId="443DC7A5" w14:textId="14DFB041" w:rsidR="00E5460F" w:rsidRPr="00B34A8E" w:rsidDel="009A4E43" w:rsidRDefault="00B34A8E" w:rsidP="00E25C0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t xml:space="preserve"> V </w:t>
            </w:r>
            <w:r w:rsidR="00E25C0C" w:rsidRPr="00B34A8E">
              <w:rPr>
                <w:rFonts w:ascii="Times New Roman" w:hAnsi="Times New Roman"/>
                <w:sz w:val="24"/>
              </w:rPr>
              <w:t>súlade</w:t>
            </w:r>
            <w:r>
              <w:rPr>
                <w:rFonts w:ascii="Times New Roman" w:hAnsi="Times New Roman"/>
                <w:sz w:val="24"/>
              </w:rPr>
              <w:t xml:space="preserve"> s </w:t>
            </w:r>
            <w:r w:rsidR="00E25C0C" w:rsidRPr="00B34A8E">
              <w:rPr>
                <w:rFonts w:ascii="Times New Roman" w:hAnsi="Times New Roman"/>
                <w:sz w:val="24"/>
              </w:rPr>
              <w:t xml:space="preserve">článkom 435 ods. 1 písm. d) nariadenia (EÚ) </w:t>
            </w:r>
            <w:r>
              <w:rPr>
                <w:rFonts w:ascii="Times New Roman" w:hAnsi="Times New Roman"/>
                <w:sz w:val="24"/>
              </w:rPr>
              <w:t>č. </w:t>
            </w:r>
            <w:r w:rsidR="00E25C0C" w:rsidRPr="00B34A8E">
              <w:rPr>
                <w:rFonts w:ascii="Times New Roman" w:hAnsi="Times New Roman"/>
                <w:sz w:val="24"/>
              </w:rPr>
              <w:t>575/2013 inštitúcie zverejňujú svoje politiky</w:t>
            </w:r>
            <w:r>
              <w:rPr>
                <w:rFonts w:ascii="Times New Roman" w:hAnsi="Times New Roman"/>
                <w:sz w:val="24"/>
              </w:rPr>
              <w:t xml:space="preserve"> a </w:t>
            </w:r>
            <w:r w:rsidR="00E25C0C" w:rsidRPr="00B34A8E">
              <w:rPr>
                <w:rFonts w:ascii="Times New Roman" w:hAnsi="Times New Roman"/>
                <w:sz w:val="24"/>
              </w:rPr>
              <w:t>stratégie zmierňovania rizika</w:t>
            </w:r>
            <w:r>
              <w:rPr>
                <w:rFonts w:ascii="Times New Roman" w:hAnsi="Times New Roman"/>
                <w:sz w:val="24"/>
              </w:rPr>
              <w:t xml:space="preserve"> a </w:t>
            </w:r>
            <w:r w:rsidR="00E25C0C" w:rsidRPr="00B34A8E">
              <w:rPr>
                <w:rFonts w:ascii="Times New Roman" w:hAnsi="Times New Roman"/>
                <w:sz w:val="24"/>
              </w:rPr>
              <w:t>hedžingu rizika používané pri riadení operačného rizika vrátane prípadov, keď sa zmiernenie operačného rizika dosahuje prostredníctvom politiky (v takom prípade zverejňujú politiky týkajúce sa kultúry riskovania, ochoty podstupovať riziká</w:t>
            </w:r>
            <w:r>
              <w:rPr>
                <w:rFonts w:ascii="Times New Roman" w:hAnsi="Times New Roman"/>
                <w:sz w:val="24"/>
              </w:rPr>
              <w:t xml:space="preserve"> a </w:t>
            </w:r>
            <w:r w:rsidR="00E25C0C" w:rsidRPr="00B34A8E">
              <w:rPr>
                <w:rFonts w:ascii="Times New Roman" w:hAnsi="Times New Roman"/>
                <w:sz w:val="24"/>
              </w:rPr>
              <w:t>outsourcingu), alebo či sa to dosahuje odčlenením od vysokorizikových podnikov alebo zavedením kontrol.</w:t>
            </w:r>
            <w:r w:rsidR="00E25C0C" w:rsidRPr="00B34A8E">
              <w:rPr>
                <w:rFonts w:ascii="Times New Roman" w:hAnsi="Times New Roman"/>
                <w:color w:val="000000" w:themeColor="text1"/>
                <w:sz w:val="24"/>
              </w:rPr>
              <w:t xml:space="preserve"> Inštitúcie zverejňujú aj zostávajúce expozície, ktoré absorbujú samotné inštitúcie, alebo prípadne zostávajúce expozície, ktoré sa prevádzajú rôznymi spôsobmi,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="00E25C0C" w:rsidRPr="00B34A8E">
              <w:rPr>
                <w:rFonts w:ascii="Times New Roman" w:hAnsi="Times New Roman"/>
                <w:color w:val="000000" w:themeColor="text1"/>
                <w:sz w:val="24"/>
              </w:rPr>
              <w:t>to aj prostredníctvom poistenia.</w:t>
            </w:r>
          </w:p>
        </w:tc>
      </w:tr>
    </w:tbl>
    <w:p w14:paraId="0A37501D" w14:textId="77777777" w:rsidR="00E114F3" w:rsidRPr="00B34A8E" w:rsidRDefault="00E114F3" w:rsidP="00E114F3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</w:p>
    <w:p w14:paraId="73228265" w14:textId="360EF1A3" w:rsidR="00E114F3" w:rsidRPr="00B34A8E" w:rsidRDefault="00E114F3" w:rsidP="00E114F3">
      <w:pPr>
        <w:spacing w:after="120"/>
        <w:jc w:val="both"/>
        <w:rPr>
          <w:rFonts w:ascii="Times New Roman" w:hAnsi="Times New Roman" w:cs="Times New Roman"/>
          <w:bCs/>
          <w:sz w:val="24"/>
        </w:rPr>
      </w:pPr>
      <w:r w:rsidRPr="00B34A8E">
        <w:rPr>
          <w:rFonts w:ascii="Times New Roman" w:hAnsi="Times New Roman"/>
          <w:b/>
          <w:sz w:val="24"/>
        </w:rPr>
        <w:t>Vzor EU OR1 – Straty</w:t>
      </w:r>
      <w:r w:rsidR="00B34A8E">
        <w:rPr>
          <w:rFonts w:ascii="Times New Roman" w:hAnsi="Times New Roman"/>
          <w:b/>
          <w:sz w:val="24"/>
        </w:rPr>
        <w:t xml:space="preserve"> z </w:t>
      </w:r>
      <w:r w:rsidRPr="00B34A8E">
        <w:rPr>
          <w:rFonts w:ascii="Times New Roman" w:hAnsi="Times New Roman"/>
          <w:b/>
          <w:sz w:val="24"/>
        </w:rPr>
        <w:t xml:space="preserve">operačného rizika. </w:t>
      </w:r>
      <w:r w:rsidRPr="00B34A8E">
        <w:rPr>
          <w:rFonts w:ascii="Times New Roman" w:hAnsi="Times New Roman"/>
          <w:sz w:val="24"/>
        </w:rPr>
        <w:t>Vzor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pevným formátom.</w:t>
      </w:r>
    </w:p>
    <w:p w14:paraId="4F24F014" w14:textId="6B4564E7" w:rsid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B34A8E">
        <w:rPr>
          <w:rFonts w:ascii="Times New Roman" w:hAnsi="Times New Roman"/>
          <w:sz w:val="24"/>
        </w:rPr>
        <w:t>Inštitúcie zverejňujú informácie uvedené vo vzore EU OR1 pri uplatňovaní článku 446 ods. 2 písm. a)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 xml:space="preserve">b)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575/2013.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tomto vzore sa uvádzajú informácie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ročných stratách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operačného rizika, ktoré vznikli za posledných 10 rokov, na základe účtovného dátumu vzniknutých strát. Tieto ročné straty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operačného rizika sa vypočítavajú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316 ods. 1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zahŕňajú,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317 ods. 2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 xml:space="preserve">575/2013, všetky straty pochádzajúce zo všetkých subjektov, ktoré sú súčasťou rozsahu konsolidácie, vrátane strát zo splynutých/zlúčených/nadobudnutých subjektov [podľa článku 321 ods. 1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575/2013]. Tieto informácie sa poskytujú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rozsahu,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akom sú dostupné,</w:t>
      </w:r>
      <w:r w:rsidR="00B34A8E">
        <w:rPr>
          <w:rFonts w:ascii="Times New Roman" w:hAnsi="Times New Roman"/>
          <w:sz w:val="24"/>
        </w:rPr>
        <w:t xml:space="preserve"> a s </w:t>
      </w:r>
      <w:r w:rsidRPr="00B34A8E">
        <w:rPr>
          <w:rFonts w:ascii="Times New Roman" w:hAnsi="Times New Roman"/>
          <w:sz w:val="24"/>
        </w:rPr>
        <w:t>vynaložením maximálneho úsilia dovtedy, kým sa neuplatnia článok 316 ods. 3, článok 317 ods. 9, článok 320 ods. 3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 xml:space="preserve">článok 321 ods. 2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</w:t>
      </w:r>
      <w:r w:rsidR="00B34A8E">
        <w:rPr>
          <w:rFonts w:ascii="Times New Roman" w:hAnsi="Times New Roman"/>
          <w:sz w:val="24"/>
        </w:rPr>
        <w:t>.</w:t>
      </w:r>
    </w:p>
    <w:p w14:paraId="0C12CA7B" w14:textId="4D1C3B8A" w:rsidR="00D740B8" w:rsidRPr="00B34A8E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47EE9624" w14:textId="4CF23880" w:rsidR="00D740B8" w:rsidRP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34A8E">
        <w:rPr>
          <w:rFonts w:ascii="Times New Roman" w:hAnsi="Times New Roman"/>
          <w:sz w:val="24"/>
        </w:rPr>
        <w:t>Inštitúcie zverejňujú za každý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posledných 10 rokov údaje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počte strát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operačného rizika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počte vylúčených strát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operačného rizika, celkovej výške strát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operačného rizika po odpočítaní náhrad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celkovej výške strát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operačného rizika po odpočítaní náhrad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po odpočítaní vylúčených strát. Celková ročná výška strát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operačného rizika sa vypočíta ako súčet všetkých čistých strát za daný finančný rok vypočítaných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318 ods. 1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575/2013, ktoré sa rovnajú prahovým hodnotám pre údaje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stratách stanoveným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článku 319 ods. 1, resp. ods. 2 uvedeného nariadenia (t. j. 20 000 EUR, resp. 100 000 EUR) alebo ich prekračujú. Straty spôsobené spoločnou udalosťou operačného rizika alebo viacerými udalosťami spojenými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tou istou udalosťou operačného rizika („základná udalosť“), ktoré sa vykazujú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rôznych účtovných rokoch, sa však spočítavajú za posledných 10 rokov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cieľom určiť, či je alebo nie je prekročená prahová hodnota pre zverejňovanie informácií. Straty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úpravy by sa mali zverejňovať podľa ustanovení článku 317 ods. 3 písm. c)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 xml:space="preserve">článku 318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575/2013. Tieto sumy sa zverejňujú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roku,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ktorom boli zaúčtované do účtovnej závierky.</w:t>
      </w:r>
    </w:p>
    <w:p w14:paraId="2702CB88" w14:textId="7777777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43A93D70" w14:textId="3F16485A" w:rsidR="00B34A8E" w:rsidRDefault="00B34A8E" w:rsidP="00D740B8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V </w:t>
      </w:r>
      <w:r w:rsidR="00D740B8" w:rsidRPr="00B34A8E">
        <w:rPr>
          <w:rFonts w:ascii="Times New Roman" w:hAnsi="Times New Roman"/>
          <w:sz w:val="24"/>
        </w:rPr>
        <w:t>sprievodnom opise inštitúcie súhrnne zverejňujú odôvodnenia výnimočných udalostí operačného rizika, ktoré boli vylúčené</w:t>
      </w:r>
      <w:r>
        <w:rPr>
          <w:rFonts w:ascii="Times New Roman" w:hAnsi="Times New Roman"/>
          <w:sz w:val="24"/>
        </w:rPr>
        <w:t xml:space="preserve"> z </w:t>
      </w:r>
      <w:r w:rsidR="00D740B8" w:rsidRPr="00B34A8E">
        <w:rPr>
          <w:rFonts w:ascii="Times New Roman" w:hAnsi="Times New Roman"/>
          <w:sz w:val="24"/>
        </w:rPr>
        <w:t>výpočtu ročných strát</w:t>
      </w:r>
      <w:r>
        <w:rPr>
          <w:rFonts w:ascii="Times New Roman" w:hAnsi="Times New Roman"/>
          <w:sz w:val="24"/>
        </w:rPr>
        <w:t xml:space="preserve"> z </w:t>
      </w:r>
      <w:r w:rsidR="00D740B8" w:rsidRPr="00B34A8E">
        <w:rPr>
          <w:rFonts w:ascii="Times New Roman" w:hAnsi="Times New Roman"/>
          <w:sz w:val="24"/>
        </w:rPr>
        <w:t>operačného rizika</w:t>
      </w:r>
      <w:r>
        <w:rPr>
          <w:rFonts w:ascii="Times New Roman" w:hAnsi="Times New Roman"/>
          <w:sz w:val="24"/>
        </w:rPr>
        <w:t xml:space="preserve"> v </w:t>
      </w:r>
      <w:r w:rsidR="00D740B8" w:rsidRPr="00B34A8E">
        <w:rPr>
          <w:rFonts w:ascii="Times New Roman" w:hAnsi="Times New Roman"/>
          <w:sz w:val="24"/>
        </w:rPr>
        <w:t>súlade</w:t>
      </w:r>
      <w:r>
        <w:rPr>
          <w:rFonts w:ascii="Times New Roman" w:hAnsi="Times New Roman"/>
          <w:sz w:val="24"/>
        </w:rPr>
        <w:t xml:space="preserve"> s </w:t>
      </w:r>
      <w:r w:rsidR="00D740B8" w:rsidRPr="00B34A8E">
        <w:rPr>
          <w:rFonts w:ascii="Times New Roman" w:hAnsi="Times New Roman"/>
          <w:sz w:val="24"/>
        </w:rPr>
        <w:t xml:space="preserve">článkom 446 ods. 2 písm. b) nariadenia (EÚ) </w:t>
      </w:r>
      <w:r>
        <w:rPr>
          <w:rFonts w:ascii="Times New Roman" w:hAnsi="Times New Roman"/>
          <w:sz w:val="24"/>
        </w:rPr>
        <w:t>č. </w:t>
      </w:r>
      <w:r w:rsidR="00D740B8" w:rsidRPr="00B34A8E">
        <w:rPr>
          <w:rFonts w:ascii="Times New Roman" w:hAnsi="Times New Roman"/>
          <w:sz w:val="24"/>
        </w:rPr>
        <w:t>575/2013</w:t>
      </w:r>
      <w:r>
        <w:rPr>
          <w:rFonts w:ascii="Times New Roman" w:hAnsi="Times New Roman"/>
          <w:sz w:val="24"/>
        </w:rPr>
        <w:t>.</w:t>
      </w:r>
    </w:p>
    <w:p w14:paraId="066C0912" w14:textId="571B0C0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79A49BBA" w14:textId="398DE33B" w:rsidR="00D740B8" w:rsidRP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B34A8E">
        <w:rPr>
          <w:rFonts w:ascii="Times New Roman" w:hAnsi="Times New Roman"/>
          <w:sz w:val="24"/>
        </w:rPr>
        <w:t xml:space="preserve"> Inštitúcie zároveň súhrnne zverejňujú všetky podstatné informácie, ktoré by mohli používateľom pomôcť pochopiť historické straty, náhrady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zákonné rezervy inštitúcií, pričom výnimku tvoria dôverné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chránené informácie.</w:t>
      </w:r>
    </w:p>
    <w:p w14:paraId="3AF72482" w14:textId="7777777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36406578" w14:textId="7777777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7745"/>
      </w:tblGrid>
      <w:tr w:rsidR="00D740B8" w:rsidRPr="00B34A8E" w14:paraId="7E388732" w14:textId="77777777">
        <w:tc>
          <w:tcPr>
            <w:tcW w:w="1271" w:type="dxa"/>
            <w:shd w:val="clear" w:color="auto" w:fill="BFBFBF" w:themeFill="background1" w:themeFillShade="BF"/>
          </w:tcPr>
          <w:p w14:paraId="5F81890E" w14:textId="77777777" w:rsidR="00D740B8" w:rsidRPr="00B34A8E" w:rsidRDefault="00D740B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Stĺpec</w:t>
            </w:r>
          </w:p>
        </w:tc>
        <w:tc>
          <w:tcPr>
            <w:tcW w:w="7745" w:type="dxa"/>
            <w:shd w:val="clear" w:color="auto" w:fill="BFBFBF" w:themeFill="background1" w:themeFillShade="BF"/>
          </w:tcPr>
          <w:p w14:paraId="0773BD79" w14:textId="752C1A68" w:rsidR="00D740B8" w:rsidRPr="00B34A8E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D740B8" w:rsidRPr="00B34A8E" w14:paraId="4A7B0862" w14:textId="77777777">
        <w:tc>
          <w:tcPr>
            <w:tcW w:w="1271" w:type="dxa"/>
          </w:tcPr>
          <w:p w14:paraId="59A78ADD" w14:textId="77777777" w:rsidR="00D740B8" w:rsidRPr="00B34A8E" w:rsidRDefault="00D740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a až j</w:t>
            </w:r>
          </w:p>
        </w:tc>
        <w:tc>
          <w:tcPr>
            <w:tcW w:w="7745" w:type="dxa"/>
          </w:tcPr>
          <w:p w14:paraId="0B872A50" w14:textId="77777777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Rok (T, T-1, T-2, T-3, T-4, T-5, T-6, T-7, T-8, T-9)</w:t>
            </w:r>
          </w:p>
          <w:p w14:paraId="5B6EF35C" w14:textId="59C11969" w:rsidR="00D740B8" w:rsidRPr="00B34A8E" w:rsidRDefault="00D740B8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Hodnota uvedená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 xml:space="preserve">príslušnom riadku za posledných 10 finančných rokov. </w:t>
            </w:r>
          </w:p>
        </w:tc>
      </w:tr>
      <w:tr w:rsidR="00D740B8" w:rsidRPr="00B34A8E" w14:paraId="7D63969A" w14:textId="77777777">
        <w:tc>
          <w:tcPr>
            <w:tcW w:w="1271" w:type="dxa"/>
          </w:tcPr>
          <w:p w14:paraId="6CFD6A05" w14:textId="77777777" w:rsidR="00D740B8" w:rsidRPr="00B34A8E" w:rsidRDefault="00D740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745" w:type="dxa"/>
          </w:tcPr>
          <w:p w14:paraId="50D93A86" w14:textId="77777777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Desaťročný priemer</w:t>
            </w:r>
          </w:p>
          <w:p w14:paraId="38A7187F" w14:textId="65F1A71C" w:rsidR="00D740B8" w:rsidRPr="00B34A8E" w:rsidRDefault="00D740B8">
            <w:pPr>
              <w:spacing w:before="120" w:after="120"/>
              <w:rPr>
                <w:rFonts w:ascii="Times New Roman" w:hAnsi="Times New Roman"/>
                <w:bCs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Priemer hodnôt uvedených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príslušnom riadku za posledných 10 rokov.</w:t>
            </w:r>
          </w:p>
        </w:tc>
      </w:tr>
    </w:tbl>
    <w:p w14:paraId="7095834F" w14:textId="7777777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32DB6729" w14:textId="7777777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2611544E" w14:textId="7777777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B34A8E" w14:paraId="75D19248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DC07F6" w14:textId="77777777" w:rsidR="00D740B8" w:rsidRPr="00B34A8E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 xml:space="preserve">Riadok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2A10C0" w14:textId="23942D9D" w:rsidR="00D740B8" w:rsidRPr="00B34A8E" w:rsidRDefault="00D740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D740B8" w:rsidRPr="00B34A8E" w14:paraId="5B979768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5C0BB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F810E" w14:textId="6C22ABC6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Celková výška strát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b/>
                <w:sz w:val="24"/>
              </w:rPr>
              <w:t>operačného rizika po odpočítaní náhrad (bez vylúčení)</w:t>
            </w:r>
          </w:p>
          <w:p w14:paraId="73A6B59F" w14:textId="0D70FE39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 2 písm. a)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 316 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5D929629" w14:textId="176D2C05" w:rsidR="00D740B8" w:rsidRPr="00B34A8E" w:rsidRDefault="002B078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 riadku sa zverejňuje celková výška straty po odpočítaní náhrad vyplývajúcich zo stratových udalostí nad prahovou hodnotou stratovej udalosti 20 000 EUR za každé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posledných 10 období vykazovania vrátane strát zo splynutí/zlúčení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nadobudnutí. Straty spôsobené spoločnou udalosťou operačného rizika alebo viacerými udalosťami spojenými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tou istou udalosťou operačného rizika, ktoré sa vykazujú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rôznych účtovných rokoch, sa spočítavajú za posledných 10 rokov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cieľom určiť, či je alebo nie je prekročená prahová hodnota pre zverejňovanie informácií. Pri výpočte položky pre tento riadok sa stále zohľadňujú mimoriadne udalosti operačného rizika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danom roku, ktoré už nie sú relevantné pre rizikový profil inštitúcie</w:t>
            </w:r>
            <w:r w:rsidR="00B34A8E">
              <w:rPr>
                <w:rFonts w:ascii="Times New Roman" w:hAnsi="Times New Roman"/>
                <w:sz w:val="24"/>
              </w:rPr>
              <w:t xml:space="preserve"> a v </w:t>
            </w:r>
            <w:r w:rsidRPr="00B34A8E">
              <w:rPr>
                <w:rFonts w:ascii="Times New Roman" w:hAnsi="Times New Roman"/>
                <w:sz w:val="24"/>
              </w:rPr>
              <w:t>prípade ktorých inštitúcia získala povolenie od príslušného orgánu vylúčiť ich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ročných strát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operačného rizika inštitúcie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320 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D740B8" w:rsidRPr="00B34A8E" w14:paraId="1A3189B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85BED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B8990" w14:textId="20AE1B80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Celkový počet strát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b/>
                <w:sz w:val="24"/>
              </w:rPr>
              <w:t>operačného rizika</w:t>
            </w:r>
          </w:p>
          <w:p w14:paraId="2EA91375" w14:textId="4303821B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 2 písm. a)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 316 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275C478C" w14:textId="09115585" w:rsidR="00D740B8" w:rsidRPr="00B34A8E" w:rsidRDefault="00471410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Celkový počet strát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operačného rizika presahujúcich prahovú hodnotu stratovej udalosti 20 000 EUR.</w:t>
            </w:r>
          </w:p>
        </w:tc>
      </w:tr>
      <w:tr w:rsidR="00D740B8" w:rsidRPr="00B34A8E" w14:paraId="30368E01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E2D97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7E573" w14:textId="26423526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Celková hodnota vylúčených strát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b/>
                <w:sz w:val="24"/>
              </w:rPr>
              <w:t>operačného rizika</w:t>
            </w:r>
          </w:p>
          <w:p w14:paraId="5C1A66AF" w14:textId="227E11F3" w:rsidR="00D740B8" w:rsidRPr="00B34A8E" w:rsidRDefault="00D740B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 2 písm. b)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 320 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7BE235CA" w14:textId="1D281C2B" w:rsidR="00D740B8" w:rsidRPr="00B34A8E" w:rsidRDefault="002B078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Celková výška čistej straty presahujúca prahovú hodnotu straty 20 000 EUR, ktorá bola vylúčená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320 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575/2013, za každé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posledných 10 období vykazovania.</w:t>
            </w:r>
          </w:p>
        </w:tc>
      </w:tr>
      <w:tr w:rsidR="00D740B8" w:rsidRPr="00B34A8E" w14:paraId="2771244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28D83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BA990" w14:textId="77777777" w:rsidR="00D740B8" w:rsidRPr="00B34A8E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Celkový počet vylúčených udalostí operačného rizika</w:t>
            </w:r>
          </w:p>
          <w:p w14:paraId="7914E462" w14:textId="2D903F0C" w:rsidR="00D740B8" w:rsidRPr="00B34A8E" w:rsidRDefault="00D740B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 2 písm. b)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 320 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318A732C" w14:textId="622B370F" w:rsidR="00D740B8" w:rsidRPr="00B34A8E" w:rsidRDefault="009D4A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Celkový počet výnimočných udalostí operačného rizika presahujúcich prahovú hodnotu stratovej udalosti 20 000 EUR, ktoré boli vylúčené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</w:t>
            </w:r>
            <w:r w:rsidRPr="00B34A8E">
              <w:rPr>
                <w:rFonts w:ascii="Times New Roman" w:hAnsi="Times New Roman"/>
                <w:sz w:val="24"/>
              </w:rPr>
              <w:lastRenderedPageBreak/>
              <w:t xml:space="preserve">320 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575/2013, za každé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 xml:space="preserve">posledných 10 období vykazovania. </w:t>
            </w:r>
          </w:p>
        </w:tc>
      </w:tr>
      <w:tr w:rsidR="00D740B8" w:rsidRPr="00B34A8E" w14:paraId="155A14DC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A2BC3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lastRenderedPageBreak/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D9B80" w14:textId="7730E981" w:rsidR="00D740B8" w:rsidRPr="00B34A8E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Celková výška strát</w:t>
            </w:r>
            <w:r w:rsid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z </w:t>
            </w: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operačného rizika po odpočítaní náhrad</w:t>
            </w:r>
            <w:r w:rsid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a </w:t>
            </w: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po odpočítaní vylúčených strát</w:t>
            </w:r>
          </w:p>
          <w:p w14:paraId="4203582A" w14:textId="4873EB8B" w:rsidR="00D740B8" w:rsidRPr="00B34A8E" w:rsidRDefault="002B078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Celková výška strát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operačného rizika znížená</w:t>
            </w:r>
            <w:r w:rsidR="00B34A8E">
              <w:rPr>
                <w:rFonts w:ascii="Times New Roman" w:hAnsi="Times New Roman"/>
                <w:sz w:val="24"/>
              </w:rPr>
              <w:t xml:space="preserve"> o </w:t>
            </w:r>
            <w:r w:rsidRPr="00B34A8E">
              <w:rPr>
                <w:rFonts w:ascii="Times New Roman" w:hAnsi="Times New Roman"/>
                <w:sz w:val="24"/>
              </w:rPr>
              <w:t>sumu náhrad zverejnených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riadku 1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po odpočítaní vylúčených strát zverejnených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riadku 3.</w:t>
            </w:r>
          </w:p>
        </w:tc>
      </w:tr>
      <w:tr w:rsidR="00D740B8" w:rsidRPr="00B34A8E" w14:paraId="533A412E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EE7FB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65A87" w14:textId="35E5553E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Celková výška strát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b/>
                <w:sz w:val="24"/>
              </w:rPr>
              <w:t>operačného rizika po odpočítaní náhrad (bez vylúčení)</w:t>
            </w:r>
          </w:p>
          <w:p w14:paraId="647BDEC8" w14:textId="34FDC816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 2 písm. a)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 316 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7F1E94AA" w14:textId="03B1CA3B" w:rsidR="00D740B8" w:rsidRPr="00B34A8E" w:rsidRDefault="003D54AC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Celková výška strát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operačného rizika znížená</w:t>
            </w:r>
            <w:r w:rsidR="00B34A8E">
              <w:rPr>
                <w:rFonts w:ascii="Times New Roman" w:hAnsi="Times New Roman"/>
                <w:sz w:val="24"/>
              </w:rPr>
              <w:t xml:space="preserve"> o </w:t>
            </w:r>
            <w:r w:rsidRPr="00B34A8E">
              <w:rPr>
                <w:rFonts w:ascii="Times New Roman" w:hAnsi="Times New Roman"/>
                <w:sz w:val="24"/>
              </w:rPr>
              <w:t>sumu náhrad vyplývajúcich zo stratových udalostí nad prahovou hodnotou stratovej udalosti 100 000 EUR za každé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posledných 10 období vykazovania vrátane strát zo splynutí/zlúčení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nadobudnutí. Straty spôsobené spoločnou udalosťou operačného rizika alebo viacerými udalosťami spojenými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tou istou udalosťou operačného rizika, ktoré sa vykazujú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rôznych účtovných rokoch, sa spočítavajú za posledných 10 rokov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cieľom určiť, či je alebo nie je prekročená prahová hodnota pre zverejňovanie informácií. Pri výpočte položky pre tento riadok sa stále zohľadňujú mimoriadne udalosti operačného rizika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danom roku, ktoré už nie sú relevantné pre rizikový profil inštitúcie</w:t>
            </w:r>
            <w:r w:rsidR="00B34A8E">
              <w:rPr>
                <w:rFonts w:ascii="Times New Roman" w:hAnsi="Times New Roman"/>
                <w:sz w:val="24"/>
              </w:rPr>
              <w:t xml:space="preserve"> a v </w:t>
            </w:r>
            <w:r w:rsidRPr="00B34A8E">
              <w:rPr>
                <w:rFonts w:ascii="Times New Roman" w:hAnsi="Times New Roman"/>
                <w:sz w:val="24"/>
              </w:rPr>
              <w:t>prípade ktorých inštitúcia získala povolenie od príslušného orgánu vylúčiť ich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ročných strát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operačného rizika inštitúcie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320 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 xml:space="preserve">575/2013.   </w:t>
            </w:r>
          </w:p>
        </w:tc>
      </w:tr>
      <w:tr w:rsidR="00D740B8" w:rsidRPr="00B34A8E" w14:paraId="55F7B96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372A0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15A10" w14:textId="1D46637B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Celkový počet strát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b/>
                <w:sz w:val="24"/>
              </w:rPr>
              <w:t>operačného rizika</w:t>
            </w:r>
          </w:p>
          <w:p w14:paraId="7AD8EE0D" w14:textId="01C2C922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 2 písm. a)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 316 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6F316B8B" w14:textId="68F09BB7" w:rsidR="00D740B8" w:rsidRPr="00B34A8E" w:rsidRDefault="00471410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Celkový počet strát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operačného rizika presahujúcich prahovú hodnotu stratovej udalosti 100 000 EUR.</w:t>
            </w:r>
          </w:p>
        </w:tc>
      </w:tr>
      <w:tr w:rsidR="00D740B8" w:rsidRPr="00B34A8E" w14:paraId="774B79F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021F3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731AFB" w14:textId="20DBAC6D" w:rsidR="00D740B8" w:rsidRPr="00B34A8E" w:rsidRDefault="00D740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Celková hodnota vylúčených strát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b/>
                <w:sz w:val="24"/>
              </w:rPr>
              <w:t>operačného rizika</w:t>
            </w:r>
          </w:p>
          <w:p w14:paraId="71DECF65" w14:textId="3BD529CB" w:rsidR="00D740B8" w:rsidRPr="00B34A8E" w:rsidRDefault="00D740B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 2 písm. b)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 320 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0BC74916" w14:textId="57AFE32C" w:rsidR="00D740B8" w:rsidRPr="00B34A8E" w:rsidRDefault="003D54AC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Celková výška čistej straty presahujúca prahovú hodnotu stratovej udalosti 100 000 EUR, ktorá bola vylúčená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320 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575/2013, za každé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posledných 10 období vykazovania.</w:t>
            </w:r>
          </w:p>
        </w:tc>
      </w:tr>
      <w:tr w:rsidR="00D740B8" w:rsidRPr="00B34A8E" w14:paraId="33C9C19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35360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23E8D" w14:textId="77777777" w:rsidR="00D740B8" w:rsidRPr="00B34A8E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Celkový počet vylúčených udalostí operačného rizika</w:t>
            </w:r>
          </w:p>
          <w:p w14:paraId="2B56754D" w14:textId="63E3C1A2" w:rsidR="00D740B8" w:rsidRPr="00B34A8E" w:rsidRDefault="00D740B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 2 písm. b)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 320 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2EDEC8CA" w14:textId="10DB1120" w:rsidR="00D740B8" w:rsidRPr="00B34A8E" w:rsidRDefault="00471410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Celkový počet výnimočných udalostí operačného rizika presahujúcich prahovú hodnotu stratovej udalosti 100 000 EUR, ktoré boli vylúčené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320 ods. 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575/2013, za každé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posledných 10 období vykazovania.</w:t>
            </w:r>
          </w:p>
        </w:tc>
      </w:tr>
      <w:tr w:rsidR="00D740B8" w:rsidRPr="00B34A8E" w14:paraId="01B8CA90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51114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D07D3" w14:textId="103913E4" w:rsidR="00D740B8" w:rsidRPr="00B34A8E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Celková výška strát</w:t>
            </w:r>
            <w:r w:rsid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z </w:t>
            </w: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operačného rizika po odpočítaní náhrad</w:t>
            </w:r>
            <w:r w:rsid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a </w:t>
            </w: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po odpočítaní vylúčených strát</w:t>
            </w:r>
          </w:p>
          <w:p w14:paraId="65622881" w14:textId="49FC1241" w:rsidR="00D740B8" w:rsidRPr="00B34A8E" w:rsidRDefault="006943D3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lastRenderedPageBreak/>
              <w:t>V tomto riadku sa zverejňuje celková výška strát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operačného rizika znížená</w:t>
            </w:r>
            <w:r w:rsidR="00B34A8E">
              <w:rPr>
                <w:rFonts w:ascii="Times New Roman" w:hAnsi="Times New Roman"/>
                <w:sz w:val="24"/>
              </w:rPr>
              <w:t xml:space="preserve"> o </w:t>
            </w:r>
            <w:r w:rsidRPr="00B34A8E">
              <w:rPr>
                <w:rFonts w:ascii="Times New Roman" w:hAnsi="Times New Roman"/>
                <w:sz w:val="24"/>
              </w:rPr>
              <w:t>sumu náhrad zverejnených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riadku 6, po odpočítaní sumy vylúčených strát zverejnených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riadku 8.</w:t>
            </w:r>
          </w:p>
        </w:tc>
      </w:tr>
      <w:tr w:rsidR="00D740B8" w:rsidRPr="00B34A8E" w14:paraId="1DE089DB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3FA6CB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lastRenderedPageBreak/>
              <w:t>11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813C" w14:textId="77777777" w:rsidR="00D740B8" w:rsidRPr="00B34A8E" w:rsidRDefault="00D740B8">
            <w:pPr>
              <w:autoSpaceDE w:val="0"/>
              <w:autoSpaceDN w:val="0"/>
              <w:adjustRightInd w:val="0"/>
              <w:spacing w:before="120" w:after="120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Neuplatňuje sa.</w:t>
            </w:r>
          </w:p>
        </w:tc>
      </w:tr>
      <w:tr w:rsidR="00D740B8" w:rsidRPr="00B34A8E" w14:paraId="23D23702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54CBB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2D8849" w14:textId="77777777" w:rsidR="00D740B8" w:rsidRPr="00B34A8E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Neuplatňuje sa.</w:t>
            </w:r>
          </w:p>
        </w:tc>
      </w:tr>
      <w:tr w:rsidR="00D740B8" w:rsidRPr="00B34A8E" w14:paraId="5EEF83F8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4FD13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BDA855" w14:textId="77777777" w:rsidR="00D740B8" w:rsidRPr="00B34A8E" w:rsidRDefault="00D740B8">
            <w:pPr>
              <w:spacing w:before="12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Neuplatňuje sa.</w:t>
            </w:r>
          </w:p>
        </w:tc>
      </w:tr>
    </w:tbl>
    <w:p w14:paraId="25A698B0" w14:textId="77777777" w:rsidR="00D740B8" w:rsidRPr="00B34A8E" w:rsidRDefault="00D740B8" w:rsidP="00D740B8">
      <w:pPr>
        <w:pStyle w:val="InstructionsText2"/>
        <w:numPr>
          <w:ilvl w:val="0"/>
          <w:numId w:val="0"/>
        </w:numPr>
        <w:ind w:left="360"/>
      </w:pPr>
    </w:p>
    <w:p w14:paraId="033C5861" w14:textId="000EEECD" w:rsidR="00D740B8" w:rsidRPr="00B34A8E" w:rsidRDefault="00D740B8" w:rsidP="00D740B8">
      <w:pPr>
        <w:jc w:val="both"/>
        <w:rPr>
          <w:rFonts w:ascii="Times New Roman" w:hAnsi="Times New Roman" w:cs="Times New Roman"/>
          <w:bCs/>
          <w:sz w:val="24"/>
        </w:rPr>
      </w:pPr>
      <w:r w:rsidRPr="00B34A8E">
        <w:rPr>
          <w:rFonts w:ascii="Times New Roman" w:hAnsi="Times New Roman"/>
          <w:b/>
          <w:sz w:val="24"/>
        </w:rPr>
        <w:t>Vzor EU OR2 – Ukazovateľ, zložky</w:t>
      </w:r>
      <w:r w:rsidR="00B34A8E">
        <w:rPr>
          <w:rFonts w:ascii="Times New Roman" w:hAnsi="Times New Roman"/>
          <w:b/>
          <w:sz w:val="24"/>
        </w:rPr>
        <w:t xml:space="preserve"> a </w:t>
      </w:r>
      <w:r w:rsidRPr="00B34A8E">
        <w:rPr>
          <w:rFonts w:ascii="Times New Roman" w:hAnsi="Times New Roman"/>
          <w:b/>
          <w:sz w:val="24"/>
        </w:rPr>
        <w:t xml:space="preserve">podzložky obchodovania. </w:t>
      </w:r>
      <w:r w:rsidRPr="00B34A8E">
        <w:rPr>
          <w:rFonts w:ascii="Times New Roman" w:hAnsi="Times New Roman"/>
          <w:sz w:val="24"/>
        </w:rPr>
        <w:t>Vzor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pevným formátom.</w:t>
      </w:r>
    </w:p>
    <w:p w14:paraId="3D173CCF" w14:textId="77777777" w:rsidR="00D740B8" w:rsidRPr="00B34A8E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49DCE382" w14:textId="4D4EC979" w:rsid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B34A8E">
        <w:rPr>
          <w:rFonts w:ascii="Times New Roman" w:hAnsi="Times New Roman"/>
          <w:sz w:val="24"/>
        </w:rPr>
        <w:t>Inštitúcie zverejňujú informácie uvedené vo vzore EU OR2 pri uplatňovaní článku 446 ods. 1 písm. c)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 xml:space="preserve">d)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575/2013.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tomto vzore sa uvádzajú informácie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výpočte zložky ukazovateľa obchodovania (BIC)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313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</w:t>
      </w:r>
      <w:r w:rsidR="00B34A8E">
        <w:rPr>
          <w:rFonts w:ascii="Times New Roman" w:hAnsi="Times New Roman"/>
          <w:sz w:val="24"/>
        </w:rPr>
        <w:t xml:space="preserve"> a o </w:t>
      </w:r>
      <w:r w:rsidRPr="00B34A8E">
        <w:rPr>
          <w:rFonts w:ascii="Times New Roman" w:hAnsi="Times New Roman"/>
          <w:sz w:val="24"/>
        </w:rPr>
        <w:t>výpočte ukazovateľa obchodovania (BI), zložiek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podzložiek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314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575/2013. Popri tom sa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tomto vzore uvádzajú aj informácie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sumách vylúčených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ukazovateľa obchodovania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súvislosti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vyradenými subjektmi alebo činnosťami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článkom 315 ods. 2</w:t>
      </w:r>
      <w:r w:rsidR="00B34A8E">
        <w:rPr>
          <w:rFonts w:ascii="Times New Roman" w:hAnsi="Times New Roman"/>
          <w:sz w:val="24"/>
        </w:rPr>
        <w:t>.</w:t>
      </w:r>
    </w:p>
    <w:p w14:paraId="5C35CEC0" w14:textId="3C3EA215" w:rsidR="00D740B8" w:rsidRPr="00B34A8E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1749895F" w14:textId="222E9D17" w:rsidR="00D740B8" w:rsidRP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B34A8E">
        <w:rPr>
          <w:rFonts w:ascii="Times New Roman" w:hAnsi="Times New Roman"/>
          <w:sz w:val="24"/>
        </w:rPr>
        <w:t>Inštitúcie zverejňujú informácie za posledné tri finančné roky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výške príslušného zoznamu položiek, ktoré sa vyžadujú na výpočet podzložiek ukazovateľa obchodovania, ktoré prispievajú</w:t>
      </w:r>
      <w:r w:rsidR="00B34A8E">
        <w:rPr>
          <w:rFonts w:ascii="Times New Roman" w:hAnsi="Times New Roman"/>
          <w:sz w:val="24"/>
        </w:rPr>
        <w:t xml:space="preserve"> k </w:t>
      </w:r>
      <w:r w:rsidRPr="00B34A8E">
        <w:rPr>
          <w:rFonts w:ascii="Times New Roman" w:hAnsi="Times New Roman"/>
          <w:sz w:val="24"/>
        </w:rPr>
        <w:t>výpočtu požiadaviek na vlastné zdroje pre operačné riziko.</w:t>
      </w:r>
    </w:p>
    <w:p w14:paraId="7B27D162" w14:textId="7777777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p w14:paraId="6EB2B908" w14:textId="644E1400" w:rsid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B34A8E">
        <w:rPr>
          <w:rFonts w:ascii="Times New Roman" w:hAnsi="Times New Roman"/>
          <w:sz w:val="24"/>
        </w:rPr>
        <w:t>Ak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314 ods. 8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 nie sú</w:t>
      </w:r>
      <w:r w:rsidR="00B34A8E">
        <w:rPr>
          <w:rFonts w:ascii="Times New Roman" w:hAnsi="Times New Roman"/>
          <w:sz w:val="24"/>
        </w:rPr>
        <w:t xml:space="preserve"> k </w:t>
      </w:r>
      <w:r w:rsidRPr="00B34A8E">
        <w:rPr>
          <w:rFonts w:ascii="Times New Roman" w:hAnsi="Times New Roman"/>
          <w:sz w:val="24"/>
        </w:rPr>
        <w:t>dispozícii žiadne historické údaje, inštitúcie vykazujú výhľadové obchodné odhady</w:t>
      </w:r>
      <w:r w:rsidR="00B34A8E">
        <w:rPr>
          <w:rFonts w:ascii="Times New Roman" w:hAnsi="Times New Roman"/>
          <w:sz w:val="24"/>
        </w:rPr>
        <w:t>.</w:t>
      </w:r>
    </w:p>
    <w:p w14:paraId="14A23528" w14:textId="7426E2CD" w:rsidR="00D740B8" w:rsidRPr="00B34A8E" w:rsidRDefault="00D740B8" w:rsidP="00D740B8">
      <w:pPr>
        <w:pStyle w:val="numbered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34A8E">
        <w:rPr>
          <w:rFonts w:ascii="Times New Roman" w:hAnsi="Times New Roman"/>
          <w:sz w:val="24"/>
        </w:rPr>
        <w:t>Ak majú inštitúcie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súvislosti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opisovanými položkami, ktoré patria medzi zložky BI,</w:t>
      </w:r>
      <w:r w:rsidR="00B34A8E">
        <w:rPr>
          <w:rFonts w:ascii="Times New Roman" w:hAnsi="Times New Roman"/>
          <w:sz w:val="24"/>
        </w:rPr>
        <w:t xml:space="preserve"> k </w:t>
      </w:r>
      <w:r w:rsidRPr="00B34A8E">
        <w:rPr>
          <w:rFonts w:ascii="Times New Roman" w:hAnsi="Times New Roman"/>
          <w:sz w:val="24"/>
        </w:rPr>
        <w:t>dispozícii údaje za menej než tri roky, dostupné historické údaje sa podľa priority priradia do príslušných stĺpcov vzoru. Ak majú inštitúcie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súvislosti so zložkami BI</w:t>
      </w:r>
      <w:r w:rsidR="00B34A8E">
        <w:rPr>
          <w:rFonts w:ascii="Times New Roman" w:hAnsi="Times New Roman"/>
          <w:sz w:val="24"/>
        </w:rPr>
        <w:t xml:space="preserve"> k </w:t>
      </w:r>
      <w:r w:rsidRPr="00B34A8E">
        <w:rPr>
          <w:rFonts w:ascii="Times New Roman" w:hAnsi="Times New Roman"/>
          <w:sz w:val="24"/>
        </w:rPr>
        <w:t>dispozícii historické údaje len za jeden rok, tieto údaje sa vykazujú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stĺpci, ktorý zodpovedá poslednému roku (napr. „posledný rok“). Ak sa to zdá primerané, výhľadové odhady sa zahrnú do roku –1, resp. do roku –2 až dovtedy, kým tieto údaje nebudú</w:t>
      </w:r>
      <w:r w:rsidR="00B34A8E">
        <w:rPr>
          <w:rFonts w:ascii="Times New Roman" w:hAnsi="Times New Roman"/>
          <w:sz w:val="24"/>
        </w:rPr>
        <w:t xml:space="preserve"> k </w:t>
      </w:r>
      <w:r w:rsidRPr="00B34A8E">
        <w:rPr>
          <w:rFonts w:ascii="Times New Roman" w:hAnsi="Times New Roman"/>
          <w:sz w:val="24"/>
        </w:rPr>
        <w:t>dispozícii.</w:t>
      </w:r>
    </w:p>
    <w:p w14:paraId="6F016880" w14:textId="2E32D853" w:rsidR="00B34A8E" w:rsidRDefault="00D740B8" w:rsidP="00D740B8">
      <w:pPr>
        <w:pStyle w:val="numberedparagraph"/>
        <w:numPr>
          <w:ilvl w:val="0"/>
          <w:numId w:val="1"/>
        </w:numPr>
        <w:rPr>
          <w:rFonts w:ascii="Times New Roman" w:hAnsi="Times New Roman"/>
          <w:sz w:val="24"/>
        </w:rPr>
      </w:pPr>
      <w:r w:rsidRPr="00B34A8E">
        <w:rPr>
          <w:rFonts w:ascii="Times New Roman" w:hAnsi="Times New Roman"/>
          <w:sz w:val="24"/>
        </w:rPr>
        <w:t>Inštitúcie nezahŕňajú do podpoložiek, ktoré sú súčasťou výpočtu zložky úrokov, lízingov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dividend (ILDC), žiadne údaje týkajúce sa tých konkrétnych dcérskych inštitúcií, ktorých ILDC sa vypočítavajú samostatne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314 ods. 3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</w:t>
      </w:r>
      <w:r w:rsidR="00B34A8E">
        <w:rPr>
          <w:rFonts w:ascii="Times New Roman" w:hAnsi="Times New Roman"/>
          <w:sz w:val="24"/>
        </w:rPr>
        <w:t>.</w:t>
      </w:r>
    </w:p>
    <w:p w14:paraId="3512454B" w14:textId="285A6474" w:rsidR="00841A0D" w:rsidRP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B34A8E">
        <w:rPr>
          <w:rFonts w:ascii="Times New Roman" w:hAnsi="Times New Roman"/>
          <w:sz w:val="24"/>
        </w:rPr>
        <w:t>Inštitúcie nezahŕňajú do podpoložiek, ktoré sú súčasťou výpočtu zložky úrokov, lízingov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dividend (ILDC), žiadne údaje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obchodných línií retailové bankovníctvo a/alebo komerčné bankovníctvo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 xml:space="preserve">tých prípadoch, keď inštitúcia dostala povolenie uplatňovať článok 314 ods. 4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575/2013.</w:t>
      </w:r>
    </w:p>
    <w:p w14:paraId="22AE3E22" w14:textId="77777777" w:rsidR="00841A0D" w:rsidRPr="00B34A8E" w:rsidRDefault="00841A0D" w:rsidP="00841A0D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03676D8F" w14:textId="73CB9AC2" w:rsidR="00B34A8E" w:rsidRDefault="003826D3" w:rsidP="00D740B8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B34A8E">
        <w:rPr>
          <w:rFonts w:ascii="Times New Roman" w:hAnsi="Times New Roman"/>
          <w:sz w:val="24"/>
        </w:rPr>
        <w:t>Inštitúcie však vykazujú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riadku 1 celkovú hodnotu ILDC vrátane súm vypočítaných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314 ods. 3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575/2013.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riadku EU 1 sa vykazuje aj ILDC bez subjektov uvedených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článku 314 ods. 3</w:t>
      </w:r>
      <w:r w:rsidR="00B34A8E">
        <w:rPr>
          <w:rFonts w:ascii="Times New Roman" w:hAnsi="Times New Roman"/>
          <w:sz w:val="24"/>
        </w:rPr>
        <w:t>.</w:t>
      </w:r>
    </w:p>
    <w:p w14:paraId="7DAFACF8" w14:textId="2412E1A6" w:rsidR="00D740B8" w:rsidRPr="00B34A8E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5F6D77EB" w14:textId="1233EF4E" w:rsid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B34A8E">
        <w:rPr>
          <w:rFonts w:ascii="Times New Roman" w:hAnsi="Times New Roman"/>
          <w:sz w:val="24"/>
        </w:rPr>
        <w:lastRenderedPageBreak/>
        <w:t>V sprievodnom opise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článkom 446 ods. 1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 inštitúcie zverejňujú odôvodnenia každého vylúčenia</w:t>
      </w:r>
      <w:r w:rsidR="00B34A8E">
        <w:rPr>
          <w:rFonts w:ascii="Times New Roman" w:hAnsi="Times New Roman"/>
          <w:sz w:val="24"/>
        </w:rPr>
        <w:t xml:space="preserve"> z </w:t>
      </w:r>
      <w:r w:rsidRPr="00B34A8E">
        <w:rPr>
          <w:rFonts w:ascii="Times New Roman" w:hAnsi="Times New Roman"/>
          <w:sz w:val="24"/>
        </w:rPr>
        <w:t>ukazovateľa obchodovania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výnimkou vylúčenia retailových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komerčných obchodných línií, na ktoré sa vzťahuje článok 314 ods.</w:t>
      </w:r>
      <w:r w:rsidR="0059139C">
        <w:rPr>
          <w:rFonts w:ascii="Times New Roman" w:hAnsi="Times New Roman"/>
          <w:sz w:val="24"/>
        </w:rPr>
        <w:t> </w:t>
      </w:r>
      <w:r w:rsidRPr="00B34A8E">
        <w:rPr>
          <w:rFonts w:ascii="Times New Roman" w:hAnsi="Times New Roman"/>
          <w:sz w:val="24"/>
        </w:rPr>
        <w:t>4</w:t>
      </w:r>
      <w:r w:rsidR="00B34A8E">
        <w:rPr>
          <w:rFonts w:ascii="Times New Roman" w:hAnsi="Times New Roman"/>
          <w:sz w:val="24"/>
        </w:rPr>
        <w:t>.</w:t>
      </w:r>
    </w:p>
    <w:p w14:paraId="22C673C4" w14:textId="31E2A8AB" w:rsidR="00393FEF" w:rsidRPr="00B34A8E" w:rsidRDefault="00393FEF" w:rsidP="00532CFA">
      <w:pPr>
        <w:pStyle w:val="ListParagraph"/>
        <w:rPr>
          <w:rFonts w:ascii="Times New Roman" w:hAnsi="Times New Roman"/>
          <w:bCs/>
          <w:sz w:val="24"/>
        </w:rPr>
      </w:pPr>
    </w:p>
    <w:p w14:paraId="7DD11602" w14:textId="7733781F" w:rsidR="00393FEF" w:rsidRPr="00B34A8E" w:rsidRDefault="006020C0" w:rsidP="00D740B8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</w:rPr>
      </w:pPr>
      <w:r w:rsidRPr="00B34A8E">
        <w:rPr>
          <w:rFonts w:ascii="Times New Roman" w:hAnsi="Times New Roman"/>
          <w:sz w:val="24"/>
        </w:rPr>
        <w:t>Vzhľadom na úzke prepojenie medzi požiadavkami na zverejňovanie informácií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operačnom riziku</w:t>
      </w:r>
      <w:r w:rsidR="00B34A8E">
        <w:rPr>
          <w:rFonts w:ascii="Times New Roman" w:hAnsi="Times New Roman"/>
          <w:sz w:val="24"/>
        </w:rPr>
        <w:t xml:space="preserve"> a </w:t>
      </w:r>
      <w:r w:rsidRPr="00B34A8E">
        <w:rPr>
          <w:rFonts w:ascii="Times New Roman" w:hAnsi="Times New Roman"/>
          <w:sz w:val="24"/>
        </w:rPr>
        <w:t>účtovnou závierkou inštitúcie sa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pokynoch zohľadnili odkazy na požiadavky na vykazovanie uvedené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prílohe</w:t>
      </w:r>
      <w:r w:rsidR="00B34A8E">
        <w:rPr>
          <w:rFonts w:ascii="Times New Roman" w:hAnsi="Times New Roman"/>
          <w:sz w:val="24"/>
        </w:rPr>
        <w:t xml:space="preserve"> V k </w:t>
      </w:r>
      <w:r w:rsidRPr="00B34A8E">
        <w:rPr>
          <w:rFonts w:ascii="Times New Roman" w:hAnsi="Times New Roman"/>
          <w:sz w:val="24"/>
        </w:rPr>
        <w:t>vykonávaciemu nariadeniu (EÚ) 2021/451 (FINREP).</w:t>
      </w:r>
    </w:p>
    <w:p w14:paraId="21275E00" w14:textId="77777777" w:rsidR="00D740B8" w:rsidRPr="00B34A8E" w:rsidRDefault="00D740B8" w:rsidP="00D740B8">
      <w:pPr>
        <w:pStyle w:val="ListParagraph"/>
        <w:rPr>
          <w:rFonts w:ascii="Times New Roman" w:hAnsi="Times New Roman"/>
          <w:bCs/>
          <w:sz w:val="24"/>
        </w:rPr>
      </w:pP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7756"/>
      </w:tblGrid>
      <w:tr w:rsidR="00D740B8" w:rsidRPr="00B34A8E" w14:paraId="069EA903" w14:textId="77777777">
        <w:trPr>
          <w:trHeight w:val="300"/>
        </w:trPr>
        <w:tc>
          <w:tcPr>
            <w:tcW w:w="1260" w:type="dxa"/>
            <w:shd w:val="clear" w:color="auto" w:fill="BFBFBF" w:themeFill="background1" w:themeFillShade="BF"/>
          </w:tcPr>
          <w:p w14:paraId="7E4DE4F0" w14:textId="77777777" w:rsidR="00D740B8" w:rsidRPr="00B34A8E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Stĺpec</w:t>
            </w:r>
          </w:p>
        </w:tc>
        <w:tc>
          <w:tcPr>
            <w:tcW w:w="7756" w:type="dxa"/>
            <w:shd w:val="clear" w:color="auto" w:fill="BFBFBF" w:themeFill="background1" w:themeFillShade="BF"/>
          </w:tcPr>
          <w:p w14:paraId="0D54BB35" w14:textId="2E03F02F" w:rsidR="00D740B8" w:rsidRPr="00B34A8E" w:rsidDel="00B46ADB" w:rsidRDefault="00D740B8">
            <w:pPr>
              <w:autoSpaceDE w:val="0"/>
              <w:autoSpaceDN w:val="0"/>
              <w:adjustRightInd w:val="0"/>
              <w:rPr>
                <w:bCs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D740B8" w:rsidRPr="00B34A8E" w14:paraId="7AE7216D" w14:textId="77777777">
        <w:trPr>
          <w:trHeight w:val="300"/>
        </w:trPr>
        <w:tc>
          <w:tcPr>
            <w:tcW w:w="1260" w:type="dxa"/>
          </w:tcPr>
          <w:p w14:paraId="0FC699E1" w14:textId="0D76C831" w:rsidR="00D740B8" w:rsidRPr="00B34A8E" w:rsidRDefault="00D740B8" w:rsidP="00165B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a, b, c</w:t>
            </w:r>
          </w:p>
        </w:tc>
        <w:tc>
          <w:tcPr>
            <w:tcW w:w="7756" w:type="dxa"/>
          </w:tcPr>
          <w:p w14:paraId="30B89D5B" w14:textId="77777777" w:rsidR="00B34A8E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Hodnota</w:t>
            </w:r>
          </w:p>
          <w:p w14:paraId="0A7A2FD7" w14:textId="4E3DB795" w:rsidR="00D740B8" w:rsidRPr="00B34A8E" w:rsidRDefault="00D740B8">
            <w:pPr>
              <w:rPr>
                <w:rFonts w:ascii="Times New Roman" w:hAnsi="Times New Roman"/>
                <w:sz w:val="24"/>
                <w:lang w:eastAsia="de-DE"/>
              </w:rPr>
            </w:pPr>
          </w:p>
          <w:p w14:paraId="0C8A142A" w14:textId="0096FF70" w:rsidR="00D740B8" w:rsidRPr="00B34A8E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446 ods. 1 písm. d)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článok 314 ods. 1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7883915F" w14:textId="77777777" w:rsidR="00D740B8" w:rsidRPr="00B34A8E" w:rsidRDefault="00D740B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lang w:eastAsia="nl-BE"/>
              </w:rPr>
            </w:pPr>
          </w:p>
          <w:p w14:paraId="2770C7AD" w14:textId="16AAC48E" w:rsidR="00B34A8E" w:rsidRDefault="002F3CFA">
            <w:pPr>
              <w:pStyle w:val="paragraph"/>
              <w:spacing w:before="0" w:beforeAutospacing="0" w:after="0" w:afterAutospacing="0"/>
              <w:textAlignment w:val="baseline"/>
            </w:pPr>
            <w:r w:rsidRPr="00B34A8E">
              <w:t>Hodnota zoznamu položiek, ktoré sú súčasťou výpočtu BI</w:t>
            </w:r>
            <w:r w:rsidR="00B34A8E">
              <w:t xml:space="preserve"> a </w:t>
            </w:r>
            <w:r w:rsidRPr="00B34A8E">
              <w:t>jeho zložiek [výpočet ILDC, servisnej zložky (SC)</w:t>
            </w:r>
            <w:r w:rsidR="00B34A8E">
              <w:t xml:space="preserve"> a </w:t>
            </w:r>
            <w:r w:rsidRPr="00B34A8E">
              <w:t>finančnej zložky (FC)]</w:t>
            </w:r>
            <w:r w:rsidR="00B34A8E">
              <w:t xml:space="preserve"> v </w:t>
            </w:r>
            <w:r w:rsidRPr="00B34A8E">
              <w:t>súlade</w:t>
            </w:r>
            <w:r w:rsidR="00B34A8E">
              <w:t xml:space="preserve"> s </w:t>
            </w:r>
            <w:r w:rsidRPr="00B34A8E">
              <w:t>účtovnými štandardmi platnými pre každý</w:t>
            </w:r>
            <w:r w:rsidR="00B34A8E">
              <w:t xml:space="preserve"> z </w:t>
            </w:r>
            <w:r w:rsidRPr="00B34A8E">
              <w:t>posledných troch finančných rokov</w:t>
            </w:r>
            <w:r w:rsidR="00B34A8E">
              <w:t>.</w:t>
            </w:r>
          </w:p>
          <w:p w14:paraId="3414DDFE" w14:textId="059E5D5F" w:rsidR="007B3E62" w:rsidRPr="00B34A8E" w:rsidRDefault="007B3E62">
            <w:pPr>
              <w:pStyle w:val="paragraph"/>
              <w:spacing w:before="0" w:beforeAutospacing="0" w:after="0" w:afterAutospacing="0"/>
              <w:textAlignment w:val="baseline"/>
              <w:rPr>
                <w:lang w:eastAsia="de-DE"/>
              </w:rPr>
            </w:pPr>
          </w:p>
          <w:p w14:paraId="6994A716" w14:textId="2039FEE7" w:rsidR="00B34A8E" w:rsidRDefault="00B76B25">
            <w:pPr>
              <w:pStyle w:val="paragraph"/>
              <w:spacing w:before="0" w:beforeAutospacing="0" w:after="0" w:afterAutospacing="0"/>
              <w:textAlignment w:val="baseline"/>
            </w:pPr>
            <w:r w:rsidRPr="00B34A8E">
              <w:t>Sumy sa vykazujú po uplatnení úprav týkajúcich sa splynutí/zlúčení/nadobudnutí</w:t>
            </w:r>
            <w:r w:rsidR="00B34A8E">
              <w:t xml:space="preserve"> a </w:t>
            </w:r>
            <w:r w:rsidRPr="00B34A8E">
              <w:t>odpredaných činností</w:t>
            </w:r>
            <w:r w:rsidR="00B34A8E">
              <w:t>.</w:t>
            </w:r>
          </w:p>
          <w:p w14:paraId="00BACA37" w14:textId="2CA8FA3C" w:rsidR="00EA10B1" w:rsidRPr="00B34A8E" w:rsidRDefault="00EA10B1">
            <w:pPr>
              <w:pStyle w:val="paragraph"/>
              <w:spacing w:before="0" w:beforeAutospacing="0" w:after="0" w:afterAutospacing="0"/>
              <w:textAlignment w:val="baseline"/>
              <w:rPr>
                <w:lang w:eastAsia="de-DE"/>
              </w:rPr>
            </w:pPr>
          </w:p>
          <w:p w14:paraId="21635601" w14:textId="05561334" w:rsidR="00D740B8" w:rsidRPr="00B34A8E" w:rsidRDefault="00D740B8" w:rsidP="000F6C61">
            <w:pPr>
              <w:pStyle w:val="paragraph"/>
              <w:spacing w:before="0" w:beforeAutospacing="0" w:after="0" w:afterAutospacing="0"/>
              <w:textAlignment w:val="baseline"/>
            </w:pPr>
            <w:r w:rsidRPr="00B34A8E">
              <w:t>V prípade FC budú hodnoty, ktoré sa majú zverejňovať, odzrkadľovať účtovné hodnoty určené pomocou účtovnej hranice alebo prudenciálnej hranice (PBA) na identifikáciu položiek obchodnej knihy</w:t>
            </w:r>
            <w:r w:rsidR="00B34A8E">
              <w:t xml:space="preserve"> a </w:t>
            </w:r>
            <w:r w:rsidRPr="00B34A8E">
              <w:t xml:space="preserve">bankovej knihy </w:t>
            </w:r>
            <w:r w:rsidRPr="00B34A8E">
              <w:rPr>
                <w:rStyle w:val="normaltextrun"/>
              </w:rPr>
              <w:t>za každý</w:t>
            </w:r>
            <w:r w:rsidR="00B34A8E">
              <w:rPr>
                <w:rStyle w:val="normaltextrun"/>
              </w:rPr>
              <w:t xml:space="preserve"> z </w:t>
            </w:r>
            <w:r w:rsidRPr="00B34A8E">
              <w:rPr>
                <w:rStyle w:val="normaltextrun"/>
              </w:rPr>
              <w:t>posledných troch finančných rokov</w:t>
            </w:r>
            <w:r w:rsidR="00B34A8E">
              <w:rPr>
                <w:rStyle w:val="normaltextrun"/>
              </w:rPr>
              <w:t xml:space="preserve"> v </w:t>
            </w:r>
            <w:r w:rsidRPr="00B34A8E">
              <w:rPr>
                <w:rStyle w:val="normaltextrun"/>
              </w:rPr>
              <w:t>súlade</w:t>
            </w:r>
            <w:r w:rsidR="00B34A8E">
              <w:rPr>
                <w:rStyle w:val="normaltextrun"/>
              </w:rPr>
              <w:t xml:space="preserve"> s </w:t>
            </w:r>
            <w:r w:rsidRPr="00B34A8E">
              <w:rPr>
                <w:rStyle w:val="normaltextrun"/>
              </w:rPr>
              <w:t xml:space="preserve">článkom 314 ods. 6 nariadenia (EÚ) </w:t>
            </w:r>
            <w:r w:rsidR="00B34A8E">
              <w:rPr>
                <w:rStyle w:val="normaltextrun"/>
              </w:rPr>
              <w:t>č. </w:t>
            </w:r>
            <w:r w:rsidRPr="00B34A8E">
              <w:rPr>
                <w:rStyle w:val="normaltextrun"/>
              </w:rPr>
              <w:t>575/2013</w:t>
            </w:r>
            <w:r w:rsidRPr="00B34A8E">
              <w:t>.</w:t>
            </w:r>
          </w:p>
        </w:tc>
      </w:tr>
      <w:tr w:rsidR="00D740B8" w:rsidRPr="00B34A8E" w14:paraId="3103AD05" w14:textId="77777777">
        <w:trPr>
          <w:trHeight w:val="300"/>
        </w:trPr>
        <w:tc>
          <w:tcPr>
            <w:tcW w:w="1260" w:type="dxa"/>
          </w:tcPr>
          <w:p w14:paraId="0FFA543A" w14:textId="77777777" w:rsidR="00D740B8" w:rsidRPr="00B34A8E" w:rsidRDefault="00D740B8" w:rsidP="00165B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756" w:type="dxa"/>
          </w:tcPr>
          <w:p w14:paraId="117DF1D7" w14:textId="77777777" w:rsidR="00D740B8" w:rsidRPr="00B34A8E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Priemerné hodnoty</w:t>
            </w:r>
          </w:p>
          <w:p w14:paraId="27B3847F" w14:textId="77777777" w:rsidR="00D740B8" w:rsidRPr="00B34A8E" w:rsidRDefault="00D740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de-DE"/>
              </w:rPr>
            </w:pPr>
          </w:p>
          <w:p w14:paraId="2CEEC93D" w14:textId="678BC56B" w:rsidR="00D740B8" w:rsidRPr="00B34A8E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Článok 314 ods. 2, 5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6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5FAAFF7A" w14:textId="77777777" w:rsidR="00D740B8" w:rsidRPr="00B34A8E" w:rsidRDefault="00D740B8">
            <w:pPr>
              <w:autoSpaceDE w:val="0"/>
              <w:autoSpaceDN w:val="0"/>
              <w:adjustRightInd w:val="0"/>
              <w:rPr>
                <w:rStyle w:val="InstructionsTabelleberschrift"/>
                <w:rFonts w:ascii="Times New Roman" w:hAnsi="Times New Roman"/>
                <w:sz w:val="24"/>
              </w:rPr>
            </w:pPr>
          </w:p>
          <w:p w14:paraId="170E0493" w14:textId="54E03366" w:rsidR="00B34A8E" w:rsidRDefault="00D740B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B34A8E">
              <w:rPr>
                <w:rStyle w:val="normaltextrun"/>
              </w:rPr>
              <w:t>Vypočítané hodnoty zložiek ILDC, SC</w:t>
            </w:r>
            <w:r w:rsidR="00B34A8E">
              <w:rPr>
                <w:rStyle w:val="normaltextrun"/>
              </w:rPr>
              <w:t xml:space="preserve"> a </w:t>
            </w:r>
            <w:r w:rsidRPr="00B34A8E">
              <w:rPr>
                <w:rStyle w:val="normaltextrun"/>
              </w:rPr>
              <w:t>FC</w:t>
            </w:r>
            <w:r w:rsidR="00B34A8E">
              <w:rPr>
                <w:rStyle w:val="normaltextrun"/>
              </w:rPr>
              <w:t xml:space="preserve"> a </w:t>
            </w:r>
            <w:r w:rsidRPr="00B34A8E">
              <w:rPr>
                <w:rStyle w:val="normaltextrun"/>
              </w:rPr>
              <w:t>priemerná hodnota ich súvisiacich podzložiek vypočítané za posledné tri finančné roky</w:t>
            </w:r>
            <w:r w:rsidR="00B34A8E">
              <w:rPr>
                <w:rStyle w:val="normaltextrun"/>
              </w:rPr>
              <w:t xml:space="preserve"> a </w:t>
            </w:r>
            <w:r w:rsidRPr="00B34A8E">
              <w:rPr>
                <w:rStyle w:val="normaltextrun"/>
              </w:rPr>
              <w:t>vzťahujúce sa na rok T</w:t>
            </w:r>
            <w:r w:rsidR="00B34A8E">
              <w:rPr>
                <w:rStyle w:val="normaltextrun"/>
              </w:rPr>
              <w:t>.</w:t>
            </w:r>
          </w:p>
          <w:p w14:paraId="32637704" w14:textId="06DAE84A" w:rsidR="00D740B8" w:rsidRPr="00B34A8E" w:rsidRDefault="00D740B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  <w:p w14:paraId="6C270BFC" w14:textId="66992842" w:rsidR="00D740B8" w:rsidRPr="00B34A8E" w:rsidRDefault="00D740B8" w:rsidP="008006BD">
            <w:pPr>
              <w:pStyle w:val="paragraph"/>
              <w:spacing w:before="0" w:beforeAutospacing="0" w:after="0" w:afterAutospacing="0"/>
              <w:textAlignment w:val="baseline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34A8E">
              <w:rPr>
                <w:rStyle w:val="normaltextrun"/>
              </w:rPr>
              <w:t>Priemer sa vypočítava na základe účtovných hodnôt za každý</w:t>
            </w:r>
            <w:r w:rsidR="00B34A8E">
              <w:rPr>
                <w:rStyle w:val="normaltextrun"/>
              </w:rPr>
              <w:t xml:space="preserve"> z </w:t>
            </w:r>
            <w:r w:rsidRPr="00B34A8E">
              <w:rPr>
                <w:rStyle w:val="normaltextrun"/>
              </w:rPr>
              <w:t xml:space="preserve">posledných troch rokov. </w:t>
            </w:r>
          </w:p>
        </w:tc>
      </w:tr>
    </w:tbl>
    <w:p w14:paraId="75117700" w14:textId="77777777" w:rsidR="00D740B8" w:rsidRPr="00B34A8E" w:rsidRDefault="00D740B8" w:rsidP="00D740B8">
      <w:pPr>
        <w:pStyle w:val="numberedparagraph"/>
        <w:numPr>
          <w:ilvl w:val="0"/>
          <w:numId w:val="0"/>
        </w:numPr>
        <w:ind w:left="284" w:hanging="284"/>
        <w:rPr>
          <w:rStyle w:val="InstructionsTabelleberschrif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B34A8E" w14:paraId="60D9E4A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F2134" w14:textId="77777777" w:rsidR="00D740B8" w:rsidRPr="00B34A8E" w:rsidRDefault="00D740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Riadok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799870" w14:textId="56D516DD" w:rsidR="00D740B8" w:rsidRPr="00B34A8E" w:rsidRDefault="00D740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D740B8" w:rsidRPr="00B34A8E" w14:paraId="1AE63B2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54D68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6328B" w14:textId="77777777" w:rsidR="00B34A8E" w:rsidRDefault="00D740B8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Zložka úrokov, lízingov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dividend (ILDC)</w:t>
            </w:r>
          </w:p>
          <w:p w14:paraId="78381763" w14:textId="3A8F7310" w:rsidR="00D740B8" w:rsidRPr="00B34A8E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Zložka úrokov, lízingov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dividend (ILDC) sa vypočítava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2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575/2013,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relevantných prípadoch vrátane hodnôt vypočítaných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3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 Ak sa na inštitúciu vzťahuje výnimka uvedená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 xml:space="preserve">článku 314 ods. 4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575/2013, inštitúcia nezahŕňa žiadne údaje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obchodných línií retailového bankovníctva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komerčného bankovníctva.</w:t>
            </w:r>
          </w:p>
        </w:tc>
      </w:tr>
      <w:tr w:rsidR="00456F97" w:rsidRPr="00B34A8E" w14:paraId="2142E785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0228B" w14:textId="2F42AD3B" w:rsidR="00456F97" w:rsidRPr="00B34A8E" w:rsidRDefault="00E03FA1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lastRenderedPageBreak/>
              <w:t>EU 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D9357" w14:textId="3B1AF185" w:rsidR="00456F97" w:rsidRPr="00B34A8E" w:rsidRDefault="00E2624F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ILDC vo vzťahu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k </w:t>
            </w:r>
            <w:r w:rsidRPr="00B34A8E">
              <w:rPr>
                <w:rFonts w:ascii="Times New Roman" w:hAnsi="Times New Roman"/>
                <w:b/>
                <w:sz w:val="24"/>
              </w:rPr>
              <w:t>jednotlivej inštitúcii/konsolidovanej skupine (okrem subjektov uvedených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b/>
                <w:sz w:val="24"/>
              </w:rPr>
              <w:t>článku 314 ods. 3)</w:t>
            </w:r>
          </w:p>
          <w:p w14:paraId="3B4A0231" w14:textId="3FF53404" w:rsidR="00E2624F" w:rsidRPr="00B34A8E" w:rsidRDefault="00E2624F" w:rsidP="00413B9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Zložka úrokov, lízingov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dividend (ILDC) vypočítaná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2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 bez zahrnutia akýchkoľvek číselných údajov, ktoré sú súčasťou výpočtu ILDC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tých prípadoch, keď inštitúcia uplatňuje výnimku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3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D740B8" w:rsidRPr="00B34A8E" w14:paraId="687AA3E1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75F19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7EA18" w14:textId="490537B8" w:rsidR="00D740B8" w:rsidRPr="00B34A8E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Príjmy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b/>
                <w:sz w:val="24"/>
              </w:rPr>
              <w:t>úrokov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lízingov</w:t>
            </w:r>
          </w:p>
          <w:p w14:paraId="742C7468" w14:textId="75E30D5A" w:rsidR="00D740B8" w:rsidRPr="00B34A8E" w:rsidRDefault="00D740B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Súčet príjmov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úrokov zo všetkých finančných aktív, iných výnosov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lízingových aktív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ziskov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lízingových aktív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prílohou</w:t>
            </w:r>
            <w:r w:rsidR="00B34A8E">
              <w:rPr>
                <w:rFonts w:ascii="Times New Roman" w:hAnsi="Times New Roman"/>
                <w:sz w:val="24"/>
              </w:rPr>
              <w:t xml:space="preserve"> V k </w:t>
            </w:r>
            <w:r w:rsidRPr="00B34A8E">
              <w:rPr>
                <w:rFonts w:ascii="Times New Roman" w:hAnsi="Times New Roman"/>
                <w:sz w:val="24"/>
              </w:rPr>
              <w:t>vykonávaciemu nariadeniu (EÚ) 2021/451,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relevantných prípadoch vrátane súm vypočítaných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3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D740B8" w:rsidRPr="00B34A8E" w14:paraId="07825B95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DD05F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F99FE" w14:textId="2674AEB9" w:rsidR="00D740B8" w:rsidRPr="00B34A8E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Výdavky na úroky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lízingy</w:t>
            </w:r>
          </w:p>
          <w:p w14:paraId="0FA351B6" w14:textId="41C1B095" w:rsidR="00D740B8" w:rsidRPr="00B34A8E" w:rsidRDefault="00D740B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Súčet úrokových nákladov zo všetkých finančných aktív, iných výdavkov, výdavkov na lízingové aktíva, strát, odpisov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znížení hodnoty lízingových aktív, ako sa uvádza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prílohe</w:t>
            </w:r>
            <w:r w:rsidR="00B34A8E">
              <w:rPr>
                <w:rFonts w:ascii="Times New Roman" w:hAnsi="Times New Roman"/>
                <w:sz w:val="24"/>
              </w:rPr>
              <w:t xml:space="preserve"> V k </w:t>
            </w:r>
            <w:r w:rsidRPr="00B34A8E">
              <w:rPr>
                <w:rFonts w:ascii="Times New Roman" w:hAnsi="Times New Roman"/>
                <w:sz w:val="24"/>
              </w:rPr>
              <w:t>vykonávaciemu nariadeniu Komisie (EÚ) 2021/451,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relevantných prípadoch vrátane súm vypočítaných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3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 xml:space="preserve">575/2013.  </w:t>
            </w:r>
          </w:p>
        </w:tc>
      </w:tr>
      <w:tr w:rsidR="00D740B8" w:rsidRPr="00B34A8E" w14:paraId="49B58D8D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019E7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FA2FA" w14:textId="77777777" w:rsidR="00B34A8E" w:rsidRDefault="00B76736">
            <w:pPr>
              <w:spacing w:before="60" w:after="120"/>
              <w:jc w:val="both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Celkové aktíva/zložka aktív</w:t>
            </w:r>
          </w:p>
          <w:p w14:paraId="0F76C73B" w14:textId="1F79A6F7" w:rsidR="00B34A8E" w:rsidRDefault="00B7673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 stĺpci d) zložka aktív vypočítaná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2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</w:t>
            </w:r>
            <w:r w:rsidR="00B34A8E">
              <w:rPr>
                <w:rFonts w:ascii="Times New Roman" w:hAnsi="Times New Roman"/>
                <w:sz w:val="24"/>
              </w:rPr>
              <w:t>.</w:t>
            </w:r>
          </w:p>
          <w:p w14:paraId="5A6CB086" w14:textId="420E3DFF" w:rsidR="00B34A8E" w:rsidRDefault="003E3201" w:rsidP="00373F9D">
            <w:pPr>
              <w:rPr>
                <w:rFonts w:ascii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 ostatných stĺpcoch celkové aktíva zodpovedajú súčtu hrubej účtovnej hodnoty pokladničných zostatkov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centrálnych bankách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ostatných vkladov splatných na požiadanie, dlhových cenných papierov, úverov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preddavkov, ako aj účtovnej hodnoty derivátov (hedžingy na obchodovanie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ekonomické hedžingy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účtovanie zabezpečenia)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aktív podliehajúcich lízingom (hmotný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nehmotný majetok). Tieto položky odkazujú na prílohu</w:t>
            </w:r>
            <w:r w:rsidR="00B34A8E">
              <w:rPr>
                <w:rFonts w:ascii="Times New Roman" w:hAnsi="Times New Roman"/>
                <w:sz w:val="24"/>
              </w:rPr>
              <w:t xml:space="preserve"> V k </w:t>
            </w:r>
            <w:r w:rsidRPr="00B34A8E">
              <w:rPr>
                <w:rFonts w:ascii="Times New Roman" w:hAnsi="Times New Roman"/>
                <w:sz w:val="24"/>
              </w:rPr>
              <w:t>vykonávaciemu nariadeniu Komisie (EÚ) 2021/451,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relevantných prípadoch vrátane súm vypočítaných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3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  <w:p w14:paraId="2655EEC4" w14:textId="0F0C001A" w:rsidR="00BC1F18" w:rsidRPr="00B34A8E" w:rsidRDefault="00BC1F18" w:rsidP="00BC1F18">
            <w:pPr>
              <w:rPr>
                <w:rFonts w:ascii="Times New Roman" w:hAnsi="Times New Roman"/>
                <w:sz w:val="24"/>
              </w:rPr>
            </w:pPr>
          </w:p>
        </w:tc>
      </w:tr>
      <w:tr w:rsidR="00D740B8" w:rsidRPr="00B34A8E" w14:paraId="431D95BD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4247A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1d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83663" w14:textId="2CD3FECF" w:rsidR="00D740B8" w:rsidRPr="00B34A8E" w:rsidRDefault="00B76736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Príjmy</w:t>
            </w:r>
            <w:r w:rsid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z </w:t>
            </w: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dividend/zložka dividend</w:t>
            </w:r>
          </w:p>
          <w:p w14:paraId="721983E9" w14:textId="755F6230" w:rsidR="00B34A8E" w:rsidRDefault="00B76736" w:rsidP="004E3E8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 stĺpci d) zložka dividend vypočítaná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2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</w:t>
            </w:r>
            <w:r w:rsidR="00B34A8E">
              <w:rPr>
                <w:rFonts w:ascii="Times New Roman" w:hAnsi="Times New Roman"/>
                <w:sz w:val="24"/>
              </w:rPr>
              <w:t>.</w:t>
            </w:r>
          </w:p>
          <w:p w14:paraId="3F4B342E" w14:textId="1E47AF0F" w:rsidR="004E3E86" w:rsidRPr="00B34A8E" w:rsidRDefault="004E3E86" w:rsidP="004E3E86">
            <w:pPr>
              <w:rPr>
                <w:rFonts w:ascii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Inštitúcie vykazujú príjmy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dividend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prílohou</w:t>
            </w:r>
            <w:r w:rsidR="00B34A8E">
              <w:rPr>
                <w:rFonts w:ascii="Times New Roman" w:hAnsi="Times New Roman"/>
                <w:sz w:val="24"/>
              </w:rPr>
              <w:t xml:space="preserve"> V k </w:t>
            </w:r>
            <w:r w:rsidRPr="00B34A8E">
              <w:rPr>
                <w:rFonts w:ascii="Times New Roman" w:hAnsi="Times New Roman"/>
                <w:sz w:val="24"/>
              </w:rPr>
              <w:t>vykonávaciemu nariadeniu Komisie (EÚ) 2021/451,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relevantných prípadoch vrátane súm vypočítaných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3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 xml:space="preserve">575/2013.  </w:t>
            </w:r>
          </w:p>
        </w:tc>
      </w:tr>
      <w:tr w:rsidR="003826D3" w:rsidRPr="00B34A8E" w14:paraId="3A9CE2B7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64302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725BA" w14:textId="77777777" w:rsidR="00B34A8E" w:rsidRDefault="003826D3" w:rsidP="003826D3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Zložka služieb (SC)</w:t>
            </w:r>
          </w:p>
          <w:p w14:paraId="2EFCFDAF" w14:textId="68B269CC" w:rsidR="003826D3" w:rsidRPr="00B34A8E" w:rsidRDefault="005E7C4C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Zložka služieb (SC) vypočítaná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 5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 Ak sa na inštitúciu vzťahuje výnimka uvedená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 xml:space="preserve">článku 314 ods. 4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575/2013, inštitúcia nezahŕňa žiadne údaje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obchodných línií retailového bankovníctva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komerčného bankovníctva. </w:t>
            </w:r>
          </w:p>
        </w:tc>
      </w:tr>
      <w:tr w:rsidR="003826D3" w:rsidRPr="00B34A8E" w14:paraId="74CC77A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24C8A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2a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F1D9A" w14:textId="6DF1A352" w:rsidR="003826D3" w:rsidRPr="00B34A8E" w:rsidRDefault="003826D3" w:rsidP="003826D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Príjem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b/>
                <w:sz w:val="24"/>
              </w:rPr>
              <w:t>poplatkov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provízií</w:t>
            </w:r>
          </w:p>
          <w:p w14:paraId="388F841F" w14:textId="3451F3C7" w:rsidR="003826D3" w:rsidRPr="00B34A8E" w:rsidRDefault="009816D6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lastRenderedPageBreak/>
              <w:t>Príjem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poplatkov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provízií uvedený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prílohe</w:t>
            </w:r>
            <w:r w:rsidR="00B34A8E">
              <w:rPr>
                <w:rFonts w:ascii="Times New Roman" w:hAnsi="Times New Roman"/>
                <w:sz w:val="24"/>
              </w:rPr>
              <w:t xml:space="preserve"> V k </w:t>
            </w:r>
            <w:r w:rsidRPr="00B34A8E">
              <w:rPr>
                <w:rFonts w:ascii="Times New Roman" w:hAnsi="Times New Roman"/>
                <w:sz w:val="24"/>
              </w:rPr>
              <w:t>vykonávaciemu nariadeniu Komisie (EÚ) 2021/451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vypočítaný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5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3826D3" w:rsidRPr="00B34A8E" w14:paraId="2067785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7D63A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lastRenderedPageBreak/>
              <w:t>2b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259B2" w14:textId="1309B9D4" w:rsidR="003826D3" w:rsidRPr="00B34A8E" w:rsidRDefault="003826D3" w:rsidP="003826D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Výdavky na poplatky</w:t>
            </w:r>
            <w:r w:rsidR="00B34A8E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b/>
                <w:sz w:val="24"/>
              </w:rPr>
              <w:t>provízie</w:t>
            </w:r>
          </w:p>
          <w:p w14:paraId="37B7C759" w14:textId="2E890BAA" w:rsidR="003826D3" w:rsidRPr="00B34A8E" w:rsidRDefault="009816D6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Výdavky na poplatky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provízie uvedené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prílohe</w:t>
            </w:r>
            <w:r w:rsidR="00B34A8E">
              <w:rPr>
                <w:rFonts w:ascii="Times New Roman" w:hAnsi="Times New Roman"/>
                <w:sz w:val="24"/>
              </w:rPr>
              <w:t xml:space="preserve"> V k </w:t>
            </w:r>
            <w:r w:rsidRPr="00B34A8E">
              <w:rPr>
                <w:rFonts w:ascii="Times New Roman" w:hAnsi="Times New Roman"/>
                <w:sz w:val="24"/>
              </w:rPr>
              <w:t>vykonávaciemu nariadeniu Komisie (EÚ) 2021/451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vypočítané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5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3826D3" w:rsidRPr="00B34A8E" w14:paraId="56FE9999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FDD92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2c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40694" w14:textId="77777777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Ostatné prevádzkové výnosy</w:t>
            </w:r>
          </w:p>
          <w:p w14:paraId="3DFF76F6" w14:textId="463AAF79" w:rsidR="00B34A8E" w:rsidRDefault="009816D6" w:rsidP="003826D3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Ostatné prevádzkové výnosy vrátane: ziskov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dlhodobých aktív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skupín na vyradenie klasifikovaných ako držané na predaj, ktoré sa nekvalifikujú ako ukončené činnosti (v prípade strát sa hodnoty považujú za nulové)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ostatné prevádzkové výnosy uvedené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prílohe</w:t>
            </w:r>
            <w:r w:rsidR="00B34A8E">
              <w:rPr>
                <w:rFonts w:ascii="Times New Roman" w:hAnsi="Times New Roman"/>
                <w:sz w:val="24"/>
              </w:rPr>
              <w:t xml:space="preserve"> V k </w:t>
            </w:r>
            <w:r w:rsidRPr="00B34A8E">
              <w:rPr>
                <w:rFonts w:ascii="Times New Roman" w:hAnsi="Times New Roman"/>
                <w:sz w:val="24"/>
              </w:rPr>
              <w:t>vykonávaciemu nariadeniu Komisie (EÚ) 2021/451, ale bez príjmu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operatívnych lízingov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akejkoľvek položky určenej podľa článku 314 ods. 7 nariadenia (EÚ) 2021/451</w:t>
            </w:r>
            <w:r w:rsidR="00B34A8E">
              <w:rPr>
                <w:rFonts w:ascii="Times New Roman" w:hAnsi="Times New Roman"/>
                <w:sz w:val="24"/>
              </w:rPr>
              <w:t>.</w:t>
            </w:r>
          </w:p>
          <w:p w14:paraId="685D1BC1" w14:textId="14C7017F" w:rsidR="003826D3" w:rsidRPr="00B34A8E" w:rsidRDefault="00DE3384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Fonts w:ascii="Times New Roman" w:hAnsi="Times New Roman"/>
                <w:sz w:val="24"/>
              </w:rPr>
              <w:t>Suma tohto riadku sa vypočítava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5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3826D3" w:rsidRPr="00B34A8E" w14:paraId="278E4D2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75E4C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2d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949AD" w14:textId="77777777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Ostatné prevádzkové náklady</w:t>
            </w:r>
          </w:p>
          <w:p w14:paraId="2D259944" w14:textId="28C59BE0" w:rsidR="00B34A8E" w:rsidRDefault="009816D6" w:rsidP="003826D3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Ostatné prevádzkové náklady vrátane: strát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dlhodobých aktív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skupín na vyradenie klasifikovaných ako držané na predaj, ktoré sa nekvalifikujú ako ukončené činnosti (v prípade ziskov sa hodnota považuje za nulovú); všetkých strát, nákladov, rezerv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iných finančných vplyvov súvisiacich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udalosťami operačného rizika</w:t>
            </w:r>
            <w:r w:rsidR="00B34A8E"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inými prevádzkovými nákladmi, ako sa uvádza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prílohe</w:t>
            </w:r>
            <w:r w:rsidR="00B34A8E">
              <w:rPr>
                <w:rFonts w:ascii="Times New Roman" w:hAnsi="Times New Roman"/>
                <w:sz w:val="24"/>
              </w:rPr>
              <w:t xml:space="preserve"> V k </w:t>
            </w:r>
            <w:r w:rsidRPr="00B34A8E">
              <w:rPr>
                <w:rFonts w:ascii="Times New Roman" w:hAnsi="Times New Roman"/>
                <w:sz w:val="24"/>
              </w:rPr>
              <w:t>vykonávaciemu nariadeniu Komisie (EÚ) 2021/451, okrem položiek, ktoré sú už zverejnené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iných častiach tohto vzoru, najmä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vylúčením akýchkoľvek nákladov na operatívne lízingy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bez položiek určených podľa článku 314 ods. 7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</w:t>
            </w:r>
            <w:r w:rsidR="00B34A8E">
              <w:rPr>
                <w:rFonts w:ascii="Times New Roman" w:hAnsi="Times New Roman"/>
                <w:sz w:val="24"/>
              </w:rPr>
              <w:t>.</w:t>
            </w:r>
          </w:p>
          <w:p w14:paraId="6F1C30F0" w14:textId="63837709" w:rsidR="003826D3" w:rsidRPr="00B34A8E" w:rsidRDefault="00DE3384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Suma tohto riadku sa vypočítava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314 ods. 5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3826D3" w:rsidRPr="00B34A8E" w14:paraId="7FA7A9F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87AB3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7EDDC" w14:textId="77777777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Finančná zložka (FC)</w:t>
            </w:r>
          </w:p>
          <w:p w14:paraId="1C2CD9AE" w14:textId="27F56DE9" w:rsidR="003826D3" w:rsidRPr="00B34A8E" w:rsidRDefault="00DE3384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Finančná zložka (FC) vypočítaná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súlade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článkom 314 ods. 6 nariadenia (EÚ) 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č.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575/2013. </w:t>
            </w:r>
            <w:r w:rsidRPr="00B34A8E">
              <w:rPr>
                <w:rFonts w:ascii="Times New Roman" w:hAnsi="Times New Roman"/>
                <w:sz w:val="24"/>
              </w:rPr>
              <w:t>Ak sa na inštitúciu vzťahuje výnimka uvedená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 xml:space="preserve">článku 314 ods. 4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575/2013, inštitúcia nezahŕňa žiadne údaje</w:t>
            </w:r>
            <w:r w:rsidR="00B34A8E">
              <w:rPr>
                <w:rFonts w:ascii="Times New Roman" w:hAnsi="Times New Roman"/>
                <w:sz w:val="24"/>
              </w:rPr>
              <w:t xml:space="preserve"> z </w:t>
            </w:r>
            <w:r w:rsidRPr="00B34A8E">
              <w:rPr>
                <w:rFonts w:ascii="Times New Roman" w:hAnsi="Times New Roman"/>
                <w:sz w:val="24"/>
              </w:rPr>
              <w:t>obchodných línií retailového bankovníctva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komerčného bankovníctva.</w:t>
            </w:r>
          </w:p>
        </w:tc>
      </w:tr>
      <w:tr w:rsidR="003826D3" w:rsidRPr="00B34A8E" w14:paraId="2B149247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87E8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3a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7BB41" w14:textId="6F0E6551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Čistý zisk alebo strata uplatniteľné na obchodnú knihu (TB)</w:t>
            </w:r>
          </w:p>
          <w:p w14:paraId="4E177CA3" w14:textId="0D25C083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Čistý zisk alebo strata uplatniteľné na obchodnú knihu vypočítané na základe položiek zahrnutých vo vzore F 02.00 „Výkaz ziskov alebo strát“ prílohy IV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vykonávaciemu nariadeniu Komisie (EÚ) 2021/451.</w:t>
            </w:r>
          </w:p>
          <w:p w14:paraId="761552C0" w14:textId="72C95D3D" w:rsidR="001E5563" w:rsidRPr="00B34A8E" w:rsidRDefault="001E5563" w:rsidP="00C65626">
            <w:pPr>
              <w:pStyle w:val="paragraph"/>
              <w:textAlignment w:val="baseline"/>
              <w:rPr>
                <w:rStyle w:val="InstructionsTabelleberschrift"/>
                <w:rFonts w:ascii="Segoe UI" w:hAnsi="Segoe UI" w:cs="Segoe UI"/>
              </w:rPr>
            </w:pPr>
            <w:r w:rsidRPr="00B34A8E">
              <w:t>Hodnoty, ktoré sa majú zverejňovať, odzrkadľujú účtovné hodnoty určené pomocou účtovnej hranice alebo prudenciálnej hranice (PBA) na identifikáciu položiek obchodnej knihy</w:t>
            </w:r>
            <w:r w:rsidR="00B34A8E">
              <w:t xml:space="preserve"> a </w:t>
            </w:r>
            <w:r w:rsidRPr="00B34A8E">
              <w:t xml:space="preserve">bankovej knihy </w:t>
            </w:r>
            <w:r w:rsidRPr="00B34A8E">
              <w:rPr>
                <w:rStyle w:val="normaltextrun"/>
              </w:rPr>
              <w:t>za každý</w:t>
            </w:r>
            <w:r w:rsidR="00B34A8E">
              <w:rPr>
                <w:rStyle w:val="normaltextrun"/>
              </w:rPr>
              <w:t xml:space="preserve"> z </w:t>
            </w:r>
            <w:r w:rsidRPr="00B34A8E">
              <w:rPr>
                <w:rStyle w:val="normaltextrun"/>
              </w:rPr>
              <w:t>posledných troch finančných rokov</w:t>
            </w:r>
            <w:r w:rsidR="00B34A8E">
              <w:rPr>
                <w:rStyle w:val="normaltextrun"/>
              </w:rPr>
              <w:t xml:space="preserve"> v </w:t>
            </w:r>
            <w:r w:rsidRPr="00B34A8E">
              <w:rPr>
                <w:rStyle w:val="normaltextrun"/>
              </w:rPr>
              <w:t>súlade</w:t>
            </w:r>
            <w:r w:rsidR="00B34A8E">
              <w:rPr>
                <w:rStyle w:val="normaltextrun"/>
              </w:rPr>
              <w:t xml:space="preserve"> s </w:t>
            </w:r>
            <w:r w:rsidRPr="00B34A8E">
              <w:rPr>
                <w:rStyle w:val="normaltextrun"/>
              </w:rPr>
              <w:t xml:space="preserve">článkom 314 ods. 6 nariadenia (EÚ) </w:t>
            </w:r>
            <w:r w:rsidR="00B34A8E">
              <w:rPr>
                <w:rStyle w:val="normaltextrun"/>
              </w:rPr>
              <w:t>č. </w:t>
            </w:r>
            <w:r w:rsidRPr="00B34A8E">
              <w:rPr>
                <w:rStyle w:val="normaltextrun"/>
              </w:rPr>
              <w:t>575/2013</w:t>
            </w:r>
            <w:r w:rsidRPr="00B34A8E">
              <w:t>.</w:t>
            </w:r>
            <w:r w:rsidRPr="00B34A8E">
              <w:rPr>
                <w:rStyle w:val="normaltextrun"/>
              </w:rPr>
              <w:t xml:space="preserve"> </w:t>
            </w:r>
            <w:r w:rsidRPr="00B34A8E">
              <w:t xml:space="preserve"> </w:t>
            </w:r>
          </w:p>
        </w:tc>
      </w:tr>
      <w:tr w:rsidR="003826D3" w:rsidRPr="00B34A8E" w14:paraId="769832B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C7174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3b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949CD" w14:textId="505506A8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Čistý zisk alebo strata uplatniteľné na bankovú knihu (BB)</w:t>
            </w:r>
          </w:p>
          <w:p w14:paraId="16F13570" w14:textId="32E44974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Čistý zisk alebo strata uplatniteľné na bankovú knihu vypočítané na základe položiek zahrnutých vo vzore F 02.00 „Výkaz ziskov alebo strát“ prílohy IV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vykonávaciemu nariadeniu Komisie (EÚ) 2021/451.</w:t>
            </w:r>
          </w:p>
          <w:p w14:paraId="3E9BB5BF" w14:textId="671BA7B9" w:rsidR="003826D3" w:rsidRPr="00B34A8E" w:rsidRDefault="001E5563" w:rsidP="003826D3">
            <w:pPr>
              <w:pStyle w:val="paragraph"/>
              <w:textAlignment w:val="baseline"/>
              <w:rPr>
                <w:rStyle w:val="InstructionsTabelleberschrift"/>
                <w:rFonts w:ascii="Segoe UI" w:hAnsi="Segoe UI" w:cs="Segoe UI"/>
              </w:rPr>
            </w:pPr>
            <w:r w:rsidRPr="00B34A8E">
              <w:t>Hodnoty, ktoré sa majú zverejňovať, odzrkadľujú účtovné hodnoty určené pomocou účtovnej hranice alebo prudenciálnej hranice (PBA) na identifikáciu položiek obchodnej knihy</w:t>
            </w:r>
            <w:r w:rsidR="00B34A8E">
              <w:t xml:space="preserve"> a </w:t>
            </w:r>
            <w:r w:rsidRPr="00B34A8E">
              <w:t xml:space="preserve">bankovej knihy </w:t>
            </w:r>
            <w:r w:rsidRPr="00B34A8E">
              <w:rPr>
                <w:rStyle w:val="normaltextrun"/>
              </w:rPr>
              <w:t>za každý</w:t>
            </w:r>
            <w:r w:rsidR="00B34A8E">
              <w:rPr>
                <w:rStyle w:val="normaltextrun"/>
              </w:rPr>
              <w:t xml:space="preserve"> z </w:t>
            </w:r>
            <w:r w:rsidRPr="00B34A8E">
              <w:rPr>
                <w:rStyle w:val="normaltextrun"/>
              </w:rPr>
              <w:t>posledných troch finančných rokov</w:t>
            </w:r>
            <w:r w:rsidR="00B34A8E">
              <w:rPr>
                <w:rStyle w:val="normaltextrun"/>
              </w:rPr>
              <w:t xml:space="preserve"> v </w:t>
            </w:r>
            <w:r w:rsidRPr="00B34A8E">
              <w:rPr>
                <w:rStyle w:val="normaltextrun"/>
              </w:rPr>
              <w:t>súlade</w:t>
            </w:r>
            <w:r w:rsidR="00B34A8E">
              <w:rPr>
                <w:rStyle w:val="normaltextrun"/>
              </w:rPr>
              <w:t xml:space="preserve"> s </w:t>
            </w:r>
            <w:r w:rsidRPr="00B34A8E">
              <w:rPr>
                <w:rStyle w:val="normaltextrun"/>
              </w:rPr>
              <w:t xml:space="preserve">článkom 314 ods. 6 nariadenia (EÚ) </w:t>
            </w:r>
            <w:r w:rsidR="00B34A8E">
              <w:rPr>
                <w:rStyle w:val="normaltextrun"/>
              </w:rPr>
              <w:t>č. </w:t>
            </w:r>
            <w:r w:rsidRPr="00B34A8E">
              <w:rPr>
                <w:rStyle w:val="normaltextrun"/>
              </w:rPr>
              <w:t>575/2013</w:t>
            </w:r>
            <w:r w:rsidRPr="00B34A8E">
              <w:t>.</w:t>
            </w:r>
          </w:p>
        </w:tc>
      </w:tr>
      <w:tr w:rsidR="003826D3" w:rsidRPr="00B34A8E" w14:paraId="4C01E0EE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F21AD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lastRenderedPageBreak/>
              <w:t>EU 3c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BB97F" w14:textId="198C3BBA" w:rsidR="003826D3" w:rsidRPr="00B34A8E" w:rsidRDefault="008C3E6A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Prístup použitý na určenie hranice TB/BB (PBA alebo účtovný prístup)</w:t>
            </w:r>
          </w:p>
          <w:p w14:paraId="00A81A34" w14:textId="549DDB8D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Prístup použitý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referenčnému dátumu na určenie FC: účtovná alebo prudenciálna klasifikácia (PBA). Tento prístup sa používa konzistentne pre sumy zverejnené za každý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posledných troch finančných rokov.</w:t>
            </w:r>
          </w:p>
        </w:tc>
      </w:tr>
      <w:tr w:rsidR="003826D3" w:rsidRPr="00B34A8E" w14:paraId="130758B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EF276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882AA" w14:textId="77777777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Ukazovateľ obchodovania (BI)</w:t>
            </w:r>
          </w:p>
          <w:p w14:paraId="35C99FE1" w14:textId="7759FB9F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Ukazovateľ obchodovania (BI) vypočítaný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súlade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článkom 314 ods. 1</w:t>
            </w:r>
            <w:r w:rsidRPr="00B34A8E">
              <w:rPr>
                <w:rFonts w:ascii="Times New Roman" w:hAnsi="Times New Roman"/>
                <w:sz w:val="24"/>
              </w:rPr>
              <w:t xml:space="preserve">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 xml:space="preserve">575/2013, 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ktorý je súčtom troch zložiek: ILDC, SC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FC.</w:t>
            </w:r>
          </w:p>
        </w:tc>
      </w:tr>
      <w:tr w:rsidR="003826D3" w:rsidRPr="00B34A8E" w14:paraId="45662CD2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29C54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3F910" w14:textId="77777777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Zložka ukazovateľa obchodovania (BIC)</w:t>
            </w:r>
          </w:p>
          <w:p w14:paraId="4AC6BDA5" w14:textId="57E22F2A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Zložka ukazovateľa obchodovania (BIC) vypočítaná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313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3826D3" w:rsidRPr="00B34A8E" w14:paraId="246D3463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251DF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6a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BD331" w14:textId="77777777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BI bez odpočítania vylúčených odpredaných činností</w:t>
            </w:r>
          </w:p>
          <w:p w14:paraId="4B01F051" w14:textId="56F806D0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Výška BI vrátane vylúčených odpredaných činností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súlade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článkom 315 ods. 2 nariadenia (EÚ) 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č.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575/2013</w:t>
            </w:r>
            <w:r w:rsidRPr="00B34A8E">
              <w:rPr>
                <w:rFonts w:ascii="Times New Roman" w:hAnsi="Times New Roman"/>
                <w:b/>
                <w:color w:val="000000" w:themeColor="text1"/>
                <w:sz w:val="24"/>
              </w:rPr>
              <w:t>.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</w:tc>
      </w:tr>
      <w:tr w:rsidR="003826D3" w:rsidRPr="00B34A8E" w14:paraId="6ADC8B4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F6F18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6b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596E1" w14:textId="62B3A543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Zníženie BI</w:t>
            </w:r>
            <w:r w:rsid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v </w:t>
            </w: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dôsledku vylúčených odpredaných činností</w:t>
            </w:r>
          </w:p>
          <w:p w14:paraId="100A0132" w14:textId="1FF533B7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Rozdiel medzi BI bez odpočítania odpredaných činností (riadok 6a)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celkovou hodnotou BI (riadok 4). </w:t>
            </w:r>
          </w:p>
        </w:tc>
      </w:tr>
      <w:tr w:rsidR="003826D3" w:rsidRPr="00B34A8E" w14:paraId="66494CD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7A112" w14:textId="77777777" w:rsidR="003826D3" w:rsidRPr="00B34A8E" w:rsidRDefault="003826D3" w:rsidP="003826D3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EU 6c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B02A2" w14:textId="77777777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Vplyv splynutí/zlúčení/nadobudnutí na BI</w:t>
            </w:r>
          </w:p>
          <w:p w14:paraId="68B0EB8C" w14:textId="642D8F21" w:rsidR="003826D3" w:rsidRPr="00B34A8E" w:rsidRDefault="003826D3" w:rsidP="003826D3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 w:val="0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Suma zahrnutá do BI zodpovedajúca zložkám BI, ktoré sú spôsobené splynutými/zlúčenými alebo nadobudnutými subjektmi alebo činnosťami, vypočítaná podľa článku 315 ods. 1 nariadenia (EÚ) </w:t>
            </w:r>
            <w:r w:rsid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č. </w:t>
            </w:r>
            <w:r w:rsidRPr="00B34A8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575/2013.</w:t>
            </w:r>
          </w:p>
        </w:tc>
      </w:tr>
    </w:tbl>
    <w:p w14:paraId="2517003F" w14:textId="77777777" w:rsidR="00D740B8" w:rsidRPr="00B34A8E" w:rsidRDefault="00D740B8" w:rsidP="00D740B8">
      <w:pPr>
        <w:pStyle w:val="numberedparagraph"/>
        <w:numPr>
          <w:ilvl w:val="0"/>
          <w:numId w:val="0"/>
        </w:numPr>
        <w:ind w:left="284" w:hanging="284"/>
        <w:rPr>
          <w:rFonts w:ascii="Times New Roman" w:eastAsia="Arial" w:hAnsi="Times New Roman" w:cs="Times New Roman"/>
          <w:sz w:val="24"/>
        </w:rPr>
      </w:pPr>
    </w:p>
    <w:p w14:paraId="7E7146AD" w14:textId="1B427762" w:rsidR="00D740B8" w:rsidRPr="00B34A8E" w:rsidRDefault="00D740B8" w:rsidP="00D740B8">
      <w:pPr>
        <w:jc w:val="both"/>
        <w:rPr>
          <w:rFonts w:ascii="Times New Roman" w:hAnsi="Times New Roman" w:cs="Times New Roman"/>
          <w:bCs/>
          <w:sz w:val="24"/>
        </w:rPr>
      </w:pPr>
      <w:r w:rsidRPr="00B34A8E">
        <w:rPr>
          <w:rFonts w:ascii="Times New Roman" w:hAnsi="Times New Roman"/>
          <w:b/>
          <w:sz w:val="24"/>
        </w:rPr>
        <w:t>Vzor EU OR3 – Požiadavky na vlastné zdroje pre operačné riziko</w:t>
      </w:r>
      <w:r w:rsidR="00B34A8E">
        <w:rPr>
          <w:rFonts w:ascii="Times New Roman" w:hAnsi="Times New Roman"/>
          <w:b/>
          <w:sz w:val="24"/>
        </w:rPr>
        <w:t xml:space="preserve"> a </w:t>
      </w:r>
      <w:r w:rsidRPr="00B34A8E">
        <w:rPr>
          <w:rFonts w:ascii="Times New Roman" w:hAnsi="Times New Roman"/>
          <w:b/>
          <w:sz w:val="24"/>
        </w:rPr>
        <w:t xml:space="preserve">hodnoty rizikových expozícií. </w:t>
      </w:r>
      <w:r w:rsidRPr="00B34A8E">
        <w:rPr>
          <w:rFonts w:ascii="Times New Roman" w:hAnsi="Times New Roman"/>
          <w:sz w:val="24"/>
        </w:rPr>
        <w:t>Vzor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>pevným formátom.</w:t>
      </w:r>
    </w:p>
    <w:p w14:paraId="5AB15A39" w14:textId="77777777" w:rsidR="00D740B8" w:rsidRPr="00B34A8E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37CFDC2E" w14:textId="6247A04D" w:rsidR="00B34A8E" w:rsidRDefault="00D740B8" w:rsidP="00D740B8">
      <w:pPr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 w:rsidRPr="00B34A8E">
        <w:rPr>
          <w:rFonts w:ascii="Times New Roman" w:hAnsi="Times New Roman"/>
          <w:sz w:val="24"/>
        </w:rPr>
        <w:t xml:space="preserve">Inštitúcie zverejňujú informácie uvedené vo vzore EU OR3 pri uplatňovaní článku 446 ods. 1 písm. b)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575/2013.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tomto vzore sa uvádzajú informácie</w:t>
      </w:r>
      <w:r w:rsidR="00B34A8E">
        <w:rPr>
          <w:rFonts w:ascii="Times New Roman" w:hAnsi="Times New Roman"/>
          <w:sz w:val="24"/>
        </w:rPr>
        <w:t xml:space="preserve"> o </w:t>
      </w:r>
      <w:r w:rsidRPr="00B34A8E">
        <w:rPr>
          <w:rFonts w:ascii="Times New Roman" w:hAnsi="Times New Roman"/>
          <w:sz w:val="24"/>
        </w:rPr>
        <w:t>výpočte požiadaviek na vlastné zdroje pre operačné riziko</w:t>
      </w:r>
      <w:r w:rsidR="00B34A8E">
        <w:rPr>
          <w:rFonts w:ascii="Times New Roman" w:hAnsi="Times New Roman"/>
          <w:sz w:val="24"/>
        </w:rPr>
        <w:t xml:space="preserve"> v </w:t>
      </w:r>
      <w:r w:rsidRPr="00B34A8E">
        <w:rPr>
          <w:rFonts w:ascii="Times New Roman" w:hAnsi="Times New Roman"/>
          <w:sz w:val="24"/>
        </w:rPr>
        <w:t>súlade</w:t>
      </w:r>
      <w:r w:rsidR="00B34A8E">
        <w:rPr>
          <w:rFonts w:ascii="Times New Roman" w:hAnsi="Times New Roman"/>
          <w:sz w:val="24"/>
        </w:rPr>
        <w:t xml:space="preserve"> s </w:t>
      </w:r>
      <w:r w:rsidRPr="00B34A8E">
        <w:rPr>
          <w:rFonts w:ascii="Times New Roman" w:hAnsi="Times New Roman"/>
          <w:sz w:val="24"/>
        </w:rPr>
        <w:t xml:space="preserve">článkami 312 až 315 nariadenia (EÚ) </w:t>
      </w:r>
      <w:r w:rsidR="00B34A8E">
        <w:rPr>
          <w:rFonts w:ascii="Times New Roman" w:hAnsi="Times New Roman"/>
          <w:sz w:val="24"/>
        </w:rPr>
        <w:t>č. </w:t>
      </w:r>
      <w:r w:rsidRPr="00B34A8E">
        <w:rPr>
          <w:rFonts w:ascii="Times New Roman" w:hAnsi="Times New Roman"/>
          <w:sz w:val="24"/>
        </w:rPr>
        <w:t>575/2013</w:t>
      </w:r>
      <w:r w:rsidR="00B34A8E">
        <w:rPr>
          <w:rFonts w:ascii="Times New Roman" w:hAnsi="Times New Roman"/>
          <w:sz w:val="24"/>
        </w:rPr>
        <w:t>.</w:t>
      </w:r>
    </w:p>
    <w:p w14:paraId="6DFA1648" w14:textId="16759488" w:rsidR="00D740B8" w:rsidRPr="00B34A8E" w:rsidRDefault="00D740B8" w:rsidP="00D740B8">
      <w:pPr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2E35B8A0" w14:textId="77777777" w:rsidR="00D740B8" w:rsidRPr="00B34A8E" w:rsidRDefault="00D740B8" w:rsidP="0059139C">
      <w:pPr>
        <w:keepNext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D740B8" w:rsidRPr="00B34A8E" w14:paraId="6F42A4B4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89E53" w14:textId="77777777" w:rsidR="00D740B8" w:rsidRPr="00B34A8E" w:rsidRDefault="00D740B8" w:rsidP="0059139C">
            <w:pPr>
              <w:keepNext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 xml:space="preserve">Riadok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ECBF1" w14:textId="77777777" w:rsidR="00D740B8" w:rsidRPr="00B34A8E" w:rsidRDefault="00D740B8" w:rsidP="0059139C">
            <w:pPr>
              <w:keepNext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D740B8" w:rsidRPr="00B34A8E" w14:paraId="6BF3BB09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58A85" w14:textId="77777777" w:rsidR="00D740B8" w:rsidRPr="00B34A8E" w:rsidRDefault="00D740B8" w:rsidP="0059139C">
            <w:pPr>
              <w:keepNext/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FF758" w14:textId="77777777" w:rsidR="00D740B8" w:rsidRPr="00B34A8E" w:rsidRDefault="00D740B8" w:rsidP="0059139C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Zložka ukazovateľa obchodovania (BIC)</w:t>
            </w:r>
          </w:p>
          <w:p w14:paraId="1B10BB72" w14:textId="00948C05" w:rsidR="00D740B8" w:rsidRPr="00B34A8E" w:rsidRDefault="00D740B8" w:rsidP="0059139C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V tomto riadku sa uvádza zložka ukazovateľa obchodovania, ktorá sa vypočítava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313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CA794A" w:rsidRPr="00B34A8E" w14:paraId="2713AC1F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606E2" w14:textId="48C6967A" w:rsidR="00CA794A" w:rsidRPr="00B34A8E" w:rsidRDefault="004A58B5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EU 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97C95" w14:textId="1613DFBF" w:rsidR="00CA794A" w:rsidRPr="00B34A8E" w:rsidRDefault="004A58B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Požiadavky na vlastné zdroje (OROF) podľa alternatívneho štandardizovaného prístupu (ASA) podľa článku 314 ods. 4</w:t>
            </w:r>
          </w:p>
          <w:p w14:paraId="7762DF0B" w14:textId="7FED1C9A" w:rsidR="004A58B5" w:rsidRPr="00B34A8E" w:rsidRDefault="005B4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Tento riadok zahŕňa požiadavky na vlastné zdroje pre obchodné línie uvedené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článku 314 ods. 4,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relevantných prípadoch, do 31</w:t>
            </w:r>
            <w:r w:rsidR="00B34A8E">
              <w:rPr>
                <w:rFonts w:ascii="Times New Roman" w:hAnsi="Times New Roman"/>
                <w:sz w:val="24"/>
              </w:rPr>
              <w:t>. decembra</w:t>
            </w:r>
            <w:r w:rsidRPr="00B34A8E">
              <w:rPr>
                <w:rFonts w:ascii="Times New Roman" w:hAnsi="Times New Roman"/>
                <w:sz w:val="24"/>
              </w:rPr>
              <w:t xml:space="preserve"> 2027 alebo dovtedy, kým orgán konsolidovaného dohľadu neudelí povolenie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>článkom 314 ods. 3, podľa toho, čo nastane skôr.</w:t>
            </w:r>
          </w:p>
        </w:tc>
      </w:tr>
      <w:tr w:rsidR="00D740B8" w:rsidRPr="00B34A8E" w14:paraId="362D8FB9" w14:textId="77777777" w:rsidTr="00F828EB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5B3213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0B1B93" w14:textId="4FC21868" w:rsidR="00D740B8" w:rsidRPr="00B34A8E" w:rsidRDefault="001918A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 xml:space="preserve">Neuplatňuje sa.  </w:t>
            </w:r>
          </w:p>
        </w:tc>
      </w:tr>
      <w:tr w:rsidR="00D740B8" w:rsidRPr="00B34A8E" w14:paraId="779D052B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F8453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42F01" w14:textId="77777777" w:rsidR="00D740B8" w:rsidRPr="00B34A8E" w:rsidRDefault="00D740B8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Minimálne požiadavky na vlastné zdroje požadované pre operačné riziko (OROF)</w:t>
            </w:r>
          </w:p>
          <w:p w14:paraId="2A7C24D0" w14:textId="7FA39D97" w:rsidR="00D740B8" w:rsidRPr="00B34A8E" w:rsidRDefault="0097784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Požiadavky na vlastné zdroje sa vypočítavajú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súlade</w:t>
            </w:r>
            <w:r w:rsidR="00B34A8E">
              <w:rPr>
                <w:rFonts w:ascii="Times New Roman" w:hAnsi="Times New Roman"/>
                <w:sz w:val="24"/>
              </w:rPr>
              <w:t xml:space="preserve"> s </w:t>
            </w:r>
            <w:r w:rsidRPr="00B34A8E">
              <w:rPr>
                <w:rFonts w:ascii="Times New Roman" w:hAnsi="Times New Roman"/>
                <w:sz w:val="24"/>
              </w:rPr>
              <w:t xml:space="preserve">článkom 312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575/2013.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tomto riadku sa uvádzajú požiadavky na vlastné zdroje pre operačné riziko, ktoré sa zhodujú so súčtom BIC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>prípadne požiadaviek na vlastné zdroje pre obchodné línie uvedené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 xml:space="preserve">článku 314 ods. 4. </w:t>
            </w:r>
          </w:p>
        </w:tc>
      </w:tr>
      <w:tr w:rsidR="00D740B8" w:rsidRPr="00B34A8E" w14:paraId="078B572A" w14:textId="77777777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C3902" w14:textId="77777777" w:rsidR="00D740B8" w:rsidRPr="00B34A8E" w:rsidRDefault="00D740B8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4A8E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3DB44" w14:textId="00766941" w:rsidR="00D740B8" w:rsidRPr="00B34A8E" w:rsidRDefault="00D740B8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  <w:u w:val="none"/>
              </w:rPr>
            </w:pPr>
            <w:r w:rsidRPr="00B34A8E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Hodnoty expozície voči operačnému riziku (REA)</w:t>
            </w:r>
          </w:p>
          <w:p w14:paraId="317F9BDE" w14:textId="67DB20E2" w:rsidR="00D740B8" w:rsidRPr="00B34A8E" w:rsidRDefault="00D740B8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34A8E">
              <w:rPr>
                <w:rFonts w:ascii="Times New Roman" w:hAnsi="Times New Roman"/>
                <w:sz w:val="24"/>
              </w:rPr>
              <w:t>Na základe článku 92 ods. 3 písm. e)</w:t>
            </w:r>
            <w:r w:rsidR="00B34A8E">
              <w:rPr>
                <w:rFonts w:ascii="Times New Roman" w:hAnsi="Times New Roman"/>
                <w:sz w:val="24"/>
              </w:rPr>
              <w:t xml:space="preserve"> a </w:t>
            </w:r>
            <w:r w:rsidRPr="00B34A8E">
              <w:rPr>
                <w:rFonts w:ascii="Times New Roman" w:hAnsi="Times New Roman"/>
                <w:sz w:val="24"/>
              </w:rPr>
              <w:t xml:space="preserve">článku 92 ods. 4 nariadenia (EÚ) </w:t>
            </w:r>
            <w:r w:rsidR="00B34A8E">
              <w:rPr>
                <w:rFonts w:ascii="Times New Roman" w:hAnsi="Times New Roman"/>
                <w:sz w:val="24"/>
              </w:rPr>
              <w:t>č. </w:t>
            </w:r>
            <w:r w:rsidRPr="00B34A8E">
              <w:rPr>
                <w:rFonts w:ascii="Times New Roman" w:hAnsi="Times New Roman"/>
                <w:sz w:val="24"/>
              </w:rPr>
              <w:t>575/2013 sa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>tomto riadku zverejňujú požiadavky na vlastné zdroje uvedené</w:t>
            </w:r>
            <w:r w:rsidR="00B34A8E">
              <w:rPr>
                <w:rFonts w:ascii="Times New Roman" w:hAnsi="Times New Roman"/>
                <w:sz w:val="24"/>
              </w:rPr>
              <w:t xml:space="preserve"> v </w:t>
            </w:r>
            <w:r w:rsidRPr="00B34A8E">
              <w:rPr>
                <w:rFonts w:ascii="Times New Roman" w:hAnsi="Times New Roman"/>
                <w:sz w:val="24"/>
              </w:rPr>
              <w:t xml:space="preserve">riadku 1 vynásobené koeficientom 12,5. </w:t>
            </w:r>
          </w:p>
        </w:tc>
      </w:tr>
    </w:tbl>
    <w:p w14:paraId="079B8CA0" w14:textId="77777777" w:rsidR="00D740B8" w:rsidRPr="00B34A8E" w:rsidRDefault="00D740B8" w:rsidP="00D740B8">
      <w:pPr>
        <w:rPr>
          <w:rFonts w:ascii="Times New Roman" w:hAnsi="Times New Roman" w:cs="Times New Roman"/>
          <w:sz w:val="24"/>
        </w:rPr>
      </w:pPr>
    </w:p>
    <w:p w14:paraId="41C8F396" w14:textId="77777777" w:rsidR="002C1404" w:rsidRPr="00B34A8E" w:rsidRDefault="002C1404"/>
    <w:sectPr w:rsidR="002C1404" w:rsidRPr="00B34A8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5E179" w14:textId="77777777" w:rsidR="00B1408E" w:rsidRDefault="00B1408E" w:rsidP="00E114F3">
      <w:r>
        <w:separator/>
      </w:r>
    </w:p>
  </w:endnote>
  <w:endnote w:type="continuationSeparator" w:id="0">
    <w:p w14:paraId="5A4AF762" w14:textId="77777777" w:rsidR="00B1408E" w:rsidRDefault="00B1408E" w:rsidP="00E114F3">
      <w:r>
        <w:continuationSeparator/>
      </w:r>
    </w:p>
  </w:endnote>
  <w:endnote w:type="continuationNotice" w:id="1">
    <w:p w14:paraId="1299DE7B" w14:textId="77777777" w:rsidR="00B1408E" w:rsidRDefault="00B140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67838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D22A9" w14:textId="77777777" w:rsidR="00E114F3" w:rsidRDefault="00E114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49F31CB" w14:textId="77777777" w:rsidR="00E114F3" w:rsidRDefault="00E11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81F5F" w14:textId="77777777" w:rsidR="00B1408E" w:rsidRDefault="00B1408E" w:rsidP="00E114F3">
      <w:r>
        <w:separator/>
      </w:r>
    </w:p>
  </w:footnote>
  <w:footnote w:type="continuationSeparator" w:id="0">
    <w:p w14:paraId="5CCB1BAA" w14:textId="77777777" w:rsidR="00B1408E" w:rsidRDefault="00B1408E" w:rsidP="00E114F3">
      <w:r>
        <w:continuationSeparator/>
      </w:r>
    </w:p>
  </w:footnote>
  <w:footnote w:type="continuationNotice" w:id="1">
    <w:p w14:paraId="1BD7789C" w14:textId="77777777" w:rsidR="00B1408E" w:rsidRDefault="00B1408E"/>
  </w:footnote>
  <w:footnote w:id="2">
    <w:p w14:paraId="3798489D" w14:textId="1CE0DFC0" w:rsidR="00E114F3" w:rsidRPr="00B34A8E" w:rsidRDefault="00E114F3" w:rsidP="003D3122">
      <w:pPr>
        <w:pStyle w:val="FootnoteText"/>
      </w:pPr>
      <w:r w:rsidRPr="00B34A8E">
        <w:rPr>
          <w:rStyle w:val="FootnoteReference"/>
          <w:rFonts w:cstheme="minorHAnsi"/>
        </w:rPr>
        <w:footnoteRef/>
      </w:r>
      <w:r w:rsidRPr="00B34A8E">
        <w:tab/>
        <w:t>Nariadenie Európskeho parlamentu</w:t>
      </w:r>
      <w:r w:rsidR="00B34A8E">
        <w:t xml:space="preserve"> a </w:t>
      </w:r>
      <w:r w:rsidRPr="00B34A8E">
        <w:t xml:space="preserve">Rady (EÚ) </w:t>
      </w:r>
      <w:r w:rsidR="00B34A8E">
        <w:t>č. </w:t>
      </w:r>
      <w:r w:rsidRPr="00B34A8E">
        <w:t>575/2013</w:t>
      </w:r>
      <w:r w:rsidR="00B34A8E">
        <w:t xml:space="preserve"> z </w:t>
      </w:r>
      <w:r w:rsidRPr="00B34A8E">
        <w:t>26</w:t>
      </w:r>
      <w:r w:rsidR="00B34A8E">
        <w:t>. júna</w:t>
      </w:r>
      <w:r w:rsidRPr="00B34A8E">
        <w:t xml:space="preserve"> 2013</w:t>
      </w:r>
      <w:r w:rsidR="00B34A8E">
        <w:t xml:space="preserve"> o </w:t>
      </w:r>
      <w:r w:rsidRPr="00B34A8E">
        <w:t>prudenciálnych požiadavkách na úverové inštitúcie</w:t>
      </w:r>
      <w:r w:rsidR="00B34A8E">
        <w:t xml:space="preserve"> a o </w:t>
      </w:r>
      <w:r w:rsidRPr="00B34A8E">
        <w:t xml:space="preserve">zmene nariadenia (EÚ) </w:t>
      </w:r>
      <w:r w:rsidR="00B34A8E">
        <w:t>č. </w:t>
      </w:r>
      <w:r w:rsidRPr="00B34A8E">
        <w:t xml:space="preserve">648/2012, zmenené nariadením (EÚ) 2024/1623 </w:t>
      </w:r>
      <w:r w:rsidRPr="00B34A8E">
        <w:rPr>
          <w:color w:val="444444"/>
        </w:rPr>
        <w:t>[</w:t>
      </w:r>
      <w:hyperlink r:id="rId1" w:history="1">
        <w:r w:rsidRPr="00B34A8E">
          <w:rPr>
            <w:rStyle w:val="Hyperlink"/>
            <w:color w:val="800080"/>
          </w:rPr>
          <w:t>Ú. v. EÚ L 176, 27.6.2013, s. 1</w:t>
        </w:r>
      </w:hyperlink>
      <w:r w:rsidRPr="00B34A8E">
        <w:rPr>
          <w:color w:val="800080"/>
          <w:u w:val="single"/>
        </w:rPr>
        <w:t xml:space="preserve">; </w:t>
      </w:r>
      <w:hyperlink r:id="rId2" w:history="1">
        <w:r w:rsidRPr="00B34A8E">
          <w:rPr>
            <w:rStyle w:val="Hyperlink"/>
          </w:rPr>
          <w:t>Nariadenie (EÚ) 2024/1623 – SK – EUR-Lex (europa.eu)</w:t>
        </w:r>
      </w:hyperlink>
      <w:r w:rsidRPr="00B34A8E">
        <w:rPr>
          <w:color w:val="444444"/>
        </w:rPr>
        <w:t>]</w:t>
      </w:r>
      <w:r w:rsidRPr="00B34A8E">
        <w:t>.</w:t>
      </w:r>
    </w:p>
    <w:p w14:paraId="45FB0818" w14:textId="77777777" w:rsidR="00E114F3" w:rsidRPr="00B34A8E" w:rsidRDefault="00E114F3" w:rsidP="003D312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940D" w14:textId="1615A102" w:rsidR="00E114F3" w:rsidRDefault="00864EC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6CE9015" wp14:editId="3A1C732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5" name="Text Box 5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807B26" w14:textId="3B0140B7" w:rsidR="00864ECA" w:rsidRPr="00864ECA" w:rsidRDefault="00864ECA" w:rsidP="00864EC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E90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EBA Bežné použiti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6B807B26" w14:textId="3B0140B7" w:rsidR="00864ECA" w:rsidRPr="00864ECA" w:rsidRDefault="00864ECA" w:rsidP="00864EC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1028A940" w:rsidR="00E114F3" w:rsidRDefault="00864EC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2F1B75F" wp14:editId="3120E37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6" name="Text Box 6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2808C3" w14:textId="34124462" w:rsidR="00864ECA" w:rsidRPr="00864ECA" w:rsidRDefault="00864ECA" w:rsidP="00864EC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r w:rsidR="00D93432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F1B75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EBA Bežné použiti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22808C3" w14:textId="34124462" w:rsidR="00864ECA" w:rsidRPr="00864ECA" w:rsidRDefault="00864ECA" w:rsidP="00864EC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r w:rsidR="00D93432">
                      <w:rPr>
                        <w:rFonts w:ascii="Calibri" w:hAnsi="Calibri"/>
                        <w:color w:val="000000"/>
                        <w:sz w:val="24"/>
                      </w:rPr>
                      <w:t>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505DD969" w:rsidR="00E114F3" w:rsidRDefault="00864EC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B6A7D7E" wp14:editId="55F0D69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52C3BA" w14:textId="4F2B949B" w:rsidR="00864ECA" w:rsidRPr="00864ECA" w:rsidRDefault="00864ECA" w:rsidP="00864EC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6A7D7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EBA Bežné použiti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3152C3BA" w14:textId="4F2B949B" w:rsidR="00864ECA" w:rsidRPr="00864ECA" w:rsidRDefault="00864ECA" w:rsidP="00864EC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749A0"/>
    <w:multiLevelType w:val="hybridMultilevel"/>
    <w:tmpl w:val="FFFFFFFF"/>
    <w:lvl w:ilvl="0" w:tplc="0CD0E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28B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E4D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8C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6B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26D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4D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AB5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046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27369"/>
    <w:multiLevelType w:val="hybridMultilevel"/>
    <w:tmpl w:val="D17E5BA0"/>
    <w:lvl w:ilvl="0" w:tplc="FFFFFFFF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bullet"/>
      <w:lvlText w:val="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1479303020">
    <w:abstractNumId w:val="7"/>
  </w:num>
  <w:num w:numId="2" w16cid:durableId="1266694335">
    <w:abstractNumId w:val="5"/>
  </w:num>
  <w:num w:numId="3" w16cid:durableId="1815637054">
    <w:abstractNumId w:val="0"/>
  </w:num>
  <w:num w:numId="4" w16cid:durableId="956064537">
    <w:abstractNumId w:val="2"/>
  </w:num>
  <w:num w:numId="5" w16cid:durableId="37778419">
    <w:abstractNumId w:val="3"/>
  </w:num>
  <w:num w:numId="6" w16cid:durableId="803155118">
    <w:abstractNumId w:val="1"/>
  </w:num>
  <w:num w:numId="7" w16cid:durableId="1073312597">
    <w:abstractNumId w:val="6"/>
  </w:num>
  <w:num w:numId="8" w16cid:durableId="896935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D049F"/>
    <w:rsid w:val="00011939"/>
    <w:rsid w:val="00012A75"/>
    <w:rsid w:val="0001405C"/>
    <w:rsid w:val="0001650F"/>
    <w:rsid w:val="00024346"/>
    <w:rsid w:val="00025F22"/>
    <w:rsid w:val="000272B2"/>
    <w:rsid w:val="00030D74"/>
    <w:rsid w:val="0004584F"/>
    <w:rsid w:val="00045858"/>
    <w:rsid w:val="00046439"/>
    <w:rsid w:val="000465B3"/>
    <w:rsid w:val="000576E8"/>
    <w:rsid w:val="0006502A"/>
    <w:rsid w:val="000664FC"/>
    <w:rsid w:val="000665BE"/>
    <w:rsid w:val="00066F9F"/>
    <w:rsid w:val="0006789F"/>
    <w:rsid w:val="00073105"/>
    <w:rsid w:val="000746E8"/>
    <w:rsid w:val="00074F00"/>
    <w:rsid w:val="00075D8B"/>
    <w:rsid w:val="00076263"/>
    <w:rsid w:val="00087F79"/>
    <w:rsid w:val="00090561"/>
    <w:rsid w:val="00095D07"/>
    <w:rsid w:val="00096102"/>
    <w:rsid w:val="000A0D62"/>
    <w:rsid w:val="000A12B5"/>
    <w:rsid w:val="000B16B1"/>
    <w:rsid w:val="000B2704"/>
    <w:rsid w:val="000B2D8F"/>
    <w:rsid w:val="000C1526"/>
    <w:rsid w:val="000C3EAE"/>
    <w:rsid w:val="000C4618"/>
    <w:rsid w:val="000C77E0"/>
    <w:rsid w:val="000D0723"/>
    <w:rsid w:val="000D0DBB"/>
    <w:rsid w:val="000D3111"/>
    <w:rsid w:val="000D4A72"/>
    <w:rsid w:val="000D6DA0"/>
    <w:rsid w:val="000E3AB0"/>
    <w:rsid w:val="000E696C"/>
    <w:rsid w:val="000F08DF"/>
    <w:rsid w:val="000F1044"/>
    <w:rsid w:val="000F2921"/>
    <w:rsid w:val="000F375E"/>
    <w:rsid w:val="000F5C83"/>
    <w:rsid w:val="000F5FED"/>
    <w:rsid w:val="000F6C61"/>
    <w:rsid w:val="00103ABA"/>
    <w:rsid w:val="00105E35"/>
    <w:rsid w:val="0011472E"/>
    <w:rsid w:val="001220D8"/>
    <w:rsid w:val="00127955"/>
    <w:rsid w:val="00131C22"/>
    <w:rsid w:val="00134D05"/>
    <w:rsid w:val="00135C50"/>
    <w:rsid w:val="00136AE4"/>
    <w:rsid w:val="00141217"/>
    <w:rsid w:val="001420EB"/>
    <w:rsid w:val="00142276"/>
    <w:rsid w:val="00142D89"/>
    <w:rsid w:val="001449CE"/>
    <w:rsid w:val="001452C3"/>
    <w:rsid w:val="0015285C"/>
    <w:rsid w:val="00161A8E"/>
    <w:rsid w:val="00162183"/>
    <w:rsid w:val="00165BEF"/>
    <w:rsid w:val="001756BE"/>
    <w:rsid w:val="0017572D"/>
    <w:rsid w:val="00177229"/>
    <w:rsid w:val="001830A3"/>
    <w:rsid w:val="001871DA"/>
    <w:rsid w:val="001918A2"/>
    <w:rsid w:val="00196907"/>
    <w:rsid w:val="001A2C2E"/>
    <w:rsid w:val="001B03D9"/>
    <w:rsid w:val="001B0A1D"/>
    <w:rsid w:val="001B2292"/>
    <w:rsid w:val="001B291D"/>
    <w:rsid w:val="001B3BC1"/>
    <w:rsid w:val="001B500A"/>
    <w:rsid w:val="001B58F8"/>
    <w:rsid w:val="001B6C85"/>
    <w:rsid w:val="001C2B75"/>
    <w:rsid w:val="001C4677"/>
    <w:rsid w:val="001C6CDD"/>
    <w:rsid w:val="001D080D"/>
    <w:rsid w:val="001D11E0"/>
    <w:rsid w:val="001D782E"/>
    <w:rsid w:val="001E1503"/>
    <w:rsid w:val="001E5563"/>
    <w:rsid w:val="001F1176"/>
    <w:rsid w:val="001F7ED3"/>
    <w:rsid w:val="00201011"/>
    <w:rsid w:val="002026B4"/>
    <w:rsid w:val="002026D9"/>
    <w:rsid w:val="002054FC"/>
    <w:rsid w:val="002075AA"/>
    <w:rsid w:val="00211970"/>
    <w:rsid w:val="00216C79"/>
    <w:rsid w:val="002208D1"/>
    <w:rsid w:val="00223530"/>
    <w:rsid w:val="00226DD0"/>
    <w:rsid w:val="00230607"/>
    <w:rsid w:val="00230F64"/>
    <w:rsid w:val="002322F4"/>
    <w:rsid w:val="002354DB"/>
    <w:rsid w:val="00236174"/>
    <w:rsid w:val="0024083E"/>
    <w:rsid w:val="00241FEC"/>
    <w:rsid w:val="00242E08"/>
    <w:rsid w:val="002455B5"/>
    <w:rsid w:val="002457F5"/>
    <w:rsid w:val="00250A53"/>
    <w:rsid w:val="00253C3A"/>
    <w:rsid w:val="00253CF4"/>
    <w:rsid w:val="002558AA"/>
    <w:rsid w:val="00257387"/>
    <w:rsid w:val="0026154A"/>
    <w:rsid w:val="00267B03"/>
    <w:rsid w:val="00270E06"/>
    <w:rsid w:val="00272014"/>
    <w:rsid w:val="0027387E"/>
    <w:rsid w:val="00273B65"/>
    <w:rsid w:val="002755E0"/>
    <w:rsid w:val="00275651"/>
    <w:rsid w:val="00277197"/>
    <w:rsid w:val="002774FB"/>
    <w:rsid w:val="00277E2E"/>
    <w:rsid w:val="002854BD"/>
    <w:rsid w:val="0028730E"/>
    <w:rsid w:val="00287A78"/>
    <w:rsid w:val="002912CA"/>
    <w:rsid w:val="002919DB"/>
    <w:rsid w:val="002A02D1"/>
    <w:rsid w:val="002A213A"/>
    <w:rsid w:val="002A2633"/>
    <w:rsid w:val="002A4A49"/>
    <w:rsid w:val="002A55B5"/>
    <w:rsid w:val="002A7A1C"/>
    <w:rsid w:val="002B0785"/>
    <w:rsid w:val="002B20D8"/>
    <w:rsid w:val="002B2993"/>
    <w:rsid w:val="002B2F6C"/>
    <w:rsid w:val="002B708C"/>
    <w:rsid w:val="002B7BCC"/>
    <w:rsid w:val="002C1404"/>
    <w:rsid w:val="002D0EA4"/>
    <w:rsid w:val="002D5C08"/>
    <w:rsid w:val="002E1556"/>
    <w:rsid w:val="002E28B0"/>
    <w:rsid w:val="002F3CFA"/>
    <w:rsid w:val="002F733A"/>
    <w:rsid w:val="00306E05"/>
    <w:rsid w:val="003134EA"/>
    <w:rsid w:val="00313B19"/>
    <w:rsid w:val="00313BE5"/>
    <w:rsid w:val="003140BC"/>
    <w:rsid w:val="00322C5B"/>
    <w:rsid w:val="0032312B"/>
    <w:rsid w:val="0032508D"/>
    <w:rsid w:val="00325595"/>
    <w:rsid w:val="003260B9"/>
    <w:rsid w:val="00331494"/>
    <w:rsid w:val="00332B2B"/>
    <w:rsid w:val="00340DA2"/>
    <w:rsid w:val="00340F5A"/>
    <w:rsid w:val="0034291F"/>
    <w:rsid w:val="0034713B"/>
    <w:rsid w:val="00350F3E"/>
    <w:rsid w:val="00352E37"/>
    <w:rsid w:val="00352E7B"/>
    <w:rsid w:val="00353854"/>
    <w:rsid w:val="00356B96"/>
    <w:rsid w:val="00356C56"/>
    <w:rsid w:val="0036264E"/>
    <w:rsid w:val="00366387"/>
    <w:rsid w:val="00370155"/>
    <w:rsid w:val="00371504"/>
    <w:rsid w:val="00373F9D"/>
    <w:rsid w:val="0037691C"/>
    <w:rsid w:val="003826D3"/>
    <w:rsid w:val="003858A3"/>
    <w:rsid w:val="00390609"/>
    <w:rsid w:val="003930C3"/>
    <w:rsid w:val="00393427"/>
    <w:rsid w:val="00393FEF"/>
    <w:rsid w:val="00394AE0"/>
    <w:rsid w:val="003A11C2"/>
    <w:rsid w:val="003A134B"/>
    <w:rsid w:val="003A1367"/>
    <w:rsid w:val="003A3338"/>
    <w:rsid w:val="003A752D"/>
    <w:rsid w:val="003B0795"/>
    <w:rsid w:val="003B12FB"/>
    <w:rsid w:val="003B40C6"/>
    <w:rsid w:val="003C0178"/>
    <w:rsid w:val="003C7646"/>
    <w:rsid w:val="003D3122"/>
    <w:rsid w:val="003D36FD"/>
    <w:rsid w:val="003D49FC"/>
    <w:rsid w:val="003D54AC"/>
    <w:rsid w:val="003D5875"/>
    <w:rsid w:val="003E1A11"/>
    <w:rsid w:val="003E207A"/>
    <w:rsid w:val="003E3201"/>
    <w:rsid w:val="003E7CB0"/>
    <w:rsid w:val="003F52CD"/>
    <w:rsid w:val="003F5CE4"/>
    <w:rsid w:val="00403F5F"/>
    <w:rsid w:val="00404BBB"/>
    <w:rsid w:val="00405D1E"/>
    <w:rsid w:val="0041073A"/>
    <w:rsid w:val="004129ED"/>
    <w:rsid w:val="00413B96"/>
    <w:rsid w:val="0042443A"/>
    <w:rsid w:val="00425384"/>
    <w:rsid w:val="00430F3A"/>
    <w:rsid w:val="00443CBC"/>
    <w:rsid w:val="00445677"/>
    <w:rsid w:val="004509B7"/>
    <w:rsid w:val="004544AD"/>
    <w:rsid w:val="00456F97"/>
    <w:rsid w:val="00457089"/>
    <w:rsid w:val="00460310"/>
    <w:rsid w:val="004618A3"/>
    <w:rsid w:val="0046389C"/>
    <w:rsid w:val="00471410"/>
    <w:rsid w:val="004714CE"/>
    <w:rsid w:val="004744D1"/>
    <w:rsid w:val="004849ED"/>
    <w:rsid w:val="00486925"/>
    <w:rsid w:val="00487314"/>
    <w:rsid w:val="0049000A"/>
    <w:rsid w:val="00492339"/>
    <w:rsid w:val="00496389"/>
    <w:rsid w:val="00496A9E"/>
    <w:rsid w:val="004A0952"/>
    <w:rsid w:val="004A18F4"/>
    <w:rsid w:val="004A4A2C"/>
    <w:rsid w:val="004A58B5"/>
    <w:rsid w:val="004A62B8"/>
    <w:rsid w:val="004A7915"/>
    <w:rsid w:val="004B0B6E"/>
    <w:rsid w:val="004B0FCE"/>
    <w:rsid w:val="004B1D55"/>
    <w:rsid w:val="004B6D23"/>
    <w:rsid w:val="004C06C0"/>
    <w:rsid w:val="004C08C6"/>
    <w:rsid w:val="004C2C33"/>
    <w:rsid w:val="004C3206"/>
    <w:rsid w:val="004D442B"/>
    <w:rsid w:val="004D7AAC"/>
    <w:rsid w:val="004E0A33"/>
    <w:rsid w:val="004E2BF2"/>
    <w:rsid w:val="004E3E86"/>
    <w:rsid w:val="004E41F1"/>
    <w:rsid w:val="004E5F6E"/>
    <w:rsid w:val="004E67D0"/>
    <w:rsid w:val="004E7E6A"/>
    <w:rsid w:val="004F22BD"/>
    <w:rsid w:val="004F6309"/>
    <w:rsid w:val="004F7296"/>
    <w:rsid w:val="00501D3A"/>
    <w:rsid w:val="00502CBE"/>
    <w:rsid w:val="005129A3"/>
    <w:rsid w:val="00513E9E"/>
    <w:rsid w:val="005201AB"/>
    <w:rsid w:val="00520A67"/>
    <w:rsid w:val="00521787"/>
    <w:rsid w:val="005227BF"/>
    <w:rsid w:val="005244B2"/>
    <w:rsid w:val="00525D0C"/>
    <w:rsid w:val="00531A16"/>
    <w:rsid w:val="0053230B"/>
    <w:rsid w:val="005323E0"/>
    <w:rsid w:val="00532CFA"/>
    <w:rsid w:val="00533587"/>
    <w:rsid w:val="005346B6"/>
    <w:rsid w:val="00542C4F"/>
    <w:rsid w:val="00543CE4"/>
    <w:rsid w:val="00545C2E"/>
    <w:rsid w:val="005511B4"/>
    <w:rsid w:val="00552616"/>
    <w:rsid w:val="00555026"/>
    <w:rsid w:val="00557E87"/>
    <w:rsid w:val="005644FD"/>
    <w:rsid w:val="00573755"/>
    <w:rsid w:val="0058077D"/>
    <w:rsid w:val="00581EE7"/>
    <w:rsid w:val="00585FE7"/>
    <w:rsid w:val="0059139C"/>
    <w:rsid w:val="00594DEA"/>
    <w:rsid w:val="00597741"/>
    <w:rsid w:val="005A0E65"/>
    <w:rsid w:val="005A1D73"/>
    <w:rsid w:val="005A28B3"/>
    <w:rsid w:val="005A56B5"/>
    <w:rsid w:val="005A6F28"/>
    <w:rsid w:val="005B1A6A"/>
    <w:rsid w:val="005B2681"/>
    <w:rsid w:val="005B35FE"/>
    <w:rsid w:val="005B36AF"/>
    <w:rsid w:val="005B4907"/>
    <w:rsid w:val="005B5827"/>
    <w:rsid w:val="005B6691"/>
    <w:rsid w:val="005B76B3"/>
    <w:rsid w:val="005C0169"/>
    <w:rsid w:val="005C361B"/>
    <w:rsid w:val="005C4785"/>
    <w:rsid w:val="005C5685"/>
    <w:rsid w:val="005C7DD8"/>
    <w:rsid w:val="005D02AE"/>
    <w:rsid w:val="005D3B7F"/>
    <w:rsid w:val="005D484F"/>
    <w:rsid w:val="005D78BA"/>
    <w:rsid w:val="005E0DB5"/>
    <w:rsid w:val="005E1172"/>
    <w:rsid w:val="005E426C"/>
    <w:rsid w:val="005E5C07"/>
    <w:rsid w:val="005E651B"/>
    <w:rsid w:val="005E6595"/>
    <w:rsid w:val="005E7C4C"/>
    <w:rsid w:val="005F2270"/>
    <w:rsid w:val="006010B7"/>
    <w:rsid w:val="006020C0"/>
    <w:rsid w:val="00605946"/>
    <w:rsid w:val="00611A03"/>
    <w:rsid w:val="00615045"/>
    <w:rsid w:val="006175E8"/>
    <w:rsid w:val="00617849"/>
    <w:rsid w:val="00620C52"/>
    <w:rsid w:val="006276CF"/>
    <w:rsid w:val="00631769"/>
    <w:rsid w:val="00632F0C"/>
    <w:rsid w:val="00634105"/>
    <w:rsid w:val="006423F0"/>
    <w:rsid w:val="006467E0"/>
    <w:rsid w:val="006515E3"/>
    <w:rsid w:val="00651CFD"/>
    <w:rsid w:val="00654641"/>
    <w:rsid w:val="00663EA2"/>
    <w:rsid w:val="00665EDF"/>
    <w:rsid w:val="00666BFE"/>
    <w:rsid w:val="006671B4"/>
    <w:rsid w:val="00670D9B"/>
    <w:rsid w:val="006710C9"/>
    <w:rsid w:val="00671F1C"/>
    <w:rsid w:val="00672648"/>
    <w:rsid w:val="00672FCF"/>
    <w:rsid w:val="006734FF"/>
    <w:rsid w:val="0067596F"/>
    <w:rsid w:val="00675FB5"/>
    <w:rsid w:val="006825A4"/>
    <w:rsid w:val="006832AC"/>
    <w:rsid w:val="0068676B"/>
    <w:rsid w:val="006943D3"/>
    <w:rsid w:val="006956F2"/>
    <w:rsid w:val="00695DBE"/>
    <w:rsid w:val="006A3134"/>
    <w:rsid w:val="006A3C03"/>
    <w:rsid w:val="006A6B36"/>
    <w:rsid w:val="006B1B9D"/>
    <w:rsid w:val="006B7E63"/>
    <w:rsid w:val="006C306E"/>
    <w:rsid w:val="006C331E"/>
    <w:rsid w:val="006C62E5"/>
    <w:rsid w:val="006D3272"/>
    <w:rsid w:val="006D3A51"/>
    <w:rsid w:val="006D58A9"/>
    <w:rsid w:val="006D76F7"/>
    <w:rsid w:val="006E0F5F"/>
    <w:rsid w:val="006E1A81"/>
    <w:rsid w:val="006E2DDE"/>
    <w:rsid w:val="006E3051"/>
    <w:rsid w:val="006F4C95"/>
    <w:rsid w:val="006F5677"/>
    <w:rsid w:val="00701AB8"/>
    <w:rsid w:val="0070389C"/>
    <w:rsid w:val="00705C67"/>
    <w:rsid w:val="007146FC"/>
    <w:rsid w:val="0071476F"/>
    <w:rsid w:val="00716B43"/>
    <w:rsid w:val="007212B1"/>
    <w:rsid w:val="00721E9C"/>
    <w:rsid w:val="007227C1"/>
    <w:rsid w:val="00725562"/>
    <w:rsid w:val="00727D92"/>
    <w:rsid w:val="0073744A"/>
    <w:rsid w:val="00742D4E"/>
    <w:rsid w:val="00752BA7"/>
    <w:rsid w:val="00753C8F"/>
    <w:rsid w:val="007561ED"/>
    <w:rsid w:val="00756B6D"/>
    <w:rsid w:val="007572BA"/>
    <w:rsid w:val="00757EE7"/>
    <w:rsid w:val="00760B2D"/>
    <w:rsid w:val="00761A99"/>
    <w:rsid w:val="00764F56"/>
    <w:rsid w:val="00765CB0"/>
    <w:rsid w:val="00775BD9"/>
    <w:rsid w:val="00780966"/>
    <w:rsid w:val="00787341"/>
    <w:rsid w:val="007912F6"/>
    <w:rsid w:val="00793C82"/>
    <w:rsid w:val="0079404E"/>
    <w:rsid w:val="00794EEA"/>
    <w:rsid w:val="00795D11"/>
    <w:rsid w:val="007A244C"/>
    <w:rsid w:val="007A7D9C"/>
    <w:rsid w:val="007B0E7E"/>
    <w:rsid w:val="007B37CA"/>
    <w:rsid w:val="007B3E62"/>
    <w:rsid w:val="007B4F63"/>
    <w:rsid w:val="007B716B"/>
    <w:rsid w:val="007B759C"/>
    <w:rsid w:val="007C45A4"/>
    <w:rsid w:val="007C4795"/>
    <w:rsid w:val="007C6DDA"/>
    <w:rsid w:val="007D1B69"/>
    <w:rsid w:val="007D47E8"/>
    <w:rsid w:val="007F107B"/>
    <w:rsid w:val="007F3294"/>
    <w:rsid w:val="007F35C2"/>
    <w:rsid w:val="007F5FB7"/>
    <w:rsid w:val="007F79D0"/>
    <w:rsid w:val="008006BD"/>
    <w:rsid w:val="00800DA8"/>
    <w:rsid w:val="00804617"/>
    <w:rsid w:val="0080619E"/>
    <w:rsid w:val="008064B3"/>
    <w:rsid w:val="00806C37"/>
    <w:rsid w:val="00806D63"/>
    <w:rsid w:val="008073CE"/>
    <w:rsid w:val="008126E2"/>
    <w:rsid w:val="00815D64"/>
    <w:rsid w:val="00820A89"/>
    <w:rsid w:val="008224E4"/>
    <w:rsid w:val="00823C1A"/>
    <w:rsid w:val="008340AA"/>
    <w:rsid w:val="008408B7"/>
    <w:rsid w:val="00841A0D"/>
    <w:rsid w:val="008447E9"/>
    <w:rsid w:val="00853F81"/>
    <w:rsid w:val="00856A58"/>
    <w:rsid w:val="00856FD6"/>
    <w:rsid w:val="008606AB"/>
    <w:rsid w:val="00860C4A"/>
    <w:rsid w:val="00864ECA"/>
    <w:rsid w:val="00864F98"/>
    <w:rsid w:val="008703CB"/>
    <w:rsid w:val="00871AC0"/>
    <w:rsid w:val="008726D2"/>
    <w:rsid w:val="00873664"/>
    <w:rsid w:val="00876FEE"/>
    <w:rsid w:val="00877D06"/>
    <w:rsid w:val="00881740"/>
    <w:rsid w:val="00882C01"/>
    <w:rsid w:val="0088515A"/>
    <w:rsid w:val="00885AC5"/>
    <w:rsid w:val="00891AE6"/>
    <w:rsid w:val="00892FC4"/>
    <w:rsid w:val="008A1C9E"/>
    <w:rsid w:val="008A4CE3"/>
    <w:rsid w:val="008A6B9E"/>
    <w:rsid w:val="008A789A"/>
    <w:rsid w:val="008A7B63"/>
    <w:rsid w:val="008B015F"/>
    <w:rsid w:val="008B71AE"/>
    <w:rsid w:val="008C3E6A"/>
    <w:rsid w:val="008C599A"/>
    <w:rsid w:val="008D0DA3"/>
    <w:rsid w:val="008D220D"/>
    <w:rsid w:val="008D6AE8"/>
    <w:rsid w:val="008D71E9"/>
    <w:rsid w:val="008D73D0"/>
    <w:rsid w:val="008E0228"/>
    <w:rsid w:val="008E4C2C"/>
    <w:rsid w:val="008E7892"/>
    <w:rsid w:val="008F6903"/>
    <w:rsid w:val="00902E47"/>
    <w:rsid w:val="009046C7"/>
    <w:rsid w:val="00907148"/>
    <w:rsid w:val="00911DED"/>
    <w:rsid w:val="00912473"/>
    <w:rsid w:val="009126FD"/>
    <w:rsid w:val="00915138"/>
    <w:rsid w:val="00922520"/>
    <w:rsid w:val="0092318D"/>
    <w:rsid w:val="00926593"/>
    <w:rsid w:val="0093286E"/>
    <w:rsid w:val="00933E3B"/>
    <w:rsid w:val="009361B2"/>
    <w:rsid w:val="009365C9"/>
    <w:rsid w:val="0094124B"/>
    <w:rsid w:val="009419C5"/>
    <w:rsid w:val="00954121"/>
    <w:rsid w:val="00954FB2"/>
    <w:rsid w:val="00956CFD"/>
    <w:rsid w:val="009614D5"/>
    <w:rsid w:val="00962EA7"/>
    <w:rsid w:val="00965CF0"/>
    <w:rsid w:val="009757A9"/>
    <w:rsid w:val="0097685A"/>
    <w:rsid w:val="00977842"/>
    <w:rsid w:val="009816D6"/>
    <w:rsid w:val="00982018"/>
    <w:rsid w:val="00983339"/>
    <w:rsid w:val="00984383"/>
    <w:rsid w:val="00984AB4"/>
    <w:rsid w:val="0098747C"/>
    <w:rsid w:val="00993F77"/>
    <w:rsid w:val="0099479E"/>
    <w:rsid w:val="009A1465"/>
    <w:rsid w:val="009A4AFC"/>
    <w:rsid w:val="009A4E43"/>
    <w:rsid w:val="009B143E"/>
    <w:rsid w:val="009B1F6C"/>
    <w:rsid w:val="009B7607"/>
    <w:rsid w:val="009C194B"/>
    <w:rsid w:val="009C1BC1"/>
    <w:rsid w:val="009C7B8C"/>
    <w:rsid w:val="009D1C49"/>
    <w:rsid w:val="009D2AA7"/>
    <w:rsid w:val="009D43F3"/>
    <w:rsid w:val="009D4A12"/>
    <w:rsid w:val="009D56BD"/>
    <w:rsid w:val="009D76DE"/>
    <w:rsid w:val="009E1FA8"/>
    <w:rsid w:val="009E306F"/>
    <w:rsid w:val="009E3E80"/>
    <w:rsid w:val="009E4370"/>
    <w:rsid w:val="009E565F"/>
    <w:rsid w:val="009F39F6"/>
    <w:rsid w:val="009F423C"/>
    <w:rsid w:val="009F7C59"/>
    <w:rsid w:val="00A02195"/>
    <w:rsid w:val="00A0227E"/>
    <w:rsid w:val="00A0556C"/>
    <w:rsid w:val="00A12978"/>
    <w:rsid w:val="00A17193"/>
    <w:rsid w:val="00A174CD"/>
    <w:rsid w:val="00A17EAD"/>
    <w:rsid w:val="00A215ED"/>
    <w:rsid w:val="00A24AB4"/>
    <w:rsid w:val="00A255AF"/>
    <w:rsid w:val="00A26F9F"/>
    <w:rsid w:val="00A31C3A"/>
    <w:rsid w:val="00A32EDF"/>
    <w:rsid w:val="00A3462E"/>
    <w:rsid w:val="00A35BD7"/>
    <w:rsid w:val="00A42FD7"/>
    <w:rsid w:val="00A45948"/>
    <w:rsid w:val="00A4606C"/>
    <w:rsid w:val="00A47B28"/>
    <w:rsid w:val="00A509DA"/>
    <w:rsid w:val="00A536F4"/>
    <w:rsid w:val="00A5559A"/>
    <w:rsid w:val="00A6163C"/>
    <w:rsid w:val="00A621C9"/>
    <w:rsid w:val="00A622C1"/>
    <w:rsid w:val="00A633F6"/>
    <w:rsid w:val="00A653D8"/>
    <w:rsid w:val="00A71D9B"/>
    <w:rsid w:val="00A71F37"/>
    <w:rsid w:val="00A72505"/>
    <w:rsid w:val="00A755DF"/>
    <w:rsid w:val="00A7672B"/>
    <w:rsid w:val="00A76A8F"/>
    <w:rsid w:val="00A804B8"/>
    <w:rsid w:val="00A80AD8"/>
    <w:rsid w:val="00A82F75"/>
    <w:rsid w:val="00A843E1"/>
    <w:rsid w:val="00A90BF1"/>
    <w:rsid w:val="00A92258"/>
    <w:rsid w:val="00A9249A"/>
    <w:rsid w:val="00A92AB0"/>
    <w:rsid w:val="00A93038"/>
    <w:rsid w:val="00A945D1"/>
    <w:rsid w:val="00A94BCA"/>
    <w:rsid w:val="00A95CB6"/>
    <w:rsid w:val="00AA36DC"/>
    <w:rsid w:val="00AA5B9A"/>
    <w:rsid w:val="00AB1539"/>
    <w:rsid w:val="00AB31A2"/>
    <w:rsid w:val="00AC150B"/>
    <w:rsid w:val="00AD193C"/>
    <w:rsid w:val="00AD3DCE"/>
    <w:rsid w:val="00AD49B8"/>
    <w:rsid w:val="00AE6902"/>
    <w:rsid w:val="00AF03AE"/>
    <w:rsid w:val="00AF467F"/>
    <w:rsid w:val="00B02F7E"/>
    <w:rsid w:val="00B03935"/>
    <w:rsid w:val="00B0524B"/>
    <w:rsid w:val="00B068B0"/>
    <w:rsid w:val="00B103CE"/>
    <w:rsid w:val="00B1408E"/>
    <w:rsid w:val="00B14961"/>
    <w:rsid w:val="00B16370"/>
    <w:rsid w:val="00B165EB"/>
    <w:rsid w:val="00B2221A"/>
    <w:rsid w:val="00B23CE1"/>
    <w:rsid w:val="00B24621"/>
    <w:rsid w:val="00B31A1C"/>
    <w:rsid w:val="00B33E68"/>
    <w:rsid w:val="00B34102"/>
    <w:rsid w:val="00B34A8E"/>
    <w:rsid w:val="00B43AD7"/>
    <w:rsid w:val="00B512EE"/>
    <w:rsid w:val="00B522B0"/>
    <w:rsid w:val="00B52679"/>
    <w:rsid w:val="00B53886"/>
    <w:rsid w:val="00B55481"/>
    <w:rsid w:val="00B55900"/>
    <w:rsid w:val="00B567BA"/>
    <w:rsid w:val="00B568CE"/>
    <w:rsid w:val="00B61464"/>
    <w:rsid w:val="00B676B3"/>
    <w:rsid w:val="00B706B1"/>
    <w:rsid w:val="00B707B2"/>
    <w:rsid w:val="00B713A8"/>
    <w:rsid w:val="00B71605"/>
    <w:rsid w:val="00B74EFE"/>
    <w:rsid w:val="00B76288"/>
    <w:rsid w:val="00B76736"/>
    <w:rsid w:val="00B769F2"/>
    <w:rsid w:val="00B76B25"/>
    <w:rsid w:val="00B77A65"/>
    <w:rsid w:val="00B77DC7"/>
    <w:rsid w:val="00B805CD"/>
    <w:rsid w:val="00B84747"/>
    <w:rsid w:val="00B85488"/>
    <w:rsid w:val="00B87F06"/>
    <w:rsid w:val="00B94263"/>
    <w:rsid w:val="00B95A0E"/>
    <w:rsid w:val="00B973FA"/>
    <w:rsid w:val="00B97738"/>
    <w:rsid w:val="00BA3968"/>
    <w:rsid w:val="00BA4C67"/>
    <w:rsid w:val="00BA5732"/>
    <w:rsid w:val="00BA59D8"/>
    <w:rsid w:val="00BA6256"/>
    <w:rsid w:val="00BB704D"/>
    <w:rsid w:val="00BC186D"/>
    <w:rsid w:val="00BC1F18"/>
    <w:rsid w:val="00BC2C89"/>
    <w:rsid w:val="00BC3FB7"/>
    <w:rsid w:val="00BD3A95"/>
    <w:rsid w:val="00BD7206"/>
    <w:rsid w:val="00BD7550"/>
    <w:rsid w:val="00BE15A1"/>
    <w:rsid w:val="00BE42E0"/>
    <w:rsid w:val="00BF3C9E"/>
    <w:rsid w:val="00BF4A7F"/>
    <w:rsid w:val="00BF4BAF"/>
    <w:rsid w:val="00BF4E0B"/>
    <w:rsid w:val="00BF51AD"/>
    <w:rsid w:val="00C0682E"/>
    <w:rsid w:val="00C1741B"/>
    <w:rsid w:val="00C21475"/>
    <w:rsid w:val="00C23912"/>
    <w:rsid w:val="00C248D1"/>
    <w:rsid w:val="00C24966"/>
    <w:rsid w:val="00C305C3"/>
    <w:rsid w:val="00C3314A"/>
    <w:rsid w:val="00C3526F"/>
    <w:rsid w:val="00C35993"/>
    <w:rsid w:val="00C36191"/>
    <w:rsid w:val="00C3709E"/>
    <w:rsid w:val="00C40F35"/>
    <w:rsid w:val="00C411C4"/>
    <w:rsid w:val="00C41FA3"/>
    <w:rsid w:val="00C43700"/>
    <w:rsid w:val="00C4421F"/>
    <w:rsid w:val="00C51633"/>
    <w:rsid w:val="00C524CB"/>
    <w:rsid w:val="00C532CF"/>
    <w:rsid w:val="00C53869"/>
    <w:rsid w:val="00C54B92"/>
    <w:rsid w:val="00C568CA"/>
    <w:rsid w:val="00C65626"/>
    <w:rsid w:val="00C700F4"/>
    <w:rsid w:val="00C703A9"/>
    <w:rsid w:val="00C748ED"/>
    <w:rsid w:val="00C764F0"/>
    <w:rsid w:val="00C90166"/>
    <w:rsid w:val="00C90191"/>
    <w:rsid w:val="00C916C9"/>
    <w:rsid w:val="00C928D9"/>
    <w:rsid w:val="00C94470"/>
    <w:rsid w:val="00C969DD"/>
    <w:rsid w:val="00CA074B"/>
    <w:rsid w:val="00CA3BBF"/>
    <w:rsid w:val="00CA794A"/>
    <w:rsid w:val="00CB0899"/>
    <w:rsid w:val="00CB3224"/>
    <w:rsid w:val="00CB3237"/>
    <w:rsid w:val="00CB44DC"/>
    <w:rsid w:val="00CB60D9"/>
    <w:rsid w:val="00CD444E"/>
    <w:rsid w:val="00CD4798"/>
    <w:rsid w:val="00CE002E"/>
    <w:rsid w:val="00CE243D"/>
    <w:rsid w:val="00CE373B"/>
    <w:rsid w:val="00CE4B78"/>
    <w:rsid w:val="00CE5334"/>
    <w:rsid w:val="00CF4B75"/>
    <w:rsid w:val="00CF5BBA"/>
    <w:rsid w:val="00CF6DD4"/>
    <w:rsid w:val="00CF7F64"/>
    <w:rsid w:val="00D00F1D"/>
    <w:rsid w:val="00D02186"/>
    <w:rsid w:val="00D05431"/>
    <w:rsid w:val="00D06E45"/>
    <w:rsid w:val="00D07442"/>
    <w:rsid w:val="00D07858"/>
    <w:rsid w:val="00D159DE"/>
    <w:rsid w:val="00D20F89"/>
    <w:rsid w:val="00D26C81"/>
    <w:rsid w:val="00D34497"/>
    <w:rsid w:val="00D42000"/>
    <w:rsid w:val="00D43444"/>
    <w:rsid w:val="00D449C1"/>
    <w:rsid w:val="00D46663"/>
    <w:rsid w:val="00D46E79"/>
    <w:rsid w:val="00D50422"/>
    <w:rsid w:val="00D508C3"/>
    <w:rsid w:val="00D5746A"/>
    <w:rsid w:val="00D57EAD"/>
    <w:rsid w:val="00D60958"/>
    <w:rsid w:val="00D6205F"/>
    <w:rsid w:val="00D62B9C"/>
    <w:rsid w:val="00D64D68"/>
    <w:rsid w:val="00D656A5"/>
    <w:rsid w:val="00D70DE3"/>
    <w:rsid w:val="00D734E2"/>
    <w:rsid w:val="00D740B8"/>
    <w:rsid w:val="00D75EF0"/>
    <w:rsid w:val="00D76A23"/>
    <w:rsid w:val="00D81FA1"/>
    <w:rsid w:val="00D825DD"/>
    <w:rsid w:val="00D82B99"/>
    <w:rsid w:val="00D85DC0"/>
    <w:rsid w:val="00D873C1"/>
    <w:rsid w:val="00D93432"/>
    <w:rsid w:val="00D9508C"/>
    <w:rsid w:val="00DA0E14"/>
    <w:rsid w:val="00DA2994"/>
    <w:rsid w:val="00DA47E2"/>
    <w:rsid w:val="00DB1204"/>
    <w:rsid w:val="00DB2BE1"/>
    <w:rsid w:val="00DB2F85"/>
    <w:rsid w:val="00DB51FA"/>
    <w:rsid w:val="00DB5E7D"/>
    <w:rsid w:val="00DC05DC"/>
    <w:rsid w:val="00DC2A2F"/>
    <w:rsid w:val="00DC4922"/>
    <w:rsid w:val="00DC553D"/>
    <w:rsid w:val="00DC65A9"/>
    <w:rsid w:val="00DD0AAA"/>
    <w:rsid w:val="00DD4484"/>
    <w:rsid w:val="00DD6EDE"/>
    <w:rsid w:val="00DE041D"/>
    <w:rsid w:val="00DE0873"/>
    <w:rsid w:val="00DE306F"/>
    <w:rsid w:val="00DE3384"/>
    <w:rsid w:val="00DE3C24"/>
    <w:rsid w:val="00DE4617"/>
    <w:rsid w:val="00DE46B0"/>
    <w:rsid w:val="00DF2FC9"/>
    <w:rsid w:val="00E03FA1"/>
    <w:rsid w:val="00E114F3"/>
    <w:rsid w:val="00E12E35"/>
    <w:rsid w:val="00E13370"/>
    <w:rsid w:val="00E14EBE"/>
    <w:rsid w:val="00E232A6"/>
    <w:rsid w:val="00E25C0C"/>
    <w:rsid w:val="00E2624F"/>
    <w:rsid w:val="00E33540"/>
    <w:rsid w:val="00E339D0"/>
    <w:rsid w:val="00E34291"/>
    <w:rsid w:val="00E35426"/>
    <w:rsid w:val="00E418BA"/>
    <w:rsid w:val="00E420AD"/>
    <w:rsid w:val="00E44051"/>
    <w:rsid w:val="00E46BA5"/>
    <w:rsid w:val="00E472D4"/>
    <w:rsid w:val="00E47A0A"/>
    <w:rsid w:val="00E5460F"/>
    <w:rsid w:val="00E55040"/>
    <w:rsid w:val="00E72306"/>
    <w:rsid w:val="00E7399B"/>
    <w:rsid w:val="00E739E8"/>
    <w:rsid w:val="00E74500"/>
    <w:rsid w:val="00E810A4"/>
    <w:rsid w:val="00E8156F"/>
    <w:rsid w:val="00E83C2F"/>
    <w:rsid w:val="00E84823"/>
    <w:rsid w:val="00E86D65"/>
    <w:rsid w:val="00E930D2"/>
    <w:rsid w:val="00E93EC2"/>
    <w:rsid w:val="00EA10B1"/>
    <w:rsid w:val="00EA4672"/>
    <w:rsid w:val="00EB181C"/>
    <w:rsid w:val="00EB334E"/>
    <w:rsid w:val="00EB4637"/>
    <w:rsid w:val="00EB5A36"/>
    <w:rsid w:val="00EB5B9E"/>
    <w:rsid w:val="00EC0B2D"/>
    <w:rsid w:val="00EC31D7"/>
    <w:rsid w:val="00EC38AF"/>
    <w:rsid w:val="00EC4ABE"/>
    <w:rsid w:val="00EC5126"/>
    <w:rsid w:val="00EC5CB0"/>
    <w:rsid w:val="00EC6260"/>
    <w:rsid w:val="00ED1CAA"/>
    <w:rsid w:val="00EE0982"/>
    <w:rsid w:val="00EE2C55"/>
    <w:rsid w:val="00EE41EC"/>
    <w:rsid w:val="00EE72D7"/>
    <w:rsid w:val="00EF02B2"/>
    <w:rsid w:val="00EF0863"/>
    <w:rsid w:val="00EF0D3A"/>
    <w:rsid w:val="00EF3514"/>
    <w:rsid w:val="00EF5E19"/>
    <w:rsid w:val="00F0497A"/>
    <w:rsid w:val="00F04F6C"/>
    <w:rsid w:val="00F050C0"/>
    <w:rsid w:val="00F05C8E"/>
    <w:rsid w:val="00F109EB"/>
    <w:rsid w:val="00F12D64"/>
    <w:rsid w:val="00F13925"/>
    <w:rsid w:val="00F15314"/>
    <w:rsid w:val="00F17ACE"/>
    <w:rsid w:val="00F17DB8"/>
    <w:rsid w:val="00F27A79"/>
    <w:rsid w:val="00F32954"/>
    <w:rsid w:val="00F350A5"/>
    <w:rsid w:val="00F360F5"/>
    <w:rsid w:val="00F40946"/>
    <w:rsid w:val="00F41086"/>
    <w:rsid w:val="00F42D1D"/>
    <w:rsid w:val="00F45561"/>
    <w:rsid w:val="00F45FA0"/>
    <w:rsid w:val="00F46777"/>
    <w:rsid w:val="00F471EF"/>
    <w:rsid w:val="00F50AB4"/>
    <w:rsid w:val="00F50C98"/>
    <w:rsid w:val="00F5545D"/>
    <w:rsid w:val="00F60E58"/>
    <w:rsid w:val="00F63909"/>
    <w:rsid w:val="00F6491B"/>
    <w:rsid w:val="00F65F2F"/>
    <w:rsid w:val="00F66BE7"/>
    <w:rsid w:val="00F71C94"/>
    <w:rsid w:val="00F72D18"/>
    <w:rsid w:val="00F733E0"/>
    <w:rsid w:val="00F73806"/>
    <w:rsid w:val="00F73C0B"/>
    <w:rsid w:val="00F75FDA"/>
    <w:rsid w:val="00F77220"/>
    <w:rsid w:val="00F828EB"/>
    <w:rsid w:val="00F83B83"/>
    <w:rsid w:val="00F856E9"/>
    <w:rsid w:val="00F91EBC"/>
    <w:rsid w:val="00F9691B"/>
    <w:rsid w:val="00F96CC1"/>
    <w:rsid w:val="00FA3008"/>
    <w:rsid w:val="00FA5FE3"/>
    <w:rsid w:val="00FA6077"/>
    <w:rsid w:val="00FA77E7"/>
    <w:rsid w:val="00FB2C55"/>
    <w:rsid w:val="00FB3621"/>
    <w:rsid w:val="00FB3A31"/>
    <w:rsid w:val="00FC09A0"/>
    <w:rsid w:val="00FC325D"/>
    <w:rsid w:val="00FC35EA"/>
    <w:rsid w:val="00FC4327"/>
    <w:rsid w:val="00FD049F"/>
    <w:rsid w:val="00FE2ACA"/>
    <w:rsid w:val="00FE2C3C"/>
    <w:rsid w:val="00FE315B"/>
    <w:rsid w:val="00FE7EA3"/>
    <w:rsid w:val="00FF0746"/>
    <w:rsid w:val="00FF2660"/>
    <w:rsid w:val="00FF383E"/>
    <w:rsid w:val="00FF43F5"/>
    <w:rsid w:val="00FF6026"/>
    <w:rsid w:val="040168D1"/>
    <w:rsid w:val="09B4687D"/>
    <w:rsid w:val="0FB33569"/>
    <w:rsid w:val="1099E001"/>
    <w:rsid w:val="11B3E1E0"/>
    <w:rsid w:val="170A9DD2"/>
    <w:rsid w:val="18D05918"/>
    <w:rsid w:val="1905675E"/>
    <w:rsid w:val="190B926E"/>
    <w:rsid w:val="19434C61"/>
    <w:rsid w:val="1958ACBD"/>
    <w:rsid w:val="1B530A6C"/>
    <w:rsid w:val="1FBEEBC9"/>
    <w:rsid w:val="20353CAB"/>
    <w:rsid w:val="225DAA7E"/>
    <w:rsid w:val="23494677"/>
    <w:rsid w:val="250ACB92"/>
    <w:rsid w:val="288727C2"/>
    <w:rsid w:val="288A6108"/>
    <w:rsid w:val="28D78DA6"/>
    <w:rsid w:val="2A1FD4BE"/>
    <w:rsid w:val="2F7BCE35"/>
    <w:rsid w:val="3420AE3F"/>
    <w:rsid w:val="36E7BB56"/>
    <w:rsid w:val="3C0DD26A"/>
    <w:rsid w:val="3F0EE72D"/>
    <w:rsid w:val="4216D795"/>
    <w:rsid w:val="4495982A"/>
    <w:rsid w:val="44B77564"/>
    <w:rsid w:val="45ADF715"/>
    <w:rsid w:val="45C20331"/>
    <w:rsid w:val="4C1BA502"/>
    <w:rsid w:val="4FC59EDC"/>
    <w:rsid w:val="503DE061"/>
    <w:rsid w:val="512B8816"/>
    <w:rsid w:val="527FA7DA"/>
    <w:rsid w:val="528FE949"/>
    <w:rsid w:val="530BB453"/>
    <w:rsid w:val="54A2C95F"/>
    <w:rsid w:val="57106895"/>
    <w:rsid w:val="5937C0E4"/>
    <w:rsid w:val="594088A9"/>
    <w:rsid w:val="5C451C5F"/>
    <w:rsid w:val="5E245202"/>
    <w:rsid w:val="5FA26A9F"/>
    <w:rsid w:val="60BDE520"/>
    <w:rsid w:val="633686B6"/>
    <w:rsid w:val="695413D3"/>
    <w:rsid w:val="712C0A6D"/>
    <w:rsid w:val="71E6E887"/>
    <w:rsid w:val="73C7185F"/>
    <w:rsid w:val="75FC7447"/>
    <w:rsid w:val="770D5D1D"/>
    <w:rsid w:val="7948EFE4"/>
    <w:rsid w:val="795C0AA5"/>
    <w:rsid w:val="7B5AC040"/>
    <w:rsid w:val="7D25A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779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4F3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E114F3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3D3122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3D3122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E114F3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E114F3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E114F3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E114F3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E114F3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E114F3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Title">
    <w:name w:val="TableTitle"/>
    <w:basedOn w:val="Normal"/>
    <w:next w:val="Normal"/>
    <w:link w:val="TableTitleChar"/>
    <w:rsid w:val="00E114F3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E114F3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E114F3"/>
    <w:rPr>
      <w:rFonts w:ascii="Verdana" w:hAnsi="Verdana" w:cs="Times New Roman"/>
      <w:b/>
      <w:bCs/>
      <w:sz w:val="20"/>
      <w:u w:val="single"/>
    </w:rPr>
  </w:style>
  <w:style w:type="paragraph" w:customStyle="1" w:styleId="InstructionsText2">
    <w:name w:val="Instructions Text 2"/>
    <w:basedOn w:val="Normal"/>
    <w:qFormat/>
    <w:rsid w:val="00E114F3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E114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4F3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E114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4F3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241FEC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095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5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5D07"/>
    <w:rPr>
      <w:rFonts w:eastAsiaTheme="minorEastAsia"/>
      <w:sz w:val="20"/>
      <w:szCs w:val="20"/>
      <w:lang w:val="sk-SK"/>
    </w:rPr>
  </w:style>
  <w:style w:type="paragraph" w:customStyle="1" w:styleId="numberedparagraph">
    <w:name w:val="numbered paragraph"/>
    <w:basedOn w:val="Normal"/>
    <w:qFormat/>
    <w:rsid w:val="00095D07"/>
    <w:pPr>
      <w:numPr>
        <w:numId w:val="7"/>
      </w:numPr>
      <w:spacing w:before="240" w:after="120" w:line="276" w:lineRule="auto"/>
      <w:jc w:val="both"/>
    </w:pPr>
  </w:style>
  <w:style w:type="paragraph" w:customStyle="1" w:styleId="paragraph">
    <w:name w:val="paragraph"/>
    <w:basedOn w:val="Normal"/>
    <w:rsid w:val="00095D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095D07"/>
  </w:style>
  <w:style w:type="character" w:customStyle="1" w:styleId="eop">
    <w:name w:val="eop"/>
    <w:basedOn w:val="DefaultParagraphFont"/>
    <w:rsid w:val="00095D07"/>
  </w:style>
  <w:style w:type="character" w:styleId="Mention">
    <w:name w:val="Mention"/>
    <w:basedOn w:val="DefaultParagraphFont"/>
    <w:uiPriority w:val="99"/>
    <w:unhideWhenUsed/>
    <w:rsid w:val="00095D07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00"/>
    <w:rPr>
      <w:rFonts w:eastAsiaTheme="minorEastAsia"/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97FCB-9E4A-4741-9004-D2C005DA7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08509C-EC97-4E03-9C5A-5BF6BC9E13E6}"/>
</file>

<file path=customXml/itemProps3.xml><?xml version="1.0" encoding="utf-8"?>
<ds:datastoreItem xmlns:ds="http://schemas.openxmlformats.org/officeDocument/2006/customXml" ds:itemID="{BA1D4586-8221-4964-ACC7-3C4055FF4A86}"/>
</file>

<file path=customXml/itemProps4.xml><?xml version="1.0" encoding="utf-8"?>
<ds:datastoreItem xmlns:ds="http://schemas.openxmlformats.org/officeDocument/2006/customXml" ds:itemID="{DB67D2A4-4DD2-48F9-A1E1-D55A2E33B58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3498</Words>
  <Characters>19560</Characters>
  <Application>Microsoft Office Word</Application>
  <DocSecurity>0</DocSecurity>
  <Lines>444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22835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2024-01-16T19:59:00Z</dcterms:created>
  <dcterms:modified xsi:type="dcterms:W3CDTF">2024-10-15T14:15:00Z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2024-09-26T14:33:15Z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1b3d45c3-b119-4dc7-a546-67a8ee009990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