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VI PRIEDAS. Informacijos apie reguliavimo sistemos taikymo sritį atskleidimo nurodymai</w:t>
      </w:r>
    </w:p>
    <w:p w14:paraId="4DDCFE1F" w14:textId="77777777" w:rsidR="00C04D6C" w:rsidRPr="007F4CC8" w:rsidRDefault="00C04D6C" w:rsidP="00C04D6C">
      <w:pPr>
        <w:rPr>
          <w:rFonts w:ascii="Times New Roman" w:hAnsi="Times New Roman" w:cs="Times New Roman"/>
          <w:b/>
          <w:sz w:val="24"/>
        </w:rPr>
      </w:pPr>
    </w:p>
    <w:p w14:paraId="320DC4CD" w14:textId="1623A0E9" w:rsidR="00C04D6C" w:rsidRPr="007F4CC8" w:rsidRDefault="00C04D6C" w:rsidP="00C04D6C">
      <w:pPr>
        <w:rPr>
          <w:rFonts w:ascii="Times New Roman" w:hAnsi="Times New Roman" w:cs="Times New Roman"/>
          <w:b/>
          <w:sz w:val="24"/>
        </w:rPr>
      </w:pPr>
      <w:r>
        <w:rPr>
          <w:rFonts w:ascii="Times New Roman" w:hAnsi="Times New Roman"/>
          <w:b/>
          <w:sz w:val="24"/>
        </w:rPr>
        <w:t xml:space="preserve">EU LI1 forma. Apskaitos ir </w:t>
      </w:r>
      <w:proofErr w:type="spellStart"/>
      <w:r>
        <w:rPr>
          <w:rFonts w:ascii="Times New Roman" w:hAnsi="Times New Roman"/>
          <w:b/>
          <w:sz w:val="24"/>
        </w:rPr>
        <w:t>prudencinio</w:t>
      </w:r>
      <w:proofErr w:type="spellEnd"/>
      <w:r>
        <w:rPr>
          <w:rFonts w:ascii="Times New Roman" w:hAnsi="Times New Roman"/>
          <w:b/>
          <w:sz w:val="24"/>
        </w:rPr>
        <w:t xml:space="preserve"> konsolidavimo apimčių skirtumai ir finansinių ataskaitų kategorijų priskyrimas prie reguliavimo rizikos kategorijų</w:t>
      </w:r>
      <w:r>
        <w:rPr>
          <w:rFonts w:ascii="Times New Roman" w:hAnsi="Times New Roman"/>
          <w:sz w:val="24"/>
        </w:rPr>
        <w:t xml:space="preserve"> </w:t>
      </w:r>
      <w:r w:rsidR="00EF3906">
        <w:rPr>
          <w:rFonts w:ascii="Times New Roman" w:hAnsi="Times New Roman"/>
          <w:sz w:val="24"/>
        </w:rPr>
        <w:t>(l</w:t>
      </w:r>
      <w:r>
        <w:rPr>
          <w:rFonts w:ascii="Times New Roman" w:hAnsi="Times New Roman"/>
          <w:sz w:val="24"/>
        </w:rPr>
        <w:t>ankstusis formatas</w:t>
      </w:r>
      <w:r w:rsidR="00EF3906">
        <w:rPr>
          <w:rFonts w:ascii="Times New Roman" w:hAnsi="Times New Roman"/>
          <w:sz w:val="24"/>
        </w:rPr>
        <w:t>)</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Pildydamos EBI IT sprendimų V priede pateiktą EU LI1 formą įstaigos atskleidžia Reglamento (ES) Nr. 575/2013</w:t>
      </w:r>
      <w:r>
        <w:rPr>
          <w:rStyle w:val="FootnoteReference"/>
        </w:rPr>
        <w:footnoteReference w:id="1"/>
      </w:r>
      <w:r>
        <w:rPr>
          <w:rFonts w:ascii="Times New Roman" w:hAnsi="Times New Roman"/>
          <w:sz w:val="24"/>
        </w:rPr>
        <w:t xml:space="preserve"> (toliau – KRR) 436 straipsnio c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t>Nuorodos į teisės aktus ir nurodymai</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rFonts w:ascii="Times New Roman" w:hAnsi="Times New Roman" w:cs="Times New Roman"/>
                <w:sz w:val="24"/>
              </w:rPr>
            </w:pPr>
            <w:r>
              <w:rPr>
                <w:rFonts w:ascii="Times New Roman" w:hAnsi="Times New Roman"/>
                <w:sz w:val="24"/>
              </w:rPr>
              <w:t>1–XXX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Visas turtas </w:t>
            </w:r>
          </w:p>
          <w:p w14:paraId="77036C7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Eilučių struktūra atitinka įstaigos naujausios esamos finansinės atskaitomybės balanso eilučių struktūrą. </w:t>
            </w:r>
          </w:p>
          <w:p w14:paraId="596558D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Finansinė atskaitomybė reiškia metines individualias ar konsoliduotąsias finansines ataskaitas, apibrėžtas Direktyvos 2013/34/ES</w:t>
            </w:r>
            <w:r>
              <w:rPr>
                <w:rStyle w:val="FootnoteReference"/>
                <w:rFonts w:eastAsia="Times New Roman" w:cs="Times New Roman"/>
              </w:rPr>
              <w:footnoteReference w:id="2"/>
            </w:r>
            <w:r>
              <w:rPr>
                <w:rFonts w:ascii="Times New Roman" w:hAnsi="Times New Roman"/>
                <w:sz w:val="24"/>
              </w:rPr>
              <w:t xml:space="preserve"> 4 ir 24 straipsniuose, taip pat (jei taikoma) finansines ataskaitas, kaip apibrėžta tarptautiniuose apskaitos standartuose, patvirtintuose Europos Sąjungoje taikant Reglamentą (EB) Nr. 1606/2002</w:t>
            </w:r>
            <w:r>
              <w:rPr>
                <w:rStyle w:val="FootnoteReference"/>
                <w:rFonts w:eastAsia="Times New Roman" w:cs="Times New Roman"/>
              </w:rPr>
              <w:footnoteReference w:id="3"/>
            </w:r>
            <w:r>
              <w:rPr>
                <w:rFonts w:ascii="Times New Roman" w:hAnsi="Times New Roman"/>
                <w:sz w:val="24"/>
              </w:rPr>
              <w:t>.</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rFonts w:ascii="Times New Roman" w:hAnsi="Times New Roman" w:cs="Times New Roman"/>
                <w:sz w:val="24"/>
              </w:rPr>
            </w:pPr>
            <w:r>
              <w:rPr>
                <w:rFonts w:ascii="Times New Roman" w:hAnsi="Times New Roman"/>
                <w:sz w:val="24"/>
              </w:rPr>
              <w:t>1–XXX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Visi įsipareigojimai</w:t>
            </w:r>
          </w:p>
          <w:p w14:paraId="3FFCF1F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Eilučių struktūra atitinka įstaigos naujausios esamos finansinės atskaitomybės balanso eilučių struktūrą. </w:t>
            </w:r>
          </w:p>
          <w:p w14:paraId="65DBAE9A"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Finansinė atskaitomybė reiškia metines individualias ar konsoliduotąsias finansines ataskaitas, apibrėžtas Direktyvos 2013/34/ES 4 ir 24 straipsniuose, taip pat (jei taikoma) finansines ataskaitas, kaip apibrėžta tarptautiniuose apskaitos standartuose, patvirtintuose Europos Sąjungoje taikant Reglamentą (EB) Nr. 1606/2002.</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t>Nuorodos į teisės aktus ir nurodymai</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Skilties nuoroda</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189A484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Paskelbtose finansinėse ataskaitose nurodytos balansinės vertės</w:t>
            </w:r>
          </w:p>
          <w:p w14:paraId="71D45C87" w14:textId="7777777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lastRenderedPageBreak/>
              <w:t>Suma, nurodyta pagal taikytinos apskaitos sistemos, įskaitant direktyvomis 2013/34/ES ir 86/635/EEB</w:t>
            </w:r>
            <w:r>
              <w:rPr>
                <w:rStyle w:val="FootnoteReference"/>
                <w:rFonts w:eastAsia="Times New Roman" w:cs="Times New Roman"/>
              </w:rPr>
              <w:footnoteReference w:id="4"/>
            </w:r>
            <w:r>
              <w:rPr>
                <w:rFonts w:ascii="Times New Roman" w:hAnsi="Times New Roman"/>
                <w:sz w:val="24"/>
              </w:rPr>
              <w:t xml:space="preserve"> grindžiamas sistemas, arba Europos Sąjungoje patvirtintų tarptautinių apskaitos standartų konsolidavimo reikalavimus parengto balanso turto pusėje ir įsipareigojimų pusėje.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b</w:t>
            </w:r>
          </w:p>
        </w:tc>
        <w:tc>
          <w:tcPr>
            <w:tcW w:w="7655" w:type="dxa"/>
            <w:shd w:val="clear" w:color="auto" w:fill="FFFFFF" w:themeFill="background1"/>
          </w:tcPr>
          <w:p w14:paraId="77E7A6A9"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Balansinės vertės pagal </w:t>
            </w:r>
            <w:proofErr w:type="spellStart"/>
            <w:r>
              <w:rPr>
                <w:rFonts w:ascii="Times New Roman" w:hAnsi="Times New Roman"/>
                <w:b/>
                <w:sz w:val="24"/>
              </w:rPr>
              <w:t>prudencinio</w:t>
            </w:r>
            <w:proofErr w:type="spellEnd"/>
            <w:r>
              <w:rPr>
                <w:rFonts w:ascii="Times New Roman" w:hAnsi="Times New Roman"/>
                <w:b/>
                <w:sz w:val="24"/>
              </w:rPr>
              <w:t xml:space="preserve"> konsolidavimo apimtį </w:t>
            </w:r>
          </w:p>
          <w:p w14:paraId="0CF19370" w14:textId="77777777" w:rsidR="00C04D6C" w:rsidRPr="007F4CC8" w:rsidRDefault="00C04D6C" w:rsidP="00D819DE">
            <w:pPr>
              <w:jc w:val="both"/>
              <w:rPr>
                <w:rFonts w:ascii="Times New Roman" w:hAnsi="Times New Roman" w:cs="Times New Roman"/>
                <w:sz w:val="24"/>
              </w:rPr>
            </w:pPr>
            <w:r>
              <w:rPr>
                <w:rFonts w:ascii="Times New Roman" w:hAnsi="Times New Roman"/>
                <w:sz w:val="24"/>
              </w:rPr>
              <w:t>Suma, nurodyta pagal KRR pirmos dalies II antraštinės dalies 2 ir 3 skirsnių reguliuojamojo konsolidavimo reikalavimus parengto balanso turto pusėje ir įsipareigojimų pusėje.</w:t>
            </w:r>
          </w:p>
          <w:p w14:paraId="2AB1F4D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 xml:space="preserve">Jei apskaitos konsolidavimo apimtis ir </w:t>
            </w:r>
            <w:proofErr w:type="spellStart"/>
            <w:r>
              <w:rPr>
                <w:rFonts w:ascii="Times New Roman" w:hAnsi="Times New Roman"/>
                <w:sz w:val="24"/>
              </w:rPr>
              <w:t>prudencinio</w:t>
            </w:r>
            <w:proofErr w:type="spellEnd"/>
            <w:r>
              <w:rPr>
                <w:rFonts w:ascii="Times New Roman" w:hAnsi="Times New Roman"/>
                <w:sz w:val="24"/>
              </w:rPr>
              <w:t xml:space="preserve"> konsolidavimo apimtis visiškai vienodos, šios formos a ir b skiltys sujungiamos.</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63176B4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Straipsnių, kuriems taikoma kredito rizikos sistema, balansinės vertės</w:t>
            </w:r>
          </w:p>
          <w:p w14:paraId="147B3513"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 xml:space="preserve">Straipsnių (išskyrus nebalansinius straipsnius), kuriems taikomi KRR trečios dalies II antraštinės dalies 2 ir 3 skyriai, balansinės vertės pagal </w:t>
            </w:r>
            <w:proofErr w:type="spellStart"/>
            <w:r>
              <w:rPr>
                <w:rFonts w:ascii="Times New Roman" w:hAnsi="Times New Roman"/>
                <w:sz w:val="24"/>
              </w:rPr>
              <w:t>prudencinio</w:t>
            </w:r>
            <w:proofErr w:type="spellEnd"/>
            <w:r>
              <w:rPr>
                <w:rFonts w:ascii="Times New Roman" w:hAnsi="Times New Roman"/>
                <w:sz w:val="24"/>
              </w:rPr>
              <w:t xml:space="preserve"> konsolidavimo apimtį.</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rFonts w:ascii="Times New Roman" w:eastAsia="Times New Roman" w:hAnsi="Times New Roman" w:cs="Times New Roman"/>
                <w:b/>
                <w:sz w:val="24"/>
              </w:rPr>
            </w:pPr>
            <w:r>
              <w:rPr>
                <w:rFonts w:ascii="Times New Roman" w:hAnsi="Times New Roman"/>
                <w:b/>
                <w:sz w:val="24"/>
              </w:rPr>
              <w:t>Straipsnių, kuriems taikoma sandorio šalies kredito rizikos sistema, balansinės vertės</w:t>
            </w:r>
          </w:p>
          <w:p w14:paraId="64D3EA20"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 xml:space="preserve">Straipsnių (išskyrus nebalansinius straipsnius), kuriems taikomas KRR trečios dalies II antraštinės dalies 6 skyrius, balansinės vertės pagal </w:t>
            </w:r>
            <w:proofErr w:type="spellStart"/>
            <w:r>
              <w:rPr>
                <w:rFonts w:ascii="Times New Roman" w:hAnsi="Times New Roman"/>
                <w:sz w:val="24"/>
              </w:rPr>
              <w:t>prudencinio</w:t>
            </w:r>
            <w:proofErr w:type="spellEnd"/>
            <w:r>
              <w:rPr>
                <w:rFonts w:ascii="Times New Roman" w:hAnsi="Times New Roman"/>
                <w:sz w:val="24"/>
              </w:rPr>
              <w:t xml:space="preserve"> konsolidavimo apimtį.</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Straipsnių, kuriems taikoma pakeitimo vertybiniais popieriais sistema, balansinės vertės </w:t>
            </w:r>
          </w:p>
          <w:p w14:paraId="7880C10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 xml:space="preserve">Ne prekybos knygos straipsnių (išskyrus nebalansinius straipsnius), kuriems taikomas KRR trečios dalies II antraštinės dalies 5 skyrius, balansinės vertės pagal </w:t>
            </w:r>
            <w:proofErr w:type="spellStart"/>
            <w:r>
              <w:rPr>
                <w:rFonts w:ascii="Times New Roman" w:hAnsi="Times New Roman"/>
                <w:sz w:val="24"/>
              </w:rPr>
              <w:t>prudencinio</w:t>
            </w:r>
            <w:proofErr w:type="spellEnd"/>
            <w:r>
              <w:rPr>
                <w:rFonts w:ascii="Times New Roman" w:hAnsi="Times New Roman"/>
                <w:sz w:val="24"/>
              </w:rPr>
              <w:t xml:space="preserve"> konsolidavimo apimtį.</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Straipsnių, kuriems taikoma rinkos rizikos sistema, balansinės vertės</w:t>
            </w:r>
          </w:p>
          <w:p w14:paraId="2081B8AC"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 xml:space="preserve">Straipsnių (išskyrus nebalansinius straipsnius), kuriems taikoma KRR trečios dalies IV antraštinė dalis, balansinės vertės pagal </w:t>
            </w:r>
            <w:proofErr w:type="spellStart"/>
            <w:r>
              <w:rPr>
                <w:rFonts w:ascii="Times New Roman" w:hAnsi="Times New Roman"/>
                <w:sz w:val="24"/>
              </w:rPr>
              <w:t>prudencinio</w:t>
            </w:r>
            <w:proofErr w:type="spellEnd"/>
            <w:r>
              <w:rPr>
                <w:rFonts w:ascii="Times New Roman" w:hAnsi="Times New Roman"/>
                <w:sz w:val="24"/>
              </w:rPr>
              <w:t xml:space="preserve"> konsolidavimo apimtį. Į šią skiltį įtraukiami į prekybos knygą įtrauktas pakeitimo vertybiniais popieriais pozicijas atitinkantys straipsniai, kuriems taikomi KRR trečios dalies IV antraštinės dalies reikalavimai.</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Straipsnių, kuriems netaikomi nuosavų lėšų reikalavimai ir kurie atskaitomi iš nuosavų lėšų, balansinės vertės</w:t>
            </w:r>
          </w:p>
          <w:p w14:paraId="2DE2BC8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 xml:space="preserve">Straipsnių (išskyrus nebalansinius straipsnius), kuriems pagal KRR netaikomi nuosavų lėšų reikalavimai, balansinės vertės pagal </w:t>
            </w:r>
            <w:proofErr w:type="spellStart"/>
            <w:r>
              <w:rPr>
                <w:rFonts w:ascii="Times New Roman" w:hAnsi="Times New Roman"/>
                <w:sz w:val="24"/>
              </w:rPr>
              <w:t>prudencinio</w:t>
            </w:r>
            <w:proofErr w:type="spellEnd"/>
            <w:r>
              <w:rPr>
                <w:rFonts w:ascii="Times New Roman" w:hAnsi="Times New Roman"/>
                <w:sz w:val="24"/>
              </w:rPr>
              <w:t xml:space="preserve"> konsolidavimo apimtį; straipsnių (išskyrus nebalansinius straipsnius), kurie pagal KRR antrą dalį atskaitomi iš nuosavų lėšų, balansinės vertės pagal </w:t>
            </w:r>
            <w:proofErr w:type="spellStart"/>
            <w:r>
              <w:rPr>
                <w:rFonts w:ascii="Times New Roman" w:hAnsi="Times New Roman"/>
                <w:sz w:val="24"/>
              </w:rPr>
              <w:t>prudencinio</w:t>
            </w:r>
            <w:proofErr w:type="spellEnd"/>
            <w:r>
              <w:rPr>
                <w:rFonts w:ascii="Times New Roman" w:hAnsi="Times New Roman"/>
                <w:sz w:val="24"/>
              </w:rPr>
              <w:t xml:space="preserve"> konsolidavimo apimtį.</w:t>
            </w:r>
          </w:p>
          <w:p w14:paraId="6E671A99"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 xml:space="preserve">Atskaitytus straipsnius gali sudaryti, pavyzdžiui, KRR 37, 38, 39 ir 41 straipsniuose išvardyti straipsniai. </w:t>
            </w:r>
          </w:p>
          <w:p w14:paraId="0474491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lastRenderedPageBreak/>
              <w:t>Turto sumos yra faktiškai iš nuosavų lėšų atskaitytos sumos, atsižvelgiant į bet kokį užskaitymą su įsipareigojimais, leidžiamą taikant atskaitymą (ir bet kokią atskaitymo ribinę vertę) pagal atitinkamus KRR antros dalies straipsnius.</w:t>
            </w:r>
          </w:p>
          <w:p w14:paraId="7C247A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Jei KRR 36 straipsnio 1 dalies k punkte ir 48 straipsnyje išvardyti straipsniai ne atskaitomi, bet jiems pritaikomas 1 250 % rizikos koeficientas, jie yra atskleidžiami ne šios formos g skiltyje, bet kitose atitinkamose EU LI1 formos skiltyse. Tai taip pat taikoma visiems kitiems straipsniams, kuriems pritaikytas 1 250 % rizikos koeficientas laikantis KRR nustatytų reikalavimų.</w:t>
            </w:r>
          </w:p>
          <w:p w14:paraId="1E8AD1D2"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Įsipareigojimų suma yra įsipareigojimų suma, į kurią turi būti atsižvelgiama nustatant iš nuosavų lėšų pagal atitinkamus KRR antros dalies straipsnius atskaitytiną turto sumą. Be to, šioje skiltyje atskleidžiami visi įsipareigojimai, išskyrus tuos, kurie yra svarbūs taikant: i) KRR trečios dalies II antraštinės dalies 4 skyriaus reikalavimus arba ii) KRR trečios dalies II antraštinės dalies 6 skyriaus ir IV antraštinės dalies reikalavimus.</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visi</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Jei pavieniam straipsniui kapitalo reikalavimai taikomi pagal daugiau kaip vieną rizikos sistemą, vertės nurodomos visose jam taikomus kapitalo reikalavimus atitinkančiose skiltyse. Taigi šios formos c–g skiltyse nurodytų verčių suma gali būti didesnė už šios formos b skiltyje nurodytą vertę. Įstaigos pateikia kokybinius paaiškinimus dėl turto ir įsipareigojimų, kuriems taikomi kapitalo reikalavimai pagal daugiau kaip vieną iš KRR trečioje dalyje išvardytų rizikos sistemų.</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rFonts w:ascii="Times New Roman" w:hAnsi="Times New Roman" w:cs="Times New Roman"/>
          <w:b/>
          <w:sz w:val="24"/>
        </w:rPr>
      </w:pPr>
      <w:r>
        <w:rPr>
          <w:rFonts w:ascii="Times New Roman" w:hAnsi="Times New Roman"/>
          <w:b/>
          <w:sz w:val="24"/>
        </w:rPr>
        <w:t xml:space="preserve">EU LI2 forma. Pagrindinės reguliuojamų pozicijų sumų ir finansinių ataskaitų balansinių verčių skirtumų priežastys </w:t>
      </w:r>
      <w:r>
        <w:rPr>
          <w:rFonts w:ascii="Times New Roman" w:hAnsi="Times New Roman"/>
          <w:sz w:val="24"/>
        </w:rPr>
        <w:t>(nustatytasis formatas)</w:t>
      </w:r>
      <w:r>
        <w:rPr>
          <w:rFonts w:ascii="Times New Roman" w:hAnsi="Times New Roman"/>
          <w:b/>
          <w:sz w:val="24"/>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Pildydamos šio įgyvendinimo reglamento V priede pateiktą EU LI2 formą įstaigos atskleidžia KRR 436 straipsnio d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Nuorodos į teisės aktus ir nurodymai</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011E728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Turto balansinės vertės suma pagal </w:t>
            </w:r>
            <w:proofErr w:type="spellStart"/>
            <w:r>
              <w:rPr>
                <w:rFonts w:ascii="Times New Roman" w:hAnsi="Times New Roman"/>
                <w:b/>
                <w:sz w:val="24"/>
              </w:rPr>
              <w:t>prudencinio</w:t>
            </w:r>
            <w:proofErr w:type="spellEnd"/>
            <w:r>
              <w:rPr>
                <w:rFonts w:ascii="Times New Roman" w:hAnsi="Times New Roman"/>
                <w:b/>
                <w:sz w:val="24"/>
              </w:rPr>
              <w:t xml:space="preserve"> konsolidavimo apimtį</w:t>
            </w:r>
          </w:p>
          <w:p w14:paraId="081D690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 xml:space="preserve">Šios formos b–e skiltyse pateiktos sumos turi sutapti su EU LI1 formos c–f skiltyse nurodytomis sumomis.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 xml:space="preserve">Įsipareigojimų balansinės vertės suma pagal </w:t>
            </w:r>
            <w:proofErr w:type="spellStart"/>
            <w:r>
              <w:rPr>
                <w:rFonts w:ascii="Times New Roman" w:hAnsi="Times New Roman"/>
                <w:b/>
                <w:sz w:val="24"/>
              </w:rPr>
              <w:t>prudencinio</w:t>
            </w:r>
            <w:proofErr w:type="spellEnd"/>
            <w:r>
              <w:rPr>
                <w:rFonts w:ascii="Times New Roman" w:hAnsi="Times New Roman"/>
                <w:b/>
                <w:sz w:val="24"/>
              </w:rPr>
              <w:t xml:space="preserve"> konsolidavimo apimtį</w:t>
            </w:r>
          </w:p>
          <w:p w14:paraId="3C83C58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Šios formos b–e skiltyse pateiktos sumos turi sutapti su EU LI1 formos c–f skiltyse nurodytomis sumomis.</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28B60EA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Visa grynoji suma pagal </w:t>
            </w:r>
            <w:proofErr w:type="spellStart"/>
            <w:r>
              <w:rPr>
                <w:rFonts w:ascii="Times New Roman" w:hAnsi="Times New Roman"/>
                <w:b/>
                <w:sz w:val="24"/>
              </w:rPr>
              <w:t>prudencinio</w:t>
            </w:r>
            <w:proofErr w:type="spellEnd"/>
            <w:r>
              <w:rPr>
                <w:rFonts w:ascii="Times New Roman" w:hAnsi="Times New Roman"/>
                <w:b/>
                <w:sz w:val="24"/>
              </w:rPr>
              <w:t xml:space="preserve"> konsolidavimo apimtį </w:t>
            </w:r>
          </w:p>
          <w:p w14:paraId="6B5D974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Suma atlikus turto ir įsipareigojimų pagal </w:t>
            </w:r>
            <w:proofErr w:type="spellStart"/>
            <w:r>
              <w:rPr>
                <w:rFonts w:ascii="Times New Roman" w:hAnsi="Times New Roman"/>
                <w:sz w:val="24"/>
              </w:rPr>
              <w:t>prudencinio</w:t>
            </w:r>
            <w:proofErr w:type="spellEnd"/>
            <w:r>
              <w:rPr>
                <w:rFonts w:ascii="Times New Roman" w:hAnsi="Times New Roman"/>
                <w:sz w:val="24"/>
              </w:rPr>
              <w:t xml:space="preserve"> konsolidavimo apimtį balansinę užskaitą, neatsižvelgiant į tai, ar šis turtas ir įsipareigojimai atitinka reikalavimus, kad jiems būtų galima taikyti konkrečias užskaitos taisykles </w:t>
            </w:r>
            <w:r>
              <w:rPr>
                <w:rFonts w:ascii="Times New Roman" w:hAnsi="Times New Roman"/>
                <w:sz w:val="24"/>
              </w:rPr>
              <w:lastRenderedPageBreak/>
              <w:t>taikant KRR trečios dalies II antraštinės dalies 4 ir 5 skyrius ir IV antraštinę dalį.</w:t>
            </w:r>
          </w:p>
          <w:p w14:paraId="0082555F"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Šioje eilutėje įrašyta suma yra lygi šios formos 1 eilutėje pateiktai vertei iš jos atėmus 2 eilutės vertę.</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4</w:t>
            </w:r>
          </w:p>
        </w:tc>
        <w:tc>
          <w:tcPr>
            <w:tcW w:w="7655" w:type="dxa"/>
            <w:shd w:val="clear" w:color="auto" w:fill="FFFFFF" w:themeFill="background1"/>
          </w:tcPr>
          <w:p w14:paraId="7FF54E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Nebalansinės sumos</w:t>
            </w:r>
          </w:p>
          <w:p w14:paraId="00C5BCD8"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Šios formos a–d skiltyse nurodomos nebalansinės pradinės pozicijos, atitinkamais atvejais prieš pritaikant perskaičiavimo koeficientą, iš parengtos nebalansinės ataskaitos pagal </w:t>
            </w:r>
            <w:proofErr w:type="spellStart"/>
            <w:r>
              <w:rPr>
                <w:rFonts w:ascii="Times New Roman" w:hAnsi="Times New Roman"/>
                <w:sz w:val="24"/>
              </w:rPr>
              <w:t>prudencinio</w:t>
            </w:r>
            <w:proofErr w:type="spellEnd"/>
            <w:r>
              <w:rPr>
                <w:rFonts w:ascii="Times New Roman" w:hAnsi="Times New Roman"/>
                <w:sz w:val="24"/>
              </w:rPr>
              <w:t xml:space="preserve"> konsolidavimo apimtį.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3C19E71F"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Vertinimo skirtumai</w:t>
            </w:r>
          </w:p>
          <w:p w14:paraId="48C473F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Vertės koregavimų pagal KRR antros dalies I antraštinės dalies 2 skyriaus 34 straipsnį ir trečios dalies I antraštinės dalies 3 skyriaus 105 straipsnį balansinės vertės poveikis tikrąja verte pagal taikytiną apskaitos sistemą įvertintoms prekybos knygos ir ne prekybos knygos pozicijoms.</w:t>
            </w:r>
          </w:p>
          <w:p w14:paraId="33A2A80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Ši suma atitinka EU CC1 formos 7 eilutės sumą ir EU PV1 formos 12 eilutės f skilties sumą.</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3A8E70A3"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Skirtumai dėl skirtingų užskaitos taisyklių, išskyrus jau įtrauktuosius į šios formos 2 eilutę</w:t>
            </w:r>
          </w:p>
          <w:p w14:paraId="0583DDBB" w14:textId="77777777" w:rsidR="00C04D6C" w:rsidRPr="007F4CC8" w:rsidRDefault="00C04D6C" w:rsidP="00D819DE">
            <w:pPr>
              <w:spacing w:before="60" w:after="120"/>
              <w:jc w:val="both"/>
              <w:rPr>
                <w:rFonts w:ascii="Times New Roman" w:eastAsia="Times New Roman" w:hAnsi="Times New Roman" w:cs="Times New Roman"/>
                <w:i/>
                <w:sz w:val="24"/>
              </w:rPr>
            </w:pPr>
            <w:r>
              <w:rPr>
                <w:rFonts w:ascii="Times New Roman" w:hAnsi="Times New Roman"/>
                <w:sz w:val="24"/>
              </w:rPr>
              <w:t>Šis straipsnis rodo grynąsias balansinių ir nebalansinių pozicijų sumas pritaikius konkrečias KRR trečios dalies II antraštinės dalies 4 ir 5 skyriuose ir IV antraštinėje dalyje nustatytas užskaitos taisykles. Užskaitos taisyklių taikymo poveikis gali būti neigiamas (jei reikia užskaityti daugiau pozicijų, nei taikant balansinę užskaitą šios formos 2 eilutėje) arba teigiamas (jei taikant KRR nustatytas užskaitos taisykles užskaitoma mažesnė suma, nei taikant balansinę užskaitą šios formos 2 eilutėje).</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788C1A56"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Skirtumai dėl atsižvelgimo į atidėjinius</w:t>
            </w:r>
          </w:p>
          <w:p w14:paraId="31DB4868"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Specifinės ir bendrosios kredito rizikos koregavimų (kaip apibrėžta Komisijos deleguotajame reglamente (ES) Nr. 183/2014</w:t>
            </w:r>
            <w:r>
              <w:rPr>
                <w:rStyle w:val="FootnoteReference"/>
                <w:rFonts w:eastAsia="Times New Roman" w:cs="Times New Roman"/>
              </w:rPr>
              <w:footnoteReference w:id="5"/>
            </w:r>
            <w:r>
              <w:rPr>
                <w:rFonts w:ascii="Times New Roman" w:hAnsi="Times New Roman"/>
                <w:sz w:val="24"/>
              </w:rPr>
              <w:t xml:space="preserve">), kurie pagal taikytiną apskaitos sistemą vertinimo pagal riziką tikslais buvo atskaityti iš pozicijų balansinės vertės pagal KRR trečios dalies II antraštinės dalies 3 skyrių, pakartotinis įtraukimas į pozicijos vertę. Dėl taikant KRR trečios dalies II antraštinės dalies 2 skyrių pagal riziką įvertintų pozicijų pažymėtina, kad, jei finansinių ataskaitų balansinės vertės pagal </w:t>
            </w:r>
            <w:proofErr w:type="spellStart"/>
            <w:r>
              <w:rPr>
                <w:rFonts w:ascii="Times New Roman" w:hAnsi="Times New Roman"/>
                <w:sz w:val="24"/>
              </w:rPr>
              <w:t>prudencinio</w:t>
            </w:r>
            <w:proofErr w:type="spellEnd"/>
            <w:r>
              <w:rPr>
                <w:rFonts w:ascii="Times New Roman" w:hAnsi="Times New Roman"/>
                <w:sz w:val="24"/>
              </w:rPr>
              <w:t xml:space="preserve"> konsolidavimo apimtį buvo sumažintos elementais, priskiriamais prie bendrosios kredito rizikos koregavimų pagal pirmiau minėtą deleguotąjį reglamentą, šie elementai pakartotinai įtraukiami į pozicijos vertę.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8</w:t>
            </w:r>
          </w:p>
        </w:tc>
        <w:tc>
          <w:tcPr>
            <w:tcW w:w="7655" w:type="dxa"/>
            <w:shd w:val="clear" w:color="auto" w:fill="FFFFFF" w:themeFill="background1"/>
          </w:tcPr>
          <w:p w14:paraId="1F94DD70"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 xml:space="preserve">Skirtumai, susidarantys dėl kredito rizikos mažinimo priemonių taikymo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 xml:space="preserve">Kredito rizikos mažinimo priemonių, kaip apibrėžta KRR, taikymo poveikis pozicijos vertei pagal </w:t>
            </w:r>
            <w:proofErr w:type="spellStart"/>
            <w:r>
              <w:rPr>
                <w:rFonts w:ascii="Times New Roman" w:hAnsi="Times New Roman"/>
                <w:sz w:val="24"/>
              </w:rPr>
              <w:t>prudencinio</w:t>
            </w:r>
            <w:proofErr w:type="spellEnd"/>
            <w:r>
              <w:rPr>
                <w:rFonts w:ascii="Times New Roman" w:hAnsi="Times New Roman"/>
                <w:sz w:val="24"/>
              </w:rPr>
              <w:t xml:space="preserve"> konsolidavimo apimtį.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9</w:t>
            </w:r>
          </w:p>
        </w:tc>
        <w:tc>
          <w:tcPr>
            <w:tcW w:w="7655" w:type="dxa"/>
            <w:shd w:val="clear" w:color="auto" w:fill="FFFFFF" w:themeFill="background1"/>
          </w:tcPr>
          <w:p w14:paraId="1E44E476"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Skirtumai dėl kredito perskaičiavimo koeficientų</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 xml:space="preserve">Atitinkamų kredito perskaičiavimo koeficientų taikymo pagal KRR poveikis nebalansinių pozicijų vertei pagal </w:t>
            </w:r>
            <w:proofErr w:type="spellStart"/>
            <w:r>
              <w:rPr>
                <w:rFonts w:ascii="Times New Roman" w:hAnsi="Times New Roman"/>
                <w:sz w:val="24"/>
              </w:rPr>
              <w:t>prudencinio</w:t>
            </w:r>
            <w:proofErr w:type="spellEnd"/>
            <w:r>
              <w:rPr>
                <w:rFonts w:ascii="Times New Roman" w:hAnsi="Times New Roman"/>
                <w:sz w:val="24"/>
              </w:rPr>
              <w:t xml:space="preserve"> konsolidavimo apimtį.</w:t>
            </w:r>
          </w:p>
          <w:p w14:paraId="75BD9AEB" w14:textId="77777777" w:rsidR="00C04D6C" w:rsidRPr="007F4CC8" w:rsidRDefault="00C04D6C" w:rsidP="00D819DE">
            <w:pPr>
              <w:spacing w:after="120"/>
              <w:jc w:val="both"/>
              <w:rPr>
                <w:rFonts w:ascii="Times New Roman" w:eastAsia="Times New Roman" w:hAnsi="Times New Roman" w:cs="Times New Roman"/>
                <w:b/>
                <w:sz w:val="24"/>
              </w:rPr>
            </w:pPr>
            <w:r>
              <w:rPr>
                <w:rFonts w:ascii="Times New Roman" w:hAnsi="Times New Roman"/>
                <w:sz w:val="24"/>
              </w:rPr>
              <w:t>Taikant KRR trečios dalies II antraštinę dalį pagal riziką įvertintinų nebalansinių straipsnių perskaičiavimo koeficientas yra nustatomas pagal KRR 111, 166, 167, 182 straipsnius (kiek jie taikomi kredito rizikai) ir 246 straipsnį (kiek jis taikomas pakeitimo vertybiniais popieriais rizikai).</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5F1391ED" w14:textId="77777777" w:rsidR="00C04D6C" w:rsidRPr="007F4CC8" w:rsidRDefault="00C04D6C" w:rsidP="00D819DE">
            <w:pPr>
              <w:spacing w:after="240"/>
              <w:jc w:val="both"/>
              <w:rPr>
                <w:rFonts w:ascii="Times New Roman" w:eastAsia="Times New Roman" w:hAnsi="Times New Roman" w:cs="Times New Roman"/>
                <w:b/>
                <w:i/>
                <w:sz w:val="24"/>
              </w:rPr>
            </w:pPr>
            <w:r>
              <w:rPr>
                <w:rFonts w:ascii="Times New Roman" w:hAnsi="Times New Roman"/>
                <w:b/>
                <w:i/>
                <w:sz w:val="24"/>
              </w:rPr>
              <w:t>Skirtumai dėl pakeitimo vertybiniais popieriais su rizikos perleidimu</w:t>
            </w:r>
          </w:p>
          <w:p w14:paraId="0CD216A1"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Vertybiniais popieriais pakeistų pozicijų vertės poveikis pakeitimo vertybiniais popieriais sandorių naudojimui perleidžiant kredito riziką trečiosioms šalims pagal KRR.</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523D1FE"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 xml:space="preserve">Kiti skirtumai </w:t>
            </w:r>
            <w:r>
              <w:rPr>
                <w:rFonts w:ascii="Times New Roman" w:hAnsi="Times New Roman"/>
                <w:i/>
                <w:sz w:val="24"/>
              </w:rPr>
              <w:t>(jei svarbūs)</w:t>
            </w:r>
          </w:p>
          <w:p w14:paraId="7A3BEA11"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Kiti reikšmingi veiksniai, lemiantys į reguliavimo taikymo sritį patenkančių finansinių ataskaitų balansinių verčių ir pozicijų sumų, į kurias atsižvelgiama reguliavimo tikslais, skirtumus.</w:t>
            </w:r>
          </w:p>
          <w:p w14:paraId="678F847C"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sz w:val="24"/>
              </w:rPr>
              <w:t>Šioje eilutėje atskleidžiamą kiekybinę informaciją įstaigos papildo šiuos EU LIA lentelėje nurodytus skirtumus lemiančių pagrindinių veiksnių kokybiniais paaiškinimais.</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2416DA9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Pozicijų sumos, į kurias atsižvelgiama reguliavimo tikslais</w:t>
            </w:r>
          </w:p>
          <w:p w14:paraId="1BCDD66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Bendra suma, laikoma RWEA skaičiavimo atskaitos tašku, pritaikius kredito rizikos mažinimo (toliau – KRM) metodus, išskyrus KRR trečios dalies II antraštinės dalies 4 skyriuje nurodytą užskaitą, ir pritaikius KRR trečios dalies II antraštinės dalies 4 bei 5 skyriuose ir IV antraštinėje dalyje nustatytus užskaitos reikalavimus kiekvienai rizikos kategorijai.</w:t>
            </w:r>
          </w:p>
          <w:p w14:paraId="42A65886"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Jei taikomas standartizuotas metodas (toliau – SA), tai yra vertė pritaikius specifinius kredito koregavimus, papildomus vertės koregavimus pagal KRR 34 ir 110 straipsnius ir kitus nuosavų lėšų sumažinimus, susijusius su turto straipsniu. Šio įgyvendinimo reglamento I priede išvardytų nebalansinių straipsnių atveju pozicijos vertė yra nominalioji vertė atlikus sumažinimą specifinės kredito rizikos koregavimais, padauginta iš taikytino procentinio dydžio, nurodyto KRR 111 straipsnio 1 dalies a ir d punktuose.</w:t>
            </w:r>
          </w:p>
          <w:p w14:paraId="029EEE3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Kai taikomas IRB metodas, atskleidžiama pozicijos vertė, kaip apibrėžta KRR 166, 167 ir 168 straipsniuose.</w:t>
            </w:r>
          </w:p>
          <w:p w14:paraId="262660AB"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Taigi finansinėse ataskaitose nurodytos balansinės vertės pagal </w:t>
            </w:r>
            <w:proofErr w:type="spellStart"/>
            <w:r>
              <w:rPr>
                <w:rFonts w:ascii="Times New Roman" w:hAnsi="Times New Roman"/>
                <w:sz w:val="24"/>
              </w:rPr>
              <w:t>prudencinio</w:t>
            </w:r>
            <w:proofErr w:type="spellEnd"/>
            <w:r>
              <w:rPr>
                <w:rFonts w:ascii="Times New Roman" w:hAnsi="Times New Roman"/>
                <w:sz w:val="24"/>
              </w:rPr>
              <w:t xml:space="preserve"> konsolidavimo apimtį atskleidžiamos atitinkamose šios formos 1–3 eilutėse, o nebalansinės pradinės pozicijos atskleidžiamos šios formos 4 eilutėje. Visi šioms sumoms taikomi specifiniai reguliavimo padidinimai ar sumažinimai turi būti įtraukti į šios formos 5–11 eilutes siekiant paaiškinti, kaip šias sumas suderinti su pozicijos suma reguliavimo tikslu nustatant RWEA skaičiavimo atskaitos tašką pagal kiekvieną iš sistemų, nurodytų šios formos b–e skiltyse. Vadinasi, visų pirma kredito rizikos atveju šios formos 12 eilutėje atskleistinos pozicijų sumos, į kurias atsižvelgiama reguliavimo tikslais, skirsis nuo balansinių verčių, nurodytų finansinėse ataskaitose pagal </w:t>
            </w:r>
            <w:proofErr w:type="spellStart"/>
            <w:r>
              <w:rPr>
                <w:rFonts w:ascii="Times New Roman" w:hAnsi="Times New Roman"/>
                <w:sz w:val="24"/>
              </w:rPr>
              <w:t>prudencinio</w:t>
            </w:r>
            <w:proofErr w:type="spellEnd"/>
            <w:r>
              <w:rPr>
                <w:rFonts w:ascii="Times New Roman" w:hAnsi="Times New Roman"/>
                <w:sz w:val="24"/>
              </w:rPr>
              <w:t xml:space="preserve"> </w:t>
            </w:r>
            <w:r>
              <w:rPr>
                <w:rFonts w:ascii="Times New Roman" w:hAnsi="Times New Roman"/>
                <w:sz w:val="24"/>
              </w:rPr>
              <w:lastRenderedPageBreak/>
              <w:t>konsolidavimo apimtį, dėl konkretaus apskaitos nuostatų, pagal kurias apskaičiuojamos RWA, reguliuojamojo traktavimo.</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Nuorodos į teisės aktus ir nurodymai</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Skilties nuoroda</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Paaiškinimas</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rFonts w:ascii="Times New Roman" w:hAnsi="Times New Roman"/>
                <w:b/>
                <w:sz w:val="24"/>
              </w:rPr>
            </w:pPr>
            <w:r>
              <w:rPr>
                <w:rFonts w:ascii="Times New Roman" w:hAnsi="Times New Roman"/>
                <w:b/>
                <w:sz w:val="24"/>
              </w:rPr>
              <w:t>Iš viso</w:t>
            </w:r>
          </w:p>
          <w:p w14:paraId="07AF5974"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EU LI2 formos a skilties bendra suma = EU LI1 formos b skilties sumos – EU LI1 formos g skilties sumos</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b–e reguliavimo rizikos kategorijų skilčių suskirstymas atitinka KRR trečioje dalyje nurodytą suskirstymą: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Kredito rizikos sistema</w:t>
            </w:r>
          </w:p>
          <w:p w14:paraId="0254C74A" w14:textId="7777777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t>KRR trečios dalies II antraštinės dalies pozicijos</w:t>
            </w:r>
          </w:p>
          <w:p w14:paraId="096E08B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Pozicijos, kurioms taikoma kredito rizikos sistema, atitinka arba pozicijos sumą, taikomą pagal kredito rizikos standartizuotą metodą (žr. KRR trečios dalies II antraštinės dalies 2 skyriaus 111 straipsnį), arba pozicijas esant įsipareigojimų neįvykdymui (EAD) pagal kredito rizikos IRB metodą (žr. KRR trečios dalies II antraštinės dalies 3 skyriaus 166, 167 ir 168 straipsnius).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Pakeitimo vertybiniais popieriais sistema </w:t>
            </w:r>
          </w:p>
          <w:p w14:paraId="67C4B0D7"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Pozicijos ne prekybos knygoje, nurodytos KRR trečios dalies II antraštinės dalies 5 skyriuje</w:t>
            </w:r>
          </w:p>
          <w:p w14:paraId="7FC11C3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Pakeitimo vertybiniais popieriais pozicijos nustatomos pagal KRR trečios dalies II antraštinės dalies 5 skyriaus 246 straipsnį.</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Sandorio šalies kredito rizikos sistema (CCR)</w:t>
            </w:r>
          </w:p>
          <w:p w14:paraId="00BCF7AF" w14:textId="028F54DC" w:rsidR="00C04D6C" w:rsidRPr="007F4CC8" w:rsidRDefault="00C04D6C" w:rsidP="00D819DE">
            <w:pPr>
              <w:spacing w:before="60" w:after="120"/>
              <w:jc w:val="both"/>
              <w:rPr>
                <w:rFonts w:ascii="Times New Roman" w:hAnsi="Times New Roman"/>
                <w:b/>
                <w:sz w:val="24"/>
              </w:rPr>
            </w:pPr>
            <w:r>
              <w:rPr>
                <w:rFonts w:ascii="Times New Roman" w:hAnsi="Times New Roman"/>
                <w:sz w:val="24"/>
              </w:rPr>
              <w:t>KRR trečios dalies II antraštinės dalies 6 skyriuje nurod</w:t>
            </w:r>
            <w:r w:rsidR="00EF3906">
              <w:rPr>
                <w:rFonts w:ascii="Times New Roman" w:hAnsi="Times New Roman"/>
                <w:sz w:val="24"/>
              </w:rPr>
              <w:t>ytos</w:t>
            </w:r>
            <w:r>
              <w:rPr>
                <w:rFonts w:ascii="Times New Roman" w:hAnsi="Times New Roman"/>
                <w:sz w:val="24"/>
              </w:rPr>
              <w:t xml:space="preserve"> pozicijos</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Rinkos rizikos sistema</w:t>
            </w:r>
          </w:p>
          <w:p w14:paraId="73E5DB24" w14:textId="77777777" w:rsidR="00C04D6C" w:rsidRPr="007F4CC8" w:rsidRDefault="00C04D6C" w:rsidP="00D819DE">
            <w:pPr>
              <w:spacing w:before="60" w:after="120"/>
              <w:jc w:val="both"/>
              <w:rPr>
                <w:rFonts w:ascii="Times New Roman" w:hAnsi="Times New Roman"/>
                <w:sz w:val="24"/>
              </w:rPr>
            </w:pPr>
            <w:r>
              <w:rPr>
                <w:rFonts w:ascii="Times New Roman" w:hAnsi="Times New Roman"/>
                <w:sz w:val="24"/>
              </w:rPr>
              <w:t>Rinkos rizikos pozicijos, atitinkančios pozicijas, kurioms taikoma rinkos rizikos sistema, nustatyta KRR trečios dalies IV antraštinėje dalyje.</w:t>
            </w:r>
          </w:p>
          <w:p w14:paraId="5414F91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Dėl šios skilties pildomos tik šios formos 1–3 ir 12 eilutės.</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visi</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Jei pavieniam straipsniui kapitalo reikalavimai taikomi pagal daugiau kaip vieną rizikos sistemą, jo vertės nurodomos visose jam taikomus kapitalo reikalavimus atitinkančiose skiltyse. Taigi šios formos b–e skiltyse nurodytų verčių suma gali būti didesnė už šios formos a skiltyje nurodytą vertę. Įstaigos pateikia kokybinius paaiškinimus dėl turto ir įsipareigojimų, kuriems taikomi kapitalo reikalavimai pagal daugiau kaip vieną iš KRR trečioje dalyje išvardytų rizikos sistemų.</w:t>
            </w:r>
          </w:p>
        </w:tc>
      </w:tr>
    </w:tbl>
    <w:p w14:paraId="09488D0C" w14:textId="77777777" w:rsidR="00C04D6C" w:rsidRPr="007F4CC8" w:rsidRDefault="00C04D6C" w:rsidP="00C04D6C">
      <w:pPr>
        <w:jc w:val="both"/>
        <w:rPr>
          <w:rFonts w:ascii="Times New Roman" w:hAnsi="Times New Roman" w:cs="Times New Roman"/>
          <w:sz w:val="24"/>
        </w:rPr>
      </w:pPr>
    </w:p>
    <w:p w14:paraId="1E79DF73" w14:textId="77777777" w:rsidR="00EF3906" w:rsidRDefault="00EF3906" w:rsidP="00C04D6C">
      <w:pPr>
        <w:jc w:val="both"/>
        <w:rPr>
          <w:rFonts w:ascii="Times New Roman" w:hAnsi="Times New Roman"/>
          <w:b/>
          <w:sz w:val="24"/>
        </w:rPr>
      </w:pPr>
    </w:p>
    <w:p w14:paraId="31A3582E" w14:textId="77777777" w:rsidR="00EF3906" w:rsidRDefault="00EF3906" w:rsidP="00C04D6C">
      <w:pPr>
        <w:jc w:val="both"/>
        <w:rPr>
          <w:rFonts w:ascii="Times New Roman" w:hAnsi="Times New Roman"/>
          <w:b/>
          <w:sz w:val="24"/>
        </w:rPr>
      </w:pPr>
    </w:p>
    <w:p w14:paraId="15C8F2C8" w14:textId="77777777" w:rsidR="00EF3906" w:rsidRDefault="00EF3906" w:rsidP="00C04D6C">
      <w:pPr>
        <w:jc w:val="both"/>
        <w:rPr>
          <w:rFonts w:ascii="Times New Roman" w:hAnsi="Times New Roman"/>
          <w:b/>
          <w:sz w:val="24"/>
        </w:rPr>
      </w:pPr>
    </w:p>
    <w:p w14:paraId="3F57B012" w14:textId="627AA2EB" w:rsidR="00C04D6C" w:rsidRPr="007F4CC8" w:rsidRDefault="00C04D6C" w:rsidP="00C04D6C">
      <w:pPr>
        <w:jc w:val="both"/>
        <w:rPr>
          <w:rFonts w:ascii="Times New Roman" w:hAnsi="Times New Roman" w:cs="Times New Roman"/>
          <w:b/>
          <w:sz w:val="24"/>
        </w:rPr>
      </w:pPr>
      <w:r>
        <w:rPr>
          <w:rFonts w:ascii="Times New Roman" w:hAnsi="Times New Roman"/>
          <w:b/>
          <w:sz w:val="24"/>
        </w:rPr>
        <w:lastRenderedPageBreak/>
        <w:t>EU LI3 forma. Bendrasis konsolidavimo apimties skirtumų aprašymas (pagal subjektus)</w:t>
      </w:r>
    </w:p>
    <w:p w14:paraId="220A6A8C" w14:textId="77777777" w:rsidR="00C04D6C" w:rsidRPr="007F4CC8" w:rsidRDefault="00C04D6C" w:rsidP="00C04D6C">
      <w:pPr>
        <w:pStyle w:val="ListParagraph"/>
        <w:numPr>
          <w:ilvl w:val="0"/>
          <w:numId w:val="1"/>
        </w:numPr>
        <w:spacing w:before="120" w:after="120"/>
        <w:ind w:left="432"/>
        <w:jc w:val="both"/>
        <w:rPr>
          <w:rFonts w:ascii="Times New Roman" w:hAnsi="Times New Roman"/>
          <w:color w:val="000000" w:themeColor="text1"/>
          <w:sz w:val="24"/>
        </w:rPr>
      </w:pPr>
      <w:r>
        <w:rPr>
          <w:rFonts w:ascii="Times New Roman" w:hAnsi="Times New Roman"/>
          <w:color w:val="000000" w:themeColor="text1"/>
          <w:sz w:val="24"/>
        </w:rPr>
        <w:t>Pildydamos šio įgyvendinimo reglamento V priede pateiktą EU LI3 formą įstaigos atskleidžia KRR 436 straipsnio b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Nuorodos į teisės aktus ir nurodymai</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Eilutės yra lanksčios. Informacija atskleidžiama dėl subjektų, įtrauktų į apskaitos ir reguliuojamąją konsolidavimo apimtį, kaip apibrėžta pagal taikytiną apskaitos sistemą ir KRR pirmos dalies II antraštinės dalies 2 ir 3 skirsnius, kurių apskaitos konsolidavimo metodas skiriasi nuo reguliuojamojo konsolidavimo metodo. Vienam subjektui skiriama viena eilutė.</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Nuorodos į teisės aktus ir nurodymai</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Skilties nuoroda</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1A700FFF"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Subjekto pavadinimas</w:t>
            </w:r>
          </w:p>
          <w:p w14:paraId="582262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Komercinis bet kurio į įstaigos reguliuojamąją ir apskaitos konsolidavimo apimtį įtraukto arba iš jos atskaityto subjekto pavadinimas.</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734193F7"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Apskaitos konsolidavimo metodas</w:t>
            </w:r>
          </w:p>
          <w:p w14:paraId="35D66850"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Pagal taikytiną apskaitos sistemą taikomas konsolidavimo metodas.</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c–g</w:t>
            </w:r>
          </w:p>
        </w:tc>
        <w:tc>
          <w:tcPr>
            <w:tcW w:w="7655" w:type="dxa"/>
            <w:shd w:val="clear" w:color="auto" w:fill="auto"/>
          </w:tcPr>
          <w:p w14:paraId="4A761352"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Reguliuojamojo konsolidavimo metodas</w:t>
            </w:r>
          </w:p>
          <w:p w14:paraId="2ED012A6"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Konsolidavimo metodas, taikomas KRR pirmos dalies II antraštinės dalies 2 skyriaus tikslu.</w:t>
            </w:r>
          </w:p>
          <w:p w14:paraId="7F682652"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Atskleidžiami bent KRR 436 straipsnio b punkte išvardyti metodai.</w:t>
            </w:r>
          </w:p>
          <w:p w14:paraId="599304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 xml:space="preserve">Įstaigos pažymi atitinkamas skiltis siekdamos nurodyti kiekvieno subjekto, kuriam taikoma apskaitos sistema, konsolidavimo metodą ir tai, ar pagal </w:t>
            </w:r>
            <w:proofErr w:type="spellStart"/>
            <w:r>
              <w:rPr>
                <w:rFonts w:ascii="Times New Roman" w:hAnsi="Times New Roman"/>
                <w:sz w:val="24"/>
              </w:rPr>
              <w:t>prudencinio</w:t>
            </w:r>
            <w:proofErr w:type="spellEnd"/>
            <w:r>
              <w:rPr>
                <w:rFonts w:ascii="Times New Roman" w:hAnsi="Times New Roman"/>
                <w:sz w:val="24"/>
              </w:rPr>
              <w:t xml:space="preserve"> konsolidavimo apimtį kiekvienas subjektas yra: i) visiškai konsoliduotas; ii) proporcingai konsoliduotas; iii) pripažintas taikant nuosavybės metodą; iv) nei konsoliduotas, nei atskaitytas; v) atskaitytas.</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58EFFF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Subjekto aprašymas</w:t>
            </w:r>
          </w:p>
          <w:p w14:paraId="0A1DF23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Trumpas subjekto aprašymas, kuriame nurodomas (bent) jo veiklos sektorius.</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rFonts w:ascii="Times New Roman" w:hAnsi="Times New Roman" w:cs="Times New Roman"/>
          <w:sz w:val="24"/>
        </w:rPr>
      </w:pPr>
      <w:r>
        <w:rPr>
          <w:rFonts w:ascii="Times New Roman" w:hAnsi="Times New Roman"/>
          <w:b/>
          <w:sz w:val="24"/>
        </w:rPr>
        <w:t xml:space="preserve">EU LIA lentelė. Apskaitos ir reguliuojamų pozicijų sumų skirtumų paaiškinimai </w:t>
      </w:r>
      <w:r>
        <w:rPr>
          <w:rFonts w:ascii="Times New Roman" w:hAnsi="Times New Roman"/>
          <w:sz w:val="24"/>
        </w:rPr>
        <w:t>Laisvos formos teksto laukeliai, skirti kokybinei informacijai atskleisti</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Pildydamos šio įgyvendinimo reglamento V priede pateiktą EU LIA lentelę įstaigos atskleidžia KRR 436 straipsnio b ir d punktuose nurodytą informaciją, vadovaudamosi toliau šiame priede pateiktais nurodymais.</w:t>
      </w:r>
    </w:p>
    <w:p w14:paraId="3823FC27" w14:textId="77777777" w:rsidR="00B64A0E" w:rsidRDefault="00B64A0E" w:rsidP="00B64A0E">
      <w:pPr>
        <w:spacing w:before="120" w:after="120"/>
        <w:jc w:val="both"/>
        <w:rPr>
          <w:rFonts w:ascii="Times New Roman" w:hAnsi="Times New Roman"/>
          <w:color w:val="000000" w:themeColor="text1"/>
          <w:sz w:val="24"/>
        </w:rPr>
      </w:pPr>
    </w:p>
    <w:p w14:paraId="052C389B" w14:textId="77777777" w:rsidR="00B64A0E" w:rsidRPr="00B64A0E" w:rsidRDefault="00B64A0E" w:rsidP="00B64A0E">
      <w:pPr>
        <w:spacing w:before="120" w:after="120"/>
        <w:jc w:val="both"/>
        <w:rPr>
          <w:rFonts w:ascii="Times New Roman" w:hAnsi="Times New Roman"/>
          <w:color w:val="000000" w:themeColor="text1"/>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lastRenderedPageBreak/>
              <w:t>Nuorodos į teisės aktus ir nurodymai</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Įstaigos paaiškina ir kiekybiškai įvertina bet kurio reikšmingo EU LI1 formos a ir b skiltyse pateiktų sumų skirtumo kilmę, neatsižvelgdamos į tai, dėl ko susidaro skirtumai: dėl skirtingų konsolidavimo taisyklių ar dėl to, kad apskaitos ir reguliuojamajam konsolidavimui taikomi skirtingi apskaitos standartai.</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 xml:space="preserve">Įstaigos paaiškina balansinių verčių pagal </w:t>
            </w:r>
            <w:proofErr w:type="spellStart"/>
            <w:r>
              <w:rPr>
                <w:rFonts w:ascii="Times New Roman" w:hAnsi="Times New Roman"/>
                <w:sz w:val="24"/>
              </w:rPr>
              <w:t>prudencinio</w:t>
            </w:r>
            <w:proofErr w:type="spellEnd"/>
            <w:r>
              <w:rPr>
                <w:rFonts w:ascii="Times New Roman" w:hAnsi="Times New Roman"/>
                <w:sz w:val="24"/>
              </w:rPr>
              <w:t xml:space="preserve"> konsolidavimo apimtį ir EU LI2 formoje nurodytų sumų, į kurias atsižvelgiama reguliavimo tikslais, skirtumų kilmę.</w:t>
            </w:r>
          </w:p>
        </w:tc>
      </w:tr>
    </w:tbl>
    <w:p w14:paraId="5B834D3C" w14:textId="77777777" w:rsidR="00C04D6C" w:rsidRPr="007F4CC8" w:rsidRDefault="00C04D6C" w:rsidP="00C04D6C">
      <w:pPr>
        <w:ind w:left="360"/>
        <w:jc w:val="both"/>
        <w:rPr>
          <w:rFonts w:ascii="Times New Roman" w:hAnsi="Times New Roman" w:cs="Times New Roman"/>
          <w:sz w:val="24"/>
        </w:rPr>
      </w:pPr>
      <w:r>
        <w:rPr>
          <w:rFonts w:ascii="Times New Roman" w:hAnsi="Times New Roman"/>
          <w:sz w:val="24"/>
        </w:rPr>
        <w:t xml:space="preserve"> </w:t>
      </w:r>
    </w:p>
    <w:p w14:paraId="5736EA43" w14:textId="77777777" w:rsidR="00C04D6C" w:rsidRPr="007F4CC8" w:rsidRDefault="00C04D6C" w:rsidP="00C04D6C">
      <w:pPr>
        <w:spacing w:after="120"/>
        <w:rPr>
          <w:rFonts w:ascii="Times New Roman" w:hAnsi="Times New Roman" w:cs="Times New Roman"/>
          <w:sz w:val="24"/>
        </w:rPr>
      </w:pPr>
      <w:r>
        <w:rPr>
          <w:rFonts w:ascii="Times New Roman" w:hAnsi="Times New Roman"/>
          <w:b/>
          <w:sz w:val="24"/>
        </w:rPr>
        <w:t>EU LIB lentelė. Kita kokybinė informacija apie taikymo sritį.</w:t>
      </w:r>
      <w:r>
        <w:rPr>
          <w:rFonts w:ascii="Times New Roman" w:hAnsi="Times New Roman"/>
          <w:sz w:val="24"/>
        </w:rPr>
        <w:t xml:space="preserve"> Laisvos formos teksto laukeliai, skirti kokybinei informacijai atskleisti</w:t>
      </w:r>
    </w:p>
    <w:p w14:paraId="70C5E2A8"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Pildydamos šio įgyvendinimo reglamento V priede pateiktą EU LIB lentelę įstaigos atskleidžia KRR 436 straipsnio f, g ir h punktuose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rFonts w:ascii="Times New Roman" w:hAnsi="Times New Roman" w:cs="Times New Roman"/>
                <w:b/>
                <w:sz w:val="24"/>
              </w:rPr>
            </w:pPr>
            <w:r>
              <w:rPr>
                <w:rFonts w:ascii="Times New Roman" w:hAnsi="Times New Roman"/>
                <w:b/>
                <w:sz w:val="24"/>
              </w:rPr>
              <w:t>Nuorodos į teisės aktus ir nurodymai</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Įstaigos atskleidžia informaciją apie visas dabartines ar numatomas reikšmingas praktines arba teisines kliūtis, trukdančias patronuojančiajai įmonei ir jos patronuojamosioms įmonėms tarpusavyje greitai pervesti nuosavas lėšas arba padengti įsipareigojimus.</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Atitinkamais atvejais įstaigos atskleidžia į konsolidavimo apimtį neįtrauktų patronuojamųjų įmonių pavadinimus.</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Atitinkamais atvejais įstaigos atskleidžia aplinkybes, kurioms esant pasinaudojama KRR 7 straipsnyje nustatyta nukrypti leidžiančia nuostata arba KRR 9 straipsnyje nustatytu individualiu konsolidavimo metodu.</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Atitinkamais atvejais įstaigos atskleidžia bendrą sumą, kuria faktinės nuosavos lėšos yra mažesnės, negu reikalaujama visose į konsolidavimą neįtrauktose patronuojamosiose įmonėse, ir šių patronuojamųjų įmonių pavadinimus.</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rFonts w:ascii="Times New Roman" w:hAnsi="Times New Roman" w:cs="Times New Roman"/>
          <w:sz w:val="24"/>
        </w:rPr>
      </w:pPr>
      <w:r>
        <w:rPr>
          <w:rFonts w:ascii="Times New Roman" w:hAnsi="Times New Roman"/>
          <w:b/>
          <w:sz w:val="24"/>
        </w:rPr>
        <w:t xml:space="preserve">EU PV1 forma. </w:t>
      </w:r>
      <w:proofErr w:type="spellStart"/>
      <w:r>
        <w:rPr>
          <w:rFonts w:ascii="Times New Roman" w:hAnsi="Times New Roman"/>
          <w:b/>
          <w:sz w:val="24"/>
        </w:rPr>
        <w:t>Prudencinio</w:t>
      </w:r>
      <w:proofErr w:type="spellEnd"/>
      <w:r>
        <w:rPr>
          <w:rFonts w:ascii="Times New Roman" w:hAnsi="Times New Roman"/>
          <w:b/>
          <w:sz w:val="24"/>
        </w:rPr>
        <w:t xml:space="preserve"> vertinimo koregavimai (PVA) </w:t>
      </w:r>
      <w:r>
        <w:rPr>
          <w:rFonts w:ascii="Times New Roman" w:hAnsi="Times New Roman"/>
          <w:sz w:val="24"/>
        </w:rPr>
        <w:t>(nustatytasis formatas)</w:t>
      </w:r>
    </w:p>
    <w:p w14:paraId="01BBAEB3" w14:textId="77777777" w:rsidR="00C04D6C" w:rsidRDefault="00C04D6C" w:rsidP="00C04D6C">
      <w:pPr>
        <w:pStyle w:val="ListParagraph"/>
        <w:numPr>
          <w:ilvl w:val="0"/>
          <w:numId w:val="1"/>
        </w:numPr>
        <w:spacing w:before="60" w:after="120"/>
        <w:jc w:val="both"/>
        <w:rPr>
          <w:rFonts w:ascii="Times New Roman" w:hAnsi="Times New Roman"/>
          <w:sz w:val="24"/>
        </w:rPr>
      </w:pPr>
      <w:r>
        <w:rPr>
          <w:rFonts w:ascii="Times New Roman" w:hAnsi="Times New Roman"/>
          <w:sz w:val="24"/>
        </w:rPr>
        <w:t xml:space="preserve">Pildydamos šio įgyvendinimo reglamento V priede pateiktą EU PV1 formą įstaigos, taikančios pagrindinį metodą papildomo vertinimo rezultatų koregavimo (AVA) įverčiams apskaičiuoti </w:t>
      </w:r>
      <w:proofErr w:type="spellStart"/>
      <w:r>
        <w:rPr>
          <w:rFonts w:ascii="Times New Roman" w:hAnsi="Times New Roman"/>
          <w:sz w:val="24"/>
        </w:rPr>
        <w:t>prudencinio</w:t>
      </w:r>
      <w:proofErr w:type="spellEnd"/>
      <w:r>
        <w:rPr>
          <w:rFonts w:ascii="Times New Roman" w:hAnsi="Times New Roman"/>
          <w:sz w:val="24"/>
        </w:rPr>
        <w:t xml:space="preserve"> vertinimo tikslu pagal Komisijos deleguotojo reglamento (ES) 2016/101</w:t>
      </w:r>
      <w:r>
        <w:rPr>
          <w:rStyle w:val="FootnoteReference"/>
          <w:rFonts w:ascii="Times New Roman" w:hAnsi="Times New Roman"/>
          <w:bCs/>
          <w:sz w:val="24"/>
          <w:szCs w:val="24"/>
        </w:rPr>
        <w:footnoteReference w:id="6"/>
      </w:r>
      <w:r>
        <w:rPr>
          <w:rFonts w:ascii="Times New Roman" w:hAnsi="Times New Roman"/>
          <w:sz w:val="24"/>
        </w:rPr>
        <w:t xml:space="preserve"> III skyrių, atskleidžia KRR 436 straipsnio e punkte nurodytą informaciją, vadovaudamosi toliau šiame priede pateiktais nurodymais.</w:t>
      </w:r>
    </w:p>
    <w:p w14:paraId="4BF704DA" w14:textId="77777777" w:rsidR="00B64A0E" w:rsidRPr="00B64A0E" w:rsidRDefault="00B64A0E" w:rsidP="00B64A0E">
      <w:pPr>
        <w:spacing w:before="60" w:after="120"/>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rFonts w:ascii="Times New Roman" w:hAnsi="Times New Roman" w:cs="Times New Roman"/>
                <w:b/>
                <w:sz w:val="24"/>
              </w:rPr>
            </w:pPr>
            <w:r>
              <w:rPr>
                <w:rFonts w:ascii="Times New Roman" w:hAnsi="Times New Roman"/>
                <w:b/>
                <w:sz w:val="24"/>
              </w:rPr>
              <w:lastRenderedPageBreak/>
              <w:t>Nuorodos į teisės aktus ir nurodymai</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rFonts w:ascii="Times New Roman" w:hAnsi="Times New Roman" w:cs="Times New Roman"/>
                <w:sz w:val="24"/>
              </w:rPr>
            </w:pPr>
            <w:r>
              <w:rPr>
                <w:rFonts w:ascii="Times New Roman" w:hAnsi="Times New Roman"/>
                <w:sz w:val="24"/>
              </w:rPr>
              <w:t>1–10 eilutės</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Kategorijos lygmens AVA</w:t>
            </w:r>
          </w:p>
          <w:p w14:paraId="4E570456"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Kategorijos lygmens rinkos kainų neapibrėžtumo, pozicijos uždarymo išlaidų, modelio rizikos, koncentruotų pozicijų, būsimų administracinių išlaidų, pirmalaikio sutarties nutraukimo ir operacinės rizikos AVA įverčiai nustatomi atitinkamai pagal Komisijos deleguotojo reglamento (ES) 2016/101 9–11 ir 14–17 straipsnius.</w:t>
            </w:r>
          </w:p>
          <w:p w14:paraId="7B4E3C6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Rinkos kainų neapibrėžtumo, pozicijos uždarymo išlaidų ir modelio rizikos kategorijų, kurioms taikoma diversifikavimo nauda, kaip nustatyta atitinkamai Deleguotojo reglamento (ES) 2016/101 9 straipsnio 6 dalyje, 10 straipsnio 7 dalyje ir 11 straipsnio 7 dalyje, atveju kategorijos lygmens AVA įverčiai pateikiami individualių AVA įverčių iki diversifikavimo naudos tikslia suma šios formos a–EU-e2 skiltyse. Diversifikavimo nauda pagal Komisijos deleguotojo reglamento (ES) 2016/101 9 straipsnio 6 dalį, 10 straipsnio 7 dalį ir 11 straipsnio 7 dalį įtraukiami į šios formos f skiltį.</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Rinkos kainų neapibrėžtumas</w:t>
            </w:r>
          </w:p>
          <w:p w14:paraId="3D2F467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KRR 105 straipsnio 10 dalis</w:t>
            </w:r>
          </w:p>
          <w:p w14:paraId="59AE9885" w14:textId="77777777" w:rsidR="00C04D6C" w:rsidRPr="007F4CC8" w:rsidRDefault="00C04D6C"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Rinkos kainų neapibrėžtumo AVA įverčiai apskaičiuojami pagal Komisijos deleguotojo reglamento (ES) 2016/101 9 straipsnį.</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Netaikoma</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Pozicijos uždarymo išlaidos</w:t>
            </w:r>
          </w:p>
          <w:p w14:paraId="7AF430E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KRR 105 straipsnio 10 dalis</w:t>
            </w:r>
          </w:p>
          <w:p w14:paraId="05054C64"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Pozicijos uždarymo išlaidų AVA įverčiai apskaičiuojami pagal Komisijos deleguotojo reglamento (ES) 2016/101 10 straipsnį.</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Koncentruotos pozicijos</w:t>
            </w:r>
          </w:p>
          <w:p w14:paraId="08370B0D" w14:textId="2A7A8FBF"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KRR 105 straipsnio 11 dalis</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Koncentruotų pozicijų AVA įverčiai apskaičiuojami pagal Komisijos deleguotojo reglamento (ES) 2016/101 14 straipsnį.</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Pirmalaikis sutarties nutraukimas</w:t>
            </w:r>
          </w:p>
          <w:p w14:paraId="52C42C7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KRR 105 straipsnio 10 dalis</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Pirmalaikio sutarties nutraukimo AVA įverčiai apskaičiuojami pagal Komisijos deleguotojo reglamento (ES) 2016/101 16 straipsnį.</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Modelio rizika</w:t>
            </w:r>
          </w:p>
          <w:p w14:paraId="49ED331A"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KRR 105 straipsnio 10 dalis</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lastRenderedPageBreak/>
              <w:t xml:space="preserve">Modelio rizikos AVA įverčiai apskaičiuojami pagal Komisijos deleguotojo reglamento (ES) 2016/101 11 straipsnį.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lastRenderedPageBreak/>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Operacinė rizika</w:t>
            </w:r>
          </w:p>
          <w:p w14:paraId="3EE7FBBF"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KRR 105 straipsnio 10 dalis</w:t>
            </w:r>
          </w:p>
          <w:p w14:paraId="64B1AD8B" w14:textId="77777777" w:rsidR="00C04D6C" w:rsidRPr="007F4CC8" w:rsidRDefault="00C04D6C" w:rsidP="00D819DE">
            <w:pPr>
              <w:pStyle w:val="Default"/>
              <w:spacing w:before="60" w:after="120"/>
              <w:jc w:val="both"/>
              <w:rPr>
                <w:rFonts w:ascii="Times New Roman" w:hAnsi="Times New Roman" w:cs="Times New Roman"/>
                <w:i/>
              </w:rPr>
            </w:pPr>
            <w:r>
              <w:rPr>
                <w:rFonts w:ascii="Times New Roman" w:hAnsi="Times New Roman"/>
              </w:rPr>
              <w:t>Operacinės rizikos AVA įverčiai apskaičiuojami pagal Komisijos deleguotojo reglamento (ES) 2016/101 17 straipsnį.</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Netaikoma</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Netaikoma</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Būsimos administracinės išlaidos</w:t>
            </w:r>
          </w:p>
          <w:p w14:paraId="03DE082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KRR 105 straipsnio 10 dalis</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Būsimų administracinių išlaidų AVA įverčiai apskaičiuojami pagal Komisijos deleguotojo reglamento (ES) 2016/101 15 straipsnį.</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Netaikoma</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Bendra papildomų vertės koregavimų suma</w:t>
            </w:r>
          </w:p>
          <w:p w14:paraId="773818D3" w14:textId="77777777"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rPr>
              <w:t>Bendra AVA suma, atskaitytina iš nuosavų lėšų pagal KRR 34 ir 105 straipsnius, atskleidžiama šios formos 12 eilutėje, f skiltyje.</w:t>
            </w:r>
            <w:r>
              <w:rPr>
                <w:rFonts w:ascii="Times New Roman" w:hAnsi="Times New Roman"/>
                <w:color w:val="auto"/>
              </w:rPr>
              <w:t xml:space="preserve"> Ši suma atitinka EU CC1 formos 7 eilutės sumą ir EU LI2 formos 5 eilutės a skilties sumą. </w:t>
            </w:r>
          </w:p>
          <w:p w14:paraId="3E1D4E77" w14:textId="77777777"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color w:val="auto"/>
              </w:rPr>
              <w:t xml:space="preserve">Portfelių, kuriems atliekant </w:t>
            </w:r>
            <w:proofErr w:type="spellStart"/>
            <w:r>
              <w:rPr>
                <w:rFonts w:ascii="Times New Roman" w:hAnsi="Times New Roman"/>
                <w:color w:val="auto"/>
              </w:rPr>
              <w:t>prudencinį</w:t>
            </w:r>
            <w:proofErr w:type="spellEnd"/>
            <w:r>
              <w:rPr>
                <w:rFonts w:ascii="Times New Roman" w:hAnsi="Times New Roman"/>
                <w:color w:val="auto"/>
              </w:rPr>
              <w:t xml:space="preserve"> vertinimą taikomas pagrindinis metodas, nurodytas Deleguotojo reglamento (ES) 2016/101 III skyriuje, bendra AVA suma yra šios formos 1–10 eilučių verčių ir – jei yra portfelių, kuriems taikomas atsarginis metodas – verčių, apskaičiuotų pagal Deleguotojo reglamento (ES) 2016/101 7 straipsnio 2 dalies b punkto i–iii papunkčius, suma. </w:t>
            </w:r>
          </w:p>
          <w:p w14:paraId="0557EFCB"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color w:val="auto"/>
              </w:rPr>
              <w:t xml:space="preserve">Portfelių, kuriems atliekant </w:t>
            </w:r>
            <w:proofErr w:type="spellStart"/>
            <w:r>
              <w:rPr>
                <w:rFonts w:ascii="Times New Roman" w:hAnsi="Times New Roman"/>
                <w:color w:val="auto"/>
              </w:rPr>
              <w:t>prudencinį</w:t>
            </w:r>
            <w:proofErr w:type="spellEnd"/>
            <w:r>
              <w:rPr>
                <w:rFonts w:ascii="Times New Roman" w:hAnsi="Times New Roman"/>
                <w:color w:val="auto"/>
              </w:rPr>
              <w:t xml:space="preserve"> vertinimą taikomas supaprastintas metodas, nurodytas Deleguotojo reglamento (ES) 2016/101 II skyriuje, bendra AVA suma, nurodoma šios formos f skiltyje, yra suma, apskaičiuojama pagal šio skyriaus 5 straipsnį.</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rFonts w:ascii="Times New Roman" w:hAnsi="Times New Roman"/>
                <w:b/>
                <w:sz w:val="24"/>
                <w:szCs w:val="24"/>
              </w:rPr>
            </w:pPr>
            <w:r>
              <w:rPr>
                <w:rFonts w:ascii="Times New Roman" w:hAnsi="Times New Roman"/>
                <w:b/>
                <w:sz w:val="24"/>
              </w:rPr>
              <w:t>Paaiškinimas</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Suskirstymas pagal RIZIKOS KATEGORIJĄ</w:t>
            </w:r>
          </w:p>
          <w:p w14:paraId="19554FB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Įstaigos savo tikrąja verte įvertintą turtą ir įsipareigojimus, įtrauktus apskaičiuojant ribą pagal Komisijos deleguotojo reglamento (ES) 2016/101 4 straipsnio 1 dalį (prekybos knygoje ir ne prekybos knygoje), priskiria prie šių rizikos kategorijų: palūkanų normų, užsienio valiutos kurso, kredito, nuosavybės, biržos prekių. </w:t>
            </w:r>
          </w:p>
          <w:p w14:paraId="78E03628"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Suskirstymas šiose skiltyse neapima AVA įverčių, apskaičiuotų pagal Komisijos deleguotojo reglamento (ES) 2016/101 12 ir 13 straipsnius ir atskleidžiami šios formos EU-e1 ir EU-e2 skiltyse.</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Kategorijos lygmens AVA. Vertinimo neapibrėžtumas. Neuždirbtos kredito maržos AVA</w:t>
            </w:r>
          </w:p>
          <w:p w14:paraId="2381E111" w14:textId="77777777" w:rsidR="00C04D6C" w:rsidRPr="007F4CC8" w:rsidRDefault="00C04D6C" w:rsidP="00D819DE">
            <w:pPr>
              <w:spacing w:beforeLines="60" w:before="144" w:afterLines="60" w:after="144"/>
              <w:rPr>
                <w:rFonts w:ascii="Times New Roman" w:hAnsi="Times New Roman" w:cs="Times New Roman"/>
                <w:sz w:val="24"/>
              </w:rPr>
            </w:pPr>
            <w:r>
              <w:rPr>
                <w:rFonts w:ascii="Times New Roman" w:hAnsi="Times New Roman"/>
                <w:sz w:val="24"/>
              </w:rPr>
              <w:t xml:space="preserve">KRR 105 straipsnio 10 dalis, Komisijos deleguotojo reglamento (ES) 2016/101 12 straipsnis </w:t>
            </w:r>
          </w:p>
          <w:p w14:paraId="48A3FCCD"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Bendra neuždirbtos kredito maržos AVA suma ir jos priskyrimas prie rinkos kainų neapibrėžtumo, pozicijos uždarymo išlaidų ar modelio rizikos AVA įverčių kategorijų nustatomas pagal Komisijos deleguotojo reglamento (ES) 2016/101 12 straipsnį.</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Kategorijos lygmens AVA. Investavimo ir finansavimo išlaidų AVA</w:t>
            </w:r>
          </w:p>
          <w:p w14:paraId="4E0DC4BC" w14:textId="77777777" w:rsidR="00C04D6C" w:rsidRPr="007F4CC8" w:rsidRDefault="00C04D6C" w:rsidP="00D819DE">
            <w:pPr>
              <w:spacing w:beforeLines="60" w:before="144" w:afterLines="60" w:after="144"/>
              <w:rPr>
                <w:rFonts w:ascii="Times New Roman" w:hAnsi="Times New Roman" w:cs="Times New Roman"/>
                <w:caps/>
                <w:sz w:val="24"/>
                <w:u w:val="single"/>
              </w:rPr>
            </w:pPr>
            <w:r>
              <w:rPr>
                <w:rFonts w:ascii="Times New Roman" w:hAnsi="Times New Roman"/>
                <w:sz w:val="24"/>
              </w:rPr>
              <w:t>KRR 105 straipsnio 10 dalis, Komisijos deleguotojo reglamento (ES) 2016/101 13 straipsnis</w:t>
            </w:r>
          </w:p>
          <w:p w14:paraId="014133D9"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Bendra investavimo ir finansavimo išlaidų AVA suma ir jos priskyrimas prie rinkos kainų neapibrėžtumo, pozicijos uždarymo išlaidų ar modelio rizikos AVA įverčių kategorijų nustatomas pagal Komisijos deleguotojo reglamento (ES) 2016/101 13 straipsnį.</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Bendra kategorijos lygmens suma po diversifikavimo</w:t>
            </w:r>
          </w:p>
          <w:p w14:paraId="7AC1D089"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Portfelių, kuriems taikomas pagrindinis metodas, nurodytas Komisijos deleguotojo reglamento (ES) 2016/101 III skyriuje, bendra kategorijos lygmens suma po diversifikavimo apima tikrąja verte įvertinto turto ir įsipareigojimų, įtrauktų apskaičiuojant ribą pagal Komisijos deleguotojo reglamento (ES) 2016/101 4 straipsnio 1 dalį, bendrą AVA sumą, apskaičiuotą pagal pagrindinį metodą. Ši vertė apima diversifikavimo naudą, apibrėžtą pagal Komisijos deleguotojo reglamento (ES) 2016/101 9 straipsnio 6 dalį, 10 straipsnio 7 dalį ir 11 straipsnio 7 dalį.</w:t>
            </w:r>
          </w:p>
          <w:p w14:paraId="786A07B6"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Portfelių, kuriems taikomas atsarginis metodas (jei yra), atveju šios formos 12 eilutėje, f skiltyje nurodyta bendra AVA suma apima sumas, apskaičiuotas pagal Deleguotojo reglamento (ES) 2016/101 7 straipsnio 2 dalies b punkto i–iii papunkčius.</w:t>
            </w:r>
          </w:p>
          <w:p w14:paraId="16B6B958" w14:textId="77777777" w:rsidR="00C04D6C" w:rsidRPr="00CA31E6" w:rsidRDefault="00C04D6C" w:rsidP="00D819DE">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 xml:space="preserve">Portfelių, kuriems atliekant </w:t>
            </w:r>
            <w:proofErr w:type="spellStart"/>
            <w:r>
              <w:rPr>
                <w:rFonts w:ascii="Times New Roman" w:hAnsi="Times New Roman"/>
                <w:sz w:val="24"/>
              </w:rPr>
              <w:t>prudencinį</w:t>
            </w:r>
            <w:proofErr w:type="spellEnd"/>
            <w:r>
              <w:rPr>
                <w:rFonts w:ascii="Times New Roman" w:hAnsi="Times New Roman"/>
                <w:sz w:val="24"/>
              </w:rPr>
              <w:t xml:space="preserve"> vertinimą taikomas supaprastintas metodas, nurodytas Deleguotojo reglamento (ES) 2016/101 II skyriuje, bendra AVA suma, nurodoma šios formos 12 eilutėje, yra suma, apskaičiuojama pagal šio skyriaus 5 straipsnį.</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Iš jos: bendra prekybos knygos pozicijų, kurioms taikomas pagrindinis metodas, suma</w:t>
            </w:r>
          </w:p>
          <w:p w14:paraId="77520A81"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Nurodoma kiekvienos atitinkamos AVA kategorijos portfelių, kuriems taikomas pagrindinis metodas, kaip nurodyta Komisijos deleguotojo reglamento (ES) 2016/101 III skyriuje, AVA įverčių dalis, susijusi su prekybos knygoje turimomis pozicijomis: visomis finansinių priemonių ir biržos prekių pozicijomis, kurias įstaiga turi prekybos tikslais arba kuriomis siekia apdrausti nuo rizikos prekybos tikslais turimas pozicijas pagal KRR 104 straipsnį. </w:t>
            </w:r>
          </w:p>
          <w:p w14:paraId="2169FF03"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lastRenderedPageBreak/>
              <w:t>Atskleidžiama vertė apima diversifikavimo naudą, apibrėžtą pagal Komisijos deleguotojo reglamento (ES) 2016/101 9 straipsnio 6 dalį, 10 straipsnio 7 dalį ir 11 straipsnio 7 dalį.</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Iš jos: bendra ne prekybos knygos pozicijų, kurioms taikomas pagrindinis metodas, suma</w:t>
            </w:r>
          </w:p>
          <w:p w14:paraId="4EC457E4" w14:textId="77777777" w:rsidR="00C04D6C" w:rsidRPr="007F4CC8" w:rsidRDefault="00C04D6C" w:rsidP="00D819DE">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Nurodoma kiekvienos atitinkamos AVA kategorijos portfelių, kuriems taikomas pagrindinis metodas, kaip nurodyta Komisijos deleguotojo reglamento (ES) 2016/101 III skyriuje, AVA įverčių dalis, susijusi su tikrąja verte įvertintomis finansinių priemonių ir biržos prekių pozicijomis, neįtrauktomis į prekybos knygą.</w:t>
            </w:r>
          </w:p>
          <w:p w14:paraId="5D6CB732"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Atskleidžiama vertė apima diversifikavimo naudą, nustatytą pagal Komisijos deleguotojo reglamento (ES) 2016/101 9 straipsnio 6 dalį, 10 straipsnio 7 dalį ir 11 straipsnio 7 dalį.</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4B8DD" w14:textId="77777777" w:rsidR="00A878C1" w:rsidRDefault="00A878C1" w:rsidP="00C04D6C">
      <w:r>
        <w:separator/>
      </w:r>
    </w:p>
  </w:endnote>
  <w:endnote w:type="continuationSeparator" w:id="0">
    <w:p w14:paraId="546903FD" w14:textId="77777777" w:rsidR="00A878C1" w:rsidRDefault="00A878C1"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9619E" w14:textId="77777777" w:rsidR="00A878C1" w:rsidRDefault="00A878C1" w:rsidP="00C04D6C">
      <w:r>
        <w:separator/>
      </w:r>
    </w:p>
  </w:footnote>
  <w:footnote w:type="continuationSeparator" w:id="0">
    <w:p w14:paraId="596B80F7" w14:textId="77777777" w:rsidR="00A878C1" w:rsidRDefault="00A878C1"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t>.</w:t>
      </w:r>
      <w:r>
        <w:rPr>
          <w:color w:val="800080"/>
          <w:u w:val="single"/>
        </w:rPr>
        <w:t xml:space="preserve"> </w:t>
      </w:r>
      <w:hyperlink r:id="rId2" w:history="1">
        <w:r>
          <w:rPr>
            <w:rStyle w:val="Hyperlink"/>
          </w:rPr>
          <w:t>Reglamentas (ES) 2024/1623 - LT - EUR-</w:t>
        </w:r>
        <w:proofErr w:type="spellStart"/>
        <w:r>
          <w:rPr>
            <w:rStyle w:val="Hyperlink"/>
          </w:rPr>
          <w:t>Lex</w:t>
        </w:r>
        <w:proofErr w:type="spellEnd"/>
        <w:r>
          <w:rPr>
            <w:rStyle w:val="Hyperlink"/>
          </w:rPr>
          <w:t xml:space="preserve"> (europa.eu)</w:t>
        </w:r>
      </w:hyperlink>
      <w:r>
        <w:rPr>
          <w:color w:val="444444"/>
        </w:rPr>
        <w:t>)</w:t>
      </w:r>
      <w:r>
        <w:t>.</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ab/>
      </w:r>
      <w:r>
        <w:t>2013 m. birželio 26 d. 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ab/>
      </w:r>
      <w:r>
        <w:t>2002 m. liepos 19 d. EUROPOS PARLAMENTO IR TARYBOS REGLAMENTAS (EB) Nr. 1606/2002 dėl tarptautinių apskaitos standartų taikymo (OL L 243, 2002 9 11, p. 1).</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ab/>
      </w:r>
      <w:r>
        <w:t>1986 m. gruodžio 8 d. TARYBOS DIREKTYVA 86/635/EEB dėl bankų ir kitų finansų įstaigų metinės finansinės atskaitomybės ir konsoliduotos finansinės atskaitomybės (OL L 372, 1986 12 31, p. 1).</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ab/>
      </w:r>
      <w:r>
        <w:t xml:space="preserve">2013 m. gruodžio 20 d. KOMISIJOS DELEGUOTASIS REGLAMENTAS (ES) Nr. 183/2014, kuriuo papildomos Europos Parlamento ir Tarybos reglamento (ES) Nr. 575/2013 dėl </w:t>
      </w:r>
      <w:proofErr w:type="spellStart"/>
      <w:r>
        <w:t>prudencinių</w:t>
      </w:r>
      <w:proofErr w:type="spellEnd"/>
      <w:r>
        <w:t xml:space="preserve"> reikalavimų kredito įstaigoms ir investicinėms įmonėms nuostatos, susijusios su specifinės ir bendrosios kredito rizikos koregavimų apskaičiavimo tvarkos techniniais reguliavimo standartais (OL L 57, 2014 2 27, p. 3).</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ab/>
      </w:r>
      <w:r>
        <w:t>2015 m. spalio 26 d. KOMISIJOS DELEGUOTASIS REGLAMENTAS (ES) 2016/101, kuriuo pagal Europos Parlamento ir Tarybos reglamento (ES) Nr. 575/2013 105 straipsnio 14 dalį papildomos to reglamento nuostatos dėl rizikos ribojimo principais pagrįsto vertinimo techninių reguliavimo standartų (OL L 21, 2016 1 28, p.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w:rPr>
        <w:noProof/>
      </w:rP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26B05EE"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w:rPr>
        <w:noProof/>
      </w:rP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24C2DB"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6F70198A" w14:textId="3A90A883" w:rsidR="009F69A4" w:rsidRPr="009F69A4" w:rsidRDefault="009F69A4" w:rsidP="009F69A4">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w:rPr>
        <w:noProof/>
      </w:rP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D4B697"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9F69A4"/>
    <w:rsid w:val="00A878C1"/>
    <w:rsid w:val="00AF0EB9"/>
    <w:rsid w:val="00B64A0E"/>
    <w:rsid w:val="00C04D6C"/>
    <w:rsid w:val="00ED3B2B"/>
    <w:rsid w:val="00EF39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04D6C"/>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EB0B6B-A672-4EB8-894E-C09E951C5DEC}"/>
</file>

<file path=customXml/itemProps2.xml><?xml version="1.0" encoding="utf-8"?>
<ds:datastoreItem xmlns:ds="http://schemas.openxmlformats.org/officeDocument/2006/customXml" ds:itemID="{FE51F0C5-68F9-4A53-B934-3511C809CCE6}"/>
</file>

<file path=customXml/itemProps3.xml><?xml version="1.0" encoding="utf-8"?>
<ds:datastoreItem xmlns:ds="http://schemas.openxmlformats.org/officeDocument/2006/customXml" ds:itemID="{E3A94777-BDF3-4A98-A342-C6D25F75977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74</TotalTime>
  <Pages>12</Pages>
  <Words>3238</Words>
  <Characters>22087</Characters>
  <Application>Microsoft Office Word</Application>
  <DocSecurity>0</DocSecurity>
  <Lines>525</Lines>
  <Paragraphs>272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25053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MALAKAUSKIENE Inga (DGT)</cp:lastModifiedBy>
  <cp:revision>6</cp:revision>
  <dcterms:created xsi:type="dcterms:W3CDTF">2021-03-11T11:51:00Z</dcterms:created>
  <dcterms:modified xsi:type="dcterms:W3CDTF">2024-10-18T10:34:00Z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