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Default="009E7D0C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ET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XLIV LISA</w:t>
      </w:r>
    </w:p>
    <w:p w14:paraId="327777EC" w14:textId="412B4B5A" w:rsidR="002648B0" w:rsidRPr="002A677E" w:rsidRDefault="00D03B1B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Juhised krüptovaraga seotud riskipositsioonide avalikustamiseks</w:t>
      </w:r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2" w:name="_Toc163551527"/>
      <w:bookmarkEnd w:id="0"/>
      <w:bookmarkEnd w:id="1"/>
      <w:r>
        <w:rPr>
          <w:rFonts w:ascii="Times New Roman" w:hAnsi="Times New Roman"/>
          <w:b/>
          <w:sz w:val="24"/>
          <w:u w:val="none"/>
        </w:rPr>
        <w:t>Vorm EU CAE 1- Krüptovarade vorm</w:t>
      </w:r>
      <w:bookmarkEnd w:id="2"/>
      <w:r>
        <w:rPr>
          <w:rFonts w:ascii="Times New Roman" w:hAnsi="Times New Roman"/>
          <w:b/>
          <w:sz w:val="24"/>
          <w:u w:val="none"/>
        </w:rPr>
        <w:t>.</w:t>
      </w:r>
      <w:r>
        <w:rPr>
          <w:rFonts w:ascii="Times New Roman" w:hAnsi="Times New Roman"/>
          <w:sz w:val="24"/>
          <w:u w:val="none"/>
        </w:rPr>
        <w:t xml:space="preserve"> Muutumatu vorming.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>
        <w:t>Finantsinstitutsioonid järgivad EBA IT-lahenduste XLIII lisas esitatud vormi EU CAE1 täitmiseks allpool esitatud juhiseid, et avalikustada teave määruse (EL) nr 575/2013</w:t>
      </w:r>
      <w:r w:rsidR="0076606B" w:rsidRPr="0076606B"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>
        <w:t xml:space="preserve"> artikli 501d lõikes 2 osutatud krüptovaradega seotud riskipositsioonide liikide riskiga kaalutud vara ja omavahendite nõuete kohta.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>
              <w:t>Viited õigussätetele ja juhised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>
              <w:t xml:space="preserve">Veeru number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>Selgitus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>a</w:t>
            </w:r>
          </w:p>
        </w:tc>
        <w:tc>
          <w:tcPr>
            <w:tcW w:w="836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Riskipositsiooni väärtus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 xml:space="preserve">Krüptovaraga seotud riskipositsioonide väärtus määruse (EL) nr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artikli 501d lõikes 2</w:t>
            </w:r>
            <w:r>
              <w:t xml:space="preserve"> osutatud eri liiki krüptovarade puhul</w:t>
            </w:r>
            <w:r>
              <w:rPr>
                <w:rStyle w:val="InstructionsTabelleberschrift"/>
              </w:rPr>
              <w:t>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>b</w:t>
            </w:r>
          </w:p>
        </w:tc>
        <w:tc>
          <w:tcPr>
            <w:tcW w:w="8363" w:type="dxa"/>
          </w:tcPr>
          <w:p w14:paraId="18B3A388" w14:textId="519B3BC9" w:rsidR="00E46AC0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Riskiga kaalutud vara</w:t>
            </w:r>
          </w:p>
          <w:p w14:paraId="2AB54302" w14:textId="4A729BBB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Määruse (EL) nr 575/2013 artikli 501d lõige 2</w:t>
            </w:r>
            <w:r>
              <w:t>.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Riskiga kaalutud vara krüptovaraga seotud eri liiki riskipositsioonide puhul</w:t>
            </w:r>
            <w:r>
              <w:t>, mis on arvutatud vastavalt määruse (EL) nr 575/2013 artikli 501d lõike 2 punktile f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>c</w:t>
            </w:r>
          </w:p>
        </w:tc>
        <w:tc>
          <w:tcPr>
            <w:tcW w:w="836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Omavahendite nõuded </w:t>
            </w:r>
          </w:p>
          <w:p w14:paraId="7787F909" w14:textId="1E893054" w:rsidR="003B6B5F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Määruse (EL) nr 575/2013 artikli 501d lõige 2</w:t>
            </w:r>
            <w:r>
              <w:t>.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Omavahendite nõuded, mis vastavad eri liiki krüptovarade puhul riskiga kaalutud varale.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>
              <w:t>Viited õigussätetele ja juhised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>
              <w:t>Rea number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>Selgitus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>
              <w:t>1</w:t>
            </w:r>
          </w:p>
        </w:tc>
        <w:tc>
          <w:tcPr>
            <w:tcW w:w="836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cf01"/>
                <w:rFonts w:ascii="Times New Roman" w:hAnsi="Times New Roman"/>
                <w:b/>
                <w:sz w:val="24"/>
              </w:rPr>
              <w:t>Tokeniseeritud traditsioonilised varad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Määruse (EL) nr 575/2013 artikli 501d lõike 2 punkt a</w:t>
            </w:r>
            <w:r>
              <w:t>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>
              <w:t>2</w:t>
            </w:r>
          </w:p>
        </w:tc>
        <w:tc>
          <w:tcPr>
            <w:tcW w:w="8363" w:type="dxa"/>
          </w:tcPr>
          <w:p w14:paraId="1BDD91BD" w14:textId="6EFF93E0" w:rsidR="000C1FFC" w:rsidRPr="0076606B" w:rsidRDefault="00A02EBC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Varapõhised tokenid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t>Määruse (EL) nr 575/2013 artikli 501d lõike 2 punkt b.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>
              <w:lastRenderedPageBreak/>
              <w:t>3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Muude krüptovaradega seotud riskipositsioonid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Määruse (EL) nr 575/2013 artikli 501d lõike 2 punkt c</w:t>
            </w:r>
            <w:r>
              <w:t>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Muude selliste krüptovaradega seotud riskipositsioonid, mis erinevad määruse</w:t>
            </w:r>
            <w:r>
              <w:t xml:space="preserve"> (EL) nr 575/2013 artikli 501d lõike 2 punktides a ja b osutatud krüptovaradest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>
              <w:t>4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Kokku</w:t>
            </w:r>
          </w:p>
          <w:p w14:paraId="55F5AED4" w14:textId="100FBBDE" w:rsidR="003B6B5F" w:rsidRDefault="0088549A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Väärtused kokku, mis arvutatakse ridade 1, 2 ja 3 summana.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Koguriskipositsioon on võrdne vormi EU OV1 rea EU24a veerus a esitatud summaga.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Omavahendite kogunõue on võrdne vormi EU OV1 rea EU 24a veerus c esitatud summaga.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Memokirje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5DBC581B" w:rsidR="001F0121" w:rsidRDefault="001F0121" w:rsidP="002F1D8D">
            <w:pPr>
              <w:pStyle w:val="InstructionsText"/>
            </w:pPr>
            <w:r>
              <w:t>5</w:t>
            </w:r>
          </w:p>
        </w:tc>
        <w:tc>
          <w:tcPr>
            <w:tcW w:w="836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Muude krüptovaradega seotud riskipositsioonid, väljendatuna protsendina finantsinstitutsiooni esimese taseme omavahenditest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Määruse (EL) nr 575/2013 artikli 501d lõige 3</w:t>
            </w:r>
            <w:r>
              <w:t>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623D9164" w:rsidR="0076606B" w:rsidRPr="00D9757A" w:rsidRDefault="0076606B" w:rsidP="0076606B">
      <w:pPr>
        <w:pStyle w:val="FootnoteText"/>
        <w:rPr>
          <w:rFonts w:ascii="Times New Roman" w:eastAsia="Calibri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t xml:space="preserve"> </w:t>
      </w:r>
      <w:r>
        <w:tab/>
        <w:t>Euroopa Parlamendi ja nõukogu 26. juuni 2013. aasta määrus (EL) nr 575/2013, mis käsitleb krediidiasutuste suhtes kohaldatavaid usaldatavusnõudeid ja millega muudetakse määrust (EL) nr 648/2012, nagu on muudetud määrusega (EL) 2024/1623</w:t>
      </w:r>
      <w:r w:rsidR="00F10A19">
        <w:t xml:space="preserve">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OJ L 176, 27.6.2013, p.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Määrus - EL - 2024/1623 - ET - EUR-Lex (europa.eu)</w:t>
        </w:r>
      </w:hyperlink>
      <w:r>
        <w:rPr>
          <w:color w:val="444444"/>
        </w:rPr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tavakasutu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tavakasutus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tavakasutus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tavakasutus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tavakasutu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tavakasutus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tavakasutus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tavakasutus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tavakasutu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tavakasutus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tavakasutus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tavakasutus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0A19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648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t-EE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t-EE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et-EE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t-E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t-EE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t-EE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t-EE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t-EE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t-EE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t-EE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t-EE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t-EE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et-EE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T/TXT/?uri=OJ:L_202401623" TargetMode="External"/><Relationship Id="rId1" Type="http://schemas.openxmlformats.org/officeDocument/2006/relationships/hyperlink" Target="https://eur-lex.europa.eu/legal-content/E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FB6E06-1C92-47A7-8DBC-06BA0514DCF9}"/>
</file>

<file path=customXml/itemProps3.xml><?xml version="1.0" encoding="utf-8"?>
<ds:datastoreItem xmlns:ds="http://schemas.openxmlformats.org/officeDocument/2006/customXml" ds:itemID="{824E9A22-02FF-406B-8DDB-D4C75E5D92EE}"/>
</file>

<file path=customXml/itemProps4.xml><?xml version="1.0" encoding="utf-8"?>
<ds:datastoreItem xmlns:ds="http://schemas.openxmlformats.org/officeDocument/2006/customXml" ds:itemID="{41FAD7E0-6A8C-47EC-9321-F933FDE01882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1693</Characters>
  <Application>Microsoft Office Word</Application>
  <DocSecurity>0</DocSecurity>
  <Lines>60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2024-10-16T13:47:00Z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