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647B8" w14:textId="080B76AD" w:rsidR="00931C32" w:rsidRPr="001F1865" w:rsidRDefault="3E2CC804" w:rsidP="06503780">
      <w:pPr>
        <w:pStyle w:val="Titlelevel2"/>
        <w:spacing w:before="0"/>
        <w:rPr>
          <w:rFonts w:ascii="Times New Roman" w:hAnsi="Times New Roman" w:cs="Times New Roman"/>
          <w:b/>
          <w:color w:val="auto"/>
          <w:sz w:val="24"/>
        </w:rPr>
      </w:pPr>
      <w:r>
        <w:rPr>
          <w:rFonts w:ascii="Times New Roman" w:hAnsi="Times New Roman"/>
          <w:b/>
          <w:color w:val="auto"/>
          <w:sz w:val="24"/>
        </w:rPr>
        <w:t xml:space="preserve">ΠΑΡΑΡΤΗΜΑ XXX – Πίνακες και υποδείγματα δημοσιοποίησης στοιχείων για την τυποποιημένη προσέγγιση κινδύνου αγοράς και την εσωτερική προσέγγιση: Οδηγίες </w:t>
      </w:r>
    </w:p>
    <w:p w14:paraId="30BCD097" w14:textId="4E7CD1C5" w:rsidR="00931C32" w:rsidRPr="001F1865" w:rsidRDefault="3E2CC804" w:rsidP="5DD19F35">
      <w:pPr>
        <w:pStyle w:val="Titlelevel2"/>
        <w:numPr>
          <w:ilvl w:val="0"/>
          <w:numId w:val="4"/>
        </w:numPr>
        <w:spacing w:before="0"/>
        <w:jc w:val="both"/>
        <w:rPr>
          <w:rFonts w:ascii="Times New Roman" w:hAnsi="Times New Roman" w:cs="Times New Roman"/>
          <w:color w:val="auto"/>
          <w:sz w:val="24"/>
        </w:rPr>
      </w:pPr>
      <w:r>
        <w:rPr>
          <w:rFonts w:ascii="Times New Roman" w:hAnsi="Times New Roman"/>
          <w:color w:val="auto"/>
          <w:sz w:val="24"/>
        </w:rPr>
        <w:t>Το παρόν παράρτημα περιλαμβάνει τις οδηγίες που πρέπει να ακολουθούν τα ιδρύματα κατά τη δημοσιοποίηση των πληροφοριών που αναφέρονται στα άρθρα 435, 445 και 455 του κανονισμού (ΕΕ) αριθ. 575/2013</w:t>
      </w:r>
      <w:r w:rsidR="00931C32" w:rsidRPr="00DB0A49">
        <w:rPr>
          <w:rStyle w:val="FootnoteReference"/>
          <w:rFonts w:ascii="Times New Roman" w:hAnsi="Times New Roman" w:cs="Times New Roman"/>
          <w:color w:val="auto"/>
          <w:lang w:val="en-GB"/>
        </w:rPr>
        <w:footnoteReference w:id="2"/>
      </w:r>
      <w:r>
        <w:rPr>
          <w:rFonts w:ascii="Times New Roman" w:hAnsi="Times New Roman"/>
          <w:color w:val="auto"/>
          <w:sz w:val="24"/>
        </w:rPr>
        <w:t xml:space="preserve"> («ΚΚΑ») για τη συμπλήρωση των πινάκων και των υποδειγμάτων δημοσιοποίησης κινδύνου αγοράς που παρουσιάζονται στο παράρτημα XXIX των λύσεων ΤΠ της ΕΑΤ. </w:t>
      </w:r>
    </w:p>
    <w:p w14:paraId="69DA8DE0" w14:textId="77777777" w:rsidR="00931C32" w:rsidRPr="001F1865" w:rsidRDefault="00931C32" w:rsidP="00931C32">
      <w:pPr>
        <w:spacing w:after="240"/>
        <w:jc w:val="both"/>
        <w:rPr>
          <w:rFonts w:ascii="Times New Roman" w:hAnsi="Times New Roman" w:cs="Times New Roman"/>
          <w:sz w:val="24"/>
        </w:rPr>
      </w:pPr>
      <w:r>
        <w:rPr>
          <w:rFonts w:ascii="Times New Roman" w:hAnsi="Times New Roman"/>
          <w:b/>
          <w:sz w:val="24"/>
        </w:rPr>
        <w:t>Πίνακας EU MRA</w:t>
      </w:r>
      <w:r>
        <w:rPr>
          <w:rFonts w:ascii="Times New Roman" w:hAnsi="Times New Roman"/>
          <w:sz w:val="24"/>
        </w:rPr>
        <w:t xml:space="preserve"> – </w:t>
      </w:r>
      <w:r>
        <w:rPr>
          <w:rFonts w:ascii="Times New Roman" w:hAnsi="Times New Roman"/>
          <w:b/>
          <w:sz w:val="24"/>
        </w:rPr>
        <w:t>Απαιτήσεις ποιοτικής δημοσιοποίησης που σχετίζονται με τον κίνδυνο αγοράς:</w:t>
      </w:r>
      <w:r>
        <w:rPr>
          <w:rFonts w:ascii="Times New Roman" w:hAnsi="Times New Roman"/>
          <w:sz w:val="24"/>
        </w:rPr>
        <w:t xml:space="preserve"> Πλαίσια ελεύθερου κειμένου</w:t>
      </w:r>
    </w:p>
    <w:p w14:paraId="1B9BDBE7" w14:textId="621617DF" w:rsidR="00931C32" w:rsidRPr="001F1865" w:rsidRDefault="00931C32" w:rsidP="72461198">
      <w:pPr>
        <w:pStyle w:val="Titlelevel2"/>
        <w:numPr>
          <w:ilvl w:val="0"/>
          <w:numId w:val="4"/>
        </w:numPr>
        <w:spacing w:before="0"/>
        <w:jc w:val="both"/>
        <w:rPr>
          <w:rFonts w:ascii="Times New Roman" w:hAnsi="Times New Roman" w:cs="Times New Roman"/>
          <w:sz w:val="24"/>
        </w:rPr>
      </w:pPr>
      <w:r>
        <w:rPr>
          <w:rFonts w:ascii="Times New Roman" w:hAnsi="Times New Roman"/>
          <w:color w:val="000000" w:themeColor="text1"/>
          <w:sz w:val="24"/>
        </w:rPr>
        <w:t>Τα ιδρύματα δημοσιοποιούν τις πληροφορίες που αναφέρονται στο άρθρο 435 παράγραφος 1 στοιχεία α) έως δ) του κανονισμού (ΕΕ) αριθ. 575/2013 σχετικά με τον κίνδυνο αγοράς ακολουθώντας τις οδηγίες που παρέχονται παρακάτω στο παρόν παράρτημα για τη συμπλήρωση του πίνακα EU MRA, ο οποίος παρατίθεται στο παράρτημα XXIX.</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1C32" w:rsidRPr="001F1865" w14:paraId="4FA5DD43" w14:textId="77777777" w:rsidTr="7246119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79875"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Νομικά κείμενα αναφοράς και οδηγίες</w:t>
            </w:r>
          </w:p>
        </w:tc>
      </w:tr>
      <w:tr w:rsidR="00931C32" w:rsidRPr="001F1865" w14:paraId="0BB6A5B1" w14:textId="77777777" w:rsidTr="72461198">
        <w:trPr>
          <w:trHeight w:val="238"/>
        </w:trPr>
        <w:tc>
          <w:tcPr>
            <w:tcW w:w="1384" w:type="dxa"/>
            <w:shd w:val="clear" w:color="auto" w:fill="D9D9D9" w:themeFill="background1" w:themeFillShade="D9"/>
          </w:tcPr>
          <w:p w14:paraId="7A522B50" w14:textId="77777777" w:rsidR="00931C32" w:rsidRPr="001F1865" w:rsidRDefault="00931C32" w:rsidP="00DE090B">
            <w:pPr>
              <w:autoSpaceDE w:val="0"/>
              <w:autoSpaceDN w:val="0"/>
              <w:adjustRightInd w:val="0"/>
              <w:spacing w:after="24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7BF504D8" w14:textId="77777777" w:rsidR="00931C32" w:rsidRPr="001F1865" w:rsidRDefault="00931C32" w:rsidP="00DE090B">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Επεξήγηση</w:t>
            </w:r>
          </w:p>
        </w:tc>
      </w:tr>
      <w:tr w:rsidR="00931C32" w:rsidRPr="001F1865" w14:paraId="75D64070" w14:textId="77777777" w:rsidTr="72461198">
        <w:trPr>
          <w:trHeight w:val="680"/>
        </w:trPr>
        <w:tc>
          <w:tcPr>
            <w:tcW w:w="1384" w:type="dxa"/>
          </w:tcPr>
          <w:p w14:paraId="5CBE7772" w14:textId="77777777" w:rsidR="00931C32" w:rsidRPr="001F1865" w:rsidRDefault="00931C32" w:rsidP="00DE090B">
            <w:pPr>
              <w:pStyle w:val="Applicationdirecte"/>
              <w:spacing w:before="0" w:after="240"/>
              <w:jc w:val="center"/>
            </w:pPr>
            <w:r>
              <w:t>α)</w:t>
            </w:r>
          </w:p>
        </w:tc>
        <w:tc>
          <w:tcPr>
            <w:tcW w:w="7655" w:type="dxa"/>
            <w:vAlign w:val="center"/>
          </w:tcPr>
          <w:p w14:paraId="0ECBECD6" w14:textId="59A2C39A"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Κατά τη δημοσιοποίηση των πληροφοριών που αναφέρονται στο άρθρο 435 παράγραφος 1 στοιχεία α) και δ) του κανονισμού (ΕΕ) αριθ. 575/2013 σχετικά με τους στόχους και τις πολιτικές διαχείρισης κινδύνων για τη διαχείριση του κινδύνου αγοράς, τα ιδρύματα περιλαμβάνουν:</w:t>
            </w:r>
          </w:p>
          <w:p w14:paraId="2954CCD3"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 xml:space="preserve">επεξήγηση των στρατηγικών στόχων της διαχείρισής τους κατά την ανάληψη εμπορικών δραστηριοτήτων, </w:t>
            </w:r>
          </w:p>
          <w:p w14:paraId="28C8AA1E" w14:textId="2D7A10DE" w:rsidR="00DE4020" w:rsidRPr="001F1865" w:rsidRDefault="00EC10EF"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περιγραφή των πολιτικών που αναφέρονται στο άρθρο 104 παράγραφος 1 για τον προσδιορισμό των θέσεων που πρέπει να περιλαμβάνονται στο χαρτοφυλάκιο συναλλαγών, συμπεριλαμβανομένου του ορισμού των σταθερών θέσεων και των πολιτικών διαχείρισης κινδύνων για την παρακολούθηση των εν λόγω θέσεων. Επιπλέον, τα ιδρύματα περιγράφουν τις περιπτώσεις στις οποίες τα μέσα κατατάσσονται στο χαρτοφυλάκιο συναλλαγών ή στο τραπεζικό χαρτοφυλάκιο αντίθετα με τα γενικά τεκμήρια της κατηγορίας μέσων τους, συμπεριλαμβανομένης της αγοραίας και εύλογης αξίας των εν λόγω περιπτώσεων, καθώς και κάθε ανακατάταξη από το ένα χαρτοφυλάκιο στο άλλο μετά την τελευταία περίοδο αναφοράς, συμπεριλαμβανομένης της εύλογης αξίας των εν λόγω περιπτώσεων και του λόγου της ανακατάταξης,</w:t>
            </w:r>
          </w:p>
          <w:p w14:paraId="20F3C237" w14:textId="77E3E75D" w:rsidR="00795618" w:rsidRPr="001F1865" w:rsidRDefault="002C5234"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lastRenderedPageBreak/>
              <w:t>περιγραφή των δραστηριοτήτων εσωτερικής μεταφοράς κινδύνων, συμπεριλαμβανομένων των τύπων της μονάδας εσωτερικής μεταφοράς κινδύνων,</w:t>
            </w:r>
          </w:p>
          <w:p w14:paraId="17B1142E"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τις διαδικασίες που εφαρμόζονται για τον εντοπισμό, τη μέτρηση, την παρακολούθηση και τον έλεγχο των κινδύνων αγοράς του ιδρύματος,</w:t>
            </w:r>
          </w:p>
          <w:p w14:paraId="216165DD"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τις πολιτικές αντιστάθμισης και μείωσης του κινδύνου,</w:t>
            </w:r>
          </w:p>
          <w:p w14:paraId="5B43C932"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στρατηγικές και διαδικασίες για την παρακολούθηση της συνεχούς αποτελεσματικότητας των αντισταθμίσεων κινδύνου.</w:t>
            </w:r>
          </w:p>
        </w:tc>
      </w:tr>
      <w:tr w:rsidR="00931C32" w:rsidRPr="001F1865" w14:paraId="2F078747" w14:textId="77777777" w:rsidTr="72461198">
        <w:trPr>
          <w:trHeight w:val="680"/>
        </w:trPr>
        <w:tc>
          <w:tcPr>
            <w:tcW w:w="1384" w:type="dxa"/>
          </w:tcPr>
          <w:p w14:paraId="3715BE68" w14:textId="77777777" w:rsidR="00931C32" w:rsidRPr="001F1865" w:rsidRDefault="00931C32" w:rsidP="00DE090B">
            <w:pPr>
              <w:pStyle w:val="Applicationdirecte"/>
              <w:spacing w:before="0" w:after="240"/>
              <w:jc w:val="center"/>
            </w:pPr>
            <w:r>
              <w:lastRenderedPageBreak/>
              <w:t>β)</w:t>
            </w:r>
          </w:p>
        </w:tc>
        <w:tc>
          <w:tcPr>
            <w:tcW w:w="7655" w:type="dxa"/>
          </w:tcPr>
          <w:p w14:paraId="57B23AAF" w14:textId="53C0A959"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Κατά τη δημοσιοποίηση των πληροφοριών που αναφέρονται στο άρθρο 435 παράγραφος 1 στοιχείο β) του κανονισμού (ΕΕ) αριθ. 575/2013 σχετικά με τη διάρθρωση και την οργάνωση του τμήματος διαχείρισης κινδύνου αγοράς, τα ιδρύματα περιλαμβάνουν:</w:t>
            </w:r>
          </w:p>
          <w:p w14:paraId="15341445" w14:textId="0D70F6B3" w:rsidR="00931C32" w:rsidRPr="001F1865" w:rsidRDefault="00931C32" w:rsidP="00931C32">
            <w:pPr>
              <w:pStyle w:val="ListParagraph"/>
              <w:numPr>
                <w:ilvl w:val="0"/>
                <w:numId w:val="3"/>
              </w:numPr>
              <w:spacing w:after="240"/>
              <w:jc w:val="both"/>
              <w:rPr>
                <w:rFonts w:ascii="Times New Roman" w:eastAsia="Times New Roman" w:hAnsi="Times New Roman"/>
                <w:sz w:val="24"/>
                <w:szCs w:val="24"/>
              </w:rPr>
            </w:pPr>
            <w:r>
              <w:rPr>
                <w:rFonts w:ascii="Times New Roman" w:hAnsi="Times New Roman"/>
                <w:sz w:val="24"/>
              </w:rPr>
              <w:t xml:space="preserve">περιγραφή της δομής διακυβέρνησης του κινδύνου αγοράς που θεσπίστηκε για την εφαρμογή των στρατηγικών και των διαδικασιών των ιδρυμάτων που εξετάζονται στη γραμμή α ανωτέρω, </w:t>
            </w:r>
          </w:p>
          <w:p w14:paraId="10C87729" w14:textId="77777777" w:rsidR="00931C32" w:rsidRPr="001F1865" w:rsidRDefault="00931C32" w:rsidP="00931C32">
            <w:pPr>
              <w:pStyle w:val="ListParagraph"/>
              <w:numPr>
                <w:ilvl w:val="0"/>
                <w:numId w:val="3"/>
              </w:numPr>
              <w:spacing w:after="240"/>
              <w:jc w:val="both"/>
              <w:rPr>
                <w:rFonts w:ascii="Times New Roman" w:eastAsia="Times New Roman" w:hAnsi="Times New Roman"/>
                <w:sz w:val="24"/>
                <w:szCs w:val="24"/>
              </w:rPr>
            </w:pPr>
            <w:r>
              <w:rPr>
                <w:rFonts w:ascii="Times New Roman" w:hAnsi="Times New Roman"/>
                <w:sz w:val="24"/>
              </w:rPr>
              <w:t xml:space="preserve">περιγραφή των σχέσεων και των μηχανισμών επικοινωνίας μεταξύ των διαφόρων μερών που συμμετέχουν στη διαχείριση κινδύνου αγοράς. </w:t>
            </w:r>
          </w:p>
        </w:tc>
      </w:tr>
      <w:tr w:rsidR="00931C32" w:rsidRPr="001F1865" w14:paraId="15179A4A" w14:textId="77777777" w:rsidTr="72461198">
        <w:trPr>
          <w:trHeight w:val="436"/>
        </w:trPr>
        <w:tc>
          <w:tcPr>
            <w:tcW w:w="1384" w:type="dxa"/>
          </w:tcPr>
          <w:p w14:paraId="0F95AF50" w14:textId="77777777" w:rsidR="00931C32" w:rsidRPr="001F1865" w:rsidRDefault="00931C32" w:rsidP="00DE090B">
            <w:pPr>
              <w:pStyle w:val="Applicationdirecte"/>
              <w:spacing w:before="0" w:after="240"/>
              <w:jc w:val="center"/>
            </w:pPr>
            <w:r>
              <w:t>γ)</w:t>
            </w:r>
          </w:p>
          <w:p w14:paraId="672A6659" w14:textId="77777777" w:rsidR="00931C32" w:rsidRPr="001F1865" w:rsidRDefault="00931C32" w:rsidP="00DE090B">
            <w:pPr>
              <w:pStyle w:val="Fait"/>
              <w:spacing w:before="0" w:after="240"/>
            </w:pPr>
          </w:p>
        </w:tc>
        <w:tc>
          <w:tcPr>
            <w:tcW w:w="7655" w:type="dxa"/>
          </w:tcPr>
          <w:p w14:paraId="1ADA7F58" w14:textId="27D05688" w:rsidR="00931C32" w:rsidRPr="001F1865" w:rsidRDefault="3E2CC804" w:rsidP="72461198">
            <w:pPr>
              <w:spacing w:after="240"/>
              <w:jc w:val="both"/>
              <w:rPr>
                <w:rFonts w:ascii="Times New Roman" w:eastAsia="Times New Roman" w:hAnsi="Times New Roman" w:cs="Times New Roman"/>
                <w:sz w:val="24"/>
              </w:rPr>
            </w:pPr>
            <w:r>
              <w:rPr>
                <w:rFonts w:ascii="Times New Roman" w:hAnsi="Times New Roman"/>
                <w:sz w:val="24"/>
              </w:rPr>
              <w:t xml:space="preserve">Κατά τη δημοσιοποίηση των πληροφοριών που αναφέρονται στο άρθρο 435 παράγραφος 1 στοιχείο γ) του κανονισμού (ΕΕ) αριθ. 575/2013 σχετικά με την έκταση και τη φύση των συστημάτων δημοσιοποίησης και μέτρησης του κινδύνου αγοράς, τα ιδρύματα παρέχουν περιγραφή της έκτασης και της φύσης της υποβολής εκθέσεων κινδύνου αγοράς και των συστημάτων μέτρησης. </w:t>
            </w:r>
          </w:p>
        </w:tc>
      </w:tr>
      <w:tr w:rsidR="06503780" w:rsidRPr="001F1865" w14:paraId="5B327CF1" w14:textId="77777777" w:rsidTr="72461198">
        <w:trPr>
          <w:trHeight w:val="435"/>
        </w:trPr>
        <w:tc>
          <w:tcPr>
            <w:tcW w:w="1384" w:type="dxa"/>
            <w:tcBorders>
              <w:top w:val="single" w:sz="8" w:space="0" w:color="auto"/>
              <w:left w:val="single" w:sz="8" w:space="0" w:color="auto"/>
              <w:bottom w:val="single" w:sz="8" w:space="0" w:color="auto"/>
              <w:right w:val="single" w:sz="8" w:space="0" w:color="auto"/>
            </w:tcBorders>
            <w:tcMar>
              <w:left w:w="108" w:type="dxa"/>
              <w:right w:w="108" w:type="dxa"/>
            </w:tcMar>
          </w:tcPr>
          <w:p w14:paraId="1B48C11C" w14:textId="12CFE735"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EU δ)</w:t>
            </w:r>
          </w:p>
        </w:tc>
        <w:tc>
          <w:tcPr>
            <w:tcW w:w="7655" w:type="dxa"/>
            <w:tcBorders>
              <w:top w:val="single" w:sz="8" w:space="0" w:color="auto"/>
              <w:left w:val="single" w:sz="8" w:space="0" w:color="auto"/>
              <w:bottom w:val="single" w:sz="8" w:space="0" w:color="auto"/>
              <w:right w:val="single" w:sz="8" w:space="0" w:color="auto"/>
            </w:tcBorders>
            <w:tcMar>
              <w:left w:w="108" w:type="dxa"/>
              <w:right w:w="108" w:type="dxa"/>
            </w:tcMar>
          </w:tcPr>
          <w:p w14:paraId="0E42D3ED" w14:textId="19D1B8F3" w:rsidR="06503780" w:rsidRPr="001F1865" w:rsidRDefault="5B873F98" w:rsidP="00DB0A49">
            <w:pPr>
              <w:spacing w:after="240"/>
              <w:jc w:val="both"/>
              <w:rPr>
                <w:rFonts w:ascii="Times New Roman" w:eastAsia="Times New Roman" w:hAnsi="Times New Roman" w:cs="Times New Roman"/>
                <w:sz w:val="24"/>
              </w:rPr>
            </w:pPr>
            <w:r>
              <w:rPr>
                <w:rFonts w:ascii="Times New Roman" w:hAnsi="Times New Roman"/>
                <w:sz w:val="24"/>
              </w:rPr>
              <w:t>Κατά τη δημοσιοποίηση των πληροφοριών που αναφέρονται στο άρθρο 445 παράγραφος 1 του κανονισμού (ΕΕ) αριθ. 575/2013 σχετικά με τη γενική επισκόπηση των θέσεων του χαρτοφυλακίου συναλλαγών, τα ιδρύματα παρέχουν υψηλού επιπέδου περιγραφή των θέσεων του χαρτοφυλακίου συναλλαγών τους.</w:t>
            </w:r>
          </w:p>
        </w:tc>
      </w:tr>
    </w:tbl>
    <w:p w14:paraId="0A37501D" w14:textId="5B1DE2AB" w:rsidR="00931C32" w:rsidRPr="00CA05AD" w:rsidRDefault="00931C32" w:rsidP="06503780">
      <w:pPr>
        <w:pStyle w:val="Titlelevel2"/>
        <w:spacing w:before="0"/>
        <w:rPr>
          <w:rFonts w:ascii="Times New Roman" w:hAnsi="Times New Roman" w:cs="Times New Roman"/>
          <w:b/>
          <w:sz w:val="24"/>
        </w:rPr>
      </w:pPr>
    </w:p>
    <w:p w14:paraId="6A05A809" w14:textId="77777777" w:rsidR="00931C32" w:rsidRPr="00CA05AD" w:rsidRDefault="00931C32" w:rsidP="00931C32">
      <w:pPr>
        <w:pStyle w:val="Titlelevel2"/>
        <w:spacing w:before="0"/>
        <w:rPr>
          <w:rFonts w:ascii="Times New Roman" w:hAnsi="Times New Roman" w:cs="Times New Roman"/>
          <w:b/>
          <w:color w:val="auto"/>
          <w:sz w:val="24"/>
        </w:rPr>
      </w:pPr>
    </w:p>
    <w:p w14:paraId="21FE8BB6" w14:textId="0765936F" w:rsidR="00931C32" w:rsidRPr="00DB0A49" w:rsidRDefault="4E51ABE0" w:rsidP="00DB0A49">
      <w:pPr>
        <w:spacing w:after="240"/>
        <w:rPr>
          <w:rFonts w:ascii="Times New Roman" w:eastAsia="Times New Roman" w:hAnsi="Times New Roman" w:cs="Times New Roman"/>
          <w:sz w:val="24"/>
        </w:rPr>
      </w:pPr>
      <w:r>
        <w:rPr>
          <w:rFonts w:ascii="Times New Roman" w:hAnsi="Times New Roman"/>
          <w:b/>
          <w:sz w:val="24"/>
        </w:rPr>
        <w:t>Υπόδειγμα EU MR1 – Κίνδυνος αγοράς βάσει της εναλλακτικής τυποποιημένης προσέγγισης (ASA)</w:t>
      </w:r>
      <w:r>
        <w:rPr>
          <w:rFonts w:ascii="Times New Roman" w:hAnsi="Times New Roman"/>
          <w:sz w:val="24"/>
        </w:rPr>
        <w:t xml:space="preserve">: σταθερός </w:t>
      </w:r>
      <w:proofErr w:type="spellStart"/>
      <w:r>
        <w:rPr>
          <w:rFonts w:ascii="Times New Roman" w:hAnsi="Times New Roman"/>
          <w:sz w:val="24"/>
        </w:rPr>
        <w:t>μορφότυπος</w:t>
      </w:r>
      <w:proofErr w:type="spellEnd"/>
    </w:p>
    <w:p w14:paraId="328A3EAE" w14:textId="50FF69DE" w:rsidR="00931C32" w:rsidRPr="00DB0A49" w:rsidRDefault="4E51ABE0"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color w:val="000000" w:themeColor="text1"/>
          <w:sz w:val="24"/>
        </w:rPr>
        <w:t xml:space="preserve">Τα ιδρύματα δημοσιοποιούν τις πληροφορίες που αναφέρονται στο άρθρο 445 </w:t>
      </w:r>
      <w:r>
        <w:rPr>
          <w:rFonts w:ascii="Times New Roman" w:hAnsi="Times New Roman"/>
          <w:color w:val="auto"/>
          <w:sz w:val="24"/>
        </w:rPr>
        <w:t>του κανονισμού (ΕΕ) αριθ. 575/2013</w:t>
      </w:r>
      <w:r>
        <w:rPr>
          <w:rFonts w:ascii="Times New Roman" w:hAnsi="Times New Roman"/>
          <w:color w:val="000000" w:themeColor="text1"/>
          <w:sz w:val="24"/>
        </w:rPr>
        <w:t xml:space="preserve"> ακολουθώντας τις οδηγίες που παρέχονται παρακάτω στο παρόν παράρτημα για τη συμπλήρωση του υποδείγματος EU MR1, το οποίο παρατίθεται στο παράρτημα XXIX. </w:t>
      </w:r>
      <w:r>
        <w:rPr>
          <w:rFonts w:ascii="Times New Roman" w:hAnsi="Times New Roman"/>
          <w:color w:val="auto"/>
          <w:sz w:val="24"/>
        </w:rPr>
        <w:t>Τα ιδρύματα δεν περιλαμβάνουν στο παρόν υπόδειγμα στοιχεία σχετικά με τη μονάδα εσωτερικής μεταφοράς κινδύνων (IRT).</w:t>
      </w:r>
    </w:p>
    <w:tbl>
      <w:tblPr>
        <w:tblW w:w="0" w:type="auto"/>
        <w:tblInd w:w="105" w:type="dxa"/>
        <w:tblLayout w:type="fixed"/>
        <w:tblLook w:val="01E0" w:firstRow="1" w:lastRow="1" w:firstColumn="1" w:lastColumn="1" w:noHBand="0" w:noVBand="0"/>
      </w:tblPr>
      <w:tblGrid>
        <w:gridCol w:w="1170"/>
        <w:gridCol w:w="7245"/>
      </w:tblGrid>
      <w:tr w:rsidR="06503780" w:rsidRPr="001F1865" w14:paraId="369C907B" w14:textId="77777777" w:rsidTr="00DB0A49">
        <w:trPr>
          <w:trHeight w:val="300"/>
        </w:trPr>
        <w:tc>
          <w:tcPr>
            <w:tcW w:w="8415"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5856BA3" w14:textId="6D5ECF63"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lastRenderedPageBreak/>
              <w:t>Νομικά κείμενα αναφοράς και οδηγίες</w:t>
            </w:r>
          </w:p>
        </w:tc>
      </w:tr>
      <w:tr w:rsidR="06503780" w:rsidRPr="001F1865" w14:paraId="795949F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1A68A0C0" w14:textId="23544452"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Αριθμός γραμμής</w:t>
            </w:r>
          </w:p>
        </w:tc>
        <w:tc>
          <w:tcPr>
            <w:tcW w:w="7245" w:type="dxa"/>
            <w:tcBorders>
              <w:top w:val="nil"/>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6505A62" w14:textId="1D45DAD9"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Επεξήγηση</w:t>
            </w:r>
          </w:p>
        </w:tc>
      </w:tr>
      <w:tr w:rsidR="06503780" w:rsidRPr="001F1865" w14:paraId="71E2347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47B57D3D" w14:textId="541004BD"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05989EB1" w14:textId="332222EF" w:rsidR="06503780" w:rsidRPr="001F1865" w:rsidRDefault="06503780" w:rsidP="00DB0A49">
            <w:pPr>
              <w:spacing w:after="240"/>
              <w:rPr>
                <w:rFonts w:ascii="Times New Roman" w:eastAsia="Times New Roman" w:hAnsi="Times New Roman" w:cs="Times New Roman"/>
                <w:sz w:val="24"/>
                <w:u w:val="single"/>
              </w:rPr>
            </w:pPr>
            <w:r>
              <w:rPr>
                <w:rFonts w:ascii="Times New Roman" w:hAnsi="Times New Roman"/>
                <w:b/>
                <w:sz w:val="24"/>
                <w:u w:val="single"/>
              </w:rPr>
              <w:t>Μέθοδος βάσει ευαισθησιών</w:t>
            </w:r>
            <w:r>
              <w:rPr>
                <w:rFonts w:ascii="Times New Roman" w:hAnsi="Times New Roman"/>
                <w:sz w:val="24"/>
                <w:u w:val="single"/>
              </w:rPr>
              <w:t xml:space="preserve"> </w:t>
            </w:r>
          </w:p>
          <w:p w14:paraId="32BE5AB7" w14:textId="13D92956"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σύμφωνα με το τρίτο μέρος τίτλος IV κεφάλαιο 1α τμήμα 2 του κανονισμού (ΕΕ) αριθ. 575/2013.</w:t>
            </w:r>
          </w:p>
        </w:tc>
      </w:tr>
      <w:tr w:rsidR="06503780" w:rsidRPr="001F1865" w14:paraId="2A5FB346"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4DACAA6" w14:textId="4438CD41"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65CA48DD" w14:textId="1A77007D"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Γενικός κίνδυνος επιτοκίου (GIRR)</w:t>
            </w:r>
          </w:p>
          <w:p w14:paraId="7CFD9A05" w14:textId="08877C85"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σύμφωνα με το άρθρο 325γ παράγραφος 2 στοιχείο α) και το άρθρο 325δ παράγραφος 1 σημείο i) του κανονισμού (ΕΕ) αριθ. 575/2013.</w:t>
            </w:r>
          </w:p>
        </w:tc>
      </w:tr>
      <w:tr w:rsidR="006852CB" w:rsidRPr="001F1865" w14:paraId="69667920"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2DC1D211" w14:textId="22B10623"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623B38"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Κίνδυνος μετοχών (EQU)</w:t>
            </w:r>
          </w:p>
          <w:p w14:paraId="7FA49EA1" w14:textId="72B40A8D"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σύμφωνα με το άρθρο 325γ παράγραφος 2 στοιχείο α) και το άρθρο 325δ παράγραφος 1 σημείο v) του κανονισμού (ΕΕ) αριθ. 575/2013.</w:t>
            </w:r>
          </w:p>
        </w:tc>
      </w:tr>
      <w:tr w:rsidR="006852CB" w:rsidRPr="001F1865" w14:paraId="719DB443"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76F2BD2" w14:textId="663EF07F"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3</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FFF8925"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Κίνδυνος βασικών εμπορευμάτων (COM)</w:t>
            </w:r>
          </w:p>
          <w:p w14:paraId="2EF1141F" w14:textId="6573588B"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 xml:space="preserve">σύμφωνα με το άρθρο 325γ παράγραφος 2 στοιχείο α) και το άρθρο 325δ παράγραφος 1 σημείο </w:t>
            </w:r>
            <w:proofErr w:type="spellStart"/>
            <w:r>
              <w:rPr>
                <w:rFonts w:ascii="Times New Roman" w:hAnsi="Times New Roman"/>
                <w:sz w:val="24"/>
              </w:rPr>
              <w:t>vi</w:t>
            </w:r>
            <w:proofErr w:type="spellEnd"/>
            <w:r>
              <w:rPr>
                <w:rFonts w:ascii="Times New Roman" w:hAnsi="Times New Roman"/>
                <w:sz w:val="24"/>
              </w:rPr>
              <w:t>) του κανονισμού (ΕΕ) αριθ. 575/2013.</w:t>
            </w:r>
          </w:p>
        </w:tc>
      </w:tr>
      <w:tr w:rsidR="006852CB" w:rsidRPr="001F1865" w14:paraId="0F63097B"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57A0CA9C" w14:textId="3D6ACB22"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4</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B21571B"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Κίνδυνος συναλλάγματος (FX)</w:t>
            </w:r>
          </w:p>
          <w:p w14:paraId="4E899697" w14:textId="1EDAE9C1"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 xml:space="preserve">σύμφωνα με το άρθρο 325γ παράγραφος 2 στοιχείο α) και το άρθρο 325δ παράγραφος 1 σημείο </w:t>
            </w:r>
            <w:proofErr w:type="spellStart"/>
            <w:r>
              <w:rPr>
                <w:rFonts w:ascii="Times New Roman" w:hAnsi="Times New Roman"/>
                <w:sz w:val="24"/>
              </w:rPr>
              <w:t>vii</w:t>
            </w:r>
            <w:proofErr w:type="spellEnd"/>
            <w:r>
              <w:rPr>
                <w:rFonts w:ascii="Times New Roman" w:hAnsi="Times New Roman"/>
                <w:sz w:val="24"/>
              </w:rPr>
              <w:t>) του κανονισμού (ΕΕ) αριθ. 575/2013.</w:t>
            </w:r>
          </w:p>
        </w:tc>
      </w:tr>
      <w:tr w:rsidR="06503780" w:rsidRPr="001F1865" w14:paraId="6069A77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71C4CC0" w14:textId="116256D7"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5</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75ADD606" w14:textId="28FE3969"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 xml:space="preserve">Κίνδυνος πιστωτικού περιθωρίου (CSR) για μη </w:t>
            </w:r>
            <w:proofErr w:type="spellStart"/>
            <w:r>
              <w:rPr>
                <w:rFonts w:ascii="Times New Roman" w:hAnsi="Times New Roman"/>
                <w:b/>
                <w:sz w:val="24"/>
              </w:rPr>
              <w:t>τιτλοποιήσεις</w:t>
            </w:r>
            <w:proofErr w:type="spellEnd"/>
          </w:p>
          <w:p w14:paraId="7FFBB47A" w14:textId="19FCC5B4"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 xml:space="preserve">σύμφωνα με το άρθρο 325γ παράγραφος 2 στοιχείο α) και το άρθρο 325δ παράγραφος 1 σημείο </w:t>
            </w:r>
            <w:proofErr w:type="spellStart"/>
            <w:r>
              <w:rPr>
                <w:rFonts w:ascii="Times New Roman" w:hAnsi="Times New Roman"/>
                <w:sz w:val="24"/>
              </w:rPr>
              <w:t>ii</w:t>
            </w:r>
            <w:proofErr w:type="spellEnd"/>
            <w:r>
              <w:rPr>
                <w:rFonts w:ascii="Times New Roman" w:hAnsi="Times New Roman"/>
                <w:sz w:val="24"/>
              </w:rPr>
              <w:t>) του κανονισμού (ΕΕ) αριθ. 575/2013.</w:t>
            </w:r>
          </w:p>
        </w:tc>
      </w:tr>
      <w:tr w:rsidR="06503780" w:rsidRPr="001F1865" w14:paraId="05E22EA0"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86D099A" w14:textId="2AA85B66"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6</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2E01FBC" w14:textId="0075C0D5"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 xml:space="preserve">Κίνδυνος πιστωτικού περιθωρίου για </w:t>
            </w:r>
            <w:proofErr w:type="spellStart"/>
            <w:r>
              <w:rPr>
                <w:rFonts w:ascii="Times New Roman" w:hAnsi="Times New Roman"/>
                <w:b/>
                <w:sz w:val="24"/>
              </w:rPr>
              <w:t>τιτλοποιήσεις</w:t>
            </w:r>
            <w:proofErr w:type="spellEnd"/>
            <w:r>
              <w:rPr>
                <w:rFonts w:ascii="Times New Roman" w:hAnsi="Times New Roman"/>
                <w:b/>
                <w:sz w:val="24"/>
              </w:rPr>
              <w:t xml:space="preserve"> εκτός χαρτοφυλακίου διαπραγμάτευσης εναλλακτικών συσχετίσεων (CSR εκτός ACTP)</w:t>
            </w:r>
          </w:p>
          <w:p w14:paraId="7767EDBC" w14:textId="24BC8D91"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 xml:space="preserve">σύμφωνα με το άρθρο 325γ παράγραφος 2 στοιχείο α) και το άρθρο 325δ παράγραφος 1 σημείο </w:t>
            </w:r>
            <w:proofErr w:type="spellStart"/>
            <w:r>
              <w:rPr>
                <w:rFonts w:ascii="Times New Roman" w:hAnsi="Times New Roman"/>
                <w:sz w:val="24"/>
              </w:rPr>
              <w:t>iii</w:t>
            </w:r>
            <w:proofErr w:type="spellEnd"/>
            <w:r>
              <w:rPr>
                <w:rFonts w:ascii="Times New Roman" w:hAnsi="Times New Roman"/>
                <w:sz w:val="24"/>
              </w:rPr>
              <w:t>) του κανονισμού (ΕΕ) αριθ. 575/2013.</w:t>
            </w:r>
          </w:p>
        </w:tc>
      </w:tr>
      <w:tr w:rsidR="06503780" w:rsidRPr="001F1865" w14:paraId="14D767E3"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A20E610" w14:textId="7B3DAB47"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7</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0A00A1D" w14:textId="07E0B969"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 xml:space="preserve">Κίνδυνος πιστωτικού περιθωρίου για </w:t>
            </w:r>
            <w:proofErr w:type="spellStart"/>
            <w:r>
              <w:rPr>
                <w:rFonts w:ascii="Times New Roman" w:hAnsi="Times New Roman"/>
                <w:b/>
                <w:sz w:val="24"/>
              </w:rPr>
              <w:t>τιτλοποιήσεις</w:t>
            </w:r>
            <w:proofErr w:type="spellEnd"/>
            <w:r>
              <w:rPr>
                <w:rFonts w:ascii="Times New Roman" w:hAnsi="Times New Roman"/>
                <w:b/>
                <w:sz w:val="24"/>
              </w:rPr>
              <w:t xml:space="preserve"> εντός χαρτοφυλακίου διαπραγμάτευσης εναλλακτικών συσχετίσεων (CSR εντός ACTP)</w:t>
            </w:r>
          </w:p>
          <w:p w14:paraId="3E4A8A35" w14:textId="160B9A80"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 xml:space="preserve">σύμφωνα με το άρθρο 325γ παράγραφος 2 στοιχείο α) και το άρθρο 325δ παράγραφος 1 σημείο </w:t>
            </w:r>
            <w:proofErr w:type="spellStart"/>
            <w:r>
              <w:rPr>
                <w:rFonts w:ascii="Times New Roman" w:hAnsi="Times New Roman"/>
                <w:sz w:val="24"/>
              </w:rPr>
              <w:t>iv</w:t>
            </w:r>
            <w:proofErr w:type="spellEnd"/>
            <w:r>
              <w:rPr>
                <w:rFonts w:ascii="Times New Roman" w:hAnsi="Times New Roman"/>
                <w:sz w:val="24"/>
              </w:rPr>
              <w:t>) του κανονισμού (ΕΕ) αριθ. 575/2013.</w:t>
            </w:r>
          </w:p>
        </w:tc>
      </w:tr>
      <w:tr w:rsidR="06503780" w:rsidRPr="001F1865" w14:paraId="5BB1038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22C0155" w14:textId="1C2CF576"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lastRenderedPageBreak/>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4AC462EA" w14:textId="24FC6AB3" w:rsidR="06503780" w:rsidRPr="001F1865" w:rsidRDefault="06503780" w:rsidP="00DB0A49">
            <w:pPr>
              <w:spacing w:after="240"/>
              <w:rPr>
                <w:rFonts w:ascii="Times New Roman" w:eastAsia="Times New Roman" w:hAnsi="Times New Roman" w:cs="Times New Roman"/>
                <w:b/>
                <w:bCs/>
                <w:sz w:val="24"/>
                <w:u w:val="single"/>
              </w:rPr>
            </w:pPr>
            <w:r>
              <w:rPr>
                <w:rFonts w:ascii="Times New Roman" w:hAnsi="Times New Roman"/>
                <w:b/>
                <w:sz w:val="24"/>
                <w:u w:val="single"/>
              </w:rPr>
              <w:t>Κίνδυνος αθέτησης</w:t>
            </w:r>
          </w:p>
          <w:p w14:paraId="50AC8B96" w14:textId="24D7EC82"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σύμφωνα με το τρίτο μέρος τίτλος IV κεφάλαιο 1α τμήμα 5 του κανονισμού (ΕΕ) αριθ. 575/2013.</w:t>
            </w:r>
          </w:p>
        </w:tc>
      </w:tr>
      <w:tr w:rsidR="06503780" w:rsidRPr="001F1865" w14:paraId="4CA77AC2"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D9CDA3" w14:textId="20B6ABEB"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8</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0D3825E" w14:textId="1E8FC60A"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 xml:space="preserve">Μη </w:t>
            </w:r>
            <w:proofErr w:type="spellStart"/>
            <w:r>
              <w:rPr>
                <w:rFonts w:ascii="Times New Roman" w:hAnsi="Times New Roman"/>
                <w:b/>
                <w:sz w:val="24"/>
              </w:rPr>
              <w:t>τιτλοποιήσεις</w:t>
            </w:r>
            <w:proofErr w:type="spellEnd"/>
          </w:p>
          <w:p w14:paraId="6E07A74F" w14:textId="60055B48"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 xml:space="preserve">σύμφωνα με το άρθρο 325γ παράγραφος 2 στοιχείο β) και το τρίτο μέρος τίτλος IV κεφάλαιο 1α τμήμα 5 </w:t>
            </w:r>
            <w:proofErr w:type="spellStart"/>
            <w:r>
              <w:rPr>
                <w:rFonts w:ascii="Times New Roman" w:hAnsi="Times New Roman"/>
                <w:sz w:val="24"/>
              </w:rPr>
              <w:t>υποτμήμα</w:t>
            </w:r>
            <w:proofErr w:type="spellEnd"/>
            <w:r>
              <w:rPr>
                <w:rFonts w:ascii="Times New Roman" w:hAnsi="Times New Roman"/>
                <w:sz w:val="24"/>
              </w:rPr>
              <w:t> 1 του κανονισμού (ΕΕ) αριθ. 575/2013.</w:t>
            </w:r>
            <w:r>
              <w:rPr>
                <w:rFonts w:ascii="Times New Roman" w:hAnsi="Times New Roman"/>
              </w:rPr>
              <w:t xml:space="preserve"> </w:t>
            </w:r>
          </w:p>
        </w:tc>
      </w:tr>
      <w:tr w:rsidR="06503780" w:rsidRPr="001F1865" w14:paraId="7297D5C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554CE0F" w14:textId="0108E6B7"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9</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3034D48" w14:textId="567356EB" w:rsidR="06503780" w:rsidRPr="001F1865" w:rsidRDefault="06503780" w:rsidP="00DB0A49">
            <w:pPr>
              <w:spacing w:before="120" w:after="120" w:line="257" w:lineRule="auto"/>
              <w:rPr>
                <w:rFonts w:ascii="Times New Roman" w:eastAsia="Times New Roman" w:hAnsi="Times New Roman" w:cs="Times New Roman"/>
                <w:b/>
                <w:bCs/>
                <w:sz w:val="24"/>
              </w:rPr>
            </w:pPr>
            <w:proofErr w:type="spellStart"/>
            <w:r>
              <w:rPr>
                <w:rFonts w:ascii="Times New Roman" w:hAnsi="Times New Roman"/>
                <w:b/>
                <w:sz w:val="24"/>
              </w:rPr>
              <w:t>Τιτλοποιήσεις</w:t>
            </w:r>
            <w:proofErr w:type="spellEnd"/>
            <w:r>
              <w:rPr>
                <w:rFonts w:ascii="Times New Roman" w:hAnsi="Times New Roman"/>
                <w:b/>
                <w:sz w:val="24"/>
              </w:rPr>
              <w:t xml:space="preserve"> εκτός χαρτοφυλακίου διαπραγμάτευσης εναλλακτικών συσχετίσεων (εκτός ACTP)</w:t>
            </w:r>
          </w:p>
          <w:p w14:paraId="093A58C5" w14:textId="0BD66CFC"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 xml:space="preserve">σύμφωνα με το άρθρο 325γ παράγραφος 2 στοιχείο β) και το τρίτο μέρος τίτλος IV κεφάλαιο 1α τμήμα 5 </w:t>
            </w:r>
            <w:proofErr w:type="spellStart"/>
            <w:r>
              <w:rPr>
                <w:rFonts w:ascii="Times New Roman" w:hAnsi="Times New Roman"/>
                <w:sz w:val="24"/>
              </w:rPr>
              <w:t>υποτμήμα</w:t>
            </w:r>
            <w:proofErr w:type="spellEnd"/>
            <w:r>
              <w:rPr>
                <w:rFonts w:ascii="Times New Roman" w:hAnsi="Times New Roman"/>
                <w:sz w:val="24"/>
              </w:rPr>
              <w:t> 2 του κανονισμού (ΕΕ) αριθ. 575/2013.</w:t>
            </w:r>
            <w:r>
              <w:rPr>
                <w:rFonts w:ascii="Times New Roman" w:hAnsi="Times New Roman"/>
              </w:rPr>
              <w:t xml:space="preserve"> </w:t>
            </w:r>
          </w:p>
        </w:tc>
      </w:tr>
      <w:tr w:rsidR="06503780" w:rsidRPr="001F1865" w14:paraId="7399949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60F427" w14:textId="2083466B"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10</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150980D" w14:textId="2B90AE8D" w:rsidR="06503780" w:rsidRPr="001F1865" w:rsidRDefault="06503780" w:rsidP="00DB0A49">
            <w:pPr>
              <w:spacing w:before="120" w:after="120" w:line="257" w:lineRule="auto"/>
              <w:rPr>
                <w:rFonts w:ascii="Times New Roman" w:eastAsia="Times New Roman" w:hAnsi="Times New Roman" w:cs="Times New Roman"/>
                <w:b/>
                <w:bCs/>
                <w:sz w:val="24"/>
              </w:rPr>
            </w:pPr>
            <w:proofErr w:type="spellStart"/>
            <w:r>
              <w:rPr>
                <w:rFonts w:ascii="Times New Roman" w:hAnsi="Times New Roman"/>
                <w:b/>
                <w:sz w:val="24"/>
              </w:rPr>
              <w:t>Τιτλοποιήσεις</w:t>
            </w:r>
            <w:proofErr w:type="spellEnd"/>
            <w:r>
              <w:rPr>
                <w:rFonts w:ascii="Times New Roman" w:hAnsi="Times New Roman"/>
                <w:b/>
                <w:sz w:val="24"/>
              </w:rPr>
              <w:t xml:space="preserve"> εντός χαρτοφυλακίου διαπραγμάτευσης εναλλακτικών συσχετίσεων (εντός ACTP)</w:t>
            </w:r>
          </w:p>
          <w:p w14:paraId="4F126C34" w14:textId="2E83A436"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 xml:space="preserve">σύμφωνα με το άρθρο 325γ παράγραφος 2 στοιχείο β) και το τρίτο μέρος τίτλος IV κεφάλαιο 1α τμήμα 5 </w:t>
            </w:r>
            <w:proofErr w:type="spellStart"/>
            <w:r>
              <w:rPr>
                <w:rFonts w:ascii="Times New Roman" w:hAnsi="Times New Roman"/>
                <w:sz w:val="24"/>
              </w:rPr>
              <w:t>υποτμήμα</w:t>
            </w:r>
            <w:proofErr w:type="spellEnd"/>
            <w:r>
              <w:rPr>
                <w:rFonts w:ascii="Times New Roman" w:hAnsi="Times New Roman"/>
                <w:sz w:val="24"/>
              </w:rPr>
              <w:t> 3 του κανονισμού (ΕΕ) αριθ. 575/2013.</w:t>
            </w:r>
            <w:r>
              <w:rPr>
                <w:rFonts w:ascii="Times New Roman" w:hAnsi="Times New Roman"/>
              </w:rPr>
              <w:t xml:space="preserve"> </w:t>
            </w:r>
          </w:p>
        </w:tc>
      </w:tr>
      <w:tr w:rsidR="06503780" w:rsidRPr="001F1865" w14:paraId="1A1B8236"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8B14961" w14:textId="055D18A0"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538DF7BF" w14:textId="7E1499C0" w:rsidR="06503780" w:rsidRPr="001F1865" w:rsidRDefault="06503780" w:rsidP="00DB0A49">
            <w:pPr>
              <w:spacing w:after="240"/>
              <w:rPr>
                <w:rFonts w:ascii="Times New Roman" w:eastAsia="Times New Roman" w:hAnsi="Times New Roman" w:cs="Times New Roman"/>
                <w:b/>
                <w:bCs/>
                <w:sz w:val="24"/>
                <w:u w:val="single"/>
              </w:rPr>
            </w:pPr>
            <w:r>
              <w:rPr>
                <w:rFonts w:ascii="Times New Roman" w:hAnsi="Times New Roman"/>
                <w:b/>
                <w:sz w:val="24"/>
                <w:u w:val="single"/>
              </w:rPr>
              <w:t>Υπολειπόμενοι κίνδυνοι</w:t>
            </w:r>
          </w:p>
          <w:p w14:paraId="3E3A6F03" w14:textId="754D8113"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Τρίτο μέρος τίτλος IV κεφάλαιο 1α τμήμα 4 του κανονισμού (ΕΕ) αριθ. 575/2013.</w:t>
            </w:r>
          </w:p>
        </w:tc>
      </w:tr>
      <w:tr w:rsidR="06503780" w:rsidRPr="001F1865" w14:paraId="179BEFFD"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FD2F5C6" w14:textId="1E18CC3B"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EU 11α</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6885E79" w14:textId="10B5A147"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Εξωτικά υποκείμενα ανοίγματα</w:t>
            </w:r>
          </w:p>
          <w:p w14:paraId="7ED02FAC" w14:textId="7DFCBC6E"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σύμφωνα με το άρθρο 325γ παράγραφος 2 στοιχείο γ) και το άρθρο 325κα παράγραφος 2 στοιχείο α) του κανονισμού (ΕΕ) αριθ. 575/2013.</w:t>
            </w:r>
          </w:p>
        </w:tc>
      </w:tr>
      <w:tr w:rsidR="06503780" w:rsidRPr="001F1865" w14:paraId="397A3B6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4387ED4F" w14:textId="568A449C"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EU 11β</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F12FF09" w14:textId="69432A4B"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Άλλοι υπολειπόμενοι κίνδυνοι</w:t>
            </w:r>
          </w:p>
          <w:p w14:paraId="5E46032C" w14:textId="013FBB68"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σύμφωνα με το άρθρο 325γ παράγραφος 2 στοιχείο γ) και το άρθρο 325κα παράγραφος 2 στοιχείο β) του κανονισμού (ΕΕ) αριθ. 575/2013.</w:t>
            </w:r>
          </w:p>
        </w:tc>
      </w:tr>
      <w:tr w:rsidR="06503780" w:rsidRPr="001F1865" w14:paraId="106996A8"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4A57C66" w14:textId="56FC3416"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F69C8C" w14:textId="2E5029F0" w:rsidR="224E1E9F" w:rsidRPr="001F1865" w:rsidRDefault="224E1E9F" w:rsidP="00DB0A49">
            <w:pPr>
              <w:spacing w:after="240"/>
              <w:rPr>
                <w:rFonts w:ascii="Times New Roman" w:eastAsia="Times New Roman" w:hAnsi="Times New Roman" w:cs="Times New Roman"/>
                <w:b/>
                <w:bCs/>
                <w:sz w:val="24"/>
                <w:u w:val="single"/>
              </w:rPr>
            </w:pPr>
            <w:r>
              <w:rPr>
                <w:rFonts w:ascii="Times New Roman" w:hAnsi="Times New Roman"/>
                <w:b/>
                <w:sz w:val="24"/>
                <w:u w:val="single"/>
              </w:rPr>
              <w:t>Συνολικές απαιτήσεις ιδίων κεφαλαίων (OFR)</w:t>
            </w:r>
          </w:p>
          <w:p w14:paraId="3AEB87FA" w14:textId="63F7CC8B" w:rsidR="06503780" w:rsidRDefault="002A353C" w:rsidP="06503780">
            <w:pPr>
              <w:spacing w:after="120" w:line="257" w:lineRule="auto"/>
              <w:rPr>
                <w:rFonts w:ascii="Times New Roman" w:eastAsia="Times New Roman" w:hAnsi="Times New Roman" w:cs="Times New Roman"/>
                <w:sz w:val="24"/>
              </w:rPr>
            </w:pPr>
            <w:r>
              <w:rPr>
                <w:rFonts w:ascii="Times New Roman" w:hAnsi="Times New Roman"/>
                <w:sz w:val="24"/>
              </w:rPr>
              <w:t>Άθροισμα των γραμμών 1 έως EU 11β.</w:t>
            </w:r>
          </w:p>
          <w:p w14:paraId="65A75CAB" w14:textId="1D4354D4" w:rsidR="002A353C" w:rsidRPr="001F1865" w:rsidRDefault="002A353C" w:rsidP="06503780">
            <w:pPr>
              <w:spacing w:after="120" w:line="257" w:lineRule="auto"/>
              <w:rPr>
                <w:rFonts w:ascii="Times New Roman" w:eastAsia="Times New Roman" w:hAnsi="Times New Roman" w:cs="Times New Roman"/>
                <w:sz w:val="24"/>
              </w:rPr>
            </w:pPr>
          </w:p>
        </w:tc>
      </w:tr>
      <w:tr w:rsidR="06503780" w:rsidRPr="001F1865" w14:paraId="01D665D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6C2FE727" w14:textId="64C5B7A3"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Γράμμα στήλης</w:t>
            </w:r>
          </w:p>
        </w:tc>
        <w:tc>
          <w:tcPr>
            <w:tcW w:w="724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370E68CC" w14:textId="5A5AF052"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Επεξήγηση</w:t>
            </w:r>
          </w:p>
        </w:tc>
      </w:tr>
      <w:tr w:rsidR="06503780" w:rsidRPr="001F1865" w14:paraId="57E6568D"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4DF7122" w14:textId="3D824940"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277B88BE" w14:textId="5948A214" w:rsidR="01DFB7EB" w:rsidRPr="001F1865" w:rsidRDefault="01DFB7EB" w:rsidP="06503780">
            <w:pPr>
              <w:spacing w:after="240"/>
              <w:rPr>
                <w:rFonts w:ascii="Times New Roman" w:eastAsia="Times New Roman" w:hAnsi="Times New Roman" w:cs="Times New Roman"/>
                <w:b/>
                <w:bCs/>
                <w:sz w:val="24"/>
                <w:u w:val="single"/>
              </w:rPr>
            </w:pPr>
            <w:r>
              <w:rPr>
                <w:rFonts w:ascii="Times New Roman" w:hAnsi="Times New Roman"/>
                <w:b/>
                <w:sz w:val="24"/>
                <w:u w:val="single"/>
              </w:rPr>
              <w:t>Συνολικές απαιτήσεις ιδίων κεφαλαίων (OFR)</w:t>
            </w:r>
          </w:p>
        </w:tc>
      </w:tr>
      <w:tr w:rsidR="06503780" w:rsidRPr="001F1865" w14:paraId="37D30FC4"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601C04F1" w14:textId="4F64D071"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lastRenderedPageBreak/>
              <w:t>α</w:t>
            </w:r>
          </w:p>
        </w:tc>
        <w:tc>
          <w:tcPr>
            <w:tcW w:w="724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5669159E" w14:textId="0505478C" w:rsidR="517DDA85" w:rsidRPr="001F1865" w:rsidRDefault="02A66E37" w:rsidP="72461198">
            <w:pPr>
              <w:rPr>
                <w:rFonts w:ascii="Times New Roman" w:eastAsia="Times New Roman" w:hAnsi="Times New Roman" w:cs="Times New Roman"/>
                <w:sz w:val="24"/>
              </w:rPr>
            </w:pPr>
            <w:r>
              <w:rPr>
                <w:rFonts w:ascii="Times New Roman" w:hAnsi="Times New Roman"/>
                <w:sz w:val="24"/>
              </w:rPr>
              <w:t xml:space="preserve">Δημοσιοποίηση των απαιτήσεων ιδίων κεφαλαίων που αναφέρονται στο άρθρο 438 στοιχείο δ) του </w:t>
            </w:r>
            <w:r>
              <w:rPr>
                <w:rFonts w:ascii="Times New Roman" w:hAnsi="Times New Roman"/>
                <w:color w:val="000000" w:themeColor="text1"/>
                <w:sz w:val="24"/>
              </w:rPr>
              <w:t>κανονισμού (ΕΕ) αριθ. 575/2013</w:t>
            </w:r>
            <w:r>
              <w:rPr>
                <w:rFonts w:ascii="Times New Roman" w:hAnsi="Times New Roman"/>
                <w:sz w:val="24"/>
              </w:rPr>
              <w:t>, οι οποίες υπολογίζονται ως το απλό άθροισμα των ποσών που αναφέρονται στις γραμμές 1 έως ΕΕ 11β.</w:t>
            </w:r>
          </w:p>
          <w:p w14:paraId="4E5B9771" w14:textId="40E878CC" w:rsidR="06503780" w:rsidRPr="001F1865" w:rsidRDefault="06503780" w:rsidP="06503780">
            <w:pPr>
              <w:spacing w:after="120" w:line="257" w:lineRule="auto"/>
              <w:rPr>
                <w:rFonts w:ascii="Times New Roman" w:eastAsia="Times New Roman" w:hAnsi="Times New Roman" w:cs="Times New Roman"/>
                <w:sz w:val="24"/>
              </w:rPr>
            </w:pPr>
          </w:p>
        </w:tc>
      </w:tr>
    </w:tbl>
    <w:p w14:paraId="41C8F396" w14:textId="77777777" w:rsidR="00931C32" w:rsidRPr="001F1865" w:rsidRDefault="00931C32" w:rsidP="00931C32">
      <w:pPr>
        <w:spacing w:after="240"/>
        <w:rPr>
          <w:rFonts w:ascii="Times New Roman" w:hAnsi="Times New Roman" w:cs="Times New Roman"/>
          <w:b/>
          <w:sz w:val="24"/>
        </w:rPr>
      </w:pPr>
    </w:p>
    <w:p w14:paraId="49AD8C16" w14:textId="467238F4" w:rsidR="00931C32" w:rsidRPr="001F1865" w:rsidRDefault="00931C32" w:rsidP="48484374">
      <w:pPr>
        <w:spacing w:after="240"/>
        <w:rPr>
          <w:rFonts w:ascii="Times New Roman" w:hAnsi="Times New Roman" w:cs="Times New Roman"/>
          <w:b/>
          <w:bCs/>
          <w:sz w:val="24"/>
        </w:rPr>
      </w:pPr>
      <w:r>
        <w:rPr>
          <w:rFonts w:ascii="Times New Roman" w:hAnsi="Times New Roman"/>
          <w:b/>
          <w:sz w:val="24"/>
        </w:rPr>
        <w:t>Πίνακας EU MRB: Απαιτήσεις ποιοτικής δημοσιοποίησης για ιδρύματα που χρησιμοποιούν την προσέγγιση εναλλακτικών εσωτερικών υποδειγμάτων</w:t>
      </w:r>
      <w:r>
        <w:rPr>
          <w:rFonts w:ascii="Times New Roman" w:hAnsi="Times New Roman"/>
          <w:sz w:val="24"/>
        </w:rPr>
        <w:t>: Ελεύθερο κείμενο</w:t>
      </w:r>
    </w:p>
    <w:p w14:paraId="32EDF34C" w14:textId="442D1C01" w:rsidR="00931C32" w:rsidRPr="001F1865" w:rsidRDefault="00931C32" w:rsidP="00DB0A49">
      <w:pPr>
        <w:pStyle w:val="Titlelevel2"/>
        <w:numPr>
          <w:ilvl w:val="0"/>
          <w:numId w:val="4"/>
        </w:numPr>
        <w:spacing w:before="0"/>
        <w:ind w:left="284" w:hanging="284"/>
        <w:jc w:val="both"/>
        <w:rPr>
          <w:rFonts w:ascii="Times New Roman" w:hAnsi="Times New Roman" w:cs="Times New Roman"/>
          <w:b/>
          <w:sz w:val="24"/>
        </w:rPr>
      </w:pPr>
      <w:r>
        <w:rPr>
          <w:rFonts w:ascii="Times New Roman" w:hAnsi="Times New Roman"/>
          <w:color w:val="000000" w:themeColor="text1"/>
          <w:sz w:val="24"/>
        </w:rPr>
        <w:t xml:space="preserve">Τα ιδρύματα δημοσιοποιούν τις πληροφορίες που αναφέρονται στο άρθρο 455 στοιχεία α), β), γ), δ), ε) και </w:t>
      </w:r>
      <w:proofErr w:type="spellStart"/>
      <w:r>
        <w:rPr>
          <w:rFonts w:ascii="Times New Roman" w:hAnsi="Times New Roman"/>
          <w:color w:val="000000" w:themeColor="text1"/>
          <w:sz w:val="24"/>
        </w:rPr>
        <w:t>στ</w:t>
      </w:r>
      <w:proofErr w:type="spellEnd"/>
      <w:r>
        <w:rPr>
          <w:rFonts w:ascii="Times New Roman" w:hAnsi="Times New Roman"/>
          <w:color w:val="000000" w:themeColor="text1"/>
          <w:sz w:val="24"/>
        </w:rPr>
        <w:t>) του κανονισμού (ΕΕ) αριθ. 575/2013 ακολουθώντας τις οδηγίες που παρέχονται παρακάτω στο παρόν παράρτημα για τη συμπλήρωση του υποδείγματος EU MRB, το οποίο παρατίθεται στο παράρτημα XXIX.</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7184"/>
      </w:tblGrid>
      <w:tr w:rsidR="00931C32" w:rsidRPr="001F1865" w14:paraId="39C1942C" w14:textId="77777777" w:rsidTr="72461198">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FE3064"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Νομικά κείμενα αναφοράς και οδηγίες</w:t>
            </w:r>
          </w:p>
        </w:tc>
      </w:tr>
      <w:tr w:rsidR="00931C32" w:rsidRPr="001F1865" w14:paraId="1B6F00FD" w14:textId="77777777" w:rsidTr="00DB0A49">
        <w:tc>
          <w:tcPr>
            <w:tcW w:w="123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4E9D0C"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Αριθμός γραμμής</w:t>
            </w:r>
          </w:p>
        </w:tc>
        <w:tc>
          <w:tcPr>
            <w:tcW w:w="718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0C9A014"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Επεξήγηση</w:t>
            </w:r>
          </w:p>
        </w:tc>
      </w:tr>
      <w:tr w:rsidR="3765CAC5" w:rsidRPr="001F1865" w14:paraId="0407979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4F9E1B4" w14:textId="5201D106" w:rsidR="3765CAC5" w:rsidRPr="001F1865" w:rsidRDefault="3765CAC5"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E12632" w14:textId="11982131" w:rsidR="7BC02D42" w:rsidRPr="001F1865" w:rsidRDefault="2716EDAD" w:rsidP="72461198">
            <w:pPr>
              <w:rPr>
                <w:rFonts w:ascii="Times New Roman" w:eastAsia="Times New Roman" w:hAnsi="Times New Roman" w:cs="Times New Roman"/>
                <w:sz w:val="24"/>
              </w:rPr>
            </w:pPr>
            <w:r>
              <w:rPr>
                <w:rFonts w:ascii="Times New Roman" w:hAnsi="Times New Roman"/>
                <w:sz w:val="24"/>
              </w:rPr>
              <w:t>Κατά τη δημοσιοποίηση των πληροφοριών που αναφέρονται στο άρθρο 455 σημείο 1α του κανονισμού (ΕΕ) αριθ. 575/2013 σχετικά με τα εναλλακτικά εσωτερικά υποδείγματα για τον κίνδυνο αγοράς, τα ιδρύματα περιλαμβάνουν:</w:t>
            </w:r>
          </w:p>
        </w:tc>
      </w:tr>
      <w:tr w:rsidR="3765CAC5" w:rsidRPr="00AA772E" w14:paraId="6AB031E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29A411" w14:textId="55099BA3" w:rsidR="3C9E464D" w:rsidRPr="00DB0A49" w:rsidRDefault="00B02BFD" w:rsidP="3765CAC5">
            <w:pPr>
              <w:rPr>
                <w:rFonts w:ascii="Times New Roman" w:hAnsi="Times New Roman" w:cs="Times New Roman"/>
                <w:sz w:val="24"/>
              </w:rPr>
            </w:pPr>
            <w:r>
              <w:rPr>
                <w:rFonts w:ascii="Times New Roman" w:hAnsi="Times New Roman"/>
                <w:sz w:val="24"/>
              </w:rPr>
              <w:t>EU α)</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283DE8" w14:textId="143E0B94" w:rsidR="3C9E464D" w:rsidRPr="00445013" w:rsidRDefault="3C9E464D" w:rsidP="3765CAC5">
            <w:pPr>
              <w:rPr>
                <w:rFonts w:ascii="Times New Roman" w:eastAsia="Times New Roman" w:hAnsi="Times New Roman" w:cs="Times New Roman"/>
                <w:sz w:val="24"/>
              </w:rPr>
            </w:pPr>
            <w:r>
              <w:rPr>
                <w:rFonts w:ascii="Times New Roman" w:hAnsi="Times New Roman"/>
                <w:color w:val="000000" w:themeColor="text1"/>
                <w:sz w:val="24"/>
              </w:rPr>
              <w:t>τους στόχους του ιδρύματος κατά την ανάληψη δραστηριοτήτων διαπραγμάτευσης και τις διαδικασίες που εφαρμόζονται για τον προσδιορισμό, τη μέτρηση, την παρακολούθηση και τον έλεγχο των κινδύνων αγοράς του ιδρύματος. Οι πληροφορίες αυτές μπορούν να παρέχονται με παραπομπή στον πίνακα EU MRA.</w:t>
            </w:r>
          </w:p>
        </w:tc>
      </w:tr>
      <w:tr w:rsidR="3765CAC5" w:rsidRPr="00AA772E" w14:paraId="3EEEAC3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B7E23A" w14:textId="2C8F59E6" w:rsidR="3C9E464D" w:rsidRPr="00DB0A49" w:rsidRDefault="00671C85" w:rsidP="3765CAC5">
            <w:pPr>
              <w:rPr>
                <w:rFonts w:ascii="Times New Roman" w:hAnsi="Times New Roman" w:cs="Times New Roman"/>
                <w:sz w:val="24"/>
              </w:rPr>
            </w:pPr>
            <w:r>
              <w:rPr>
                <w:rFonts w:ascii="Times New Roman" w:hAnsi="Times New Roman"/>
                <w:sz w:val="24"/>
              </w:rPr>
              <w:t>EU β)</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EECC21" w14:textId="2B4ED7C7" w:rsidR="3C9E464D" w:rsidRPr="00DB0A49" w:rsidRDefault="3C9E464D" w:rsidP="3765CAC5">
            <w:pPr>
              <w:rPr>
                <w:rFonts w:ascii="Times New Roman" w:eastAsia="Times New Roman" w:hAnsi="Times New Roman" w:cs="Times New Roman"/>
                <w:sz w:val="24"/>
              </w:rPr>
            </w:pPr>
            <w:r>
              <w:rPr>
                <w:rFonts w:ascii="Times New Roman" w:hAnsi="Times New Roman"/>
                <w:color w:val="000000" w:themeColor="text1"/>
                <w:sz w:val="24"/>
              </w:rPr>
              <w:t>τις πολιτικές που αναφέρονται στο άρθρο 104 παράγραφος 1 για τον προσδιορισμό της θέσης που πρέπει να περιλαμβάνεται στο χαρτοφυλάκιο συναλλαγών. Οι πληροφορίες αυτές μπορούν να παρέχονται με παραπομπή στον πίνακα EU MR A·</w:t>
            </w:r>
          </w:p>
        </w:tc>
      </w:tr>
      <w:tr w:rsidR="00671C85" w:rsidRPr="00AA772E" w14:paraId="0D6ADAE7"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C578F" w14:textId="7D03AC39" w:rsidR="00671C85" w:rsidRPr="00DB0A49" w:rsidRDefault="00C06844" w:rsidP="00DE090B">
            <w:pPr>
              <w:rPr>
                <w:rFonts w:ascii="Times New Roman" w:hAnsi="Times New Roman" w:cs="Times New Roman"/>
                <w:sz w:val="24"/>
              </w:rPr>
            </w:pPr>
            <w:r>
              <w:rPr>
                <w:rFonts w:ascii="Times New Roman" w:hAnsi="Times New Roman"/>
                <w:sz w:val="24"/>
              </w:rPr>
              <w:t>EU γ)</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47B801" w14:textId="77777777" w:rsidR="00671C85" w:rsidRPr="00DB0A49" w:rsidRDefault="00671C85" w:rsidP="00DE090B">
            <w:pPr>
              <w:rPr>
                <w:rFonts w:ascii="Times New Roman" w:eastAsia="Times New Roman" w:hAnsi="Times New Roman" w:cs="Times New Roman"/>
                <w:sz w:val="24"/>
              </w:rPr>
            </w:pPr>
            <w:r>
              <w:rPr>
                <w:rFonts w:ascii="Times New Roman" w:hAnsi="Times New Roman"/>
                <w:color w:val="000000" w:themeColor="text1"/>
                <w:sz w:val="24"/>
              </w:rPr>
              <w:t>τη διάρθρωση και την οργάνωση του τμήματος διαχείρισης κινδύνου αγοράς και της σχετικής διακυβέρνησης·</w:t>
            </w:r>
          </w:p>
        </w:tc>
      </w:tr>
      <w:tr w:rsidR="00701D8F" w:rsidRPr="00AA772E" w14:paraId="2E7B7CF0" w14:textId="77777777" w:rsidTr="00DB0A49">
        <w:trPr>
          <w:trHeight w:val="1301"/>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525068B" w14:textId="77777777" w:rsidR="00701D8F" w:rsidRPr="00DB0A49" w:rsidRDefault="00701D8F" w:rsidP="3765CAC5">
            <w:pPr>
              <w:rPr>
                <w:rFonts w:ascii="Times New Roman" w:eastAsia="Times New Roman" w:hAnsi="Times New Roman" w:cs="Times New Roman"/>
                <w:color w:val="000000" w:themeColor="text1"/>
                <w:sz w:val="24"/>
              </w:rPr>
            </w:pPr>
          </w:p>
          <w:p w14:paraId="3A0D6228" w14:textId="0AB8AAD0" w:rsidR="00701D8F" w:rsidRPr="00DB0A49" w:rsidRDefault="0D04DF7A" w:rsidP="140F9DE1">
            <w:pPr>
              <w:rPr>
                <w:rFonts w:ascii="Times New Roman" w:eastAsia="Times New Roman" w:hAnsi="Times New Roman" w:cs="Times New Roman"/>
                <w:color w:val="000000" w:themeColor="text1"/>
                <w:sz w:val="24"/>
              </w:rPr>
            </w:pPr>
            <w:r>
              <w:rPr>
                <w:rFonts w:ascii="Times New Roman" w:hAnsi="Times New Roman"/>
                <w:color w:val="000000" w:themeColor="text1"/>
                <w:sz w:val="24"/>
              </w:rPr>
              <w:t xml:space="preserve">Α) B) Γενική περιγραφή της διάρθρωσης της μονάδας διαπραγμάτευσης και των τύπων μέσων που περιλαμβάνονται στη μονάδα διαπραγμάτευσης AIMA σύμφωνα με το άρθρο 455 παράγραφος 1 στοιχεία γ) και δ) του κανονισμού (ΕΕ) αριθ. 575/2013. </w:t>
            </w:r>
          </w:p>
        </w:tc>
      </w:tr>
      <w:tr w:rsidR="001B4290" w:rsidRPr="00AA772E" w14:paraId="59395D4F" w14:textId="77777777" w:rsidTr="00DB0A49">
        <w:trPr>
          <w:trHeight w:val="300"/>
        </w:trPr>
        <w:tc>
          <w:tcPr>
            <w:tcW w:w="1230" w:type="dxa"/>
            <w:vMerge w:val="restart"/>
            <w:tcBorders>
              <w:top w:val="single" w:sz="4" w:space="0" w:color="auto"/>
              <w:left w:val="single" w:sz="4" w:space="0" w:color="auto"/>
              <w:right w:val="single" w:sz="4" w:space="0" w:color="auto"/>
            </w:tcBorders>
            <w:shd w:val="clear" w:color="auto" w:fill="FFFFFF" w:themeFill="background1"/>
            <w:hideMark/>
          </w:tcPr>
          <w:p w14:paraId="51B5BC89" w14:textId="266872D2" w:rsidR="001B4290" w:rsidRPr="00DB0A49" w:rsidRDefault="001B4290" w:rsidP="00DB0A49">
            <w:pPr>
              <w:jc w:val="center"/>
              <w:rPr>
                <w:rFonts w:ascii="Times New Roman" w:hAnsi="Times New Roman" w:cs="Times New Roman"/>
                <w:sz w:val="24"/>
              </w:rPr>
            </w:pPr>
            <w:r>
              <w:rPr>
                <w:rFonts w:ascii="Times New Roman" w:hAnsi="Times New Roman"/>
                <w:sz w:val="24"/>
              </w:rPr>
              <w:t>Β α)</w:t>
            </w:r>
          </w:p>
          <w:p w14:paraId="6D2F2E9A" w14:textId="09BF2D11" w:rsidR="001B4290" w:rsidRPr="00445013" w:rsidRDefault="001B4290" w:rsidP="00DB0A49">
            <w:pPr>
              <w:jc w:val="cente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F3361A9" w14:textId="697DA5E8" w:rsidR="001B4290" w:rsidRPr="00DB0A49" w:rsidRDefault="6FF6DD2C" w:rsidP="0BE40342">
            <w:pPr>
              <w:rPr>
                <w:rFonts w:ascii="Times New Roman" w:eastAsia="Times New Roman" w:hAnsi="Times New Roman" w:cs="Times New Roman"/>
                <w:sz w:val="24"/>
              </w:rPr>
            </w:pPr>
            <w:r>
              <w:rPr>
                <w:rFonts w:ascii="Times New Roman" w:hAnsi="Times New Roman"/>
                <w:color w:val="000000" w:themeColor="text1"/>
                <w:sz w:val="24"/>
              </w:rPr>
              <w:t>Κατά τη δημοσιοποίηση των πληροφοριών που αναφέρονται στο άρθρο 455 παράγραφος 1 στοιχείο γ) του κανονισμού (ΕΕ) αριθ. 575/2013, τα ιδρύματα παρέχουν γενική περιγραφή της διάρθρωσης των μονάδων διαπραγμάτευσης που καλύπτονται από τα εσωτερικά υποδείγματα που αναφέρονται στο άρθρο 325νβ, συμπεριλαμβανομένης, για κάθε μονάδα, γενικής περιγραφής της επιχειρηματικής στρατηγικής της μονάδας, των μέσων που επιτρέπονται στο πλαίσιο αυτής και των κύριων ειδών κινδύνου σε σχέση με την εν λόγω μονάδα·</w:t>
            </w:r>
          </w:p>
        </w:tc>
      </w:tr>
      <w:tr w:rsidR="001B4290" w:rsidRPr="00AA772E" w14:paraId="50FBF6A8" w14:textId="77777777" w:rsidTr="00DB0A49">
        <w:trPr>
          <w:trHeight w:val="300"/>
        </w:trPr>
        <w:tc>
          <w:tcPr>
            <w:tcW w:w="1230" w:type="dxa"/>
            <w:vMerge/>
            <w:hideMark/>
          </w:tcPr>
          <w:p w14:paraId="79170C23" w14:textId="7B220C5D" w:rsidR="001B4290" w:rsidRPr="00445013" w:rsidRDefault="001B4290"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D9458D" w14:textId="1452A5E7" w:rsidR="001B4290" w:rsidRPr="00DB0A49" w:rsidRDefault="00F5701F" w:rsidP="0BE40342">
            <w:pPr>
              <w:rPr>
                <w:rFonts w:ascii="Times New Roman" w:eastAsia="Times New Roman" w:hAnsi="Times New Roman" w:cs="Times New Roman"/>
                <w:sz w:val="24"/>
              </w:rPr>
            </w:pPr>
            <w:r>
              <w:rPr>
                <w:rFonts w:ascii="Times New Roman" w:hAnsi="Times New Roman"/>
                <w:color w:val="000000" w:themeColor="text1"/>
                <w:sz w:val="24"/>
              </w:rPr>
              <w:t>κατά τη δημοσιοποίηση των πληροφοριών που αναφέρονται στο άρθρο 455 παράγραφος 1 στοιχείο δ) του κανονισμού (ΕΕ) αριθ. 575/2013, τα ιδρύματα παρέχουν γενική επισκόπηση των θέσεων του χαρτοφυλακίου συναλλαγών που δεν καλύπτονται από τα εσωτερικά υποδείγματα που αναφέρονται στο άρθρο 325λθ, συμπεριλαμβανομένης γενικής περιγραφής της δομής των μονάδων και του είδους των μέσων που περιλαμβάνονται στις μονάδες ή στις κατηγορίες μονάδων σύμφωνα με το άρθρο 104β·</w:t>
            </w:r>
          </w:p>
        </w:tc>
      </w:tr>
      <w:tr w:rsidR="00090EA4" w:rsidRPr="00AA772E" w:rsidDel="00671C85" w14:paraId="0C8EF869"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C868DE" w14:textId="77777777" w:rsidR="00090EA4" w:rsidRPr="00DB0A49" w:rsidRDefault="00090EA4" w:rsidP="3765CAC5">
            <w:pPr>
              <w:rPr>
                <w:rFonts w:ascii="Times New Roman" w:eastAsia="Times New Roman" w:hAnsi="Times New Roman" w:cs="Times New Roman"/>
                <w:color w:val="000000" w:themeColor="text1"/>
                <w:sz w:val="24"/>
              </w:rPr>
            </w:pPr>
            <w:r>
              <w:rPr>
                <w:rFonts w:ascii="Times New Roman" w:hAnsi="Times New Roman"/>
                <w:color w:val="000000" w:themeColor="text1"/>
                <w:sz w:val="24"/>
              </w:rPr>
              <w:t>Β) Γ) Ε) Περιγραφή των κύριων χαρακτηριστικών των υποδειγμάτων που χρησιμοποιούνται σε ενοποιημένο επίπεδο, συμπεριλαμβανομένων των προσεγγίσεων που χρησιμοποιούνται για την επικύρωση των υποδειγμάτων και των διαδικασιών ανάπτυξης υποδειγμάτων.</w:t>
            </w:r>
          </w:p>
          <w:p w14:paraId="32D410A2" w14:textId="3D7C861F" w:rsidR="00DE5B78" w:rsidRPr="00DB0A49" w:rsidDel="00671C85" w:rsidRDefault="00DE5B78" w:rsidP="3765CAC5">
            <w:pPr>
              <w:rPr>
                <w:rFonts w:ascii="Times New Roman" w:eastAsia="Times New Roman" w:hAnsi="Times New Roman" w:cs="Times New Roman"/>
                <w:color w:val="000000" w:themeColor="text1"/>
                <w:sz w:val="24"/>
              </w:rPr>
            </w:pPr>
          </w:p>
        </w:tc>
      </w:tr>
      <w:tr w:rsidR="008A05A4" w:rsidRPr="00AA772E" w:rsidDel="00671C85" w14:paraId="2A2D75B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10F5B40F" w14:textId="3259DD26" w:rsidR="00A75779" w:rsidRPr="00DB0A49" w:rsidDel="00671C85" w:rsidRDefault="00A75779" w:rsidP="3765CAC5">
            <w:pPr>
              <w:rPr>
                <w:rFonts w:ascii="Times New Roman" w:hAnsi="Times New Roman" w:cs="Times New Roman"/>
                <w:sz w:val="24"/>
              </w:rPr>
            </w:pPr>
            <w:r>
              <w:rPr>
                <w:rFonts w:ascii="Times New Roman" w:hAnsi="Times New Roman"/>
                <w:sz w:val="24"/>
              </w:rPr>
              <w:t>Β β) γ) δ) ε)</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3D0955CD" w14:textId="150F8DFA" w:rsidR="007E7D7A" w:rsidRPr="00DB0A49" w:rsidDel="00671C85" w:rsidRDefault="001D2F69"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Κατά τη δημοσιοποίηση των πληροφοριών που αναφέρονται στο άρθρο 455 παράγραφος 1 στοιχείο </w:t>
            </w:r>
            <w:proofErr w:type="spellStart"/>
            <w:r>
              <w:rPr>
                <w:rFonts w:ascii="Times New Roman" w:hAnsi="Times New Roman"/>
                <w:color w:val="000000" w:themeColor="text1"/>
                <w:sz w:val="24"/>
              </w:rPr>
              <w:t>στ</w:t>
            </w:r>
            <w:proofErr w:type="spellEnd"/>
            <w:r>
              <w:rPr>
                <w:rFonts w:ascii="Times New Roman" w:hAnsi="Times New Roman"/>
                <w:color w:val="000000" w:themeColor="text1"/>
                <w:sz w:val="24"/>
              </w:rPr>
              <w:t xml:space="preserve">) σημείο i) του κανονισμού (ΕΕ) αριθ. 575/2013, τα ιδρύματα παρέχουν:  το πεδίο εφαρμογής, τα κύρια χαρακτηριστικά και τις βασικές επιλογές </w:t>
            </w:r>
            <w:proofErr w:type="spellStart"/>
            <w:r>
              <w:rPr>
                <w:rFonts w:ascii="Times New Roman" w:hAnsi="Times New Roman"/>
                <w:color w:val="000000" w:themeColor="text1"/>
                <w:sz w:val="24"/>
              </w:rPr>
              <w:t>υποδειγματοποίησης</w:t>
            </w:r>
            <w:proofErr w:type="spellEnd"/>
            <w:r>
              <w:rPr>
                <w:rFonts w:ascii="Times New Roman" w:hAnsi="Times New Roman"/>
                <w:color w:val="000000" w:themeColor="text1"/>
                <w:sz w:val="24"/>
              </w:rPr>
              <w:t xml:space="preserve"> των διαφόρων εσωτερικών υποδειγμάτων που αναφέρονται στο άρθρο 325νβ του κανονισμού (ΕΕ) αριθ. 575/2013 και χρησιμοποιούνται για τον υπολογισμό των ποσών ανοιγμάτων σε κίνδυνο για τα κύρια υποδείγματα που χρησιμοποιούνται σε ενοποιημένο επίπεδο, και περιγραφή του βαθμού στον οποίο τα εν λόγω εσωτερικά υποδείγματα αντιπροσωπεύουν όλα τα υποδείγματα που χρησιμοποιούνται σε ενοποιημένο επίπεδο, συμπεριλαμβανομένων, κατά περίπτωση, των εξής: i) γενική περιγραφή της προσέγγισης ανάπτυξης υποδειγμάτων που χρησιμοποιείται για τον υπολογισμό της αναμενόμενης ζημίας που αναφέρεται στο άρθρο 325νγ παράγραφος 1 στοιχείο α) του ΚΚΑ, συμπεριλαμβανομένης της συχνότητας </w:t>
            </w:r>
            <w:proofErr w:type="spellStart"/>
            <w:r>
              <w:rPr>
                <w:rFonts w:ascii="Times New Roman" w:hAnsi="Times New Roman"/>
                <w:color w:val="000000" w:themeColor="text1"/>
                <w:sz w:val="24"/>
              </w:rPr>
              <w:t>επικαιροποίησης</w:t>
            </w:r>
            <w:proofErr w:type="spellEnd"/>
            <w:r>
              <w:rPr>
                <w:rFonts w:ascii="Times New Roman" w:hAnsi="Times New Roman"/>
                <w:color w:val="000000" w:themeColor="text1"/>
                <w:sz w:val="24"/>
              </w:rPr>
              <w:t xml:space="preserve"> των δεδομένων.</w:t>
            </w:r>
          </w:p>
        </w:tc>
      </w:tr>
      <w:tr w:rsidR="008A05A4" w:rsidRPr="00AA772E" w:rsidDel="00671C85" w14:paraId="45EADEA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79293FED" w14:textId="77E5A12E" w:rsidR="008A05A4" w:rsidRPr="00DB0A49" w:rsidDel="00671C85" w:rsidRDefault="00C82CB4" w:rsidP="3765CAC5">
            <w:pPr>
              <w:rPr>
                <w:rFonts w:ascii="Times New Roman" w:hAnsi="Times New Roman" w:cs="Times New Roman"/>
                <w:sz w:val="24"/>
              </w:rPr>
            </w:pPr>
            <w:r>
              <w:rPr>
                <w:rFonts w:ascii="Times New Roman" w:hAnsi="Times New Roman"/>
                <w:sz w:val="24"/>
              </w:rPr>
              <w:t>Γ α)</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73501C58" w14:textId="29B0602F" w:rsidR="00D6625B" w:rsidRPr="00DB0A49" w:rsidRDefault="00A75779"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Κατά τη δημοσιοποίηση των πληροφοριών που αναφέρονται στο άρθρο 455 παράγραφος 1 στοιχείο </w:t>
            </w:r>
            <w:proofErr w:type="spellStart"/>
            <w:r>
              <w:rPr>
                <w:rFonts w:ascii="Times New Roman" w:hAnsi="Times New Roman"/>
                <w:color w:val="000000" w:themeColor="text1"/>
                <w:sz w:val="24"/>
              </w:rPr>
              <w:t>στ</w:t>
            </w:r>
            <w:proofErr w:type="spellEnd"/>
            <w:r>
              <w:rPr>
                <w:rFonts w:ascii="Times New Roman" w:hAnsi="Times New Roman"/>
                <w:color w:val="000000" w:themeColor="text1"/>
                <w:sz w:val="24"/>
              </w:rPr>
              <w:t xml:space="preserve">) σημείο </w:t>
            </w:r>
            <w:proofErr w:type="spellStart"/>
            <w:r>
              <w:rPr>
                <w:rFonts w:ascii="Times New Roman" w:hAnsi="Times New Roman"/>
                <w:color w:val="000000" w:themeColor="text1"/>
                <w:sz w:val="24"/>
              </w:rPr>
              <w:t>ii</w:t>
            </w:r>
            <w:proofErr w:type="spellEnd"/>
            <w:r>
              <w:rPr>
                <w:rFonts w:ascii="Times New Roman" w:hAnsi="Times New Roman"/>
                <w:color w:val="000000" w:themeColor="text1"/>
                <w:sz w:val="24"/>
              </w:rPr>
              <w:t>) του κανονισμού (ΕΕ) αριθ. 575/2013, τα ιδρύματα παρέχουν, κατά περίπτωση: γενική περιγραφή της μεθοδολογίας που χρησιμοποιείται για τον υπολογισμό του μέτρου του κινδύνου σεναρίου ακραίων καταστάσεων που αναφέρεται στο άρθρο 325νγ παράγραφος 1 στοιχείο β) του κανονισμού (ΕΕ) αριθ. 575/2013, εκτός από τις προδιαγραφές που προβλέπονται στο άρθρο 325ξγ παράγραφος 3 του κανονισμού (ΕΕ) αριθ. 575/2013.</w:t>
            </w:r>
          </w:p>
          <w:p w14:paraId="3E866C05" w14:textId="635C3FD9" w:rsidR="008A05A4" w:rsidRPr="00DB0A49" w:rsidDel="00671C85" w:rsidRDefault="008A05A4" w:rsidP="3765CAC5">
            <w:pPr>
              <w:rPr>
                <w:rFonts w:ascii="Times New Roman" w:eastAsia="Times New Roman" w:hAnsi="Times New Roman" w:cs="Times New Roman"/>
                <w:color w:val="000000" w:themeColor="text1"/>
                <w:sz w:val="24"/>
              </w:rPr>
            </w:pPr>
          </w:p>
        </w:tc>
      </w:tr>
      <w:tr w:rsidR="00C3247D" w:rsidRPr="00AA772E" w:rsidDel="00671C85" w14:paraId="24E01ADC"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744C901" w14:textId="4C917FDF" w:rsidR="00C3247D" w:rsidRPr="00DB0A49" w:rsidRDefault="00C3247D" w:rsidP="00D6625B">
            <w:pPr>
              <w:rPr>
                <w:rFonts w:ascii="Times New Roman" w:eastAsia="Times New Roman" w:hAnsi="Times New Roman" w:cs="Times New Roman"/>
                <w:color w:val="000000" w:themeColor="text1"/>
                <w:sz w:val="24"/>
              </w:rPr>
            </w:pPr>
            <w:r>
              <w:rPr>
                <w:rFonts w:ascii="Times New Roman" w:hAnsi="Times New Roman"/>
                <w:color w:val="000000" w:themeColor="text1"/>
                <w:sz w:val="24"/>
              </w:rPr>
              <w:t>Δ) Περιγραφή των εσωτερικών υποδειγμάτων για τον υπολογισμό της επιβάρυνσης κινδύνου αθέτησης</w:t>
            </w:r>
          </w:p>
        </w:tc>
      </w:tr>
      <w:tr w:rsidR="3765CAC5" w:rsidRPr="00AA772E" w14:paraId="77D1514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5EB9A4" w14:textId="4C21A863" w:rsidR="3C9E464D" w:rsidRPr="00DB0A49" w:rsidRDefault="00827740" w:rsidP="00DB0A49">
            <w:pPr>
              <w:pStyle w:val="ListParagraph"/>
              <w:numPr>
                <w:ilvl w:val="0"/>
                <w:numId w:val="7"/>
              </w:numPr>
              <w:rPr>
                <w:rFonts w:ascii="Times New Roman" w:hAnsi="Times New Roman"/>
                <w:sz w:val="24"/>
              </w:rPr>
            </w:pPr>
            <w:r>
              <w:rPr>
                <w:rFonts w:ascii="Times New Roman" w:hAnsi="Times New Roman"/>
                <w:sz w:val="24"/>
              </w:rPr>
              <w:t>β)</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FC28FC" w14:textId="6E66AC42" w:rsidR="3C9E464D" w:rsidRPr="00DB0A49" w:rsidRDefault="00FF5D12"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Κατά τη δημοσιοποίηση των πληροφοριών που αναφέρονται στο άρθρο 455 παράγραφος 1 στοιχείο </w:t>
            </w:r>
            <w:proofErr w:type="spellStart"/>
            <w:r>
              <w:rPr>
                <w:rFonts w:ascii="Times New Roman" w:hAnsi="Times New Roman"/>
                <w:color w:val="000000" w:themeColor="text1"/>
                <w:sz w:val="24"/>
              </w:rPr>
              <w:t>στ</w:t>
            </w:r>
            <w:proofErr w:type="spellEnd"/>
            <w:r>
              <w:rPr>
                <w:rFonts w:ascii="Times New Roman" w:hAnsi="Times New Roman"/>
                <w:color w:val="000000" w:themeColor="text1"/>
                <w:sz w:val="24"/>
              </w:rPr>
              <w:t xml:space="preserve">) σημείο </w:t>
            </w:r>
            <w:proofErr w:type="spellStart"/>
            <w:r>
              <w:rPr>
                <w:rFonts w:ascii="Times New Roman" w:hAnsi="Times New Roman"/>
                <w:color w:val="000000" w:themeColor="text1"/>
                <w:sz w:val="24"/>
              </w:rPr>
              <w:t>iii</w:t>
            </w:r>
            <w:proofErr w:type="spellEnd"/>
            <w:r>
              <w:rPr>
                <w:rFonts w:ascii="Times New Roman" w:hAnsi="Times New Roman"/>
                <w:color w:val="000000" w:themeColor="text1"/>
                <w:sz w:val="24"/>
              </w:rPr>
              <w:t xml:space="preserve">) του κανονισμού (ΕΕ) αριθ. 575/2013, τα ιδρύματα παρέχουν, κατά περίπτωση: γενική περιγραφή της προσέγγισης ανάπτυξης υποδειγμάτων που χρησιμοποιείται για τον υπολογισμό της επιβάρυνσης κινδύνου αθέτησης που αναφέρεται στο άρθρο 325νγ παράγραφος 2 του κανονισμού (ΕΕ) αριθ. 575/2013, συμπεριλαμβανομένης της συχνότητας </w:t>
            </w:r>
            <w:proofErr w:type="spellStart"/>
            <w:r>
              <w:rPr>
                <w:rFonts w:ascii="Times New Roman" w:hAnsi="Times New Roman"/>
                <w:color w:val="000000" w:themeColor="text1"/>
                <w:sz w:val="24"/>
              </w:rPr>
              <w:t>επικαιροποίησης</w:t>
            </w:r>
            <w:proofErr w:type="spellEnd"/>
            <w:r>
              <w:rPr>
                <w:rFonts w:ascii="Times New Roman" w:hAnsi="Times New Roman"/>
                <w:color w:val="000000" w:themeColor="text1"/>
                <w:sz w:val="24"/>
              </w:rPr>
              <w:t xml:space="preserve"> των δεδομένων.</w:t>
            </w:r>
          </w:p>
        </w:tc>
      </w:tr>
    </w:tbl>
    <w:p w14:paraId="116B518F" w14:textId="73EB613A" w:rsidR="3765CAC5" w:rsidRDefault="3765CAC5">
      <w:pPr>
        <w:rPr>
          <w:rFonts w:ascii="Times New Roman" w:hAnsi="Times New Roman" w:cs="Times New Roman"/>
        </w:rPr>
      </w:pPr>
    </w:p>
    <w:p w14:paraId="471DC03E" w14:textId="77777777" w:rsidR="00445013" w:rsidRPr="00DB0A49" w:rsidRDefault="00445013">
      <w:pPr>
        <w:rPr>
          <w:rFonts w:ascii="Times New Roman" w:hAnsi="Times New Roman" w:cs="Times New Roman"/>
        </w:rPr>
      </w:pPr>
    </w:p>
    <w:p w14:paraId="681251D5" w14:textId="0749B91A" w:rsidR="00931C32" w:rsidRPr="001F1865" w:rsidRDefault="00931C32" w:rsidP="3821DFBC">
      <w:pPr>
        <w:pStyle w:val="Titlelevel2"/>
        <w:spacing w:before="0"/>
        <w:rPr>
          <w:rFonts w:ascii="Times New Roman" w:hAnsi="Times New Roman" w:cs="Times New Roman"/>
          <w:color w:val="auto"/>
          <w:sz w:val="24"/>
        </w:rPr>
      </w:pPr>
      <w:r>
        <w:rPr>
          <w:rFonts w:ascii="Times New Roman" w:hAnsi="Times New Roman"/>
          <w:b/>
          <w:color w:val="auto"/>
          <w:sz w:val="24"/>
        </w:rPr>
        <w:t>Υπόδειγμα EU MR2 – Κίνδυνος αγοράς βάσει της προσέγγισης εναλλακτικών εσωτερικών υποδειγμάτων (AIMA):</w:t>
      </w:r>
      <w:r>
        <w:rPr>
          <w:rFonts w:ascii="Times New Roman" w:hAnsi="Times New Roman"/>
          <w:color w:val="auto"/>
          <w:sz w:val="24"/>
        </w:rPr>
        <w:t xml:space="preserve"> σταθερός </w:t>
      </w:r>
      <w:proofErr w:type="spellStart"/>
      <w:r>
        <w:rPr>
          <w:rFonts w:ascii="Times New Roman" w:hAnsi="Times New Roman"/>
          <w:color w:val="auto"/>
          <w:sz w:val="24"/>
        </w:rPr>
        <w:t>μορφότυπος</w:t>
      </w:r>
      <w:proofErr w:type="spellEnd"/>
    </w:p>
    <w:p w14:paraId="2D64DF36" w14:textId="6604692C" w:rsidR="00931C32" w:rsidRPr="00DB0A49" w:rsidRDefault="00931C32"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color w:val="000000" w:themeColor="text1"/>
          <w:sz w:val="24"/>
        </w:rPr>
        <w:t xml:space="preserve">Τα ιδρύματα δημοσιοποιούν τις πληροφορίες που αναφέρονται στο άρθρο 455 παράγραφος 2 του κανονισμού (ΕΕ) αριθ. 575/2013 ακολουθώντας τις οδηγίες που παρέχονται παρακάτω στο παρόν παράρτημα για τη συμπλήρωση του υποδείγματος EU MR2, το οποίο παρατίθεται στο παράρτημα XXIX. </w:t>
      </w:r>
      <w:r>
        <w:rPr>
          <w:rFonts w:ascii="Times New Roman" w:hAnsi="Times New Roman"/>
          <w:color w:val="auto"/>
          <w:sz w:val="24"/>
        </w:rPr>
        <w:t>Τα ιδρύματα δεν περιλαμβάνουν στο παρόν υπόδειγμα στοιχεία σχετικά με τη μονάδα εσωτερικής μεταφοράς κινδύνων (IRT).</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1F1865" w14:paraId="454671C8"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CF57C"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Νομικά κείμενα αναφοράς και οδηγίες</w:t>
            </w:r>
          </w:p>
        </w:tc>
      </w:tr>
      <w:tr w:rsidR="00931C32" w:rsidRPr="001F1865" w14:paraId="74EB4602" w14:textId="77777777" w:rsidTr="0BE40342">
        <w:tc>
          <w:tcPr>
            <w:tcW w:w="117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2D9C09D3"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Αριθμός γραμμής</w:t>
            </w:r>
          </w:p>
        </w:tc>
        <w:tc>
          <w:tcPr>
            <w:tcW w:w="724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55527BB7"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Επεξήγηση</w:t>
            </w:r>
          </w:p>
        </w:tc>
      </w:tr>
      <w:tr w:rsidR="3765CAC5" w:rsidRPr="00DB0A49" w14:paraId="34D4196F" w14:textId="77777777" w:rsidTr="00DB0A49">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87A1073" w14:textId="03BB75EC" w:rsidR="3765CAC5" w:rsidRPr="00DB0A49" w:rsidRDefault="59A8805A" w:rsidP="00DB0A49">
            <w:pPr>
              <w:jc w:val="center"/>
              <w:rPr>
                <w:rFonts w:ascii="Times New Roman" w:eastAsia="Times New Roman" w:hAnsi="Times New Roman" w:cs="Times New Roman"/>
                <w:sz w:val="24"/>
              </w:rPr>
            </w:pPr>
            <w:r>
              <w:rPr>
                <w:rFonts w:ascii="Times New Roman" w:hAnsi="Times New Roman"/>
                <w:sz w:val="24"/>
              </w:rPr>
              <w:t>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AF62FAF" w14:textId="54B9E90E" w:rsidR="02494BE7" w:rsidRPr="00AA44B0" w:rsidRDefault="42390ABD" w:rsidP="4A0450B5">
            <w:pPr>
              <w:rPr>
                <w:rFonts w:ascii="Times New Roman" w:eastAsia="Times New Roman" w:hAnsi="Times New Roman" w:cs="Times New Roman"/>
                <w:b/>
                <w:bCs/>
                <w:sz w:val="24"/>
              </w:rPr>
            </w:pPr>
            <w:r>
              <w:rPr>
                <w:rFonts w:ascii="Times New Roman" w:hAnsi="Times New Roman"/>
                <w:b/>
                <w:sz w:val="24"/>
              </w:rPr>
              <w:t>Μέτρο αναμενόμενης ζημίας χωρίς περιορισμούς (</w:t>
            </w:r>
            <w:proofErr w:type="spellStart"/>
            <w:r>
              <w:rPr>
                <w:rFonts w:ascii="Times New Roman" w:hAnsi="Times New Roman"/>
                <w:b/>
                <w:sz w:val="24"/>
              </w:rPr>
              <w:t>UESt</w:t>
            </w:r>
            <w:proofErr w:type="spellEnd"/>
            <w:r>
              <w:rPr>
                <w:rFonts w:ascii="Times New Roman" w:hAnsi="Times New Roman"/>
                <w:b/>
                <w:sz w:val="24"/>
              </w:rPr>
              <w:t>)</w:t>
            </w:r>
          </w:p>
          <w:p w14:paraId="1E53AB6F" w14:textId="2D37B3D8" w:rsidR="3E91330B" w:rsidRPr="00DB0A49" w:rsidRDefault="3BB31265" w:rsidP="140F9DE1">
            <w:pPr>
              <w:rPr>
                <w:rFonts w:ascii="Times New Roman" w:eastAsia="Times New Roman" w:hAnsi="Times New Roman" w:cs="Times New Roman"/>
                <w:sz w:val="24"/>
              </w:rPr>
            </w:pPr>
            <w:r>
              <w:rPr>
                <w:rFonts w:ascii="Times New Roman" w:hAnsi="Times New Roman"/>
                <w:sz w:val="24"/>
              </w:rPr>
              <w:t>Η αξία που δημοσιοποιείται υπολογίζεται στο επίπεδο του συνολικού χαρτοφυλακίου και όχι στο επίπεδο ευρείας κατηγορίας κινδύνου σύμφωνα με τα άρθρα 325ββ και 325βγ του κανονισμού (ΕΕ) αριθ. 575/2013.</w:t>
            </w:r>
          </w:p>
        </w:tc>
      </w:tr>
      <w:tr w:rsidR="4A0450B5" w:rsidRPr="00DB0A49" w14:paraId="2678203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01045CC" w14:textId="043660EE" w:rsidR="3B3426CC" w:rsidRPr="00DB0A49" w:rsidRDefault="3B3426CC" w:rsidP="00DB0A49">
            <w:pPr>
              <w:jc w:val="center"/>
              <w:rPr>
                <w:rFonts w:ascii="Times New Roman" w:eastAsia="Times New Roman" w:hAnsi="Times New Roman" w:cs="Times New Roman"/>
                <w:sz w:val="24"/>
              </w:rPr>
            </w:pPr>
            <w:r>
              <w:rPr>
                <w:rFonts w:ascii="Times New Roman" w:hAnsi="Times New Roman"/>
                <w:sz w:val="24"/>
              </w:rPr>
              <w:t>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A1B0F63" w14:textId="348EF369" w:rsidR="3B3426CC" w:rsidRPr="00AA44B0" w:rsidRDefault="3B3426CC" w:rsidP="4A0450B5">
            <w:pPr>
              <w:rPr>
                <w:rFonts w:ascii="Times New Roman" w:eastAsia="Times New Roman" w:hAnsi="Times New Roman" w:cs="Times New Roman"/>
                <w:b/>
                <w:bCs/>
                <w:sz w:val="24"/>
              </w:rPr>
            </w:pPr>
            <w:r>
              <w:rPr>
                <w:rFonts w:ascii="Times New Roman" w:hAnsi="Times New Roman"/>
                <w:b/>
                <w:sz w:val="24"/>
              </w:rPr>
              <w:t>Μέτρο αναμενόμενης ζημίας χωρίς περιορισμούς για την κατηγορία παραγόντων κινδύνου επιτοκίου</w:t>
            </w:r>
          </w:p>
          <w:p w14:paraId="39E48A15" w14:textId="5243BB2A" w:rsidR="40EE3118" w:rsidRPr="00DB0A49" w:rsidRDefault="749F8553" w:rsidP="0BE40342">
            <w:pPr>
              <w:rPr>
                <w:rFonts w:ascii="Times New Roman" w:eastAsia="Times New Roman" w:hAnsi="Times New Roman" w:cs="Times New Roman"/>
                <w:sz w:val="24"/>
              </w:rPr>
            </w:pPr>
            <w:r>
              <w:rPr>
                <w:rFonts w:ascii="Times New Roman" w:hAnsi="Times New Roman"/>
                <w:sz w:val="24"/>
              </w:rPr>
              <w:t>Η αξία που δημοσιοποιείται υπολογίζεται για τους παράγοντες κινδύνου της κατηγορίας κινδύνου επιτοκίου σύμφωνα με τα άρθρα 325ββ, 325βγ και 325βδ του κανονισμού (ΕΕ) αριθ. 575/2013.</w:t>
            </w:r>
          </w:p>
        </w:tc>
      </w:tr>
      <w:tr w:rsidR="00234F41" w:rsidRPr="00DB0A49" w14:paraId="1583C761"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5B8C21" w14:textId="1D60FC2A" w:rsidR="00234F41" w:rsidRPr="00DB0A49" w:rsidRDefault="002F3022" w:rsidP="00234F41">
            <w:pPr>
              <w:jc w:val="center"/>
              <w:rPr>
                <w:rFonts w:ascii="Times New Roman" w:eastAsia="Times New Roman" w:hAnsi="Times New Roman" w:cs="Times New Roman"/>
                <w:sz w:val="24"/>
              </w:rPr>
            </w:pPr>
            <w:r>
              <w:rPr>
                <w:rFonts w:ascii="Times New Roman" w:hAnsi="Times New Roman"/>
                <w:sz w:val="24"/>
              </w:rPr>
              <w:t>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EEC3A3" w14:textId="32D0F810" w:rsidR="00234F41" w:rsidRPr="00AA44B0" w:rsidRDefault="471075D0" w:rsidP="140F9DE1">
            <w:pPr>
              <w:rPr>
                <w:rFonts w:ascii="Times New Roman" w:eastAsia="Times New Roman" w:hAnsi="Times New Roman" w:cs="Times New Roman"/>
                <w:b/>
                <w:bCs/>
                <w:sz w:val="24"/>
              </w:rPr>
            </w:pPr>
            <w:r>
              <w:rPr>
                <w:rFonts w:ascii="Times New Roman" w:hAnsi="Times New Roman"/>
                <w:b/>
                <w:sz w:val="24"/>
              </w:rPr>
              <w:t>Μέτρο αναμενόμενης ζημίας χωρίς περιορισμούς για την κατηγορία παραγόντων κινδύνου μετοχών</w:t>
            </w:r>
            <w:r>
              <w:rPr>
                <w:rFonts w:ascii="Times New Roman" w:hAnsi="Times New Roman"/>
                <w:sz w:val="24"/>
              </w:rPr>
              <w:t xml:space="preserve">  </w:t>
            </w:r>
          </w:p>
          <w:p w14:paraId="4E1BA488" w14:textId="705548F0" w:rsidR="00234F41" w:rsidRPr="00DB0A49" w:rsidRDefault="7A25B94F" w:rsidP="140F9DE1">
            <w:pPr>
              <w:rPr>
                <w:rFonts w:ascii="Times New Roman" w:eastAsia="Times New Roman" w:hAnsi="Times New Roman" w:cs="Times New Roman"/>
                <w:b/>
                <w:bCs/>
                <w:color w:val="444444"/>
                <w:sz w:val="24"/>
              </w:rPr>
            </w:pPr>
            <w:r>
              <w:rPr>
                <w:rFonts w:ascii="Times New Roman" w:hAnsi="Times New Roman"/>
                <w:sz w:val="24"/>
              </w:rPr>
              <w:t>Η αξία που δημοσιοποιείται υπολογίζεται για τους παράγοντες κινδύνου της κατηγορίας κινδύνου μετοχών σύμφωνα με τα άρθρα 325ββ, 325βγ και 325βδ του κανονισμού (ΕΕ) αριθ. 575/2013.</w:t>
            </w:r>
          </w:p>
        </w:tc>
      </w:tr>
      <w:tr w:rsidR="00B86E1A" w:rsidRPr="00DB0A49" w14:paraId="3E75A527"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499A8B" w14:textId="729DAF1D" w:rsidR="00B86E1A" w:rsidRPr="00DB0A49" w:rsidRDefault="002F3022" w:rsidP="00B86E1A">
            <w:pPr>
              <w:jc w:val="center"/>
              <w:rPr>
                <w:rFonts w:ascii="Times New Roman" w:eastAsia="Times New Roman" w:hAnsi="Times New Roman" w:cs="Times New Roman"/>
                <w:sz w:val="24"/>
              </w:rPr>
            </w:pPr>
            <w:r>
              <w:rPr>
                <w:rFonts w:ascii="Times New Roman" w:hAnsi="Times New Roman"/>
                <w:sz w:val="24"/>
              </w:rPr>
              <w:t>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D6A90B" w14:textId="77777777" w:rsidR="00B86E1A" w:rsidRPr="00AA44B0" w:rsidRDefault="00B86E1A" w:rsidP="00B86E1A">
            <w:pPr>
              <w:rPr>
                <w:rFonts w:ascii="Times New Roman" w:eastAsia="Times New Roman" w:hAnsi="Times New Roman" w:cs="Times New Roman"/>
                <w:sz w:val="24"/>
              </w:rPr>
            </w:pPr>
            <w:r>
              <w:rPr>
                <w:rFonts w:ascii="Times New Roman" w:hAnsi="Times New Roman"/>
                <w:b/>
                <w:sz w:val="24"/>
              </w:rPr>
              <w:t>Μέτρο αναμενόμενης ζημίας χωρίς περιορισμούς για την κατηγορία παραγόντων κινδύνου βασικών εμπορευμάτων</w:t>
            </w:r>
            <w:r>
              <w:rPr>
                <w:rFonts w:ascii="Times New Roman" w:hAnsi="Times New Roman"/>
                <w:sz w:val="24"/>
              </w:rPr>
              <w:t xml:space="preserve"> </w:t>
            </w:r>
          </w:p>
          <w:p w14:paraId="70BA8462" w14:textId="47AECB7A" w:rsidR="00B86E1A" w:rsidRPr="00DB0A49" w:rsidRDefault="05EA5842" w:rsidP="140F9DE1">
            <w:pPr>
              <w:rPr>
                <w:rFonts w:ascii="Times New Roman" w:eastAsia="Times New Roman" w:hAnsi="Times New Roman" w:cs="Times New Roman"/>
                <w:sz w:val="24"/>
              </w:rPr>
            </w:pPr>
            <w:r>
              <w:rPr>
                <w:rFonts w:ascii="Times New Roman" w:hAnsi="Times New Roman"/>
                <w:sz w:val="24"/>
              </w:rPr>
              <w:t xml:space="preserve"> Η αξία που δημοσιοποιείται υπολογίζεται για τους παράγοντες κινδύνου της κατηγορίας κινδύνου βασικών εμπορευμάτων σύμφωνα με τα άρθρα 325ββ, 325βγ και 325βδ του κανονισμού (ΕΕ) αριθ. 575/2013.</w:t>
            </w:r>
          </w:p>
        </w:tc>
      </w:tr>
      <w:tr w:rsidR="002F3022" w:rsidRPr="00DB0A49" w14:paraId="1C3E96A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3DAF73" w14:textId="5051FDEF" w:rsidR="002F3022" w:rsidRPr="00DB0A49" w:rsidRDefault="002F3022" w:rsidP="002F3022">
            <w:pPr>
              <w:jc w:val="center"/>
              <w:rPr>
                <w:rFonts w:ascii="Times New Roman" w:eastAsia="Times New Roman" w:hAnsi="Times New Roman" w:cs="Times New Roman"/>
                <w:sz w:val="24"/>
              </w:rPr>
            </w:pPr>
            <w:r>
              <w:rPr>
                <w:rFonts w:ascii="Times New Roman" w:hAnsi="Times New Roman"/>
                <w:sz w:val="24"/>
              </w:rPr>
              <w:t>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42D096" w14:textId="4FA1AF42" w:rsidR="002F3022" w:rsidRPr="00AA44B0" w:rsidRDefault="12ADB0E7" w:rsidP="140F9DE1">
            <w:pPr>
              <w:rPr>
                <w:rFonts w:ascii="Times New Roman" w:eastAsia="Times New Roman" w:hAnsi="Times New Roman" w:cs="Times New Roman"/>
                <w:b/>
                <w:bCs/>
                <w:sz w:val="24"/>
              </w:rPr>
            </w:pPr>
            <w:r>
              <w:rPr>
                <w:rFonts w:ascii="Times New Roman" w:hAnsi="Times New Roman"/>
                <w:b/>
                <w:sz w:val="24"/>
              </w:rPr>
              <w:t>Μέτρο αναμενόμενης ζημίας χωρίς περιορισμούς για την κατηγορία παραγόντων κινδύνου συναλλάγματος</w:t>
            </w:r>
          </w:p>
          <w:p w14:paraId="1880B223" w14:textId="34F16589" w:rsidR="002F3022" w:rsidRPr="00DB0A49" w:rsidRDefault="1F3BA536" w:rsidP="140F9DE1">
            <w:pPr>
              <w:rPr>
                <w:rFonts w:ascii="Times New Roman" w:eastAsia="Times New Roman" w:hAnsi="Times New Roman" w:cs="Times New Roman"/>
                <w:sz w:val="24"/>
              </w:rPr>
            </w:pPr>
            <w:r>
              <w:rPr>
                <w:rFonts w:ascii="Times New Roman" w:hAnsi="Times New Roman"/>
                <w:b/>
                <w:color w:val="444444"/>
                <w:sz w:val="24"/>
              </w:rPr>
              <w:t xml:space="preserve"> </w:t>
            </w:r>
            <w:r>
              <w:rPr>
                <w:rFonts w:ascii="Times New Roman" w:hAnsi="Times New Roman"/>
                <w:sz w:val="24"/>
              </w:rPr>
              <w:t xml:space="preserve"> Η αξία που δημοσιοποιείται υπολογίζεται για τους παράγοντες κινδύνου της κατηγορίας κινδύνου συναλλάγματος σύμφωνα με τα άρθρα 325ββ, 325βγ και 325βδ του κανονισμού (ΕΕ) αριθ. 575/2013.</w:t>
            </w:r>
          </w:p>
        </w:tc>
      </w:tr>
      <w:tr w:rsidR="00234F41" w:rsidRPr="00DB0A49" w14:paraId="12D2798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B07D6BA" w14:textId="0E7E67E0" w:rsidR="00234F41" w:rsidRPr="00DB0A49" w:rsidRDefault="00572E3E" w:rsidP="00DB0A49">
            <w:pPr>
              <w:jc w:val="center"/>
              <w:rPr>
                <w:rFonts w:ascii="Times New Roman" w:eastAsia="Times New Roman" w:hAnsi="Times New Roman" w:cs="Times New Roman"/>
                <w:sz w:val="24"/>
              </w:rPr>
            </w:pPr>
            <w:r>
              <w:rPr>
                <w:rFonts w:ascii="Times New Roman" w:hAnsi="Times New Roman"/>
                <w:sz w:val="24"/>
              </w:rPr>
              <w:t>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BE84B9" w14:textId="21B277FE" w:rsidR="00234F41" w:rsidRPr="00AA44B0" w:rsidRDefault="00234F41" w:rsidP="00234F41">
            <w:pPr>
              <w:rPr>
                <w:rFonts w:ascii="Times New Roman" w:eastAsia="Times New Roman" w:hAnsi="Times New Roman" w:cs="Times New Roman"/>
                <w:sz w:val="24"/>
              </w:rPr>
            </w:pPr>
            <w:r>
              <w:rPr>
                <w:rFonts w:ascii="Times New Roman" w:hAnsi="Times New Roman"/>
                <w:b/>
                <w:sz w:val="24"/>
              </w:rPr>
              <w:t xml:space="preserve">Μέτρο αναμενόμενης ζημίας χωρίς περιορισμούς για την κατηγορία παραγόντων κινδύνου πιστωτικού περιθωρίου </w:t>
            </w:r>
          </w:p>
          <w:p w14:paraId="5C567B92" w14:textId="2263B6AC" w:rsidR="00234F41" w:rsidRPr="00DB0A49" w:rsidRDefault="79641B5E" w:rsidP="140F9DE1">
            <w:pPr>
              <w:rPr>
                <w:rFonts w:ascii="Times New Roman" w:eastAsia="Times New Roman" w:hAnsi="Times New Roman" w:cs="Times New Roman"/>
                <w:sz w:val="24"/>
              </w:rPr>
            </w:pPr>
            <w:r>
              <w:rPr>
                <w:rFonts w:ascii="Times New Roman" w:hAnsi="Times New Roman"/>
                <w:sz w:val="24"/>
              </w:rPr>
              <w:t>Η αξία που δημοσιοποιείται υπολογίζεται για τους παράγοντες κινδύνου της κατηγορίας κινδύνου πιστωτικού περιθωρίου σύμφωνα με τα άρθρα 325ββ, 325βγ και 325βδ του κανονισμού (ΕΕ) αριθ. 575/2013.</w:t>
            </w:r>
          </w:p>
        </w:tc>
      </w:tr>
      <w:tr w:rsidR="00234F41" w:rsidRPr="00DB0A49" w14:paraId="4B55EABD"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1FDAC90" w14:textId="59585282" w:rsidR="00234F41" w:rsidRPr="00DB0A49" w:rsidRDefault="00234F41" w:rsidP="00DB0A49">
            <w:pPr>
              <w:jc w:val="center"/>
              <w:rPr>
                <w:rFonts w:ascii="Times New Roman" w:eastAsia="Times New Roman" w:hAnsi="Times New Roman" w:cs="Times New Roman"/>
                <w:sz w:val="24"/>
              </w:rPr>
            </w:pPr>
            <w:r>
              <w:rPr>
                <w:rFonts w:ascii="Times New Roman" w:hAnsi="Times New Roman"/>
                <w:sz w:val="24"/>
              </w:rPr>
              <w:t>7</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DB2F1C1" w14:textId="77777777" w:rsidR="00AA44B0" w:rsidRPr="00AA44B0" w:rsidRDefault="471075D0" w:rsidP="140F9DE1">
            <w:pPr>
              <w:rPr>
                <w:rFonts w:ascii="Times New Roman" w:eastAsia="Times New Roman" w:hAnsi="Times New Roman" w:cs="Times New Roman"/>
                <w:sz w:val="24"/>
              </w:rPr>
            </w:pPr>
            <w:r>
              <w:rPr>
                <w:rFonts w:ascii="Times New Roman" w:hAnsi="Times New Roman"/>
                <w:b/>
                <w:sz w:val="24"/>
              </w:rPr>
              <w:t xml:space="preserve">Άθροισμα των μέτρων αναμενόμενης ζημίας χωρίς περιορισμούς για ευρείες κατηγορίες παραγόντων κινδύνου </w:t>
            </w:r>
            <w:r>
              <w:rPr>
                <w:rFonts w:ascii="Times New Roman" w:hAnsi="Times New Roman"/>
                <w:sz w:val="24"/>
              </w:rPr>
              <w:t>(∑</w:t>
            </w:r>
            <w:proofErr w:type="spellStart"/>
            <w:r>
              <w:rPr>
                <w:rFonts w:ascii="Times New Roman" w:hAnsi="Times New Roman"/>
                <w:sz w:val="24"/>
              </w:rPr>
              <w:t>UES</w:t>
            </w:r>
            <w:r>
              <w:rPr>
                <w:rFonts w:ascii="Times New Roman" w:hAnsi="Times New Roman"/>
                <w:sz w:val="24"/>
                <w:vertAlign w:val="superscript"/>
              </w:rPr>
              <w:t>i</w:t>
            </w:r>
            <w:r>
              <w:rPr>
                <w:rFonts w:ascii="Times New Roman" w:hAnsi="Times New Roman"/>
                <w:sz w:val="24"/>
                <w:vertAlign w:val="subscript"/>
              </w:rPr>
              <w:t>t</w:t>
            </w:r>
            <w:proofErr w:type="spellEnd"/>
            <w:r>
              <w:rPr>
                <w:rFonts w:ascii="Times New Roman" w:hAnsi="Times New Roman"/>
                <w:sz w:val="24"/>
              </w:rPr>
              <w:t xml:space="preserve">) </w:t>
            </w:r>
          </w:p>
          <w:p w14:paraId="014CC777" w14:textId="17C0E236" w:rsidR="00234F41" w:rsidRPr="00AA44B0" w:rsidRDefault="00F80764" w:rsidP="140F9DE1">
            <w:pPr>
              <w:rPr>
                <w:rFonts w:ascii="Times New Roman" w:eastAsia="Times New Roman" w:hAnsi="Times New Roman" w:cs="Times New Roman"/>
                <w:sz w:val="24"/>
              </w:rPr>
            </w:pPr>
            <w:r>
              <w:rPr>
                <w:rFonts w:ascii="Times New Roman" w:hAnsi="Times New Roman"/>
                <w:sz w:val="24"/>
              </w:rPr>
              <w:t>Άθροισμα των γραμμών 2 έως 6.</w:t>
            </w:r>
          </w:p>
          <w:p w14:paraId="0D4B3B7E" w14:textId="0C505591" w:rsidR="00234F41" w:rsidRPr="00DB0A49" w:rsidRDefault="00234F41" w:rsidP="140F9DE1">
            <w:pPr>
              <w:rPr>
                <w:rFonts w:ascii="Times New Roman" w:eastAsia="Times New Roman" w:hAnsi="Times New Roman" w:cs="Times New Roman"/>
                <w:color w:val="444444"/>
                <w:sz w:val="24"/>
              </w:rPr>
            </w:pPr>
          </w:p>
        </w:tc>
      </w:tr>
      <w:tr w:rsidR="00234F41" w:rsidRPr="00DB0A49" w14:paraId="329330E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256B5C8" w14:textId="228F99DD" w:rsidR="00234F41" w:rsidRPr="00DB0A49" w:rsidRDefault="00234F41" w:rsidP="00DB0A49">
            <w:pPr>
              <w:jc w:val="center"/>
              <w:rPr>
                <w:rFonts w:ascii="Times New Roman" w:eastAsia="Times New Roman" w:hAnsi="Times New Roman" w:cs="Times New Roman"/>
                <w:sz w:val="24"/>
              </w:rPr>
            </w:pPr>
            <w:r>
              <w:rPr>
                <w:rFonts w:ascii="Times New Roman" w:hAnsi="Times New Roman"/>
                <w:sz w:val="24"/>
              </w:rPr>
              <w:t>8</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988D5B" w14:textId="6487394C"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Μέτρο αναμενόμενης ζημίας (</w:t>
            </w:r>
            <w:proofErr w:type="spellStart"/>
            <w:r>
              <w:rPr>
                <w:rFonts w:ascii="Times New Roman" w:hAnsi="Times New Roman"/>
                <w:b/>
                <w:sz w:val="24"/>
              </w:rPr>
              <w:t>ES</w:t>
            </w:r>
            <w:r>
              <w:rPr>
                <w:rFonts w:ascii="Times New Roman" w:hAnsi="Times New Roman"/>
                <w:b/>
                <w:sz w:val="24"/>
                <w:vertAlign w:val="subscript"/>
              </w:rPr>
              <w:t>t</w:t>
            </w:r>
            <w:proofErr w:type="spellEnd"/>
            <w:r>
              <w:rPr>
                <w:rFonts w:ascii="Times New Roman" w:hAnsi="Times New Roman"/>
                <w:b/>
                <w:sz w:val="24"/>
              </w:rPr>
              <w:t>)</w:t>
            </w:r>
          </w:p>
          <w:p w14:paraId="3985A7B9" w14:textId="37C4DB19" w:rsidR="00234F41" w:rsidRPr="00DB0A49" w:rsidRDefault="5D2FC7FD" w:rsidP="140F9DE1">
            <w:pPr>
              <w:rPr>
                <w:rFonts w:ascii="Times New Roman" w:eastAsia="Times New Roman" w:hAnsi="Times New Roman" w:cs="Times New Roman"/>
                <w:sz w:val="24"/>
              </w:rPr>
            </w:pPr>
            <w:r>
              <w:rPr>
                <w:rFonts w:ascii="Times New Roman" w:hAnsi="Times New Roman"/>
                <w:sz w:val="24"/>
              </w:rPr>
              <w:lastRenderedPageBreak/>
              <w:t>Το μέτρο κινδύνου αναμενόμενης ζημίας υπολογίζεται σύμφωνα με το άρθρο 325βα παράγραφος 1 στοιχείο α) σημείο i) του κανονισμού (ΕΕ) αριθ. 575/2013.</w:t>
            </w:r>
          </w:p>
        </w:tc>
      </w:tr>
      <w:tr w:rsidR="00234F41" w:rsidRPr="00AA772E" w14:paraId="5C7A25A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0EB380" w14:textId="3CBA7B62"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lastRenderedPageBreak/>
              <w:t>9</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6CE40AF" w14:textId="0618CAD3"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Μέτρο του κινδύνου σεναρίου ακραίων καταστάσεων (</w:t>
            </w:r>
            <w:proofErr w:type="spellStart"/>
            <w:r>
              <w:rPr>
                <w:rFonts w:ascii="Times New Roman" w:hAnsi="Times New Roman"/>
                <w:b/>
                <w:sz w:val="24"/>
              </w:rPr>
              <w:t>SS</w:t>
            </w:r>
            <w:r>
              <w:rPr>
                <w:rFonts w:ascii="Times New Roman" w:hAnsi="Times New Roman"/>
                <w:b/>
                <w:sz w:val="24"/>
                <w:vertAlign w:val="subscript"/>
              </w:rPr>
              <w:t>t</w:t>
            </w:r>
            <w:proofErr w:type="spellEnd"/>
            <w:r>
              <w:rPr>
                <w:rFonts w:ascii="Times New Roman" w:hAnsi="Times New Roman"/>
                <w:b/>
                <w:sz w:val="24"/>
              </w:rPr>
              <w:t>)</w:t>
            </w:r>
          </w:p>
          <w:p w14:paraId="1A984573" w14:textId="59113B26" w:rsidR="00234F41" w:rsidRPr="00DB0A49" w:rsidRDefault="060F6C17" w:rsidP="140F9DE1">
            <w:pPr>
              <w:rPr>
                <w:rFonts w:ascii="Times New Roman" w:eastAsia="Times New Roman" w:hAnsi="Times New Roman" w:cs="Times New Roman"/>
                <w:sz w:val="24"/>
              </w:rPr>
            </w:pPr>
            <w:r>
              <w:rPr>
                <w:rFonts w:ascii="Times New Roman" w:hAnsi="Times New Roman"/>
                <w:sz w:val="24"/>
              </w:rPr>
              <w:t xml:space="preserve">Το μέτρο κινδύνου σεναρίου ακραίων καταστάσεων υπολογίζεται σύμφωνα με το άρθρο 325βα παράγραφος 1 στοιχείο α) σημείο </w:t>
            </w:r>
            <w:proofErr w:type="spellStart"/>
            <w:r>
              <w:rPr>
                <w:rFonts w:ascii="Times New Roman" w:hAnsi="Times New Roman"/>
                <w:sz w:val="24"/>
              </w:rPr>
              <w:t>ii</w:t>
            </w:r>
            <w:proofErr w:type="spellEnd"/>
            <w:r>
              <w:rPr>
                <w:rFonts w:ascii="Times New Roman" w:hAnsi="Times New Roman"/>
                <w:sz w:val="24"/>
              </w:rPr>
              <w:t>) του κανονισμού (ΕΕ) αριθ. 575/2013.</w:t>
            </w:r>
          </w:p>
        </w:tc>
      </w:tr>
      <w:tr w:rsidR="00234F41" w:rsidRPr="00AA772E" w14:paraId="3AAE30D9"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8C72FB" w14:textId="2E7D9982"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10</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9FBF8F2" w14:textId="1A7A8A4A"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Επιβάρυνση κινδύνου αθέτησης (</w:t>
            </w:r>
            <w:proofErr w:type="spellStart"/>
            <w:r>
              <w:rPr>
                <w:rFonts w:ascii="Times New Roman" w:hAnsi="Times New Roman"/>
                <w:b/>
                <w:sz w:val="24"/>
              </w:rPr>
              <w:t>DRC</w:t>
            </w:r>
            <w:r>
              <w:rPr>
                <w:rFonts w:ascii="Times New Roman" w:hAnsi="Times New Roman"/>
                <w:b/>
                <w:sz w:val="24"/>
                <w:vertAlign w:val="subscript"/>
              </w:rPr>
              <w:t>t</w:t>
            </w:r>
            <w:proofErr w:type="spellEnd"/>
            <w:r>
              <w:rPr>
                <w:rFonts w:ascii="Times New Roman" w:hAnsi="Times New Roman"/>
                <w:b/>
                <w:sz w:val="24"/>
              </w:rPr>
              <w:t>)</w:t>
            </w:r>
          </w:p>
          <w:p w14:paraId="0AF5675B" w14:textId="1F8133B2" w:rsidR="00234F41" w:rsidRPr="00DB0A49" w:rsidRDefault="654BF7D8" w:rsidP="140F9DE1">
            <w:pPr>
              <w:rPr>
                <w:rFonts w:ascii="Times New Roman" w:eastAsia="Times New Roman" w:hAnsi="Times New Roman" w:cs="Times New Roman"/>
                <w:sz w:val="24"/>
              </w:rPr>
            </w:pPr>
            <w:r>
              <w:rPr>
                <w:rFonts w:ascii="Times New Roman" w:hAnsi="Times New Roman"/>
                <w:sz w:val="24"/>
              </w:rPr>
              <w:t>Η επιβάρυνση κινδύνου αθέτησης υπολογίζεται σύμφωνα με το άρθρο 325βα παράγραφος 2 στοιχείο α) του κανονισμού (ΕΕ) αριθ. 575/2013.</w:t>
            </w:r>
          </w:p>
        </w:tc>
      </w:tr>
      <w:tr w:rsidR="00234F41" w:rsidRPr="00AA772E" w14:paraId="001F5A7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3795AF9" w14:textId="7BC27148"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6C377DB" w14:textId="02406F87" w:rsidR="00234F41" w:rsidRPr="00AA44B0" w:rsidRDefault="1AC2462E">
            <w:pPr>
              <w:rPr>
                <w:rFonts w:ascii="Times New Roman" w:eastAsia="Times New Roman" w:hAnsi="Times New Roman" w:cs="Times New Roman"/>
                <w:b/>
                <w:bCs/>
                <w:sz w:val="24"/>
              </w:rPr>
            </w:pPr>
            <w:proofErr w:type="spellStart"/>
            <w:r>
              <w:rPr>
                <w:rFonts w:ascii="Times New Roman" w:hAnsi="Times New Roman"/>
                <w:b/>
                <w:sz w:val="24"/>
              </w:rPr>
              <w:t>PLAaddon</w:t>
            </w:r>
            <w:proofErr w:type="spellEnd"/>
          </w:p>
          <w:p w14:paraId="72CEFFB9" w14:textId="21DFFB57" w:rsidR="00234F41" w:rsidRPr="00DB0A49" w:rsidRDefault="471075D0" w:rsidP="140F9DE1">
            <w:pPr>
              <w:rPr>
                <w:rFonts w:ascii="Times New Roman" w:eastAsia="Times New Roman" w:hAnsi="Times New Roman" w:cs="Times New Roman"/>
                <w:sz w:val="24"/>
              </w:rPr>
            </w:pPr>
            <w:r>
              <w:rPr>
                <w:rFonts w:ascii="Times New Roman" w:hAnsi="Times New Roman"/>
                <w:sz w:val="24"/>
              </w:rPr>
              <w:t>Η τιμή αυτή υπολογίζεται σύμφωνα με το άρθρο 325βα παράγραφος 3 του κανονισμού (ΕΕ) αριθ. 575/2013 σε συνδυασμό με το άρθρο 10 παράγραφος 1 του κανονισμού (ΕΕ) 2022/2059.</w:t>
            </w:r>
          </w:p>
        </w:tc>
      </w:tr>
      <w:tr w:rsidR="00234F41" w:rsidRPr="00AA772E" w14:paraId="1E5CB73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8C254C1" w14:textId="74B26BA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675D025" w14:textId="6D4C388A" w:rsidR="00234F41" w:rsidRPr="00AA44B0" w:rsidRDefault="11A57A2D" w:rsidP="140F9DE1">
            <w:pPr>
              <w:rPr>
                <w:rFonts w:ascii="Times New Roman" w:hAnsi="Times New Roman" w:cs="Times New Roman"/>
                <w:b/>
                <w:bCs/>
                <w:sz w:val="24"/>
              </w:rPr>
            </w:pPr>
            <w:r>
              <w:rPr>
                <w:rFonts w:ascii="Times New Roman" w:hAnsi="Times New Roman"/>
                <w:b/>
                <w:sz w:val="24"/>
              </w:rPr>
              <w:t xml:space="preserve">Απαιτήσεις ιδίων κεφαλαίων για εντός και εκτός ισολογισμού δραστηριότητες συν </w:t>
            </w:r>
            <w:proofErr w:type="spellStart"/>
            <w:r>
              <w:rPr>
                <w:rFonts w:ascii="Times New Roman" w:hAnsi="Times New Roman"/>
                <w:b/>
                <w:sz w:val="24"/>
              </w:rPr>
              <w:t>PLAaddon</w:t>
            </w:r>
            <w:proofErr w:type="spellEnd"/>
            <w:r>
              <w:rPr>
                <w:rFonts w:ascii="Times New Roman" w:hAnsi="Times New Roman"/>
                <w:b/>
                <w:sz w:val="24"/>
              </w:rPr>
              <w:t xml:space="preserve"> (AIMA + </w:t>
            </w:r>
            <w:proofErr w:type="spellStart"/>
            <w:r>
              <w:rPr>
                <w:rFonts w:ascii="Times New Roman" w:hAnsi="Times New Roman"/>
                <w:b/>
                <w:sz w:val="24"/>
              </w:rPr>
              <w:t>PLAaddon</w:t>
            </w:r>
            <w:proofErr w:type="spellEnd"/>
            <w:r>
              <w:rPr>
                <w:rFonts w:ascii="Times New Roman" w:hAnsi="Times New Roman"/>
                <w:b/>
                <w:sz w:val="24"/>
              </w:rPr>
              <w:t>)</w:t>
            </w:r>
          </w:p>
          <w:p w14:paraId="595AB2F9" w14:textId="23FB87CE" w:rsidR="00234F41" w:rsidRPr="00DB0A49" w:rsidRDefault="00234F41" w:rsidP="00234F41">
            <w:pPr>
              <w:rPr>
                <w:rFonts w:ascii="Times New Roman" w:eastAsia="Times New Roman" w:hAnsi="Times New Roman" w:cs="Times New Roman"/>
                <w:sz w:val="24"/>
              </w:rPr>
            </w:pPr>
            <w:r>
              <w:rPr>
                <w:rFonts w:ascii="Times New Roman" w:hAnsi="Times New Roman"/>
                <w:sz w:val="24"/>
              </w:rPr>
              <w:t>Η τιμή αυτή υπολογίζεται σύμφωνα με το άρθρο 10 παράγραφος 1 του κανονισμού (ΕΕ) 2022/2059. Προστίθεται η τιμή της γραμμής 11.</w:t>
            </w:r>
          </w:p>
        </w:tc>
      </w:tr>
      <w:tr w:rsidR="00234F41" w:rsidRPr="00AA772E" w14:paraId="4CFEF04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4323EEB1" w14:textId="3C3F701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4FCE8B3" w14:textId="20C19D22" w:rsidR="00234F41" w:rsidRPr="00AA44B0" w:rsidRDefault="471075D0" w:rsidP="140F9DE1">
            <w:pPr>
              <w:rPr>
                <w:rFonts w:ascii="Times New Roman" w:eastAsia="Times New Roman" w:hAnsi="Times New Roman" w:cs="Times New Roman"/>
                <w:sz w:val="24"/>
              </w:rPr>
            </w:pPr>
            <w:r>
              <w:rPr>
                <w:rFonts w:ascii="Times New Roman" w:hAnsi="Times New Roman"/>
                <w:b/>
                <w:sz w:val="24"/>
              </w:rPr>
              <w:t>Συνολικές απαιτήσεις ιδίων κεφαλαίων βάσει ASA για μονάδες διαπραγμάτευσης που δεν είναι επιλέξιμες για χρήση της AIMA (</w:t>
            </w:r>
            <w:proofErr w:type="spellStart"/>
            <w:r>
              <w:rPr>
                <w:rFonts w:ascii="Times New Roman" w:hAnsi="Times New Roman"/>
                <w:b/>
                <w:sz w:val="24"/>
              </w:rPr>
              <w:t>ASAnon-aima</w:t>
            </w:r>
            <w:proofErr w:type="spellEnd"/>
            <w:r>
              <w:rPr>
                <w:rFonts w:ascii="Times New Roman" w:hAnsi="Times New Roman"/>
                <w:b/>
                <w:sz w:val="24"/>
              </w:rPr>
              <w:t>)</w:t>
            </w:r>
          </w:p>
          <w:p w14:paraId="010A62FB" w14:textId="286F0BA2" w:rsidR="00234F41" w:rsidRPr="00DB0A49" w:rsidRDefault="11B9774E" w:rsidP="140F9DE1">
            <w:pPr>
              <w:rPr>
                <w:rFonts w:ascii="Times New Roman" w:eastAsia="Times New Roman" w:hAnsi="Times New Roman" w:cs="Times New Roman"/>
                <w:color w:val="444444"/>
                <w:sz w:val="24"/>
              </w:rPr>
            </w:pPr>
            <w:r>
              <w:rPr>
                <w:rFonts w:ascii="Times New Roman" w:hAnsi="Times New Roman"/>
                <w:sz w:val="24"/>
              </w:rPr>
              <w:t>Η τιμή αυτή υπολογίζεται σύμφωνα με το άρθρο 325βα παράγραφος 3 του κανονισμού (ΕΕ) αριθ. 575/2013.</w:t>
            </w:r>
          </w:p>
        </w:tc>
      </w:tr>
      <w:tr w:rsidR="00234F41" w:rsidRPr="00AA772E" w14:paraId="2E80D7EC"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2017943" w14:textId="29CFFEEE"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7A4C34B" w14:textId="20DBF86B" w:rsidR="00234F41" w:rsidRPr="00AA44B0" w:rsidRDefault="471075D0" w:rsidP="140F9DE1">
            <w:pPr>
              <w:rPr>
                <w:rFonts w:ascii="Times New Roman" w:eastAsia="Times New Roman" w:hAnsi="Times New Roman" w:cs="Times New Roman"/>
                <w:b/>
                <w:bCs/>
                <w:sz w:val="24"/>
              </w:rPr>
            </w:pPr>
            <w:r>
              <w:rPr>
                <w:rFonts w:ascii="Times New Roman" w:hAnsi="Times New Roman"/>
                <w:b/>
                <w:sz w:val="24"/>
              </w:rPr>
              <w:t xml:space="preserve">Διαφορά μεταξύ απαιτήσεων ιδίων κεφαλαίων στο πλαίσιο της AIMA και της ASA για τις μονάδες διαπραγμάτευσης AIMA (AIMA – </w:t>
            </w:r>
            <w:proofErr w:type="spellStart"/>
            <w:r>
              <w:rPr>
                <w:rFonts w:ascii="Times New Roman" w:hAnsi="Times New Roman"/>
                <w:b/>
                <w:sz w:val="24"/>
              </w:rPr>
              <w:t>ASAaima</w:t>
            </w:r>
            <w:proofErr w:type="spellEnd"/>
            <w:r>
              <w:rPr>
                <w:rFonts w:ascii="Times New Roman" w:hAnsi="Times New Roman"/>
                <w:b/>
                <w:sz w:val="24"/>
              </w:rPr>
              <w:t>)</w:t>
            </w:r>
          </w:p>
          <w:p w14:paraId="326E0483" w14:textId="73A09039" w:rsidR="00234F41" w:rsidRPr="00DB0A49" w:rsidRDefault="471075D0" w:rsidP="140F9DE1">
            <w:pPr>
              <w:rPr>
                <w:rFonts w:ascii="Times New Roman" w:eastAsia="Times New Roman" w:hAnsi="Times New Roman" w:cs="Times New Roman"/>
                <w:sz w:val="24"/>
              </w:rPr>
            </w:pPr>
            <w:r>
              <w:rPr>
                <w:rFonts w:ascii="Times New Roman" w:hAnsi="Times New Roman"/>
                <w:sz w:val="24"/>
              </w:rPr>
              <w:t>Η τιμή αυτή υπολογίζεται ως η διαφορά μεταξύ των απαιτήσεων ιδίων κεφαλαίων βάσει AIMA για τις μονάδες AIMA [άρθρο 10 παράγραφος 1 του κανονισμού (ΕΕ) 2022/2059] και της αξίας των απαιτήσεων ιδίων κεφαλαίων βάσει ASA για όλες τις μονάδες AIMA (προβολή χαρτοφυλακίου) [άρθρο 10 παράγραφος 1 του κανονισμού (ΕΕ) 2022/2059].</w:t>
            </w:r>
          </w:p>
        </w:tc>
      </w:tr>
      <w:tr w:rsidR="00234F41" w:rsidRPr="00AA772E" w14:paraId="04D8994F"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E08381D" w14:textId="6243191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1DBA1AB" w14:textId="2D7FAA07" w:rsidR="00234F41" w:rsidRPr="00AA44B0" w:rsidRDefault="471075D0" w:rsidP="140F9DE1">
            <w:pPr>
              <w:rPr>
                <w:rFonts w:ascii="Times New Roman" w:eastAsia="Times New Roman" w:hAnsi="Times New Roman" w:cs="Times New Roman"/>
                <w:sz w:val="24"/>
              </w:rPr>
            </w:pPr>
            <w:r>
              <w:rPr>
                <w:rFonts w:ascii="Times New Roman" w:hAnsi="Times New Roman"/>
                <w:b/>
                <w:sz w:val="24"/>
              </w:rPr>
              <w:t xml:space="preserve">Απαιτήσεις ιδίων κεφαλαίων βάσει ASA για όλες τις μονάδες διαπραγμάτευσης (συμπεριλαμβανομένων εκείνων που υπόκεινται στην AIMA) (χαρτοφυλάκιο </w:t>
            </w:r>
            <w:proofErr w:type="spellStart"/>
            <w:r>
              <w:rPr>
                <w:rFonts w:ascii="Times New Roman" w:hAnsi="Times New Roman"/>
                <w:b/>
                <w:sz w:val="24"/>
              </w:rPr>
              <w:t>ASAall</w:t>
            </w:r>
            <w:proofErr w:type="spellEnd"/>
            <w:r>
              <w:rPr>
                <w:rFonts w:ascii="Times New Roman" w:hAnsi="Times New Roman"/>
                <w:b/>
                <w:sz w:val="24"/>
              </w:rPr>
              <w:t>)</w:t>
            </w:r>
          </w:p>
          <w:p w14:paraId="7232E72B" w14:textId="0064FE14" w:rsidR="00234F41" w:rsidRPr="00DB0A49" w:rsidRDefault="3A829CD0" w:rsidP="140F9DE1">
            <w:pPr>
              <w:rPr>
                <w:rFonts w:ascii="Times New Roman" w:eastAsia="Times New Roman" w:hAnsi="Times New Roman" w:cs="Times New Roman"/>
                <w:color w:val="444444"/>
                <w:sz w:val="24"/>
              </w:rPr>
            </w:pPr>
            <w:r>
              <w:rPr>
                <w:rFonts w:ascii="Times New Roman" w:hAnsi="Times New Roman"/>
                <w:sz w:val="24"/>
              </w:rPr>
              <w:t>Η τιμή αυτή υπολογίζεται σύμφωνα με το άρθρο 325βα παράγραφος 3 του κανονισμού (ΕΕ) αριθ. 575/2013.</w:t>
            </w:r>
          </w:p>
        </w:tc>
      </w:tr>
      <w:tr w:rsidR="00234F41" w:rsidRPr="00AA772E" w14:paraId="1AA0793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875442B" w14:textId="25353664"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E1B75E7" w14:textId="2021ED29" w:rsidR="00234F41" w:rsidRPr="00FE3752" w:rsidRDefault="471075D0" w:rsidP="3821DFBC">
            <w:pPr>
              <w:rPr>
                <w:rFonts w:ascii="Times New Roman" w:eastAsia="Times New Roman" w:hAnsi="Times New Roman" w:cs="Times New Roman"/>
                <w:b/>
                <w:bCs/>
                <w:sz w:val="24"/>
              </w:rPr>
            </w:pPr>
            <w:r>
              <w:rPr>
                <w:rFonts w:ascii="Times New Roman" w:hAnsi="Times New Roman"/>
                <w:b/>
                <w:sz w:val="24"/>
              </w:rPr>
              <w:t>Συνολικές απαιτήσεις ιδίων κεφαλαίων βάσει AIMA (</w:t>
            </w:r>
            <w:proofErr w:type="spellStart"/>
            <w:r>
              <w:rPr>
                <w:rFonts w:ascii="Times New Roman" w:hAnsi="Times New Roman"/>
                <w:b/>
                <w:sz w:val="24"/>
              </w:rPr>
              <w:t>TotalAIMA</w:t>
            </w:r>
            <w:proofErr w:type="spellEnd"/>
            <w:r>
              <w:rPr>
                <w:rFonts w:ascii="Times New Roman" w:hAnsi="Times New Roman"/>
                <w:b/>
                <w:sz w:val="24"/>
              </w:rPr>
              <w:t>)</w:t>
            </w:r>
          </w:p>
          <w:p w14:paraId="11A40A93" w14:textId="2A4DA65C" w:rsidR="00234F41" w:rsidRPr="00DB0A49" w:rsidRDefault="7D4B7A18" w:rsidP="3821DFBC">
            <w:pPr>
              <w:rPr>
                <w:rFonts w:ascii="Times New Roman" w:eastAsia="Times New Roman" w:hAnsi="Times New Roman" w:cs="Times New Roman"/>
                <w:color w:val="444444"/>
                <w:sz w:val="24"/>
              </w:rPr>
            </w:pPr>
            <w:r>
              <w:rPr>
                <w:rFonts w:ascii="Times New Roman" w:hAnsi="Times New Roman"/>
                <w:sz w:val="24"/>
              </w:rPr>
              <w:t xml:space="preserve">Η τιμή αυτή υπολογίζεται σύμφωνα με το άρθρο 325βα παράγραφος 3 του κανονισμού (ΕΕ) αριθ. 575/2013. </w:t>
            </w:r>
          </w:p>
        </w:tc>
      </w:tr>
      <w:tr w:rsidR="00234F41" w:rsidRPr="001F1865" w14:paraId="6CF294F9"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D7C567" w14:textId="77777777" w:rsidR="00234F41" w:rsidRPr="001F1865" w:rsidRDefault="00234F41" w:rsidP="00234F41">
            <w:pPr>
              <w:spacing w:after="240"/>
              <w:rPr>
                <w:rFonts w:ascii="Times New Roman" w:hAnsi="Times New Roman" w:cs="Times New Roman"/>
                <w:b/>
                <w:sz w:val="24"/>
              </w:rPr>
            </w:pPr>
            <w:r>
              <w:rPr>
                <w:rFonts w:ascii="Times New Roman" w:hAnsi="Times New Roman"/>
                <w:b/>
                <w:sz w:val="24"/>
              </w:rPr>
              <w:t>Γράμμα στήλης</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B0A2FF6" w14:textId="77777777" w:rsidR="00234F41" w:rsidRPr="001F1865" w:rsidRDefault="00234F41" w:rsidP="00234F41">
            <w:pPr>
              <w:spacing w:after="240"/>
              <w:rPr>
                <w:rFonts w:ascii="Times New Roman" w:hAnsi="Times New Roman" w:cs="Times New Roman"/>
                <w:b/>
                <w:sz w:val="24"/>
              </w:rPr>
            </w:pPr>
            <w:r>
              <w:rPr>
                <w:rFonts w:ascii="Times New Roman" w:hAnsi="Times New Roman"/>
                <w:b/>
                <w:sz w:val="24"/>
              </w:rPr>
              <w:t>Επεξήγηση</w:t>
            </w:r>
          </w:p>
        </w:tc>
      </w:tr>
      <w:tr w:rsidR="00234F41" w:rsidRPr="00AA772E" w14:paraId="691830EE"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F2D892" w14:textId="13945D56" w:rsidR="00234F41" w:rsidRPr="00445013" w:rsidRDefault="00234F41" w:rsidP="00DB0A49">
            <w:pPr>
              <w:jc w:val="center"/>
              <w:rPr>
                <w:rFonts w:ascii="Times New Roman" w:hAnsi="Times New Roman" w:cs="Times New Roman"/>
                <w:sz w:val="24"/>
              </w:rPr>
            </w:pPr>
            <w:r>
              <w:rPr>
                <w:rFonts w:ascii="Times New Roman" w:hAnsi="Times New Roman"/>
                <w:sz w:val="24"/>
              </w:rPr>
              <w:t>α</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BC3495" w14:textId="6299B921" w:rsidR="00234F41" w:rsidRPr="00DB0A49" w:rsidRDefault="00234F41" w:rsidP="00234F41">
            <w:pPr>
              <w:rPr>
                <w:rFonts w:ascii="Times New Roman" w:hAnsi="Times New Roman" w:cs="Times New Roman"/>
                <w:sz w:val="24"/>
              </w:rPr>
            </w:pPr>
            <w:r>
              <w:rPr>
                <w:rFonts w:ascii="Times New Roman" w:hAnsi="Times New Roman"/>
                <w:sz w:val="24"/>
              </w:rPr>
              <w:t xml:space="preserve">Δημοσιοποίηση της πλέον πρόσφατης μέτρησης κινδύνου [γραμμές 1 έως 10] ή των απαιτήσεων ιδίων κεφαλαίων [γραμμές 11 έως 16] κατά το τρέχον τρίμηνο. </w:t>
            </w:r>
          </w:p>
        </w:tc>
      </w:tr>
      <w:tr w:rsidR="00825C6F" w:rsidRPr="00AA772E" w14:paraId="3E585EB2"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655A" w14:textId="6A209115" w:rsidR="00825C6F" w:rsidRPr="00445013" w:rsidRDefault="00825C6F" w:rsidP="00825C6F">
            <w:pPr>
              <w:jc w:val="center"/>
              <w:rPr>
                <w:rFonts w:ascii="Times New Roman" w:hAnsi="Times New Roman" w:cs="Times New Roman"/>
                <w:sz w:val="24"/>
              </w:rPr>
            </w:pPr>
            <w:r>
              <w:rPr>
                <w:rFonts w:ascii="Times New Roman" w:hAnsi="Times New Roman"/>
                <w:sz w:val="24"/>
              </w:rPr>
              <w:t>β</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4B19F853" w14:textId="5237A310" w:rsidR="00825C6F" w:rsidRPr="00445013" w:rsidRDefault="00825C6F" w:rsidP="3821DFBC">
            <w:pPr>
              <w:rPr>
                <w:rFonts w:ascii="Times New Roman" w:hAnsi="Times New Roman" w:cs="Times New Roman"/>
                <w:sz w:val="24"/>
              </w:rPr>
            </w:pPr>
            <w:r>
              <w:rPr>
                <w:rFonts w:ascii="Times New Roman" w:hAnsi="Times New Roman"/>
                <w:sz w:val="24"/>
              </w:rPr>
              <w:t>Μέση τιμή του μέτρου κινδύνου [γραμμές 1 έως 10] κατά τις προηγούμενες 60 εργάσιμες ημέρες [γραμμές 1 έως 9] ή κατά τις προηγούμενες 12 εβδομάδες [γραμμή 10] κατά το τρέχον τρίμηνο.</w:t>
            </w:r>
          </w:p>
        </w:tc>
      </w:tr>
      <w:tr w:rsidR="00234F41" w:rsidRPr="00AA772E" w14:paraId="541E044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9A3D63" w14:textId="38507D4F" w:rsidR="00234F41" w:rsidRPr="00445013" w:rsidRDefault="00825C6F" w:rsidP="00DB0A49">
            <w:pPr>
              <w:jc w:val="center"/>
              <w:rPr>
                <w:rFonts w:ascii="Times New Roman" w:hAnsi="Times New Roman" w:cs="Times New Roman"/>
                <w:sz w:val="24"/>
              </w:rPr>
            </w:pPr>
            <w:r>
              <w:rPr>
                <w:rFonts w:ascii="Times New Roman" w:hAnsi="Times New Roman"/>
                <w:sz w:val="24"/>
              </w:rPr>
              <w:lastRenderedPageBreak/>
              <w:t>γ</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E0E847" w14:textId="02E42442" w:rsidR="00234F41" w:rsidRPr="00445013" w:rsidRDefault="00234F41" w:rsidP="3821DFBC">
            <w:pPr>
              <w:rPr>
                <w:rFonts w:ascii="Times New Roman" w:hAnsi="Times New Roman" w:cs="Times New Roman"/>
                <w:sz w:val="24"/>
              </w:rPr>
            </w:pPr>
            <w:r>
              <w:rPr>
                <w:rFonts w:ascii="Times New Roman" w:hAnsi="Times New Roman"/>
                <w:sz w:val="24"/>
              </w:rPr>
              <w:t>Υψηλότερο μέτρο κινδύνου κατά τις προηγούμενες 60 εργάσιμες ημέρες [γραμμές 1 έως 6] κατά το τρέχον τρίμηνο.</w:t>
            </w:r>
          </w:p>
        </w:tc>
      </w:tr>
      <w:tr w:rsidR="00234F41" w:rsidRPr="00AA772E" w14:paraId="517652D9"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185729" w14:textId="054FA251" w:rsidR="00234F41" w:rsidRPr="00445013" w:rsidRDefault="00825C6F" w:rsidP="00234F41">
            <w:pPr>
              <w:jc w:val="center"/>
              <w:rPr>
                <w:rFonts w:ascii="Times New Roman" w:hAnsi="Times New Roman" w:cs="Times New Roman"/>
                <w:sz w:val="24"/>
              </w:rPr>
            </w:pPr>
            <w:r>
              <w:rPr>
                <w:rFonts w:ascii="Times New Roman" w:hAnsi="Times New Roman"/>
                <w:sz w:val="24"/>
              </w:rPr>
              <w:t>δ</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A32AC" w14:textId="30C74DA0" w:rsidR="00234F41" w:rsidRPr="00445013" w:rsidRDefault="00234F41" w:rsidP="3821DFBC">
            <w:pPr>
              <w:rPr>
                <w:rFonts w:ascii="Times New Roman" w:hAnsi="Times New Roman" w:cs="Times New Roman"/>
                <w:sz w:val="24"/>
              </w:rPr>
            </w:pPr>
            <w:r>
              <w:rPr>
                <w:rFonts w:ascii="Times New Roman" w:hAnsi="Times New Roman"/>
                <w:sz w:val="24"/>
              </w:rPr>
              <w:t>Χαμηλότερη μέτρηση κινδύνου κατά τις προηγούμενες 60 εργάσιμες ημέρες [γραμμές 1 έως 6] κατά το τρέχον τρίμηνο.</w:t>
            </w:r>
          </w:p>
        </w:tc>
      </w:tr>
      <w:tr w:rsidR="00234F41" w:rsidRPr="00AA772E" w14:paraId="41E2A894"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FA296F" w14:textId="5510FEEB" w:rsidR="00234F41" w:rsidRPr="00445013" w:rsidRDefault="00234F41" w:rsidP="00234F41">
            <w:pPr>
              <w:jc w:val="center"/>
              <w:rPr>
                <w:rFonts w:ascii="Times New Roman" w:hAnsi="Times New Roman" w:cs="Times New Roman"/>
                <w:sz w:val="24"/>
              </w:rPr>
            </w:pPr>
            <w:r>
              <w:rPr>
                <w:rFonts w:ascii="Times New Roman" w:hAnsi="Times New Roman"/>
                <w:sz w:val="24"/>
              </w:rPr>
              <w:t>ε</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57FA4A" w14:textId="0166676A" w:rsidR="00234F41" w:rsidRPr="00445013" w:rsidRDefault="00234F41">
            <w:pPr>
              <w:rPr>
                <w:rFonts w:ascii="Times New Roman" w:eastAsia="Times New Roman" w:hAnsi="Times New Roman" w:cs="Times New Roman"/>
                <w:sz w:val="24"/>
              </w:rPr>
            </w:pPr>
            <w:r>
              <w:rPr>
                <w:rFonts w:ascii="Times New Roman" w:hAnsi="Times New Roman"/>
                <w:sz w:val="24"/>
              </w:rPr>
              <w:t>Αριθμός υπερβάσεων εκ των υστέρων ελέγχου (γραμμή 1)</w:t>
            </w:r>
          </w:p>
          <w:p w14:paraId="486CF129" w14:textId="49048050" w:rsidR="00234F41" w:rsidRPr="00445013" w:rsidRDefault="51A69309" w:rsidP="0BE40342">
            <w:pPr>
              <w:rPr>
                <w:rFonts w:ascii="Times New Roman" w:eastAsia="Times New Roman" w:hAnsi="Times New Roman" w:cs="Times New Roman"/>
                <w:sz w:val="24"/>
              </w:rPr>
            </w:pPr>
            <w:r>
              <w:rPr>
                <w:rFonts w:ascii="Times New Roman" w:hAnsi="Times New Roman"/>
                <w:sz w:val="24"/>
              </w:rPr>
              <w:t>Ο αριθμός των υπερβάσεων που αναφέρονται σε αυτό το κελί είναι ο αριθμός που χρησιμοποιείται για τον προσδιορισμό της προσαύξησης σύμφωνα με τον πίνακα 3 του άρθρου 325νη παράγραφος 6 στοιχείο β) του κανονισμού (ΕΕ) αριθ. 575/2013. Δεν περιλαμβάνονται οι υπερβάσεις που εξαιρούνται με άδεια της αρμόδιας αρχής.</w:t>
            </w:r>
          </w:p>
        </w:tc>
      </w:tr>
      <w:tr w:rsidR="00234F41" w:rsidRPr="00AA772E" w14:paraId="4299B6F7"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441333" w14:textId="19304036" w:rsidR="00234F41" w:rsidRPr="00445013" w:rsidRDefault="00234F41" w:rsidP="00234F41">
            <w:pPr>
              <w:jc w:val="center"/>
              <w:rPr>
                <w:rFonts w:ascii="Times New Roman" w:hAnsi="Times New Roman" w:cs="Times New Roman"/>
                <w:sz w:val="24"/>
              </w:rPr>
            </w:pPr>
            <w:proofErr w:type="spellStart"/>
            <w:r>
              <w:rPr>
                <w:rFonts w:ascii="Times New Roman" w:hAnsi="Times New Roman"/>
                <w:sz w:val="24"/>
              </w:rPr>
              <w:t>στ</w:t>
            </w:r>
            <w:proofErr w:type="spellEnd"/>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8BD1C0" w14:textId="66C9B10A" w:rsidR="00234F41" w:rsidRPr="00445013" w:rsidRDefault="00234F41" w:rsidP="00234F41">
            <w:pPr>
              <w:rPr>
                <w:rFonts w:ascii="Times New Roman" w:hAnsi="Times New Roman" w:cs="Times New Roman"/>
                <w:sz w:val="24"/>
              </w:rPr>
            </w:pPr>
            <w:r>
              <w:rPr>
                <w:rFonts w:ascii="Times New Roman" w:hAnsi="Times New Roman"/>
                <w:sz w:val="24"/>
              </w:rPr>
              <w:t xml:space="preserve">Η πλέον πρόσφατη μέτρηση κινδύνου [γραμμές 1 έως 10] ή των απαιτήσεων ιδίων κεφαλαίων [γραμμές 11 έως 16] κατά το προηγούμενο τρίμηνο. </w:t>
            </w:r>
          </w:p>
        </w:tc>
      </w:tr>
      <w:tr w:rsidR="00234F41" w:rsidRPr="001F1865" w14:paraId="2CC4031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83754D" w14:textId="4239198E" w:rsidR="00234F41" w:rsidRPr="001F1865" w:rsidRDefault="00234F41" w:rsidP="00234F41">
            <w:pPr>
              <w:jc w:val="center"/>
              <w:rPr>
                <w:rFonts w:ascii="Times New Roman" w:hAnsi="Times New Roman" w:cs="Times New Roman"/>
                <w:sz w:val="24"/>
              </w:rPr>
            </w:pPr>
            <w:r>
              <w:rPr>
                <w:rFonts w:ascii="Times New Roman" w:hAnsi="Times New Roman"/>
                <w:sz w:val="24"/>
              </w:rPr>
              <w:t>ζ</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88BFF1" w14:textId="1DB2F358" w:rsidR="00234F41" w:rsidRPr="001F1865" w:rsidRDefault="00234F41" w:rsidP="00234F41">
            <w:pPr>
              <w:rPr>
                <w:rFonts w:ascii="Times New Roman" w:hAnsi="Times New Roman" w:cs="Times New Roman"/>
                <w:sz w:val="24"/>
              </w:rPr>
            </w:pPr>
            <w:r>
              <w:rPr>
                <w:rFonts w:ascii="Times New Roman" w:hAnsi="Times New Roman"/>
                <w:sz w:val="24"/>
              </w:rPr>
              <w:t>Μέση τιμή του μέτρου κινδύνου [γραμμές 1 έως 10] κατά τις προηγούμενες 60 εργάσιμες ημέρες [γραμμές 1 έως 9] ή κατά τις προηγούμενες 12 εβδομάδες [γραμμή 10] κατά το προηγούμενο τρίμηνο.</w:t>
            </w:r>
          </w:p>
        </w:tc>
      </w:tr>
    </w:tbl>
    <w:p w14:paraId="60061E4C" w14:textId="6CE0B0D3" w:rsidR="00AA4A0F" w:rsidRPr="00CA05AD" w:rsidRDefault="00AA4A0F" w:rsidP="00931C32">
      <w:pPr>
        <w:pStyle w:val="Titlelevel2"/>
        <w:spacing w:before="0"/>
        <w:rPr>
          <w:rFonts w:ascii="Times New Roman" w:hAnsi="Times New Roman" w:cs="Times New Roman"/>
          <w:b/>
          <w:color w:val="auto"/>
          <w:sz w:val="24"/>
        </w:rPr>
      </w:pPr>
    </w:p>
    <w:p w14:paraId="7EADC0A6" w14:textId="5B12A297" w:rsidR="00AA4A0F" w:rsidRPr="001F1865" w:rsidRDefault="00AA4A0F" w:rsidP="140F9DE1">
      <w:pPr>
        <w:pStyle w:val="Titlelevel2"/>
        <w:spacing w:before="0"/>
        <w:rPr>
          <w:rFonts w:ascii="Times New Roman" w:hAnsi="Times New Roman" w:cs="Times New Roman"/>
          <w:color w:val="auto"/>
          <w:sz w:val="24"/>
        </w:rPr>
      </w:pPr>
      <w:r>
        <w:rPr>
          <w:rFonts w:ascii="Times New Roman" w:hAnsi="Times New Roman"/>
          <w:b/>
          <w:color w:val="auto"/>
          <w:sz w:val="24"/>
        </w:rPr>
        <w:t>Υπόδειγμα EU MR 3 – Κίνδυνος αγοράς βάσει της απλουστευμένης τυποποιημένης προσέγγισης (SSA)</w:t>
      </w:r>
      <w:r>
        <w:rPr>
          <w:rFonts w:ascii="Times New Roman" w:hAnsi="Times New Roman"/>
          <w:color w:val="auto"/>
          <w:sz w:val="24"/>
        </w:rPr>
        <w:t xml:space="preserve">: σταθερός </w:t>
      </w:r>
      <w:proofErr w:type="spellStart"/>
      <w:r>
        <w:rPr>
          <w:rFonts w:ascii="Times New Roman" w:hAnsi="Times New Roman"/>
          <w:color w:val="auto"/>
          <w:sz w:val="24"/>
        </w:rPr>
        <w:t>μορφότυπος</w:t>
      </w:r>
      <w:proofErr w:type="spellEnd"/>
    </w:p>
    <w:p w14:paraId="6AC491D2" w14:textId="6E61C37E" w:rsidR="00AA4A0F" w:rsidRPr="001F1865" w:rsidRDefault="00AA4A0F" w:rsidP="00DB0A49">
      <w:pPr>
        <w:pStyle w:val="Titlelevel2"/>
        <w:numPr>
          <w:ilvl w:val="0"/>
          <w:numId w:val="5"/>
        </w:numPr>
        <w:spacing w:before="0"/>
        <w:ind w:left="284" w:hanging="284"/>
        <w:jc w:val="both"/>
        <w:rPr>
          <w:rFonts w:ascii="Times New Roman" w:hAnsi="Times New Roman" w:cs="Times New Roman"/>
          <w:b/>
          <w:color w:val="auto"/>
          <w:sz w:val="24"/>
        </w:rPr>
      </w:pPr>
      <w:r>
        <w:rPr>
          <w:rFonts w:ascii="Times New Roman" w:hAnsi="Times New Roman"/>
          <w:color w:val="000000" w:themeColor="text1"/>
          <w:sz w:val="24"/>
        </w:rPr>
        <w:t>Τα ιδρύματα δημοσιοποιούν τις πληροφορίες που αναφέρονται στο άρθρο 445 του κανονισμού (ΕΕ) αριθ. 575/2013 ακολουθώντας τις οδηγίες που παρέχονται παρακάτω στο παρόν παράρτημα για τη συμπλήρωση του υποδείγματος EU MR 3, το οποίο παρατίθεται στο παράρτημα XXIX των λύσεων ΤΠ της ΕΑΤ.</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AA4A0F" w:rsidRPr="001F1865" w14:paraId="31CE5A52"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1B0653"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Νομικά κείμενα αναφοράς και οδηγίες</w:t>
            </w:r>
          </w:p>
        </w:tc>
      </w:tr>
      <w:tr w:rsidR="00AA4A0F" w:rsidRPr="001F1865" w14:paraId="5141F344"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6BD028"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Αριθμός γραμμής</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1D7C9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Επεξήγηση</w:t>
            </w:r>
          </w:p>
        </w:tc>
      </w:tr>
      <w:tr w:rsidR="00AA4A0F" w:rsidRPr="001F1865" w14:paraId="2557E2E3"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6A1E50F1"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8141434" w14:textId="77777777" w:rsidR="00AA4A0F" w:rsidRPr="001F1865" w:rsidRDefault="00AA4A0F" w:rsidP="00DE090B">
            <w:pPr>
              <w:spacing w:after="240"/>
              <w:rPr>
                <w:rFonts w:ascii="Times New Roman" w:hAnsi="Times New Roman" w:cs="Times New Roman"/>
                <w:b/>
                <w:bCs/>
                <w:i/>
                <w:iCs/>
                <w:sz w:val="24"/>
                <w:lang w:eastAsia="ja-JP"/>
              </w:rPr>
            </w:pPr>
          </w:p>
        </w:tc>
      </w:tr>
      <w:tr w:rsidR="00AA4A0F" w:rsidRPr="001F1865" w14:paraId="739AED95" w14:textId="77777777" w:rsidTr="0BE40342">
        <w:tc>
          <w:tcPr>
            <w:tcW w:w="1172" w:type="dxa"/>
            <w:tcBorders>
              <w:top w:val="single" w:sz="4" w:space="0" w:color="auto"/>
              <w:left w:val="single" w:sz="4" w:space="0" w:color="auto"/>
              <w:bottom w:val="single" w:sz="4" w:space="0" w:color="auto"/>
              <w:right w:val="single" w:sz="4" w:space="0" w:color="auto"/>
            </w:tcBorders>
          </w:tcPr>
          <w:p w14:paraId="37A7E9B2" w14:textId="77777777" w:rsidR="00AA4A0F" w:rsidRPr="001F1865" w:rsidRDefault="00AA4A0F" w:rsidP="00DE090B">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FBD133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 xml:space="preserve">Κίνδυνος επιτοκίου (γενικός και ειδικός) </w:t>
            </w:r>
          </w:p>
          <w:p w14:paraId="53976F70" w14:textId="7239AE46" w:rsidR="00AA4A0F" w:rsidRPr="001F1865" w:rsidRDefault="00AA4A0F" w:rsidP="0BE40342">
            <w:pPr>
              <w:autoSpaceDE w:val="0"/>
              <w:autoSpaceDN w:val="0"/>
              <w:adjustRightInd w:val="0"/>
              <w:spacing w:after="240"/>
              <w:jc w:val="both"/>
              <w:rPr>
                <w:rFonts w:ascii="Times New Roman" w:hAnsi="Times New Roman" w:cs="Times New Roman"/>
                <w:sz w:val="24"/>
              </w:rPr>
            </w:pPr>
            <w:r>
              <w:rPr>
                <w:rFonts w:ascii="Times New Roman" w:hAnsi="Times New Roman"/>
                <w:sz w:val="24"/>
              </w:rPr>
              <w:t xml:space="preserve">Γενικός και ειδικός κίνδυνος θέσεων σε διαπραγματεύσιμα χρεόγραφα εντός χαρτοφυλακίου συναλλαγών σύμφωνα με το τρίτο μέρος τίτλος IV κεφάλαιο 2 του κανονισμού (ΕΕ) αριθ. 575/2013, εξαιρουμένων των ειδικών κινδύνων που σχετίζονται με την </w:t>
            </w:r>
            <w:proofErr w:type="spellStart"/>
            <w:r>
              <w:rPr>
                <w:rFonts w:ascii="Times New Roman" w:hAnsi="Times New Roman"/>
                <w:sz w:val="24"/>
              </w:rPr>
              <w:t>τιτλοποίηση</w:t>
            </w:r>
            <w:proofErr w:type="spellEnd"/>
            <w:r>
              <w:rPr>
                <w:rFonts w:ascii="Times New Roman" w:hAnsi="Times New Roman"/>
                <w:sz w:val="24"/>
              </w:rPr>
              <w:t>.</w:t>
            </w:r>
          </w:p>
        </w:tc>
      </w:tr>
      <w:tr w:rsidR="00AA4A0F" w:rsidRPr="001F1865" w14:paraId="3866E5CD" w14:textId="77777777" w:rsidTr="0BE40342">
        <w:tc>
          <w:tcPr>
            <w:tcW w:w="1172" w:type="dxa"/>
            <w:tcBorders>
              <w:top w:val="single" w:sz="4" w:space="0" w:color="auto"/>
              <w:left w:val="single" w:sz="4" w:space="0" w:color="auto"/>
              <w:bottom w:val="single" w:sz="4" w:space="0" w:color="auto"/>
              <w:right w:val="single" w:sz="4" w:space="0" w:color="auto"/>
            </w:tcBorders>
          </w:tcPr>
          <w:p w14:paraId="19995B6D" w14:textId="77777777" w:rsidR="00AA4A0F" w:rsidRPr="001F1865" w:rsidRDefault="00AA4A0F" w:rsidP="00DE090B">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2B552676"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Κίνδυνος μετοχών (γενικός και ειδικός)</w:t>
            </w:r>
          </w:p>
          <w:p w14:paraId="7CB149BE" w14:textId="7EC2652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Γενικός και ειδικός κίνδυνος θέσεων σε μετοχές εντός χαρτοφυλακίου συναλλαγών σύμφωνα με το τρίτο μέρος τίτλος IV κεφάλαιο 2 του κανονισμού (ΕΕ) αριθ. 575/2013.</w:t>
            </w:r>
          </w:p>
        </w:tc>
      </w:tr>
      <w:tr w:rsidR="00AA4A0F" w:rsidRPr="001F1865" w14:paraId="036D3FF7" w14:textId="77777777" w:rsidTr="0BE40342">
        <w:tc>
          <w:tcPr>
            <w:tcW w:w="1172" w:type="dxa"/>
            <w:tcBorders>
              <w:top w:val="single" w:sz="4" w:space="0" w:color="auto"/>
              <w:left w:val="single" w:sz="4" w:space="0" w:color="auto"/>
              <w:bottom w:val="single" w:sz="4" w:space="0" w:color="auto"/>
              <w:right w:val="single" w:sz="4" w:space="0" w:color="auto"/>
            </w:tcBorders>
          </w:tcPr>
          <w:p w14:paraId="5E8AB2FA" w14:textId="77777777" w:rsidR="00AA4A0F" w:rsidRPr="001F1865" w:rsidRDefault="00AA4A0F" w:rsidP="00DE090B">
            <w:pPr>
              <w:spacing w:after="240"/>
              <w:jc w:val="center"/>
              <w:rPr>
                <w:rFonts w:ascii="Times New Roman" w:hAnsi="Times New Roman" w:cs="Times New Roman"/>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0A0101EE"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Κίνδυνος βασικού εμπορεύματος</w:t>
            </w:r>
          </w:p>
          <w:p w14:paraId="63B3CA85" w14:textId="0B927E14" w:rsidR="00AA4A0F" w:rsidRPr="001F1865" w:rsidRDefault="00AA4A0F" w:rsidP="0BE40342">
            <w:pPr>
              <w:spacing w:after="240"/>
              <w:rPr>
                <w:rFonts w:ascii="Times New Roman" w:hAnsi="Times New Roman" w:cs="Times New Roman"/>
                <w:sz w:val="24"/>
              </w:rPr>
            </w:pPr>
            <w:r>
              <w:rPr>
                <w:rFonts w:ascii="Times New Roman" w:hAnsi="Times New Roman"/>
                <w:sz w:val="24"/>
              </w:rPr>
              <w:lastRenderedPageBreak/>
              <w:t>Κίνδυνος θέσεων σε εμπορεύματα σύμφωνα με το τρίτο μέρος τίτλος IV κεφάλαιο 4 του κανονισμού (ΕΕ) αριθ. 575/2013.</w:t>
            </w:r>
          </w:p>
        </w:tc>
      </w:tr>
      <w:tr w:rsidR="00AA4A0F" w:rsidRPr="001F1865" w14:paraId="7A3EA1BB" w14:textId="77777777" w:rsidTr="0BE40342">
        <w:tc>
          <w:tcPr>
            <w:tcW w:w="1172" w:type="dxa"/>
            <w:tcBorders>
              <w:top w:val="single" w:sz="4" w:space="0" w:color="auto"/>
              <w:left w:val="single" w:sz="4" w:space="0" w:color="auto"/>
              <w:bottom w:val="single" w:sz="4" w:space="0" w:color="auto"/>
              <w:right w:val="single" w:sz="4" w:space="0" w:color="auto"/>
            </w:tcBorders>
          </w:tcPr>
          <w:p w14:paraId="113B8C93" w14:textId="77777777" w:rsidR="00AA4A0F" w:rsidRPr="001F1865" w:rsidRDefault="00AA4A0F" w:rsidP="00DE090B">
            <w:pPr>
              <w:spacing w:after="240"/>
              <w:jc w:val="center"/>
              <w:rPr>
                <w:rFonts w:ascii="Times New Roman" w:hAnsi="Times New Roman" w:cs="Times New Roman"/>
                <w:b/>
                <w:sz w:val="24"/>
              </w:rPr>
            </w:pPr>
            <w:r>
              <w:rPr>
                <w:rFonts w:ascii="Times New Roman" w:hAnsi="Times New Roman"/>
                <w:sz w:val="24"/>
              </w:rPr>
              <w:lastRenderedPageBreak/>
              <w:t>4</w:t>
            </w:r>
          </w:p>
        </w:tc>
        <w:tc>
          <w:tcPr>
            <w:tcW w:w="7242" w:type="dxa"/>
            <w:tcBorders>
              <w:top w:val="single" w:sz="4" w:space="0" w:color="auto"/>
              <w:left w:val="single" w:sz="4" w:space="0" w:color="auto"/>
              <w:bottom w:val="single" w:sz="4" w:space="0" w:color="auto"/>
              <w:right w:val="single" w:sz="4" w:space="0" w:color="auto"/>
            </w:tcBorders>
          </w:tcPr>
          <w:p w14:paraId="348C8C77"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Συναλλαγματικός κίνδυνος</w:t>
            </w:r>
          </w:p>
          <w:p w14:paraId="0EF57964" w14:textId="5BB6583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Κίνδυνος θέσεων σε συνάλλαγμα σύμφωνα με το τρίτο μέρος τίτλος IV κεφάλαιο 3 του κανονισμού (ΕΕ) αριθ. 575/2013.</w:t>
            </w:r>
          </w:p>
        </w:tc>
      </w:tr>
      <w:tr w:rsidR="00AA4A0F" w:rsidRPr="001F1865" w14:paraId="510BA8A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FCF69CF" w14:textId="77777777" w:rsidR="00AA4A0F" w:rsidRPr="001F1865" w:rsidRDefault="00AA4A0F" w:rsidP="00DE090B">
            <w:pPr>
              <w:jc w:val="center"/>
              <w:rPr>
                <w:rFonts w:ascii="Times New Roman" w:hAnsi="Times New Roman" w:cs="Times New Roman"/>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31B132C" w14:textId="77777777" w:rsidR="00AA4A0F" w:rsidRPr="001F1865" w:rsidRDefault="00AA4A0F" w:rsidP="00DE090B">
            <w:pPr>
              <w:spacing w:after="240"/>
              <w:rPr>
                <w:rFonts w:ascii="Times New Roman" w:eastAsia="Times New Roman" w:hAnsi="Times New Roman" w:cs="Times New Roman"/>
                <w:b/>
                <w:bCs/>
                <w:sz w:val="24"/>
              </w:rPr>
            </w:pPr>
            <w:proofErr w:type="spellStart"/>
            <w:r>
              <w:rPr>
                <w:rFonts w:ascii="Times New Roman" w:hAnsi="Times New Roman"/>
                <w:b/>
                <w:sz w:val="24"/>
              </w:rPr>
              <w:t>Τιτλοποίηση</w:t>
            </w:r>
            <w:proofErr w:type="spellEnd"/>
            <w:r>
              <w:rPr>
                <w:rFonts w:ascii="Times New Roman" w:hAnsi="Times New Roman"/>
                <w:b/>
                <w:sz w:val="24"/>
              </w:rPr>
              <w:t xml:space="preserve"> (ειδικός κίνδυνος)</w:t>
            </w:r>
          </w:p>
          <w:p w14:paraId="20BB6B2F" w14:textId="370CD600" w:rsidR="00AA4A0F" w:rsidRPr="00DE72D6" w:rsidRDefault="00AA4A0F" w:rsidP="00DE090B">
            <w:pPr>
              <w:rPr>
                <w:rFonts w:ascii="Times New Roman" w:hAnsi="Times New Roman" w:cs="Times New Roman"/>
              </w:rPr>
            </w:pPr>
            <w:r>
              <w:rPr>
                <w:rFonts w:ascii="Times New Roman" w:hAnsi="Times New Roman"/>
                <w:sz w:val="24"/>
              </w:rPr>
              <w:t xml:space="preserve">Ειδικός κίνδυνος θέσεων </w:t>
            </w:r>
            <w:proofErr w:type="spellStart"/>
            <w:r>
              <w:rPr>
                <w:rFonts w:ascii="Times New Roman" w:hAnsi="Times New Roman"/>
                <w:sz w:val="24"/>
              </w:rPr>
              <w:t>τιτλοποίησης</w:t>
            </w:r>
            <w:proofErr w:type="spellEnd"/>
            <w:r>
              <w:rPr>
                <w:rFonts w:ascii="Times New Roman" w:hAnsi="Times New Roman"/>
                <w:sz w:val="24"/>
              </w:rPr>
              <w:t xml:space="preserve"> εντός χαρτοφυλακίου συναλλαγών σύμφωνα με το τρίτο μέρος τίτλος IV κεφάλαιο 2 άρθρα 337 και 338 του κανονισμού (ΕΕ) αριθ. 575/2013.</w:t>
            </w:r>
          </w:p>
        </w:tc>
      </w:tr>
      <w:tr w:rsidR="00AA4A0F" w:rsidRPr="001F1865" w14:paraId="7C502C6B"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75168C1" w14:textId="77777777" w:rsidR="00AA4A0F" w:rsidRPr="001F1865" w:rsidRDefault="00AA4A0F" w:rsidP="00DE090B">
            <w:pPr>
              <w:jc w:val="center"/>
              <w:rPr>
                <w:rFonts w:ascii="Times New Roman" w:hAnsi="Times New Roman" w:cs="Times New Roman"/>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192C9167"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 xml:space="preserve">Σύνολο OFR S-SA </w:t>
            </w:r>
          </w:p>
          <w:p w14:paraId="5DD2D55D" w14:textId="027A9E83" w:rsidR="00AA4A0F" w:rsidRPr="001F1865" w:rsidRDefault="00AA4A0F" w:rsidP="00DE090B">
            <w:pPr>
              <w:rPr>
                <w:rFonts w:ascii="Times New Roman" w:eastAsia="Times New Roman" w:hAnsi="Times New Roman" w:cs="Times New Roman"/>
                <w:sz w:val="24"/>
              </w:rPr>
            </w:pPr>
            <w:r>
              <w:rPr>
                <w:rFonts w:ascii="Times New Roman" w:hAnsi="Times New Roman"/>
                <w:sz w:val="24"/>
              </w:rPr>
              <w:t>Δημοσιοποίηση των απαιτήσεων ιδίων κεφαλαίων που αναφέρονται στο άρθρο 438 στοιχείο δ) του κανονισμού (ΕΕ) αριθ. 575/2013, υπολογιζόμενες ως το απλό άθροισμα των ποσών στις ανωτέρω γραμμές 1 έως 5 για τη στήλη α και υπολογιζόμενες ως το απλό άθροισμα των ποσών στις ανωτέρω γραμμές 1 έως 4 για τις στήλες β, γ και δ.</w:t>
            </w:r>
          </w:p>
        </w:tc>
      </w:tr>
      <w:tr w:rsidR="00AA4A0F" w:rsidRPr="001F1865" w14:paraId="56185555"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C50AB2"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Γράμμα στήλης</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381206" w14:textId="77777777" w:rsidR="00AA4A0F" w:rsidRPr="00DB0A49" w:rsidRDefault="00AA4A0F" w:rsidP="00DE090B">
            <w:pPr>
              <w:spacing w:after="240"/>
              <w:rPr>
                <w:rFonts w:ascii="Times New Roman" w:hAnsi="Times New Roman" w:cs="Times New Roman"/>
                <w:b/>
                <w:sz w:val="24"/>
              </w:rPr>
            </w:pPr>
            <w:r>
              <w:rPr>
                <w:rFonts w:ascii="Times New Roman" w:hAnsi="Times New Roman"/>
                <w:b/>
                <w:sz w:val="24"/>
              </w:rPr>
              <w:t>Επεξήγηση</w:t>
            </w:r>
          </w:p>
        </w:tc>
      </w:tr>
      <w:tr w:rsidR="00AA4A0F" w:rsidRPr="001F1865" w14:paraId="2E9CE451"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8E7FF5" w14:textId="77777777" w:rsidR="00AA4A0F" w:rsidRPr="001F1865" w:rsidRDefault="00AA4A0F" w:rsidP="00DE090B">
            <w:pPr>
              <w:spacing w:after="240"/>
              <w:jc w:val="center"/>
              <w:rPr>
                <w:rFonts w:ascii="Times New Roman" w:eastAsia="Times New Roman" w:hAnsi="Times New Roman" w:cs="Times New Roman"/>
                <w:sz w:val="24"/>
              </w:rPr>
            </w:pP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FD14A" w14:textId="77777777" w:rsidR="00AA4A0F" w:rsidRPr="00FE3752" w:rsidRDefault="00AA4A0F" w:rsidP="00DE090B">
            <w:pPr>
              <w:spacing w:after="240"/>
              <w:rPr>
                <w:rFonts w:ascii="Times New Roman" w:eastAsia="Times New Roman" w:hAnsi="Times New Roman" w:cs="Times New Roman"/>
                <w:b/>
                <w:bCs/>
                <w:sz w:val="24"/>
              </w:rPr>
            </w:pPr>
            <w:r>
              <w:rPr>
                <w:rFonts w:ascii="Times New Roman" w:hAnsi="Times New Roman"/>
                <w:b/>
                <w:sz w:val="24"/>
              </w:rPr>
              <w:t>Προθεσμιακά προϊόντα</w:t>
            </w:r>
          </w:p>
        </w:tc>
      </w:tr>
      <w:tr w:rsidR="00AA4A0F" w:rsidRPr="001F1865" w14:paraId="5A2CAA0E"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53EFC87F" w14:textId="77777777" w:rsidR="00AA4A0F" w:rsidRPr="001F1865" w:rsidRDefault="00AA4A0F" w:rsidP="00DE090B">
            <w:pPr>
              <w:jc w:val="center"/>
              <w:rPr>
                <w:rFonts w:ascii="Times New Roman" w:eastAsia="Times New Roman" w:hAnsi="Times New Roman" w:cs="Times New Roman"/>
                <w:sz w:val="24"/>
              </w:rPr>
            </w:pPr>
            <w:r>
              <w:rPr>
                <w:rFonts w:ascii="Times New Roman" w:hAnsi="Times New Roman"/>
                <w:sz w:val="24"/>
              </w:rPr>
              <w:t>α</w:t>
            </w:r>
          </w:p>
        </w:tc>
        <w:tc>
          <w:tcPr>
            <w:tcW w:w="7242" w:type="dxa"/>
            <w:tcBorders>
              <w:top w:val="single" w:sz="4" w:space="0" w:color="auto"/>
              <w:left w:val="single" w:sz="4" w:space="0" w:color="auto"/>
              <w:bottom w:val="single" w:sz="4" w:space="0" w:color="auto"/>
              <w:right w:val="single" w:sz="4" w:space="0" w:color="auto"/>
            </w:tcBorders>
          </w:tcPr>
          <w:p w14:paraId="30EB9E82" w14:textId="3E3EB933" w:rsidR="00AA4A0F" w:rsidRPr="00DB0A49" w:rsidRDefault="00AA4A0F" w:rsidP="00DE090B">
            <w:pPr>
              <w:rPr>
                <w:rFonts w:ascii="Times New Roman" w:eastAsia="Calibri" w:hAnsi="Times New Roman" w:cs="Times New Roman"/>
                <w:szCs w:val="22"/>
              </w:rPr>
            </w:pPr>
            <w:r>
              <w:rPr>
                <w:rFonts w:ascii="Times New Roman" w:hAnsi="Times New Roman"/>
                <w:sz w:val="24"/>
              </w:rPr>
              <w:t>Θέσεις σε προϊόντα που δεν είναι προαιρετικά και δεν περιλαμβάνονται στις προσεγγίσεις των ΡΤΠ για τον κίνδυνο δικαιωμάτων προαίρεσης που δεν υπάγεται στον συντελεστή δέλτα στην τυποποιημένη προσέγγιση κινδύνου αγοράς</w:t>
            </w:r>
            <w:r w:rsidRPr="00DB0A49">
              <w:rPr>
                <w:rFonts w:ascii="Times New Roman" w:eastAsia="Calibri" w:hAnsi="Times New Roman" w:cs="Times New Roman"/>
                <w:szCs w:val="22"/>
                <w:vertAlign w:val="superscript"/>
              </w:rPr>
              <w:footnoteReference w:id="3"/>
            </w:r>
            <w:r>
              <w:rPr>
                <w:rFonts w:ascii="Times New Roman" w:hAnsi="Times New Roman"/>
                <w:sz w:val="24"/>
              </w:rPr>
              <w:t>.</w:t>
            </w:r>
          </w:p>
        </w:tc>
      </w:tr>
      <w:tr w:rsidR="00AA4A0F" w:rsidRPr="001F1865" w14:paraId="198A0D0F"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7E84CA33"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474E150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Δικαιώματα προαίρεσης</w:t>
            </w:r>
          </w:p>
        </w:tc>
      </w:tr>
      <w:tr w:rsidR="00AA4A0F" w:rsidRPr="001F1865" w14:paraId="4D311DFE" w14:textId="77777777" w:rsidTr="0BE40342">
        <w:tc>
          <w:tcPr>
            <w:tcW w:w="1172" w:type="dxa"/>
            <w:tcBorders>
              <w:top w:val="single" w:sz="4" w:space="0" w:color="auto"/>
              <w:left w:val="single" w:sz="4" w:space="0" w:color="auto"/>
              <w:bottom w:val="single" w:sz="4" w:space="0" w:color="auto"/>
              <w:right w:val="single" w:sz="4" w:space="0" w:color="auto"/>
            </w:tcBorders>
          </w:tcPr>
          <w:p w14:paraId="6023A58E"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t>β</w:t>
            </w:r>
          </w:p>
        </w:tc>
        <w:tc>
          <w:tcPr>
            <w:tcW w:w="7242" w:type="dxa"/>
            <w:tcBorders>
              <w:top w:val="single" w:sz="4" w:space="0" w:color="auto"/>
              <w:left w:val="single" w:sz="4" w:space="0" w:color="auto"/>
              <w:bottom w:val="single" w:sz="4" w:space="0" w:color="auto"/>
              <w:right w:val="single" w:sz="4" w:space="0" w:color="auto"/>
            </w:tcBorders>
          </w:tcPr>
          <w:p w14:paraId="52931FC3"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Απλουστευμένη προσέγγιση</w:t>
            </w:r>
          </w:p>
          <w:p w14:paraId="71365A3F" w14:textId="32ACEA9A"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Δικαιώματα προαίρεσης ή τίτλοι επιλογής, όπως ορίζονται στο τρίτο μέρος τίτλος IV κεφάλαιο 2 άρθρο 329 παράγραφος 3 του κανονισμού (ΕΕ) αριθ. 575/2013, για τα οποία τα ιδρύματα υπολογίζουν τις απαιτήσεις ιδίων κεφαλαίων που σχετίζονται με τον κίνδυνο μη δέλτα χρησιμοποιώντας την απλουστευμένη προσέγγιση</w:t>
            </w:r>
            <w:r w:rsidRPr="00DB0A49">
              <w:rPr>
                <w:rStyle w:val="FootnoteReference"/>
                <w:rFonts w:ascii="Times New Roman" w:eastAsia="Times New Roman" w:hAnsi="Times New Roman" w:cs="Times New Roman"/>
              </w:rPr>
              <w:footnoteReference w:id="4"/>
            </w:r>
            <w:r>
              <w:rPr>
                <w:rFonts w:ascii="Times New Roman" w:hAnsi="Times New Roman"/>
                <w:sz w:val="24"/>
              </w:rPr>
              <w:t>.</w:t>
            </w:r>
          </w:p>
        </w:tc>
      </w:tr>
      <w:tr w:rsidR="00AA4A0F" w:rsidRPr="001F1865" w14:paraId="41891054" w14:textId="77777777" w:rsidTr="0BE40342">
        <w:tc>
          <w:tcPr>
            <w:tcW w:w="1172" w:type="dxa"/>
            <w:tcBorders>
              <w:top w:val="single" w:sz="4" w:space="0" w:color="auto"/>
              <w:left w:val="single" w:sz="4" w:space="0" w:color="auto"/>
              <w:bottom w:val="single" w:sz="4" w:space="0" w:color="auto"/>
              <w:right w:val="single" w:sz="4" w:space="0" w:color="auto"/>
            </w:tcBorders>
          </w:tcPr>
          <w:p w14:paraId="705883E5" w14:textId="77777777" w:rsidR="00AA4A0F" w:rsidRPr="001F1865" w:rsidRDefault="00AA4A0F" w:rsidP="00DE090B">
            <w:pPr>
              <w:spacing w:after="240"/>
              <w:jc w:val="center"/>
              <w:rPr>
                <w:rFonts w:ascii="Times New Roman" w:eastAsia="Times New Roman" w:hAnsi="Times New Roman" w:cs="Times New Roman"/>
                <w:sz w:val="24"/>
              </w:rPr>
            </w:pPr>
            <w:r>
              <w:rPr>
                <w:rFonts w:ascii="Times New Roman" w:hAnsi="Times New Roman"/>
                <w:sz w:val="24"/>
              </w:rPr>
              <w:t>γ</w:t>
            </w:r>
          </w:p>
        </w:tc>
        <w:tc>
          <w:tcPr>
            <w:tcW w:w="7242" w:type="dxa"/>
            <w:tcBorders>
              <w:top w:val="single" w:sz="4" w:space="0" w:color="auto"/>
              <w:left w:val="single" w:sz="4" w:space="0" w:color="auto"/>
              <w:bottom w:val="single" w:sz="4" w:space="0" w:color="auto"/>
              <w:right w:val="single" w:sz="4" w:space="0" w:color="auto"/>
            </w:tcBorders>
          </w:tcPr>
          <w:p w14:paraId="0EC8D43E"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Προσέγγιση δέλτα-συν</w:t>
            </w:r>
          </w:p>
          <w:p w14:paraId="4982FF4D" w14:textId="11E24DA9"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lastRenderedPageBreak/>
              <w:t xml:space="preserve">Δικαιώματα προαίρεσης ή τίτλοι επιλογής στο χαρτοφυλάκιο συναλλαγών, όπως ορίζονται στο τρίτο μέρος τίτλος IV κεφάλαιο 2 άρθρο 329 παράγραφος 3 του κανονισμού (ΕΕ) αριθ. 575/2013, για τα οποία τα ιδρύματα υπολογίζουν τις απαιτήσεις ιδίων κεφαλαίων που σχετίζονται με τον κίνδυνο μη δέλτα χρησιμοποιώντας την προσέγγιση δέλτα </w:t>
            </w:r>
            <w:proofErr w:type="spellStart"/>
            <w:r>
              <w:rPr>
                <w:rFonts w:ascii="Times New Roman" w:hAnsi="Times New Roman"/>
                <w:sz w:val="24"/>
              </w:rPr>
              <w:t>plus</w:t>
            </w:r>
            <w:proofErr w:type="spellEnd"/>
            <w:r w:rsidRPr="00DB0A49">
              <w:rPr>
                <w:rStyle w:val="FootnoteReference"/>
                <w:rFonts w:ascii="Times New Roman" w:eastAsia="Times New Roman" w:hAnsi="Times New Roman" w:cs="Times New Roman"/>
              </w:rPr>
              <w:footnoteReference w:id="5"/>
            </w:r>
            <w:r>
              <w:rPr>
                <w:rFonts w:ascii="Times New Roman" w:hAnsi="Times New Roman"/>
                <w:sz w:val="24"/>
              </w:rPr>
              <w:t>.</w:t>
            </w:r>
          </w:p>
        </w:tc>
      </w:tr>
      <w:tr w:rsidR="00AA4A0F" w:rsidRPr="001F1865" w14:paraId="4EBB665F" w14:textId="77777777" w:rsidTr="0BE40342">
        <w:tc>
          <w:tcPr>
            <w:tcW w:w="1172" w:type="dxa"/>
            <w:tcBorders>
              <w:top w:val="single" w:sz="4" w:space="0" w:color="auto"/>
              <w:left w:val="single" w:sz="4" w:space="0" w:color="auto"/>
              <w:bottom w:val="single" w:sz="4" w:space="0" w:color="auto"/>
              <w:right w:val="single" w:sz="4" w:space="0" w:color="auto"/>
            </w:tcBorders>
          </w:tcPr>
          <w:p w14:paraId="42443ACF"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lastRenderedPageBreak/>
              <w:t>δ</w:t>
            </w:r>
          </w:p>
        </w:tc>
        <w:tc>
          <w:tcPr>
            <w:tcW w:w="7242" w:type="dxa"/>
            <w:tcBorders>
              <w:top w:val="single" w:sz="4" w:space="0" w:color="auto"/>
              <w:left w:val="single" w:sz="4" w:space="0" w:color="auto"/>
              <w:bottom w:val="single" w:sz="4" w:space="0" w:color="auto"/>
              <w:right w:val="single" w:sz="4" w:space="0" w:color="auto"/>
            </w:tcBorders>
          </w:tcPr>
          <w:p w14:paraId="4E90FE4D"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Προσέγγιση σεναρίου</w:t>
            </w:r>
          </w:p>
          <w:p w14:paraId="2B78A76A" w14:textId="583FBB66"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Δικαιώματα προαίρεσης ή τίτλοι επιλογής στο χαρτοφυλάκιο συναλλαγών, όπως ορίζονται στο τρίτο μέρος τίτλος IV κεφάλαιο 2 άρθρο 329 παράγραφος 3 του κανονισμού (ΕΕ) αριθ. 575/2013, για τα οποία τα ιδρύματα υπολογίζουν τις απαιτήσεις ιδίων κεφαλαίων που σχετίζονται με τον κίνδυνο μη δέλτα χρησιμοποιώντας την προσέγγιση σεναρίου</w:t>
            </w:r>
            <w:r w:rsidRPr="00DB0A49">
              <w:rPr>
                <w:rStyle w:val="FootnoteReference"/>
                <w:rFonts w:ascii="Times New Roman" w:eastAsia="Times New Roman" w:hAnsi="Times New Roman" w:cs="Times New Roman"/>
              </w:rPr>
              <w:footnoteReference w:id="6"/>
            </w:r>
            <w:r>
              <w:rPr>
                <w:rFonts w:ascii="Times New Roman" w:hAnsi="Times New Roman"/>
                <w:sz w:val="24"/>
              </w:rPr>
              <w:t>.</w:t>
            </w:r>
          </w:p>
        </w:tc>
      </w:tr>
    </w:tbl>
    <w:p w14:paraId="79592B57" w14:textId="77777777" w:rsidR="00931C32" w:rsidRPr="00CA05AD" w:rsidRDefault="00931C32" w:rsidP="00931C32">
      <w:pPr>
        <w:pStyle w:val="Titlelevel2"/>
        <w:spacing w:before="0"/>
        <w:rPr>
          <w:rFonts w:ascii="Times New Roman" w:hAnsi="Times New Roman" w:cs="Times New Roman"/>
          <w:b/>
          <w:color w:val="auto"/>
          <w:sz w:val="24"/>
        </w:rPr>
      </w:pPr>
    </w:p>
    <w:sectPr w:rsidR="00931C32" w:rsidRPr="00CA05AD">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1A622" w14:textId="77777777" w:rsidR="00F2772C" w:rsidRDefault="00F2772C" w:rsidP="00931C32">
      <w:r>
        <w:separator/>
      </w:r>
    </w:p>
  </w:endnote>
  <w:endnote w:type="continuationSeparator" w:id="0">
    <w:p w14:paraId="5609A27D" w14:textId="77777777" w:rsidR="00F2772C" w:rsidRDefault="00F2772C" w:rsidP="00931C32">
      <w:r>
        <w:continuationSeparator/>
      </w:r>
    </w:p>
  </w:endnote>
  <w:endnote w:type="continuationNotice" w:id="1">
    <w:p w14:paraId="2EEBBAF9" w14:textId="77777777" w:rsidR="00677CBD" w:rsidRDefault="00677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Times New Roman&quot;,serif">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960830"/>
      <w:docPartObj>
        <w:docPartGallery w:val="Page Numbers (Bottom of Page)"/>
        <w:docPartUnique/>
      </w:docPartObj>
    </w:sdtPr>
    <w:sdtEndPr>
      <w:rPr>
        <w:noProof/>
      </w:rPr>
    </w:sdtEndPr>
    <w:sdtContent>
      <w:p w14:paraId="5BB6A1F2" w14:textId="77777777" w:rsidR="001E400B" w:rsidRDefault="001E400B">
        <w:pPr>
          <w:pStyle w:val="Footer"/>
          <w:jc w:val="right"/>
        </w:pPr>
        <w:r>
          <w:fldChar w:fldCharType="begin"/>
        </w:r>
        <w:r>
          <w:instrText xml:space="preserve"> PAGE   \* MERGEFORMAT </w:instrText>
        </w:r>
        <w:r>
          <w:fldChar w:fldCharType="separate"/>
        </w:r>
        <w:r w:rsidR="006E3585">
          <w:t>1</w:t>
        </w:r>
        <w:r w:rsidR="006E3585">
          <w:t>4</w:t>
        </w:r>
        <w:r>
          <w:fldChar w:fldCharType="end"/>
        </w:r>
      </w:p>
    </w:sdtContent>
  </w:sdt>
  <w:p w14:paraId="2946DB82" w14:textId="77777777" w:rsidR="001E400B" w:rsidRDefault="001E4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7FBD0" w14:textId="77777777" w:rsidR="00F2772C" w:rsidRDefault="00F2772C" w:rsidP="00931C32">
      <w:r>
        <w:separator/>
      </w:r>
    </w:p>
  </w:footnote>
  <w:footnote w:type="continuationSeparator" w:id="0">
    <w:p w14:paraId="012E5BFC" w14:textId="77777777" w:rsidR="00F2772C" w:rsidRDefault="00F2772C" w:rsidP="00931C32">
      <w:r>
        <w:continuationSeparator/>
      </w:r>
    </w:p>
  </w:footnote>
  <w:footnote w:type="continuationNotice" w:id="1">
    <w:p w14:paraId="05A445BA" w14:textId="77777777" w:rsidR="00677CBD" w:rsidRDefault="00677CBD"/>
  </w:footnote>
  <w:footnote w:id="2">
    <w:p w14:paraId="62EBF3C5" w14:textId="4E8F5FFE" w:rsidR="00931C32" w:rsidRPr="00222AAB" w:rsidRDefault="00931C32" w:rsidP="007F0B68">
      <w:pPr>
        <w:pStyle w:val="FootnoteText"/>
      </w:pPr>
      <w:r>
        <w:rPr>
          <w:rStyle w:val="FootnoteReference"/>
          <w:rFonts w:cstheme="minorHAnsi"/>
        </w:rPr>
        <w:footnoteRef/>
      </w:r>
      <w:r>
        <w:t xml:space="preserve"> </w:t>
      </w:r>
      <w:r>
        <w:tab/>
        <w:t xml:space="preserve">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την τροποποίηση του κανονισμού (ΕΕ) αριθ. 648/2012, όπως τροποποιήθηκε με τον κανονισμό (ΕΕ) 2024/1623 </w:t>
      </w:r>
      <w:r>
        <w:rPr>
          <w:color w:val="444444"/>
        </w:rPr>
        <w:t>[</w:t>
      </w:r>
      <w:hyperlink r:id="rId1" w:history="1">
        <w:r>
          <w:rPr>
            <w:rStyle w:val="Hyperlink"/>
            <w:color w:val="800080"/>
          </w:rPr>
          <w:t>ΕΕ L 176 της 27.6.2013, σ. 1</w:t>
        </w:r>
      </w:hyperlink>
      <w:r>
        <w:rPr>
          <w:color w:val="800080"/>
          <w:u w:val="single"/>
        </w:rPr>
        <w:t xml:space="preserve">· </w:t>
      </w:r>
      <w:hyperlink r:id="rId2" w:history="1">
        <w:r>
          <w:rPr>
            <w:rStyle w:val="Hyperlink"/>
          </w:rPr>
          <w:t>κανονισμός - ΕΕ - 2024/1623 - EL - EUR-</w:t>
        </w:r>
        <w:proofErr w:type="spellStart"/>
        <w:r>
          <w:rPr>
            <w:rStyle w:val="Hyperlink"/>
          </w:rPr>
          <w:t>Lex</w:t>
        </w:r>
        <w:proofErr w:type="spellEnd"/>
        <w:r>
          <w:rPr>
            <w:rStyle w:val="Hyperlink"/>
          </w:rPr>
          <w:t xml:space="preserve"> (europa.eu)</w:t>
        </w:r>
      </w:hyperlink>
      <w:r>
        <w:rPr>
          <w:color w:val="444444"/>
        </w:rPr>
        <w:t>]</w:t>
      </w:r>
      <w:r>
        <w:t>.</w:t>
      </w:r>
    </w:p>
  </w:footnote>
  <w:footnote w:id="3">
    <w:p w14:paraId="6651B5AC" w14:textId="77777777" w:rsidR="00AA4A0F" w:rsidRPr="008158FF" w:rsidRDefault="00AA4A0F" w:rsidP="00AA4A0F">
      <w:pPr>
        <w:pStyle w:val="FootnoteText"/>
      </w:pPr>
      <w:r>
        <w:footnoteRef/>
      </w:r>
      <w:r>
        <w:t xml:space="preserve"> </w:t>
      </w:r>
      <w:r>
        <w:tab/>
      </w:r>
      <w:r>
        <w:t>Όπως ορίζεται στον κατ’ εξουσιοδότηση κανονισμό (ΕΕ) αριθ. 528/2014 της Επιτροπής, της 12ης Μαρτίου 2014, για τη συμπλήρωση του κανονισμού (ΕΕ) αριθ. 575/2013 του Ευρωπαϊκού Κοινοβουλίου και του Συμβουλίου όσον αφορά τα ρυθμιστικά τεχνικά πρότυπα για τον κίνδυνο δικαιωμάτων προαίρεσης που δεν υπάγεται στον συντελεστή δέλτα στο πλαίσιο της τυποποιημένης προσέγγισης των κινδύνων της αγοράς (ΕΕ L 148 της 20.5.2014, σ. 29).</w:t>
      </w:r>
    </w:p>
  </w:footnote>
  <w:footnote w:id="4">
    <w:p w14:paraId="67B37F98" w14:textId="77777777" w:rsidR="00AA4A0F" w:rsidRPr="00222AAB" w:rsidRDefault="00AA4A0F" w:rsidP="00AA4A0F">
      <w:pPr>
        <w:pStyle w:val="FootnoteText"/>
      </w:pPr>
      <w:r>
        <w:rPr>
          <w:rStyle w:val="FootnoteReference"/>
          <w:rFonts w:cstheme="minorHAnsi"/>
        </w:rPr>
        <w:footnoteRef/>
      </w:r>
      <w:r>
        <w:t xml:space="preserve"> </w:t>
      </w:r>
      <w:r>
        <w:tab/>
      </w:r>
      <w:r>
        <w:t>Όπως ορίζεται στον κατ’ εξουσιοδότηση κανονισμό (ΕΕ) αριθ. 528/2014 της Επιτροπής, της 12ης Μαρτίου 2014, για τη συμπλήρωση του κανονισμού (ΕΕ) αριθ. 575/2013 του Ευρωπαϊκού Κοινοβουλίου και του Συμβουλίου όσον αφορά τα ρυθμιστικά τεχνικά πρότυπα για τον κίνδυνο δικαιωμάτων προαίρεσης που δεν υπάγεται στον συντελεστή δέλτα στο πλαίσιο της τυποποιημένης προσέγγισης των κινδύνων της αγοράς (ΕΕ L 148 της 20.5.2014, σ. 29).</w:t>
      </w:r>
    </w:p>
  </w:footnote>
  <w:footnote w:id="5">
    <w:p w14:paraId="6C32CA93" w14:textId="77777777" w:rsidR="00AA4A0F" w:rsidRPr="00222AAB" w:rsidRDefault="00AA4A0F" w:rsidP="00AA4A0F">
      <w:pPr>
        <w:pStyle w:val="FootnoteText"/>
      </w:pPr>
      <w:r>
        <w:rPr>
          <w:rStyle w:val="FootnoteReference"/>
          <w:rFonts w:cstheme="minorHAnsi"/>
        </w:rPr>
        <w:footnoteRef/>
      </w:r>
      <w:r>
        <w:t xml:space="preserve"> </w:t>
      </w:r>
      <w:r>
        <w:tab/>
      </w:r>
      <w:r>
        <w:t>Όπως ορίζεται στον κατ’ εξουσιοδότηση κανονισμό (ΕΕ) αριθ. 528/2014 της Επιτροπής, της 12ης Μαρτίου 2014, για τη συμπλήρωση του κανονισμού (ΕΕ) αριθ. 575/2013 του Ευρωπαϊκού Κοινοβουλίου και του Συμβουλίου όσον αφορά τα ρυθμιστικά τεχνικά πρότυπα για τον κίνδυνο δικαιωμάτων προαίρεσης που δεν υπάγεται στον συντελεστή δέλτα στο πλαίσιο της τυποποιημένης προσέγγισης των κινδύνων της αγοράς (ΕΕ L 148 της 20.5.2014, σ. 29).</w:t>
      </w:r>
    </w:p>
  </w:footnote>
  <w:footnote w:id="6">
    <w:p w14:paraId="739259DE" w14:textId="77777777" w:rsidR="00AA4A0F" w:rsidRPr="00222AAB" w:rsidRDefault="00AA4A0F" w:rsidP="00AA4A0F">
      <w:pPr>
        <w:pStyle w:val="FootnoteText"/>
      </w:pPr>
      <w:r>
        <w:rPr>
          <w:rStyle w:val="FootnoteReference"/>
          <w:rFonts w:cstheme="minorHAnsi"/>
        </w:rPr>
        <w:footnoteRef/>
      </w:r>
      <w:r>
        <w:t xml:space="preserve"> </w:t>
      </w:r>
      <w:r>
        <w:tab/>
      </w:r>
      <w:r>
        <w:t>Όπως ορίζεται στον κατ’ εξουσιοδότηση κανονισμό (ΕΕ) αριθ. 528/2014 της Επιτροπής, της 12ης Μαρτίου 2014, για τη συμπλήρωση του κανονισμού (ΕΕ) αριθ. 575/2013 του Ευρωπαϊκού Κοινοβουλίου και του Συμβουλίου όσον αφορά τα ρυθμιστικά τεχνικά πρότυπα για τον κίνδυνο δικαιωμάτων προαίρεσης που δεν υπάγεται στον συντελεστή δέλτα στο πλαίσιο της τυποποιημένης προσέγγισης των κινδύνων της αγοράς (ΕΕ L 148 της 20.5.2014, σ. 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EF00" w14:textId="2FF13506" w:rsidR="001E400B" w:rsidRDefault="003711D5">
    <w:pPr>
      <w:pStyle w:val="Header"/>
    </w:pPr>
    <w:r>
      <w:rPr>
        <w:noProof/>
      </w:rPr>
      <mc:AlternateContent>
        <mc:Choice Requires="wps">
          <w:drawing>
            <wp:anchor distT="0" distB="0" distL="0" distR="0" simplePos="0" relativeHeight="251658241" behindDoc="0" locked="0" layoutInCell="1" allowOverlap="1" wp14:anchorId="538BE4FF" wp14:editId="37B8D3A0">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56FCDE" w14:textId="162F82C7" w:rsidR="003711D5" w:rsidRPr="00DB0A49" w:rsidRDefault="003711D5">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8BE4FF"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A56FCDE" w14:textId="162F82C7" w:rsidR="003711D5" w:rsidRPr="00DB0A49" w:rsidRDefault="003711D5">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9C43A" w14:textId="273E788A" w:rsidR="001E400B" w:rsidRDefault="003711D5">
    <w:pPr>
      <w:pStyle w:val="Header"/>
    </w:pPr>
    <w:r>
      <w:rPr>
        <w:noProof/>
      </w:rPr>
      <mc:AlternateContent>
        <mc:Choice Requires="wps">
          <w:drawing>
            <wp:anchor distT="0" distB="0" distL="0" distR="0" simplePos="0" relativeHeight="251658242" behindDoc="0" locked="0" layoutInCell="1" allowOverlap="1" wp14:anchorId="77F8E82E" wp14:editId="22A30FA4">
              <wp:simplePos x="635" y="635"/>
              <wp:positionH relativeFrom="page">
                <wp:align>left</wp:align>
              </wp:positionH>
              <wp:positionV relativeFrom="page">
                <wp:align>top</wp:align>
              </wp:positionV>
              <wp:extent cx="443865" cy="443865"/>
              <wp:effectExtent l="0" t="0" r="3175" b="952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81BB6A" w14:textId="11FFB457" w:rsidR="003711D5" w:rsidRPr="00DB0A49" w:rsidRDefault="003711D5">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7F8E82E"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E81BB6A" w14:textId="11FFB457" w:rsidR="003711D5" w:rsidRPr="00DB0A49" w:rsidRDefault="003711D5">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9945" w14:textId="5EFD03C3" w:rsidR="001E400B" w:rsidRDefault="003711D5">
    <w:pPr>
      <w:pStyle w:val="Header"/>
    </w:pPr>
    <w:r>
      <w:rPr>
        <w:noProof/>
      </w:rPr>
      <mc:AlternateContent>
        <mc:Choice Requires="wps">
          <w:drawing>
            <wp:anchor distT="0" distB="0" distL="0" distR="0" simplePos="0" relativeHeight="251658240" behindDoc="0" locked="0" layoutInCell="1" allowOverlap="1" wp14:anchorId="2B864388" wp14:editId="43407DD0">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9E11F3" w14:textId="6F23960E" w:rsidR="003711D5" w:rsidRPr="00DB0A49" w:rsidRDefault="003711D5">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864388"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49E11F3" w14:textId="6F23960E" w:rsidR="003711D5" w:rsidRPr="00DB0A49" w:rsidRDefault="003711D5">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75914"/>
    <w:multiLevelType w:val="hybridMultilevel"/>
    <w:tmpl w:val="9A60C088"/>
    <w:lvl w:ilvl="0" w:tplc="858CAB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8B3313"/>
    <w:multiLevelType w:val="hybridMultilevel"/>
    <w:tmpl w:val="3FB20E04"/>
    <w:lvl w:ilvl="0" w:tplc="0804D116">
      <w:start w:val="1"/>
      <w:numFmt w:val="decimal"/>
      <w:lvlText w:val="%1."/>
      <w:lvlJc w:val="left"/>
      <w:pPr>
        <w:ind w:left="1070" w:hanging="360"/>
      </w:pPr>
      <w:rPr>
        <w:b w:val="0"/>
        <w:color w:val="auto"/>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A44831"/>
    <w:multiLevelType w:val="hybridMultilevel"/>
    <w:tmpl w:val="7B5E3790"/>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7D5598"/>
    <w:multiLevelType w:val="hybridMultilevel"/>
    <w:tmpl w:val="DE6EB7D4"/>
    <w:lvl w:ilvl="0" w:tplc="2C46EAE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52ECD9"/>
    <w:multiLevelType w:val="hybridMultilevel"/>
    <w:tmpl w:val="FFFFFFFF"/>
    <w:lvl w:ilvl="0" w:tplc="E932B00C">
      <w:start w:val="1"/>
      <w:numFmt w:val="decimal"/>
      <w:lvlText w:val="%1."/>
      <w:lvlJc w:val="left"/>
      <w:pPr>
        <w:ind w:left="720" w:hanging="360"/>
      </w:pPr>
    </w:lvl>
    <w:lvl w:ilvl="1" w:tplc="48C88220">
      <w:start w:val="1"/>
      <w:numFmt w:val="lowerLetter"/>
      <w:lvlText w:val="%2."/>
      <w:lvlJc w:val="left"/>
      <w:pPr>
        <w:ind w:left="1440" w:hanging="360"/>
      </w:pPr>
    </w:lvl>
    <w:lvl w:ilvl="2" w:tplc="7E166E12">
      <w:start w:val="1"/>
      <w:numFmt w:val="lowerRoman"/>
      <w:lvlText w:val="%3."/>
      <w:lvlJc w:val="right"/>
      <w:pPr>
        <w:ind w:left="2160" w:hanging="180"/>
      </w:pPr>
    </w:lvl>
    <w:lvl w:ilvl="3" w:tplc="10D641B0">
      <w:start w:val="1"/>
      <w:numFmt w:val="decimal"/>
      <w:lvlText w:val="%4."/>
      <w:lvlJc w:val="left"/>
      <w:pPr>
        <w:ind w:left="2880" w:hanging="360"/>
      </w:pPr>
    </w:lvl>
    <w:lvl w:ilvl="4" w:tplc="51DA6A34">
      <w:start w:val="1"/>
      <w:numFmt w:val="lowerLetter"/>
      <w:lvlText w:val="%5."/>
      <w:lvlJc w:val="left"/>
      <w:pPr>
        <w:ind w:left="3600" w:hanging="360"/>
      </w:pPr>
    </w:lvl>
    <w:lvl w:ilvl="5" w:tplc="B596B25E">
      <w:start w:val="1"/>
      <w:numFmt w:val="lowerRoman"/>
      <w:lvlText w:val="%6."/>
      <w:lvlJc w:val="right"/>
      <w:pPr>
        <w:ind w:left="4320" w:hanging="180"/>
      </w:pPr>
    </w:lvl>
    <w:lvl w:ilvl="6" w:tplc="5E96F650">
      <w:start w:val="1"/>
      <w:numFmt w:val="decimal"/>
      <w:lvlText w:val="%7."/>
      <w:lvlJc w:val="left"/>
      <w:pPr>
        <w:ind w:left="5040" w:hanging="360"/>
      </w:pPr>
    </w:lvl>
    <w:lvl w:ilvl="7" w:tplc="16062A40">
      <w:start w:val="1"/>
      <w:numFmt w:val="lowerLetter"/>
      <w:lvlText w:val="%8."/>
      <w:lvlJc w:val="left"/>
      <w:pPr>
        <w:ind w:left="5760" w:hanging="360"/>
      </w:pPr>
    </w:lvl>
    <w:lvl w:ilvl="8" w:tplc="20CE0466">
      <w:start w:val="1"/>
      <w:numFmt w:val="lowerRoman"/>
      <w:lvlText w:val="%9."/>
      <w:lvlJc w:val="right"/>
      <w:pPr>
        <w:ind w:left="6480" w:hanging="180"/>
      </w:pPr>
    </w:lvl>
  </w:abstractNum>
  <w:abstractNum w:abstractNumId="6" w15:restartNumberingAfterBreak="0">
    <w:nsid w:val="689FB826"/>
    <w:multiLevelType w:val="hybridMultilevel"/>
    <w:tmpl w:val="FFFFFFFF"/>
    <w:lvl w:ilvl="0" w:tplc="916C4F76">
      <w:start w:val="1"/>
      <w:numFmt w:val="bullet"/>
      <w:lvlText w:val="-"/>
      <w:lvlJc w:val="left"/>
      <w:pPr>
        <w:ind w:left="720" w:hanging="360"/>
      </w:pPr>
      <w:rPr>
        <w:rFonts w:ascii="&quot;Times New Roman&quot;,serif" w:hAnsi="&quot;Times New Roman&quot;,serif" w:hint="default"/>
      </w:rPr>
    </w:lvl>
    <w:lvl w:ilvl="1" w:tplc="F2CE8F50">
      <w:start w:val="1"/>
      <w:numFmt w:val="bullet"/>
      <w:lvlText w:val="o"/>
      <w:lvlJc w:val="left"/>
      <w:pPr>
        <w:ind w:left="1440" w:hanging="360"/>
      </w:pPr>
      <w:rPr>
        <w:rFonts w:ascii="Courier New" w:hAnsi="Courier New" w:hint="default"/>
      </w:rPr>
    </w:lvl>
    <w:lvl w:ilvl="2" w:tplc="8D26795A">
      <w:start w:val="1"/>
      <w:numFmt w:val="bullet"/>
      <w:lvlText w:val=""/>
      <w:lvlJc w:val="left"/>
      <w:pPr>
        <w:ind w:left="2160" w:hanging="360"/>
      </w:pPr>
      <w:rPr>
        <w:rFonts w:ascii="Wingdings" w:hAnsi="Wingdings" w:hint="default"/>
      </w:rPr>
    </w:lvl>
    <w:lvl w:ilvl="3" w:tplc="0BC0341C">
      <w:start w:val="1"/>
      <w:numFmt w:val="bullet"/>
      <w:lvlText w:val=""/>
      <w:lvlJc w:val="left"/>
      <w:pPr>
        <w:ind w:left="2880" w:hanging="360"/>
      </w:pPr>
      <w:rPr>
        <w:rFonts w:ascii="Symbol" w:hAnsi="Symbol" w:hint="default"/>
      </w:rPr>
    </w:lvl>
    <w:lvl w:ilvl="4" w:tplc="6E14842C">
      <w:start w:val="1"/>
      <w:numFmt w:val="bullet"/>
      <w:lvlText w:val="o"/>
      <w:lvlJc w:val="left"/>
      <w:pPr>
        <w:ind w:left="3600" w:hanging="360"/>
      </w:pPr>
      <w:rPr>
        <w:rFonts w:ascii="Courier New" w:hAnsi="Courier New" w:hint="default"/>
      </w:rPr>
    </w:lvl>
    <w:lvl w:ilvl="5" w:tplc="33E2C490">
      <w:start w:val="1"/>
      <w:numFmt w:val="bullet"/>
      <w:lvlText w:val=""/>
      <w:lvlJc w:val="left"/>
      <w:pPr>
        <w:ind w:left="4320" w:hanging="360"/>
      </w:pPr>
      <w:rPr>
        <w:rFonts w:ascii="Wingdings" w:hAnsi="Wingdings" w:hint="default"/>
      </w:rPr>
    </w:lvl>
    <w:lvl w:ilvl="6" w:tplc="3E72EE86">
      <w:start w:val="1"/>
      <w:numFmt w:val="bullet"/>
      <w:lvlText w:val=""/>
      <w:lvlJc w:val="left"/>
      <w:pPr>
        <w:ind w:left="5040" w:hanging="360"/>
      </w:pPr>
      <w:rPr>
        <w:rFonts w:ascii="Symbol" w:hAnsi="Symbol" w:hint="default"/>
      </w:rPr>
    </w:lvl>
    <w:lvl w:ilvl="7" w:tplc="30384C72">
      <w:start w:val="1"/>
      <w:numFmt w:val="bullet"/>
      <w:lvlText w:val="o"/>
      <w:lvlJc w:val="left"/>
      <w:pPr>
        <w:ind w:left="5760" w:hanging="360"/>
      </w:pPr>
      <w:rPr>
        <w:rFonts w:ascii="Courier New" w:hAnsi="Courier New" w:hint="default"/>
      </w:rPr>
    </w:lvl>
    <w:lvl w:ilvl="8" w:tplc="36A0FE26">
      <w:start w:val="1"/>
      <w:numFmt w:val="bullet"/>
      <w:lvlText w:val=""/>
      <w:lvlJc w:val="left"/>
      <w:pPr>
        <w:ind w:left="6480" w:hanging="360"/>
      </w:pPr>
      <w:rPr>
        <w:rFonts w:ascii="Wingdings" w:hAnsi="Wingdings" w:hint="default"/>
      </w:rPr>
    </w:lvl>
  </w:abstractNum>
  <w:abstractNum w:abstractNumId="7" w15:restartNumberingAfterBreak="0">
    <w:nsid w:val="7FC159B3"/>
    <w:multiLevelType w:val="hybridMultilevel"/>
    <w:tmpl w:val="01102932"/>
    <w:lvl w:ilvl="0" w:tplc="674E8D52">
      <w:start w:val="6"/>
      <w:numFmt w:val="decimal"/>
      <w:lvlText w:val="%1."/>
      <w:lvlJc w:val="left"/>
      <w:pPr>
        <w:ind w:left="1070" w:hanging="360"/>
      </w:pPr>
      <w:rPr>
        <w:rFonts w:hint="default"/>
        <w:b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45270715">
    <w:abstractNumId w:val="6"/>
  </w:num>
  <w:num w:numId="2" w16cid:durableId="1371295629">
    <w:abstractNumId w:val="5"/>
  </w:num>
  <w:num w:numId="3" w16cid:durableId="1245528726">
    <w:abstractNumId w:val="3"/>
  </w:num>
  <w:num w:numId="4" w16cid:durableId="164059399">
    <w:abstractNumId w:val="2"/>
  </w:num>
  <w:num w:numId="5" w16cid:durableId="1786731752">
    <w:abstractNumId w:val="7"/>
  </w:num>
  <w:num w:numId="6" w16cid:durableId="1612781493">
    <w:abstractNumId w:val="0"/>
  </w:num>
  <w:num w:numId="7" w16cid:durableId="1525171532">
    <w:abstractNumId w:val="4"/>
  </w:num>
  <w:num w:numId="8" w16cid:durableId="674765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activeWritingStyle w:appName="MSWord" w:lang="en-GB"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C2249"/>
    <w:rsid w:val="000336E7"/>
    <w:rsid w:val="0003639D"/>
    <w:rsid w:val="000370C1"/>
    <w:rsid w:val="00090EA4"/>
    <w:rsid w:val="000B08B4"/>
    <w:rsid w:val="000C11E2"/>
    <w:rsid w:val="000C7025"/>
    <w:rsid w:val="000D77D3"/>
    <w:rsid w:val="001018F4"/>
    <w:rsid w:val="001057C3"/>
    <w:rsid w:val="0011346D"/>
    <w:rsid w:val="00160583"/>
    <w:rsid w:val="001609D9"/>
    <w:rsid w:val="001737C7"/>
    <w:rsid w:val="00180294"/>
    <w:rsid w:val="001941CB"/>
    <w:rsid w:val="001B4290"/>
    <w:rsid w:val="001B6FDE"/>
    <w:rsid w:val="001D2F69"/>
    <w:rsid w:val="001E400B"/>
    <w:rsid w:val="001E5FF3"/>
    <w:rsid w:val="001F1865"/>
    <w:rsid w:val="00200AE2"/>
    <w:rsid w:val="00214362"/>
    <w:rsid w:val="002316A7"/>
    <w:rsid w:val="00234F41"/>
    <w:rsid w:val="00243650"/>
    <w:rsid w:val="00257A70"/>
    <w:rsid w:val="00260316"/>
    <w:rsid w:val="00264C63"/>
    <w:rsid w:val="00265D4A"/>
    <w:rsid w:val="00266BB6"/>
    <w:rsid w:val="002808D9"/>
    <w:rsid w:val="0028138E"/>
    <w:rsid w:val="002A353C"/>
    <w:rsid w:val="002C07D9"/>
    <w:rsid w:val="002C1404"/>
    <w:rsid w:val="002C44FE"/>
    <w:rsid w:val="002C5234"/>
    <w:rsid w:val="002F3022"/>
    <w:rsid w:val="002F7116"/>
    <w:rsid w:val="00313F1F"/>
    <w:rsid w:val="00347F3B"/>
    <w:rsid w:val="00350C8C"/>
    <w:rsid w:val="003711D5"/>
    <w:rsid w:val="003B4210"/>
    <w:rsid w:val="003B45C4"/>
    <w:rsid w:val="003C13EE"/>
    <w:rsid w:val="003E7DFC"/>
    <w:rsid w:val="003F26DE"/>
    <w:rsid w:val="00433034"/>
    <w:rsid w:val="0043C992"/>
    <w:rsid w:val="00445013"/>
    <w:rsid w:val="004832DE"/>
    <w:rsid w:val="00487226"/>
    <w:rsid w:val="00487DDA"/>
    <w:rsid w:val="00498A5B"/>
    <w:rsid w:val="0049D48D"/>
    <w:rsid w:val="004C112C"/>
    <w:rsid w:val="004D0D9E"/>
    <w:rsid w:val="00522E9A"/>
    <w:rsid w:val="00537B45"/>
    <w:rsid w:val="00572E3E"/>
    <w:rsid w:val="005938AD"/>
    <w:rsid w:val="005B429A"/>
    <w:rsid w:val="005C6FC8"/>
    <w:rsid w:val="005E135A"/>
    <w:rsid w:val="005E6E16"/>
    <w:rsid w:val="0060218B"/>
    <w:rsid w:val="00605F82"/>
    <w:rsid w:val="00621E9C"/>
    <w:rsid w:val="0065560D"/>
    <w:rsid w:val="00671C85"/>
    <w:rsid w:val="0067349D"/>
    <w:rsid w:val="00677CBD"/>
    <w:rsid w:val="0068248E"/>
    <w:rsid w:val="006852CB"/>
    <w:rsid w:val="006A5A7A"/>
    <w:rsid w:val="006B62CF"/>
    <w:rsid w:val="006BDE35"/>
    <w:rsid w:val="006D7761"/>
    <w:rsid w:val="006E3585"/>
    <w:rsid w:val="006E73FE"/>
    <w:rsid w:val="00701D8F"/>
    <w:rsid w:val="00714AE5"/>
    <w:rsid w:val="007336D9"/>
    <w:rsid w:val="007541E2"/>
    <w:rsid w:val="0079214C"/>
    <w:rsid w:val="00795618"/>
    <w:rsid w:val="007A4465"/>
    <w:rsid w:val="007D19BD"/>
    <w:rsid w:val="007D59E2"/>
    <w:rsid w:val="007E00FD"/>
    <w:rsid w:val="007E7D7A"/>
    <w:rsid w:val="007F0B68"/>
    <w:rsid w:val="007F14DD"/>
    <w:rsid w:val="007F2DC3"/>
    <w:rsid w:val="008158FF"/>
    <w:rsid w:val="00824BCF"/>
    <w:rsid w:val="00825C6F"/>
    <w:rsid w:val="00827740"/>
    <w:rsid w:val="00857EB9"/>
    <w:rsid w:val="00877F9B"/>
    <w:rsid w:val="008A05A4"/>
    <w:rsid w:val="008D03CB"/>
    <w:rsid w:val="009063C1"/>
    <w:rsid w:val="00911AB2"/>
    <w:rsid w:val="00931C32"/>
    <w:rsid w:val="00974577"/>
    <w:rsid w:val="0098272B"/>
    <w:rsid w:val="009874FB"/>
    <w:rsid w:val="009A6C30"/>
    <w:rsid w:val="00A50483"/>
    <w:rsid w:val="00A57E44"/>
    <w:rsid w:val="00A66CC7"/>
    <w:rsid w:val="00A71B45"/>
    <w:rsid w:val="00A75779"/>
    <w:rsid w:val="00A857E0"/>
    <w:rsid w:val="00A87CCE"/>
    <w:rsid w:val="00A93BC7"/>
    <w:rsid w:val="00A94820"/>
    <w:rsid w:val="00AA44B0"/>
    <w:rsid w:val="00AA4A0F"/>
    <w:rsid w:val="00AA772E"/>
    <w:rsid w:val="00AB6AC8"/>
    <w:rsid w:val="00AD6592"/>
    <w:rsid w:val="00AF5A1F"/>
    <w:rsid w:val="00B02BFD"/>
    <w:rsid w:val="00B17E7B"/>
    <w:rsid w:val="00B335DB"/>
    <w:rsid w:val="00B3658A"/>
    <w:rsid w:val="00B55C66"/>
    <w:rsid w:val="00B6384D"/>
    <w:rsid w:val="00B83EB1"/>
    <w:rsid w:val="00B86E1A"/>
    <w:rsid w:val="00B9598A"/>
    <w:rsid w:val="00BA0BDC"/>
    <w:rsid w:val="00BA2AA9"/>
    <w:rsid w:val="00BD6C00"/>
    <w:rsid w:val="00BE4793"/>
    <w:rsid w:val="00BE603F"/>
    <w:rsid w:val="00C06844"/>
    <w:rsid w:val="00C17F4F"/>
    <w:rsid w:val="00C213B7"/>
    <w:rsid w:val="00C225C5"/>
    <w:rsid w:val="00C3247D"/>
    <w:rsid w:val="00C45A99"/>
    <w:rsid w:val="00C53337"/>
    <w:rsid w:val="00C622B1"/>
    <w:rsid w:val="00C802F7"/>
    <w:rsid w:val="00C82CB4"/>
    <w:rsid w:val="00C84951"/>
    <w:rsid w:val="00CA05AD"/>
    <w:rsid w:val="00CA0B40"/>
    <w:rsid w:val="00CD55C8"/>
    <w:rsid w:val="00CF112B"/>
    <w:rsid w:val="00CF17F8"/>
    <w:rsid w:val="00D0172B"/>
    <w:rsid w:val="00D45AA4"/>
    <w:rsid w:val="00D6625B"/>
    <w:rsid w:val="00D708CB"/>
    <w:rsid w:val="00D9145B"/>
    <w:rsid w:val="00D920BD"/>
    <w:rsid w:val="00DB0A49"/>
    <w:rsid w:val="00DE090B"/>
    <w:rsid w:val="00DE4020"/>
    <w:rsid w:val="00DE5B78"/>
    <w:rsid w:val="00DE72D6"/>
    <w:rsid w:val="00DF6C74"/>
    <w:rsid w:val="00DF7AF6"/>
    <w:rsid w:val="00E077AE"/>
    <w:rsid w:val="00E21B21"/>
    <w:rsid w:val="00E31B3A"/>
    <w:rsid w:val="00E33CFA"/>
    <w:rsid w:val="00E374FB"/>
    <w:rsid w:val="00E52C25"/>
    <w:rsid w:val="00E67450"/>
    <w:rsid w:val="00E7623F"/>
    <w:rsid w:val="00E8357D"/>
    <w:rsid w:val="00E9795A"/>
    <w:rsid w:val="00EA5911"/>
    <w:rsid w:val="00EB0DA2"/>
    <w:rsid w:val="00EC10EF"/>
    <w:rsid w:val="00EC2249"/>
    <w:rsid w:val="00F0799F"/>
    <w:rsid w:val="00F2772C"/>
    <w:rsid w:val="00F5701F"/>
    <w:rsid w:val="00F66685"/>
    <w:rsid w:val="00F806E6"/>
    <w:rsid w:val="00F80764"/>
    <w:rsid w:val="00F85A37"/>
    <w:rsid w:val="00F96CAA"/>
    <w:rsid w:val="00FB1DFD"/>
    <w:rsid w:val="00FC71A8"/>
    <w:rsid w:val="00FE3752"/>
    <w:rsid w:val="00FF5D12"/>
    <w:rsid w:val="013AE0EC"/>
    <w:rsid w:val="013E6BA9"/>
    <w:rsid w:val="01D445E4"/>
    <w:rsid w:val="01DD6D36"/>
    <w:rsid w:val="01DFB7EB"/>
    <w:rsid w:val="01E12F8D"/>
    <w:rsid w:val="01E55ABC"/>
    <w:rsid w:val="01E5A4EE"/>
    <w:rsid w:val="02494BE7"/>
    <w:rsid w:val="0266B904"/>
    <w:rsid w:val="02A66E37"/>
    <w:rsid w:val="02C4BBFE"/>
    <w:rsid w:val="02DA3C0A"/>
    <w:rsid w:val="02EBAE71"/>
    <w:rsid w:val="0309E604"/>
    <w:rsid w:val="035B3B5C"/>
    <w:rsid w:val="03793D97"/>
    <w:rsid w:val="03965670"/>
    <w:rsid w:val="03FE34DC"/>
    <w:rsid w:val="0406BB73"/>
    <w:rsid w:val="0419BD32"/>
    <w:rsid w:val="0424B465"/>
    <w:rsid w:val="0444CEFE"/>
    <w:rsid w:val="0465FC31"/>
    <w:rsid w:val="0478E1D1"/>
    <w:rsid w:val="04AAA319"/>
    <w:rsid w:val="04AF4EF7"/>
    <w:rsid w:val="04D070BB"/>
    <w:rsid w:val="04E38A17"/>
    <w:rsid w:val="04FA38B7"/>
    <w:rsid w:val="05EA5842"/>
    <w:rsid w:val="05F82D7D"/>
    <w:rsid w:val="060F6C17"/>
    <w:rsid w:val="0611DCCC"/>
    <w:rsid w:val="06503780"/>
    <w:rsid w:val="065E80CE"/>
    <w:rsid w:val="06A57226"/>
    <w:rsid w:val="06E4D96F"/>
    <w:rsid w:val="0715563F"/>
    <w:rsid w:val="07162E1C"/>
    <w:rsid w:val="0745D248"/>
    <w:rsid w:val="0761F1F8"/>
    <w:rsid w:val="0785B826"/>
    <w:rsid w:val="07922AD6"/>
    <w:rsid w:val="084CAEBA"/>
    <w:rsid w:val="08677D6F"/>
    <w:rsid w:val="0904027C"/>
    <w:rsid w:val="0922977E"/>
    <w:rsid w:val="09A3E23B"/>
    <w:rsid w:val="09FD1D50"/>
    <w:rsid w:val="0A14281A"/>
    <w:rsid w:val="0AC6FA36"/>
    <w:rsid w:val="0AEFC274"/>
    <w:rsid w:val="0B3FB29C"/>
    <w:rsid w:val="0BAA9654"/>
    <w:rsid w:val="0BB4E059"/>
    <w:rsid w:val="0BE40342"/>
    <w:rsid w:val="0BF1EAA1"/>
    <w:rsid w:val="0C680F01"/>
    <w:rsid w:val="0C75B420"/>
    <w:rsid w:val="0C79685A"/>
    <w:rsid w:val="0C7CF9AD"/>
    <w:rsid w:val="0CA68764"/>
    <w:rsid w:val="0CA716D1"/>
    <w:rsid w:val="0D04DF7A"/>
    <w:rsid w:val="0D275784"/>
    <w:rsid w:val="0D59D24B"/>
    <w:rsid w:val="0D7CF685"/>
    <w:rsid w:val="0DA56CFB"/>
    <w:rsid w:val="0E4C370B"/>
    <w:rsid w:val="0E7958B7"/>
    <w:rsid w:val="0E82FCE9"/>
    <w:rsid w:val="0E9810F5"/>
    <w:rsid w:val="0EBD9696"/>
    <w:rsid w:val="0F8C82AF"/>
    <w:rsid w:val="0FAD7BDF"/>
    <w:rsid w:val="0FDDE9F8"/>
    <w:rsid w:val="0FEA77C3"/>
    <w:rsid w:val="10332C22"/>
    <w:rsid w:val="1039BAA8"/>
    <w:rsid w:val="103CEB06"/>
    <w:rsid w:val="105966F7"/>
    <w:rsid w:val="105CD97D"/>
    <w:rsid w:val="105FAE25"/>
    <w:rsid w:val="1076596F"/>
    <w:rsid w:val="10BB7391"/>
    <w:rsid w:val="10DA8B40"/>
    <w:rsid w:val="110B538E"/>
    <w:rsid w:val="110BAC0F"/>
    <w:rsid w:val="11210FEE"/>
    <w:rsid w:val="118FDEEB"/>
    <w:rsid w:val="119A7C89"/>
    <w:rsid w:val="11A57A2D"/>
    <w:rsid w:val="11B9774E"/>
    <w:rsid w:val="11EB99D0"/>
    <w:rsid w:val="11FE2AC9"/>
    <w:rsid w:val="12599BAC"/>
    <w:rsid w:val="12679AD5"/>
    <w:rsid w:val="12894712"/>
    <w:rsid w:val="1290D411"/>
    <w:rsid w:val="12ADB0E7"/>
    <w:rsid w:val="12D9F196"/>
    <w:rsid w:val="1303875D"/>
    <w:rsid w:val="1383F52E"/>
    <w:rsid w:val="13974EE7"/>
    <w:rsid w:val="140F9DE1"/>
    <w:rsid w:val="14122C02"/>
    <w:rsid w:val="141290D0"/>
    <w:rsid w:val="142D883B"/>
    <w:rsid w:val="145659DD"/>
    <w:rsid w:val="145F55D9"/>
    <w:rsid w:val="14D2E2DE"/>
    <w:rsid w:val="14D86BD5"/>
    <w:rsid w:val="15402E32"/>
    <w:rsid w:val="15902733"/>
    <w:rsid w:val="1595FF36"/>
    <w:rsid w:val="159674C5"/>
    <w:rsid w:val="15A0274B"/>
    <w:rsid w:val="15ADFC63"/>
    <w:rsid w:val="15BABEB3"/>
    <w:rsid w:val="15BB7894"/>
    <w:rsid w:val="15D193E9"/>
    <w:rsid w:val="1616B043"/>
    <w:rsid w:val="163EE3A4"/>
    <w:rsid w:val="167ECDDF"/>
    <w:rsid w:val="16F55480"/>
    <w:rsid w:val="16F76100"/>
    <w:rsid w:val="17156926"/>
    <w:rsid w:val="173BDDB8"/>
    <w:rsid w:val="1796AF2F"/>
    <w:rsid w:val="1798CE14"/>
    <w:rsid w:val="17A74E34"/>
    <w:rsid w:val="181DB5E2"/>
    <w:rsid w:val="184D50B5"/>
    <w:rsid w:val="18548FBB"/>
    <w:rsid w:val="18F31956"/>
    <w:rsid w:val="1947A530"/>
    <w:rsid w:val="19A5E992"/>
    <w:rsid w:val="19A6EB79"/>
    <w:rsid w:val="19BD89BE"/>
    <w:rsid w:val="1A06906B"/>
    <w:rsid w:val="1A56DA11"/>
    <w:rsid w:val="1A816D86"/>
    <w:rsid w:val="1A8C08E2"/>
    <w:rsid w:val="1A9BC125"/>
    <w:rsid w:val="1AC2462E"/>
    <w:rsid w:val="1ADB6A38"/>
    <w:rsid w:val="1C553831"/>
    <w:rsid w:val="1CC88A43"/>
    <w:rsid w:val="1CD45785"/>
    <w:rsid w:val="1CDAB5BF"/>
    <w:rsid w:val="1D05CFA3"/>
    <w:rsid w:val="1D71DCB0"/>
    <w:rsid w:val="1D86C871"/>
    <w:rsid w:val="1DAFA5B4"/>
    <w:rsid w:val="1DF704CA"/>
    <w:rsid w:val="1E012910"/>
    <w:rsid w:val="1E1A8D65"/>
    <w:rsid w:val="1E2A4C2C"/>
    <w:rsid w:val="1E44D953"/>
    <w:rsid w:val="1E4B6898"/>
    <w:rsid w:val="1E689576"/>
    <w:rsid w:val="1E775069"/>
    <w:rsid w:val="1E7FF856"/>
    <w:rsid w:val="1EB702DA"/>
    <w:rsid w:val="1ED470E2"/>
    <w:rsid w:val="1F1BC5C4"/>
    <w:rsid w:val="1F256432"/>
    <w:rsid w:val="1F3BA536"/>
    <w:rsid w:val="1F64B9F6"/>
    <w:rsid w:val="1F7589B2"/>
    <w:rsid w:val="2048A19C"/>
    <w:rsid w:val="204B2419"/>
    <w:rsid w:val="2052D33B"/>
    <w:rsid w:val="20971A5B"/>
    <w:rsid w:val="20BAA939"/>
    <w:rsid w:val="2151C270"/>
    <w:rsid w:val="2177F6EC"/>
    <w:rsid w:val="22087F1A"/>
    <w:rsid w:val="22326B9B"/>
    <w:rsid w:val="223EDED0"/>
    <w:rsid w:val="22454DD3"/>
    <w:rsid w:val="224E1E9F"/>
    <w:rsid w:val="22B32477"/>
    <w:rsid w:val="230597CC"/>
    <w:rsid w:val="23097F10"/>
    <w:rsid w:val="2353290E"/>
    <w:rsid w:val="23797513"/>
    <w:rsid w:val="23F0E3A5"/>
    <w:rsid w:val="2404232F"/>
    <w:rsid w:val="243C9D54"/>
    <w:rsid w:val="2456F255"/>
    <w:rsid w:val="24621A9E"/>
    <w:rsid w:val="24896332"/>
    <w:rsid w:val="248B5059"/>
    <w:rsid w:val="24BC9442"/>
    <w:rsid w:val="24CAA7EB"/>
    <w:rsid w:val="24E39C7A"/>
    <w:rsid w:val="2513A64A"/>
    <w:rsid w:val="258B83A7"/>
    <w:rsid w:val="25D01BDE"/>
    <w:rsid w:val="25E2C28E"/>
    <w:rsid w:val="26618037"/>
    <w:rsid w:val="2686F3C8"/>
    <w:rsid w:val="26CC74D3"/>
    <w:rsid w:val="26E6B9CB"/>
    <w:rsid w:val="2716EDAD"/>
    <w:rsid w:val="2718BEF6"/>
    <w:rsid w:val="272C34AF"/>
    <w:rsid w:val="275945DB"/>
    <w:rsid w:val="277A49BD"/>
    <w:rsid w:val="27A218A6"/>
    <w:rsid w:val="27AC5450"/>
    <w:rsid w:val="27C3ED88"/>
    <w:rsid w:val="280248AD"/>
    <w:rsid w:val="284B470C"/>
    <w:rsid w:val="28525830"/>
    <w:rsid w:val="2888E6A1"/>
    <w:rsid w:val="288C200E"/>
    <w:rsid w:val="28B48F57"/>
    <w:rsid w:val="28F3D042"/>
    <w:rsid w:val="29112AA6"/>
    <w:rsid w:val="29519A63"/>
    <w:rsid w:val="29726F75"/>
    <w:rsid w:val="29F29B33"/>
    <w:rsid w:val="2A361900"/>
    <w:rsid w:val="2A44CE55"/>
    <w:rsid w:val="2A91DC01"/>
    <w:rsid w:val="2AE5C952"/>
    <w:rsid w:val="2AE7EE98"/>
    <w:rsid w:val="2B836C8D"/>
    <w:rsid w:val="2C9C033A"/>
    <w:rsid w:val="2C9D839C"/>
    <w:rsid w:val="2CD55D33"/>
    <w:rsid w:val="2D55B8CC"/>
    <w:rsid w:val="2D7FD1A3"/>
    <w:rsid w:val="2DAC2377"/>
    <w:rsid w:val="2DD4E655"/>
    <w:rsid w:val="2E262DBC"/>
    <w:rsid w:val="2E509B0B"/>
    <w:rsid w:val="2EB9C0BE"/>
    <w:rsid w:val="2F26FAA0"/>
    <w:rsid w:val="2F9537E2"/>
    <w:rsid w:val="2F9935B4"/>
    <w:rsid w:val="2FB2935D"/>
    <w:rsid w:val="2FC0E997"/>
    <w:rsid w:val="2FC34BD8"/>
    <w:rsid w:val="2FF17F43"/>
    <w:rsid w:val="309E130C"/>
    <w:rsid w:val="309F56BA"/>
    <w:rsid w:val="3138091C"/>
    <w:rsid w:val="31C6F8C8"/>
    <w:rsid w:val="32370E96"/>
    <w:rsid w:val="32530794"/>
    <w:rsid w:val="32BD1CA8"/>
    <w:rsid w:val="32F125D9"/>
    <w:rsid w:val="333A71EB"/>
    <w:rsid w:val="3354C78D"/>
    <w:rsid w:val="335A1535"/>
    <w:rsid w:val="335CF22B"/>
    <w:rsid w:val="33618848"/>
    <w:rsid w:val="343B0E60"/>
    <w:rsid w:val="3444B630"/>
    <w:rsid w:val="3458ED09"/>
    <w:rsid w:val="345C6F23"/>
    <w:rsid w:val="34A0388E"/>
    <w:rsid w:val="34B24874"/>
    <w:rsid w:val="34C450E8"/>
    <w:rsid w:val="34E8B93B"/>
    <w:rsid w:val="357C3DA5"/>
    <w:rsid w:val="35B1697F"/>
    <w:rsid w:val="35F689C6"/>
    <w:rsid w:val="360DB258"/>
    <w:rsid w:val="3620D915"/>
    <w:rsid w:val="3628C69B"/>
    <w:rsid w:val="3630BF65"/>
    <w:rsid w:val="36329550"/>
    <w:rsid w:val="3684899C"/>
    <w:rsid w:val="375736AC"/>
    <w:rsid w:val="3759DA62"/>
    <w:rsid w:val="375B6C0F"/>
    <w:rsid w:val="3765CAC5"/>
    <w:rsid w:val="37CDA40F"/>
    <w:rsid w:val="381B84D7"/>
    <w:rsid w:val="3821DFBC"/>
    <w:rsid w:val="386B0A6A"/>
    <w:rsid w:val="38AB8981"/>
    <w:rsid w:val="38FB720A"/>
    <w:rsid w:val="393F566D"/>
    <w:rsid w:val="3951EE12"/>
    <w:rsid w:val="39B332E1"/>
    <w:rsid w:val="39B75538"/>
    <w:rsid w:val="3A1F7E5A"/>
    <w:rsid w:val="3A452C4E"/>
    <w:rsid w:val="3A6E7108"/>
    <w:rsid w:val="3A76AB14"/>
    <w:rsid w:val="3A829CD0"/>
    <w:rsid w:val="3A84F2A5"/>
    <w:rsid w:val="3A858703"/>
    <w:rsid w:val="3A9012BA"/>
    <w:rsid w:val="3A9D2D50"/>
    <w:rsid w:val="3AC2C657"/>
    <w:rsid w:val="3B21E08E"/>
    <w:rsid w:val="3B3426CC"/>
    <w:rsid w:val="3BB31265"/>
    <w:rsid w:val="3C2AA7CF"/>
    <w:rsid w:val="3C7228A8"/>
    <w:rsid w:val="3C9E464D"/>
    <w:rsid w:val="3D0FF6D2"/>
    <w:rsid w:val="3E207EC7"/>
    <w:rsid w:val="3E2CC804"/>
    <w:rsid w:val="3E91330B"/>
    <w:rsid w:val="3EAC4B84"/>
    <w:rsid w:val="3EDECD12"/>
    <w:rsid w:val="3F04A19E"/>
    <w:rsid w:val="3F1E6A46"/>
    <w:rsid w:val="3F2103D8"/>
    <w:rsid w:val="3F28F1E0"/>
    <w:rsid w:val="3F3E3A05"/>
    <w:rsid w:val="3F645DFE"/>
    <w:rsid w:val="3FD57785"/>
    <w:rsid w:val="4010298B"/>
    <w:rsid w:val="404B81C6"/>
    <w:rsid w:val="4094CF28"/>
    <w:rsid w:val="40C48A2F"/>
    <w:rsid w:val="40E7EA50"/>
    <w:rsid w:val="40EE3118"/>
    <w:rsid w:val="40F9F09B"/>
    <w:rsid w:val="412A9867"/>
    <w:rsid w:val="418234B9"/>
    <w:rsid w:val="42390ABD"/>
    <w:rsid w:val="42B03F9A"/>
    <w:rsid w:val="42D8874E"/>
    <w:rsid w:val="42FF262F"/>
    <w:rsid w:val="431E3AAE"/>
    <w:rsid w:val="433A3EA3"/>
    <w:rsid w:val="4374D251"/>
    <w:rsid w:val="43810F13"/>
    <w:rsid w:val="444E1581"/>
    <w:rsid w:val="444EE6CF"/>
    <w:rsid w:val="44623929"/>
    <w:rsid w:val="44BF35F4"/>
    <w:rsid w:val="45371F7C"/>
    <w:rsid w:val="453EDF03"/>
    <w:rsid w:val="45F55FEC"/>
    <w:rsid w:val="462B8B89"/>
    <w:rsid w:val="4644B909"/>
    <w:rsid w:val="46581DAE"/>
    <w:rsid w:val="46AC7313"/>
    <w:rsid w:val="46ECAB22"/>
    <w:rsid w:val="471075D0"/>
    <w:rsid w:val="471984FB"/>
    <w:rsid w:val="473BD9A6"/>
    <w:rsid w:val="4775810C"/>
    <w:rsid w:val="482EC743"/>
    <w:rsid w:val="48484374"/>
    <w:rsid w:val="4857209D"/>
    <w:rsid w:val="48688054"/>
    <w:rsid w:val="4949147C"/>
    <w:rsid w:val="4968BF82"/>
    <w:rsid w:val="4A01280B"/>
    <w:rsid w:val="4A0450B5"/>
    <w:rsid w:val="4A30DCB3"/>
    <w:rsid w:val="4A6A4E1A"/>
    <w:rsid w:val="4A6C2180"/>
    <w:rsid w:val="4AC5B611"/>
    <w:rsid w:val="4AD057AA"/>
    <w:rsid w:val="4AD17AAD"/>
    <w:rsid w:val="4AD67064"/>
    <w:rsid w:val="4AF90071"/>
    <w:rsid w:val="4B144A9C"/>
    <w:rsid w:val="4B1E0054"/>
    <w:rsid w:val="4B8A22DD"/>
    <w:rsid w:val="4C26D47D"/>
    <w:rsid w:val="4CE18675"/>
    <w:rsid w:val="4D081AF5"/>
    <w:rsid w:val="4D3E0EC7"/>
    <w:rsid w:val="4D610E01"/>
    <w:rsid w:val="4D88C67F"/>
    <w:rsid w:val="4DA1EEDC"/>
    <w:rsid w:val="4E1F3559"/>
    <w:rsid w:val="4E2D94EE"/>
    <w:rsid w:val="4E3C7069"/>
    <w:rsid w:val="4E51ABE0"/>
    <w:rsid w:val="4ED4992E"/>
    <w:rsid w:val="4F2E289B"/>
    <w:rsid w:val="4F571A23"/>
    <w:rsid w:val="4FBE5092"/>
    <w:rsid w:val="4FD6A758"/>
    <w:rsid w:val="4FEAD79A"/>
    <w:rsid w:val="50492228"/>
    <w:rsid w:val="5052D778"/>
    <w:rsid w:val="509CC21A"/>
    <w:rsid w:val="50EE0EFC"/>
    <w:rsid w:val="517DDA85"/>
    <w:rsid w:val="5196DDA9"/>
    <w:rsid w:val="51A69309"/>
    <w:rsid w:val="51BF0249"/>
    <w:rsid w:val="51F52224"/>
    <w:rsid w:val="52052518"/>
    <w:rsid w:val="5215A594"/>
    <w:rsid w:val="5248ACDC"/>
    <w:rsid w:val="5270E00E"/>
    <w:rsid w:val="52A4808E"/>
    <w:rsid w:val="52B8D51D"/>
    <w:rsid w:val="53768E03"/>
    <w:rsid w:val="5453CB04"/>
    <w:rsid w:val="54715EEC"/>
    <w:rsid w:val="551C7B48"/>
    <w:rsid w:val="5552C3D9"/>
    <w:rsid w:val="55AD00C1"/>
    <w:rsid w:val="5627DDDC"/>
    <w:rsid w:val="56320F7B"/>
    <w:rsid w:val="5633172D"/>
    <w:rsid w:val="5669147C"/>
    <w:rsid w:val="56D9C6FC"/>
    <w:rsid w:val="56DB9496"/>
    <w:rsid w:val="56E894B8"/>
    <w:rsid w:val="56EB4201"/>
    <w:rsid w:val="5770AB32"/>
    <w:rsid w:val="57C71A90"/>
    <w:rsid w:val="57D731EF"/>
    <w:rsid w:val="580B83F8"/>
    <w:rsid w:val="5812FA68"/>
    <w:rsid w:val="5838B90A"/>
    <w:rsid w:val="58846519"/>
    <w:rsid w:val="588CE7D0"/>
    <w:rsid w:val="588FB03B"/>
    <w:rsid w:val="59A8805A"/>
    <w:rsid w:val="59DD2467"/>
    <w:rsid w:val="5A0C392B"/>
    <w:rsid w:val="5A4E6B5C"/>
    <w:rsid w:val="5A6F7853"/>
    <w:rsid w:val="5B2A25AA"/>
    <w:rsid w:val="5B5474DF"/>
    <w:rsid w:val="5B594D8B"/>
    <w:rsid w:val="5B73E1F6"/>
    <w:rsid w:val="5B81AA06"/>
    <w:rsid w:val="5B873F98"/>
    <w:rsid w:val="5BABE3D1"/>
    <w:rsid w:val="5C046FD3"/>
    <w:rsid w:val="5CD175D7"/>
    <w:rsid w:val="5CF04540"/>
    <w:rsid w:val="5D191279"/>
    <w:rsid w:val="5D2FC7FD"/>
    <w:rsid w:val="5D46A0EA"/>
    <w:rsid w:val="5D8D852E"/>
    <w:rsid w:val="5D9EEA49"/>
    <w:rsid w:val="5DA4B8ED"/>
    <w:rsid w:val="5DB016CF"/>
    <w:rsid w:val="5DD19F35"/>
    <w:rsid w:val="5DDF6946"/>
    <w:rsid w:val="5DE802A1"/>
    <w:rsid w:val="5DF9BC0F"/>
    <w:rsid w:val="5EBFBD17"/>
    <w:rsid w:val="5F0E0787"/>
    <w:rsid w:val="5F1562A5"/>
    <w:rsid w:val="5F15F480"/>
    <w:rsid w:val="5F7CF35B"/>
    <w:rsid w:val="5FC2F294"/>
    <w:rsid w:val="5FCB1D39"/>
    <w:rsid w:val="5FCDE374"/>
    <w:rsid w:val="5FE2C77D"/>
    <w:rsid w:val="60227BDF"/>
    <w:rsid w:val="60269017"/>
    <w:rsid w:val="6043BACB"/>
    <w:rsid w:val="6049A083"/>
    <w:rsid w:val="60B52EA8"/>
    <w:rsid w:val="60D04816"/>
    <w:rsid w:val="6131966D"/>
    <w:rsid w:val="616127EF"/>
    <w:rsid w:val="619577B7"/>
    <w:rsid w:val="619710C2"/>
    <w:rsid w:val="61B125A1"/>
    <w:rsid w:val="61E1B363"/>
    <w:rsid w:val="622179F0"/>
    <w:rsid w:val="62428427"/>
    <w:rsid w:val="628D2F48"/>
    <w:rsid w:val="62BEABAC"/>
    <w:rsid w:val="62E69824"/>
    <w:rsid w:val="63922BEF"/>
    <w:rsid w:val="639D3BBA"/>
    <w:rsid w:val="640C05E9"/>
    <w:rsid w:val="6413FA71"/>
    <w:rsid w:val="6451F41C"/>
    <w:rsid w:val="646D072E"/>
    <w:rsid w:val="649B0213"/>
    <w:rsid w:val="64B85C45"/>
    <w:rsid w:val="6506A36D"/>
    <w:rsid w:val="650FC355"/>
    <w:rsid w:val="6517C6A6"/>
    <w:rsid w:val="653DAA98"/>
    <w:rsid w:val="654BF7D8"/>
    <w:rsid w:val="65834D08"/>
    <w:rsid w:val="658D94D2"/>
    <w:rsid w:val="65F44FA7"/>
    <w:rsid w:val="660FF86B"/>
    <w:rsid w:val="662FC4E3"/>
    <w:rsid w:val="66349912"/>
    <w:rsid w:val="66505BFF"/>
    <w:rsid w:val="66B44710"/>
    <w:rsid w:val="66D918F0"/>
    <w:rsid w:val="673272D6"/>
    <w:rsid w:val="677C9114"/>
    <w:rsid w:val="67C46542"/>
    <w:rsid w:val="6851B66C"/>
    <w:rsid w:val="68A71830"/>
    <w:rsid w:val="6917E534"/>
    <w:rsid w:val="696C39D4"/>
    <w:rsid w:val="69BC3786"/>
    <w:rsid w:val="6A1D30E7"/>
    <w:rsid w:val="6A21B232"/>
    <w:rsid w:val="6AABC01B"/>
    <w:rsid w:val="6B72F021"/>
    <w:rsid w:val="6BBF51FC"/>
    <w:rsid w:val="6BE9A001"/>
    <w:rsid w:val="6BEF0970"/>
    <w:rsid w:val="6C05E3F9"/>
    <w:rsid w:val="6C1E44B5"/>
    <w:rsid w:val="6C795D2D"/>
    <w:rsid w:val="6C8840B6"/>
    <w:rsid w:val="6D1DE2D2"/>
    <w:rsid w:val="6D22FA9D"/>
    <w:rsid w:val="6D23F1B0"/>
    <w:rsid w:val="6D406AE0"/>
    <w:rsid w:val="6D6061AD"/>
    <w:rsid w:val="6DA1B45A"/>
    <w:rsid w:val="6DB50E13"/>
    <w:rsid w:val="6DB5A85C"/>
    <w:rsid w:val="6DCBCB4F"/>
    <w:rsid w:val="6EA0BFE5"/>
    <w:rsid w:val="6EAA26F1"/>
    <w:rsid w:val="6F073E45"/>
    <w:rsid w:val="6F457241"/>
    <w:rsid w:val="6F859EBA"/>
    <w:rsid w:val="6FDFAB55"/>
    <w:rsid w:val="6FF6DD2C"/>
    <w:rsid w:val="6FFE0D8A"/>
    <w:rsid w:val="7003C08C"/>
    <w:rsid w:val="702B790A"/>
    <w:rsid w:val="709C7A7B"/>
    <w:rsid w:val="70DA3D49"/>
    <w:rsid w:val="70E142A2"/>
    <w:rsid w:val="70ECAED5"/>
    <w:rsid w:val="7104D466"/>
    <w:rsid w:val="7122EB5B"/>
    <w:rsid w:val="71718F78"/>
    <w:rsid w:val="71AF0CE8"/>
    <w:rsid w:val="71E97DA9"/>
    <w:rsid w:val="71F92DDA"/>
    <w:rsid w:val="7214E0FE"/>
    <w:rsid w:val="72461198"/>
    <w:rsid w:val="727D1303"/>
    <w:rsid w:val="727F01A4"/>
    <w:rsid w:val="72D7A182"/>
    <w:rsid w:val="72DFF391"/>
    <w:rsid w:val="7332BCC3"/>
    <w:rsid w:val="736319CC"/>
    <w:rsid w:val="7380D2AA"/>
    <w:rsid w:val="738722B7"/>
    <w:rsid w:val="73D5B876"/>
    <w:rsid w:val="73DF7FA3"/>
    <w:rsid w:val="73F051F9"/>
    <w:rsid w:val="7418E364"/>
    <w:rsid w:val="742F8FBC"/>
    <w:rsid w:val="749F8553"/>
    <w:rsid w:val="74FEEA2D"/>
    <w:rsid w:val="751CA21E"/>
    <w:rsid w:val="75515E65"/>
    <w:rsid w:val="759F22D0"/>
    <w:rsid w:val="76471F00"/>
    <w:rsid w:val="76D11E5C"/>
    <w:rsid w:val="76DE3C77"/>
    <w:rsid w:val="76E999B5"/>
    <w:rsid w:val="77496F4A"/>
    <w:rsid w:val="77508426"/>
    <w:rsid w:val="775EA4DA"/>
    <w:rsid w:val="778E294B"/>
    <w:rsid w:val="77DD6371"/>
    <w:rsid w:val="77E13D77"/>
    <w:rsid w:val="7816FCD9"/>
    <w:rsid w:val="78238B4D"/>
    <w:rsid w:val="782A28DC"/>
    <w:rsid w:val="78368AEF"/>
    <w:rsid w:val="78CA9067"/>
    <w:rsid w:val="78F62356"/>
    <w:rsid w:val="79641B5E"/>
    <w:rsid w:val="79C1F05D"/>
    <w:rsid w:val="7A25B94F"/>
    <w:rsid w:val="7A34DAEB"/>
    <w:rsid w:val="7A369449"/>
    <w:rsid w:val="7A3EA2C7"/>
    <w:rsid w:val="7AA08895"/>
    <w:rsid w:val="7ACED647"/>
    <w:rsid w:val="7AD82AA8"/>
    <w:rsid w:val="7B4A673E"/>
    <w:rsid w:val="7B70FD51"/>
    <w:rsid w:val="7BBF82C1"/>
    <w:rsid w:val="7BC02D42"/>
    <w:rsid w:val="7C1350DD"/>
    <w:rsid w:val="7C6238D6"/>
    <w:rsid w:val="7C74C2F6"/>
    <w:rsid w:val="7CBE8C1F"/>
    <w:rsid w:val="7CE957D6"/>
    <w:rsid w:val="7D4B7A18"/>
    <w:rsid w:val="7D7D63FD"/>
    <w:rsid w:val="7DB6E073"/>
    <w:rsid w:val="7E0935AF"/>
    <w:rsid w:val="7E365CDD"/>
    <w:rsid w:val="7E3B1295"/>
    <w:rsid w:val="7E480FE0"/>
    <w:rsid w:val="7E5B78AF"/>
    <w:rsid w:val="7E7EDB83"/>
    <w:rsid w:val="7EBFBB7D"/>
    <w:rsid w:val="7EDF0406"/>
    <w:rsid w:val="7EEE0C78"/>
    <w:rsid w:val="7F06C5D4"/>
    <w:rsid w:val="7F0B3399"/>
    <w:rsid w:val="7FD22D3E"/>
    <w:rsid w:val="7FDBDDD3"/>
    <w:rsid w:val="7FF177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99F3E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C32"/>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31C32"/>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7F0B6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F0B68"/>
    <w:rPr>
      <w:rFonts w:eastAsiaTheme="minorEastAsia"/>
      <w:sz w:val="18"/>
      <w:szCs w:val="18"/>
      <w:lang w:val="el-G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31C32"/>
    <w:rPr>
      <w:rFonts w:asciiTheme="minorHAnsi" w:hAnsiTheme="minorHAnsi"/>
      <w:sz w:val="22"/>
      <w:szCs w:val="18"/>
      <w:vertAlign w:val="superscript"/>
    </w:rPr>
  </w:style>
  <w:style w:type="character" w:styleId="Hyperlink">
    <w:name w:val="Hyperlink"/>
    <w:basedOn w:val="DefaultParagraphFont"/>
    <w:uiPriority w:val="99"/>
    <w:rsid w:val="00931C32"/>
    <w:rPr>
      <w:color w:val="0563C1" w:themeColor="hyperlink"/>
      <w:u w:val="single"/>
    </w:rPr>
  </w:style>
  <w:style w:type="paragraph" w:customStyle="1" w:styleId="Default">
    <w:name w:val="Default"/>
    <w:rsid w:val="00931C32"/>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931C32"/>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931C32"/>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931C32"/>
    <w:pPr>
      <w:ind w:left="720"/>
    </w:pPr>
    <w:rPr>
      <w:rFonts w:ascii="Calibri" w:eastAsia="Calibri" w:hAnsi="Calibri" w:cs="Times New Roman"/>
      <w:szCs w:val="22"/>
    </w:rPr>
  </w:style>
  <w:style w:type="paragraph" w:styleId="Header">
    <w:name w:val="header"/>
    <w:basedOn w:val="Normal"/>
    <w:link w:val="HeaderChar"/>
    <w:uiPriority w:val="99"/>
    <w:unhideWhenUsed/>
    <w:rsid w:val="001E400B"/>
    <w:pPr>
      <w:tabs>
        <w:tab w:val="center" w:pos="4513"/>
        <w:tab w:val="right" w:pos="9026"/>
      </w:tabs>
    </w:pPr>
  </w:style>
  <w:style w:type="character" w:customStyle="1" w:styleId="HeaderChar">
    <w:name w:val="Header Char"/>
    <w:basedOn w:val="DefaultParagraphFont"/>
    <w:link w:val="Header"/>
    <w:uiPriority w:val="99"/>
    <w:rsid w:val="001E400B"/>
    <w:rPr>
      <w:rFonts w:eastAsiaTheme="minorEastAsia"/>
      <w:szCs w:val="24"/>
    </w:rPr>
  </w:style>
  <w:style w:type="paragraph" w:styleId="Footer">
    <w:name w:val="footer"/>
    <w:basedOn w:val="Normal"/>
    <w:link w:val="FooterChar"/>
    <w:uiPriority w:val="99"/>
    <w:unhideWhenUsed/>
    <w:rsid w:val="001E400B"/>
    <w:pPr>
      <w:tabs>
        <w:tab w:val="center" w:pos="4513"/>
        <w:tab w:val="right" w:pos="9026"/>
      </w:tabs>
    </w:pPr>
  </w:style>
  <w:style w:type="character" w:customStyle="1" w:styleId="FooterChar">
    <w:name w:val="Footer Char"/>
    <w:basedOn w:val="DefaultParagraphFont"/>
    <w:link w:val="Footer"/>
    <w:uiPriority w:val="99"/>
    <w:rsid w:val="001E400B"/>
    <w:rPr>
      <w:rFonts w:eastAsiaTheme="minorEastAsia"/>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83EB1"/>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BA0BDC"/>
    <w:rPr>
      <w:sz w:val="16"/>
      <w:szCs w:val="16"/>
    </w:rPr>
  </w:style>
  <w:style w:type="paragraph" w:styleId="CommentText">
    <w:name w:val="annotation text"/>
    <w:basedOn w:val="Normal"/>
    <w:link w:val="CommentTextChar"/>
    <w:uiPriority w:val="99"/>
    <w:unhideWhenUsed/>
    <w:rsid w:val="00BA0BDC"/>
    <w:rPr>
      <w:sz w:val="20"/>
      <w:szCs w:val="20"/>
    </w:rPr>
  </w:style>
  <w:style w:type="character" w:customStyle="1" w:styleId="CommentTextChar">
    <w:name w:val="Comment Text Char"/>
    <w:basedOn w:val="DefaultParagraphFont"/>
    <w:link w:val="CommentText"/>
    <w:uiPriority w:val="99"/>
    <w:rsid w:val="00BA0BD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A0BDC"/>
    <w:rPr>
      <w:b/>
      <w:bCs/>
    </w:rPr>
  </w:style>
  <w:style w:type="character" w:customStyle="1" w:styleId="CommentSubjectChar">
    <w:name w:val="Comment Subject Char"/>
    <w:basedOn w:val="CommentTextChar"/>
    <w:link w:val="CommentSubject"/>
    <w:uiPriority w:val="99"/>
    <w:semiHidden/>
    <w:rsid w:val="00BA0BD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L/TXT/?uri=OJ:L_202401623" TargetMode="External"/><Relationship Id="rId1" Type="http://schemas.openxmlformats.org/officeDocument/2006/relationships/hyperlink" Target="https://eur-lex.europa.eu/legal-content/E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438E7D-06DF-42E6-AB6F-B451A1CE4CA9}">
  <ds:schemaRefs>
    <ds:schemaRef ds:uri="http://schemas.openxmlformats.org/officeDocument/2006/bibliography"/>
  </ds:schemaRefs>
</ds:datastoreItem>
</file>

<file path=customXml/itemProps2.xml><?xml version="1.0" encoding="utf-8"?>
<ds:datastoreItem xmlns:ds="http://schemas.openxmlformats.org/officeDocument/2006/customXml" ds:itemID="{841BC7EF-7C6B-4367-AFA8-EE7B68A5A572}"/>
</file>

<file path=customXml/itemProps3.xml><?xml version="1.0" encoding="utf-8"?>
<ds:datastoreItem xmlns:ds="http://schemas.openxmlformats.org/officeDocument/2006/customXml" ds:itemID="{829FA883-2C7C-4C44-ABE4-BCCECF0EBB93}"/>
</file>

<file path=customXml/itemProps4.xml><?xml version="1.0" encoding="utf-8"?>
<ds:datastoreItem xmlns:ds="http://schemas.openxmlformats.org/officeDocument/2006/customXml" ds:itemID="{06447DDF-3814-4B9F-B1D3-CBDA5880B7E9}"/>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3348</Words>
  <Characters>17781</Characters>
  <Application>Microsoft Office Word</Application>
  <DocSecurity>0</DocSecurity>
  <Lines>508</Lines>
  <Paragraphs>293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20836</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2024-06-07T07:11:00Z</dcterms:created>
  <dcterms:modified xsi:type="dcterms:W3CDTF">2024-10-18T12:21:00Z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2024-09-26T14:32:27Z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adac863f-55d7-42d3-9a6a-c1b74fd6180c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