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6EAC" w14:textId="77777777" w:rsidR="00E602B2" w:rsidRDefault="3E2CC804" w:rsidP="06503780">
      <w:pPr>
        <w:pStyle w:val="Titlelevel2"/>
        <w:spacing w:before="0"/>
        <w:rPr>
          <w:rFonts w:ascii="Times New Roman" w:hAnsi="Times New Roman"/>
          <w:b/>
          <w:color w:val="auto"/>
          <w:sz w:val="24"/>
        </w:rPr>
      </w:pPr>
      <w:r w:rsidRPr="00E602B2">
        <w:rPr>
          <w:rFonts w:ascii="Times New Roman" w:hAnsi="Times New Roman"/>
          <w:b/>
          <w:color w:val="auto"/>
          <w:sz w:val="24"/>
        </w:rPr>
        <w:t>PRÍLOHA XXX – Tabuľky</w:t>
      </w:r>
      <w:r w:rsidR="00E602B2">
        <w:rPr>
          <w:rFonts w:ascii="Times New Roman" w:hAnsi="Times New Roman"/>
          <w:b/>
          <w:color w:val="auto"/>
          <w:sz w:val="24"/>
        </w:rPr>
        <w:t xml:space="preserve"> a </w:t>
      </w:r>
      <w:r w:rsidRPr="00E602B2">
        <w:rPr>
          <w:rFonts w:ascii="Times New Roman" w:hAnsi="Times New Roman"/>
          <w:b/>
          <w:color w:val="auto"/>
          <w:sz w:val="24"/>
        </w:rPr>
        <w:t>vzory na zverejňovanie informácií</w:t>
      </w:r>
      <w:r w:rsidR="00E602B2">
        <w:rPr>
          <w:rFonts w:ascii="Times New Roman" w:hAnsi="Times New Roman"/>
          <w:b/>
          <w:color w:val="auto"/>
          <w:sz w:val="24"/>
        </w:rPr>
        <w:t xml:space="preserve"> o </w:t>
      </w:r>
      <w:r w:rsidRPr="00E602B2">
        <w:rPr>
          <w:rFonts w:ascii="Times New Roman" w:hAnsi="Times New Roman"/>
          <w:b/>
          <w:color w:val="auto"/>
          <w:sz w:val="24"/>
        </w:rPr>
        <w:t>štandardizovanom prístupe</w:t>
      </w:r>
      <w:r w:rsidR="00E602B2">
        <w:rPr>
          <w:rFonts w:ascii="Times New Roman" w:hAnsi="Times New Roman"/>
          <w:b/>
          <w:color w:val="auto"/>
          <w:sz w:val="24"/>
        </w:rPr>
        <w:t xml:space="preserve"> a </w:t>
      </w:r>
      <w:r w:rsidRPr="00E602B2">
        <w:rPr>
          <w:rFonts w:ascii="Times New Roman" w:hAnsi="Times New Roman"/>
          <w:b/>
          <w:color w:val="auto"/>
          <w:sz w:val="24"/>
        </w:rPr>
        <w:t>internom prístupe pre trhové riziko: pokyny</w:t>
      </w:r>
    </w:p>
    <w:p w14:paraId="683DCA18" w14:textId="24C12BDF" w:rsidR="00E602B2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  <w:sz w:val="24"/>
        </w:rPr>
      </w:pPr>
      <w:r w:rsidRPr="00E602B2">
        <w:rPr>
          <w:rFonts w:ascii="Times New Roman" w:hAnsi="Times New Roman"/>
          <w:color w:val="auto"/>
          <w:sz w:val="24"/>
        </w:rPr>
        <w:t>Táto príloha obsahuje pokyny, ktoré musia inštitúcie dodržiavať pri zverejňovaní informácií uvedených</w:t>
      </w:r>
      <w:r w:rsidR="00E602B2">
        <w:rPr>
          <w:rFonts w:ascii="Times New Roman" w:hAnsi="Times New Roman"/>
          <w:color w:val="auto"/>
          <w:sz w:val="24"/>
        </w:rPr>
        <w:t xml:space="preserve"> v </w:t>
      </w:r>
      <w:r w:rsidRPr="00E602B2">
        <w:rPr>
          <w:rFonts w:ascii="Times New Roman" w:hAnsi="Times New Roman"/>
          <w:color w:val="auto"/>
          <w:sz w:val="24"/>
        </w:rPr>
        <w:t>článkoch 435, 445</w:t>
      </w:r>
      <w:r w:rsidR="00E602B2">
        <w:rPr>
          <w:rFonts w:ascii="Times New Roman" w:hAnsi="Times New Roman"/>
          <w:color w:val="auto"/>
          <w:sz w:val="24"/>
        </w:rPr>
        <w:t xml:space="preserve"> a </w:t>
      </w:r>
      <w:r w:rsidRPr="00E602B2">
        <w:rPr>
          <w:rFonts w:ascii="Times New Roman" w:hAnsi="Times New Roman"/>
          <w:color w:val="auto"/>
          <w:sz w:val="24"/>
        </w:rPr>
        <w:t xml:space="preserve">455 nariadenia (EÚ) </w:t>
      </w:r>
      <w:r w:rsidR="00E602B2">
        <w:rPr>
          <w:rFonts w:ascii="Times New Roman" w:hAnsi="Times New Roman"/>
          <w:color w:val="auto"/>
          <w:sz w:val="24"/>
        </w:rPr>
        <w:t>č. </w:t>
      </w:r>
      <w:r w:rsidRPr="00E602B2">
        <w:rPr>
          <w:rFonts w:ascii="Times New Roman" w:hAnsi="Times New Roman"/>
          <w:color w:val="auto"/>
          <w:sz w:val="24"/>
        </w:rPr>
        <w:t>575/2013</w:t>
      </w:r>
      <w:r w:rsidRPr="00E602B2">
        <w:rPr>
          <w:rStyle w:val="FootnoteReference"/>
          <w:rFonts w:ascii="Times New Roman" w:hAnsi="Times New Roman" w:cs="Times New Roman"/>
          <w:color w:val="auto"/>
        </w:rPr>
        <w:footnoteReference w:id="2"/>
      </w:r>
      <w:r w:rsidRPr="00E602B2">
        <w:rPr>
          <w:rFonts w:ascii="Times New Roman" w:hAnsi="Times New Roman"/>
          <w:color w:val="auto"/>
          <w:sz w:val="24"/>
        </w:rPr>
        <w:t xml:space="preserve"> („CRR“)</w:t>
      </w:r>
      <w:r w:rsidR="00E602B2">
        <w:rPr>
          <w:rFonts w:ascii="Times New Roman" w:hAnsi="Times New Roman"/>
          <w:color w:val="auto"/>
          <w:sz w:val="24"/>
        </w:rPr>
        <w:t xml:space="preserve"> s </w:t>
      </w:r>
      <w:r w:rsidRPr="00E602B2">
        <w:rPr>
          <w:rFonts w:ascii="Times New Roman" w:hAnsi="Times New Roman"/>
          <w:color w:val="auto"/>
          <w:sz w:val="24"/>
        </w:rPr>
        <w:t>cieľom vyplniť tabuľky</w:t>
      </w:r>
      <w:r w:rsidR="00E602B2">
        <w:rPr>
          <w:rFonts w:ascii="Times New Roman" w:hAnsi="Times New Roman"/>
          <w:color w:val="auto"/>
          <w:sz w:val="24"/>
        </w:rPr>
        <w:t xml:space="preserve"> a </w:t>
      </w:r>
      <w:r w:rsidRPr="00E602B2">
        <w:rPr>
          <w:rFonts w:ascii="Times New Roman" w:hAnsi="Times New Roman"/>
          <w:color w:val="auto"/>
          <w:sz w:val="24"/>
        </w:rPr>
        <w:t>vzory na zverejňovanie informácií</w:t>
      </w:r>
      <w:r w:rsidR="00E602B2">
        <w:rPr>
          <w:rFonts w:ascii="Times New Roman" w:hAnsi="Times New Roman"/>
          <w:color w:val="auto"/>
          <w:sz w:val="24"/>
        </w:rPr>
        <w:t xml:space="preserve"> o </w:t>
      </w:r>
      <w:r w:rsidRPr="00E602B2">
        <w:rPr>
          <w:rFonts w:ascii="Times New Roman" w:hAnsi="Times New Roman"/>
          <w:color w:val="auto"/>
          <w:sz w:val="24"/>
        </w:rPr>
        <w:t>trhovom riziku, ktoré sú uvedené</w:t>
      </w:r>
      <w:r w:rsidR="00E602B2">
        <w:rPr>
          <w:rFonts w:ascii="Times New Roman" w:hAnsi="Times New Roman"/>
          <w:color w:val="auto"/>
          <w:sz w:val="24"/>
        </w:rPr>
        <w:t xml:space="preserve"> v </w:t>
      </w:r>
      <w:r w:rsidRPr="00E602B2">
        <w:rPr>
          <w:rFonts w:ascii="Times New Roman" w:hAnsi="Times New Roman"/>
          <w:color w:val="auto"/>
          <w:sz w:val="24"/>
        </w:rPr>
        <w:t>prílohe XXIX dokumentu</w:t>
      </w:r>
      <w:r w:rsidR="00E602B2">
        <w:rPr>
          <w:rFonts w:ascii="Times New Roman" w:hAnsi="Times New Roman"/>
          <w:color w:val="auto"/>
          <w:sz w:val="24"/>
        </w:rPr>
        <w:t xml:space="preserve"> s </w:t>
      </w:r>
      <w:r w:rsidRPr="00E602B2">
        <w:rPr>
          <w:rFonts w:ascii="Times New Roman" w:hAnsi="Times New Roman"/>
          <w:color w:val="auto"/>
          <w:sz w:val="24"/>
        </w:rPr>
        <w:t>IT riešeniami orgánu EBA</w:t>
      </w:r>
      <w:r w:rsidR="00E602B2">
        <w:rPr>
          <w:rFonts w:ascii="Times New Roman" w:hAnsi="Times New Roman"/>
          <w:color w:val="auto"/>
          <w:sz w:val="24"/>
        </w:rPr>
        <w:t>.</w:t>
      </w:r>
    </w:p>
    <w:p w14:paraId="69DA8DE0" w14:textId="63FA5270" w:rsidR="00931C32" w:rsidRPr="00E602B2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 w:rsidRPr="00E602B2">
        <w:rPr>
          <w:rFonts w:ascii="Times New Roman" w:hAnsi="Times New Roman"/>
          <w:b/>
          <w:sz w:val="24"/>
        </w:rPr>
        <w:t>Tabuľka EU MRA</w:t>
      </w:r>
      <w:r w:rsidRPr="00E602B2">
        <w:rPr>
          <w:rFonts w:ascii="Times New Roman" w:hAnsi="Times New Roman"/>
          <w:sz w:val="24"/>
        </w:rPr>
        <w:t xml:space="preserve"> </w:t>
      </w:r>
      <w:r w:rsidRPr="00E602B2">
        <w:rPr>
          <w:rFonts w:ascii="Times New Roman" w:hAnsi="Times New Roman"/>
          <w:b/>
          <w:sz w:val="24"/>
        </w:rPr>
        <w:t>– Požiadavky na zverejňovanie kvalitatívnych informácií týkajúcich sa trhového rizika:</w:t>
      </w:r>
      <w:r w:rsidRPr="00E602B2">
        <w:rPr>
          <w:rFonts w:ascii="Times New Roman" w:hAnsi="Times New Roman"/>
          <w:sz w:val="24"/>
        </w:rPr>
        <w:t xml:space="preserve"> Textové polia</w:t>
      </w:r>
      <w:r w:rsidR="00E602B2">
        <w:rPr>
          <w:rFonts w:ascii="Times New Roman" w:hAnsi="Times New Roman"/>
          <w:sz w:val="24"/>
        </w:rPr>
        <w:t xml:space="preserve"> s </w:t>
      </w:r>
      <w:r w:rsidRPr="00E602B2">
        <w:rPr>
          <w:rFonts w:ascii="Times New Roman" w:hAnsi="Times New Roman"/>
          <w:sz w:val="24"/>
        </w:rPr>
        <w:t>ľubovoľným formátom</w:t>
      </w:r>
    </w:p>
    <w:p w14:paraId="1B9BDBE7" w14:textId="65826F2E" w:rsidR="00931C32" w:rsidRPr="00E602B2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</w:rPr>
      </w:pPr>
      <w:r w:rsidRPr="00E602B2">
        <w:rPr>
          <w:rFonts w:ascii="Times New Roman" w:hAnsi="Times New Roman"/>
          <w:color w:val="000000" w:themeColor="text1"/>
          <w:sz w:val="24"/>
        </w:rPr>
        <w:t>Inštitúcie zverejňujú informácie uvedené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 xml:space="preserve">článku 435 ods. 1 písm. a) až d) nariadenia (EÚ) </w:t>
      </w:r>
      <w:r w:rsidR="00E602B2">
        <w:rPr>
          <w:rFonts w:ascii="Times New Roman" w:hAnsi="Times New Roman"/>
          <w:color w:val="000000" w:themeColor="text1"/>
          <w:sz w:val="24"/>
        </w:rPr>
        <w:t>č. </w:t>
      </w:r>
      <w:r w:rsidRPr="00E602B2">
        <w:rPr>
          <w:rFonts w:ascii="Times New Roman" w:hAnsi="Times New Roman"/>
          <w:color w:val="000000" w:themeColor="text1"/>
          <w:sz w:val="24"/>
        </w:rPr>
        <w:t>575/2013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súvislosti</w:t>
      </w:r>
      <w:r w:rsidR="00E602B2">
        <w:rPr>
          <w:rFonts w:ascii="Times New Roman" w:hAnsi="Times New Roman"/>
          <w:color w:val="000000" w:themeColor="text1"/>
          <w:sz w:val="24"/>
        </w:rPr>
        <w:t xml:space="preserve"> s </w:t>
      </w:r>
      <w:r w:rsidRPr="00E602B2">
        <w:rPr>
          <w:rFonts w:ascii="Times New Roman" w:hAnsi="Times New Roman"/>
          <w:color w:val="000000" w:themeColor="text1"/>
          <w:sz w:val="24"/>
        </w:rPr>
        <w:t>trhovým rizikom podľa pokynov uvedených nižšie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tejto prílohe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s </w:t>
      </w:r>
      <w:r w:rsidRPr="00E602B2">
        <w:rPr>
          <w:rFonts w:ascii="Times New Roman" w:hAnsi="Times New Roman"/>
          <w:color w:val="000000" w:themeColor="text1"/>
          <w:sz w:val="24"/>
        </w:rPr>
        <w:t>cieľom vyplniť tabuľku EU MRA, ktorá je uvedená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prílohe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E602B2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234EDEB6" w:rsidR="00931C32" w:rsidRPr="00E602B2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31C32" w:rsidRPr="00E602B2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E602B2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E602B2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31C32" w:rsidRPr="00E602B2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E602B2" w:rsidRDefault="00931C32" w:rsidP="00DE090B">
            <w:pPr>
              <w:pStyle w:val="Applicationdirecte"/>
              <w:spacing w:before="0" w:after="240"/>
              <w:jc w:val="center"/>
            </w:pPr>
            <w:r w:rsidRPr="00E602B2">
              <w:t>a)</w:t>
            </w:r>
          </w:p>
        </w:tc>
        <w:tc>
          <w:tcPr>
            <w:tcW w:w="7655" w:type="dxa"/>
            <w:vAlign w:val="center"/>
          </w:tcPr>
          <w:p w14:paraId="0ECBECD6" w14:textId="34F89514" w:rsidR="00931C32" w:rsidRPr="00E602B2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Inštitúcie pri zverejňovaní informácií uvedených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článku 435 ods. 1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d)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</w:t>
            </w:r>
            <w:r w:rsidR="00E602B2">
              <w:rPr>
                <w:rFonts w:ascii="Times New Roman" w:hAnsi="Times New Roman"/>
                <w:sz w:val="24"/>
              </w:rPr>
              <w:t xml:space="preserve"> o </w:t>
            </w:r>
            <w:r w:rsidRPr="00E602B2">
              <w:rPr>
                <w:rFonts w:ascii="Times New Roman" w:hAnsi="Times New Roman"/>
                <w:sz w:val="24"/>
              </w:rPr>
              <w:t>cieľoch riadenia rizík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politikách na riadenie trhového rizika zahŕňajú:</w:t>
            </w:r>
          </w:p>
          <w:p w14:paraId="6756FE11" w14:textId="77777777" w:rsidR="00E602B2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vysvetlenie strategických cieľov svojho manažmentu pri vykonávaní obchodných činností,</w:t>
            </w:r>
          </w:p>
          <w:p w14:paraId="28C8AA1E" w14:textId="06D9A9E2" w:rsidR="00DE4020" w:rsidRPr="00E602B2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2B2">
              <w:rPr>
                <w:rFonts w:ascii="Times New Roman" w:hAnsi="Times New Roman"/>
                <w:sz w:val="24"/>
              </w:rPr>
              <w:t>opis politík uvedených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článku 104 ods. 1 na určenie toho, ktorá pozícia sa má zahrnúť do obchodnej knihy, vrátane vymedzenia neuplatnených pozícií (</w:t>
            </w:r>
            <w:r w:rsidRPr="00E602B2">
              <w:rPr>
                <w:rFonts w:ascii="Times New Roman" w:hAnsi="Times New Roman"/>
                <w:i/>
                <w:iCs/>
                <w:sz w:val="24"/>
              </w:rPr>
              <w:t>stale positions</w:t>
            </w:r>
            <w:r w:rsidRPr="00E602B2">
              <w:rPr>
                <w:rFonts w:ascii="Times New Roman" w:hAnsi="Times New Roman"/>
                <w:sz w:val="24"/>
              </w:rPr>
              <w:t>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politík riadenia rizík na monitorovanie uvedených pozícií. Inštitúcie musia navyše opísať prípady, keď sa nástroje priraďujú do obchodnej alebo bankovej knihy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rozpore so všeobecnými predpokladmi týkajúcimi sa kategórie ich nástroja vrátane trhovej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reálnej hodnoty takýchto prípadov, ako aj akékoľvek reklasifikácie</w:t>
            </w:r>
            <w:r w:rsidR="00E602B2">
              <w:rPr>
                <w:rFonts w:ascii="Times New Roman" w:hAnsi="Times New Roman"/>
                <w:sz w:val="24"/>
              </w:rPr>
              <w:t xml:space="preserve"> z </w:t>
            </w:r>
            <w:r w:rsidRPr="00E602B2">
              <w:rPr>
                <w:rFonts w:ascii="Times New Roman" w:hAnsi="Times New Roman"/>
                <w:sz w:val="24"/>
              </w:rPr>
              <w:t>jednej knihy do druhej od posledného obdobia vykazovania vrátane reálnej hodnoty takýchto prípadov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dôvodu reklasifikácie;</w:t>
            </w:r>
          </w:p>
          <w:p w14:paraId="20F3C237" w14:textId="26E7C7B3" w:rsidR="00795618" w:rsidRPr="00E602B2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2B2">
              <w:rPr>
                <w:rFonts w:ascii="Times New Roman" w:hAnsi="Times New Roman"/>
                <w:sz w:val="24"/>
              </w:rPr>
              <w:t>opis interných činností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oblasti presunu rizika vrátane druhov deskov na interný presun rizika;</w:t>
            </w:r>
          </w:p>
          <w:p w14:paraId="17B1142E" w14:textId="19B69BEB" w:rsidR="00931C32" w:rsidRPr="00E602B2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2B2">
              <w:rPr>
                <w:rFonts w:ascii="Times New Roman" w:hAnsi="Times New Roman"/>
                <w:sz w:val="24"/>
              </w:rPr>
              <w:t>postupy zavedené na identifikáciu, meranie, monitorovanie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kontrolu trhových rizík inštitúcie,</w:t>
            </w:r>
          </w:p>
          <w:p w14:paraId="216165DD" w14:textId="41A982C4" w:rsidR="00931C32" w:rsidRPr="00E602B2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2B2">
              <w:rPr>
                <w:rFonts w:ascii="Times New Roman" w:hAnsi="Times New Roman"/>
                <w:sz w:val="24"/>
              </w:rPr>
              <w:t>politiky týkajúce sa hedžingu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zmierňovania rizika,</w:t>
            </w:r>
          </w:p>
          <w:p w14:paraId="5B43C932" w14:textId="6FC994B5" w:rsidR="00931C32" w:rsidRPr="00E602B2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>stratégie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postupy monitorovania trvalej účinnosti hedžingov.</w:t>
            </w:r>
          </w:p>
        </w:tc>
      </w:tr>
      <w:tr w:rsidR="00931C32" w:rsidRPr="00E602B2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E602B2" w:rsidRDefault="00931C32" w:rsidP="00DE090B">
            <w:pPr>
              <w:pStyle w:val="Applicationdirecte"/>
              <w:spacing w:before="0" w:after="240"/>
              <w:jc w:val="center"/>
            </w:pPr>
            <w:r w:rsidRPr="00E602B2">
              <w:lastRenderedPageBreak/>
              <w:t>b)</w:t>
            </w:r>
          </w:p>
        </w:tc>
        <w:tc>
          <w:tcPr>
            <w:tcW w:w="7655" w:type="dxa"/>
          </w:tcPr>
          <w:p w14:paraId="57B23AAF" w14:textId="12A3EA92" w:rsidR="00931C32" w:rsidRPr="00E602B2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Inštitúcie pri zverejňovaní informácií uvedených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článku 435 ods. 1 písm. b)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</w:t>
            </w:r>
            <w:r w:rsidR="00E602B2">
              <w:rPr>
                <w:rFonts w:ascii="Times New Roman" w:hAnsi="Times New Roman"/>
                <w:sz w:val="24"/>
              </w:rPr>
              <w:t xml:space="preserve"> o </w:t>
            </w:r>
            <w:r w:rsidRPr="00E602B2">
              <w:rPr>
                <w:rFonts w:ascii="Times New Roman" w:hAnsi="Times New Roman"/>
                <w:sz w:val="24"/>
              </w:rPr>
              <w:t>štruktúre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organizácii funkcie riadenia trhového rizika zahŕňajú:</w:t>
            </w:r>
          </w:p>
          <w:p w14:paraId="1D14C825" w14:textId="77777777" w:rsidR="00E602B2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opis štruktúry riadenia trhového rizika vytvorenej na implementáciu stratégií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postupov inštitúcií uvedených vyššie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riadku a),</w:t>
            </w:r>
          </w:p>
          <w:p w14:paraId="10C87729" w14:textId="0F5DD082" w:rsidR="00931C32" w:rsidRPr="00E602B2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2B2">
              <w:rPr>
                <w:rFonts w:ascii="Times New Roman" w:hAnsi="Times New Roman"/>
                <w:sz w:val="24"/>
              </w:rPr>
              <w:t>opis vzťahov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komunikačných mechanizmov medzi jednotlivými stranami zapojenými do riadenia trhového rizika. </w:t>
            </w:r>
          </w:p>
        </w:tc>
      </w:tr>
      <w:tr w:rsidR="00931C32" w:rsidRPr="00E602B2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E602B2" w:rsidRDefault="00931C32" w:rsidP="00DE090B">
            <w:pPr>
              <w:pStyle w:val="Applicationdirecte"/>
              <w:spacing w:before="0" w:after="240"/>
              <w:jc w:val="center"/>
            </w:pPr>
            <w:r w:rsidRPr="00E602B2">
              <w:t>c)</w:t>
            </w:r>
          </w:p>
          <w:p w14:paraId="672A6659" w14:textId="77777777" w:rsidR="00931C32" w:rsidRPr="00E602B2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54931DD5" w:rsidR="00931C32" w:rsidRPr="00E602B2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Inštitúcie pri zverejňovaní informácií uvedených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článku 435 ods. 1 písm. c)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</w:t>
            </w:r>
            <w:r w:rsidR="00E602B2">
              <w:rPr>
                <w:rFonts w:ascii="Times New Roman" w:hAnsi="Times New Roman"/>
                <w:sz w:val="24"/>
              </w:rPr>
              <w:t xml:space="preserve"> o </w:t>
            </w:r>
            <w:r w:rsidRPr="00E602B2">
              <w:rPr>
                <w:rFonts w:ascii="Times New Roman" w:hAnsi="Times New Roman"/>
                <w:sz w:val="24"/>
              </w:rPr>
              <w:t>rozsahu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charaktere systémov vykazovania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merania trhového rizika poskytujú opis rozsahu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charakteru systémov vykazovania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merania trhového rizika. </w:t>
            </w:r>
          </w:p>
        </w:tc>
      </w:tr>
      <w:tr w:rsidR="06503780" w:rsidRPr="00E602B2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(EU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47564272" w:rsidR="06503780" w:rsidRPr="00E602B2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Inštitúcie pri zverejňovaní informácií uvedených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článku 445 ods. 1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</w:t>
            </w:r>
            <w:r w:rsidR="00E602B2">
              <w:rPr>
                <w:rFonts w:ascii="Times New Roman" w:hAnsi="Times New Roman"/>
                <w:sz w:val="24"/>
              </w:rPr>
              <w:t xml:space="preserve"> o </w:t>
            </w:r>
            <w:r w:rsidRPr="00E602B2">
              <w:rPr>
                <w:rFonts w:ascii="Times New Roman" w:hAnsi="Times New Roman"/>
                <w:sz w:val="24"/>
              </w:rPr>
              <w:t>všeobecnom prehľade pozícií obchodnej knihy uvádzajú všeobecný opis svojich pozícií obchodnej knihy.</w:t>
            </w:r>
          </w:p>
        </w:tc>
      </w:tr>
    </w:tbl>
    <w:p w14:paraId="0A37501D" w14:textId="5B1DE2AB" w:rsidR="00931C32" w:rsidRPr="00E602B2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</w:rPr>
      </w:pPr>
    </w:p>
    <w:p w14:paraId="6A05A809" w14:textId="77777777" w:rsidR="00931C32" w:rsidRPr="00E602B2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1FE8BB6" w14:textId="0765936F" w:rsidR="00931C32" w:rsidRPr="00E602B2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 w:rsidRPr="00E602B2">
        <w:rPr>
          <w:rFonts w:ascii="Times New Roman" w:hAnsi="Times New Roman"/>
          <w:b/>
          <w:sz w:val="24"/>
        </w:rPr>
        <w:t>Vzor EU MR1 – Trhové riziko podľa alternatívneho štandardizovaného prístupu (ASA)</w:t>
      </w:r>
      <w:r w:rsidRPr="00E602B2">
        <w:rPr>
          <w:rFonts w:ascii="Times New Roman" w:hAnsi="Times New Roman"/>
          <w:sz w:val="24"/>
        </w:rPr>
        <w:t>: pevný formát</w:t>
      </w:r>
    </w:p>
    <w:p w14:paraId="328A3EAE" w14:textId="561DB1B3" w:rsidR="00931C32" w:rsidRPr="00E602B2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E602B2">
        <w:rPr>
          <w:rFonts w:ascii="Times New Roman" w:hAnsi="Times New Roman"/>
          <w:sz w:val="24"/>
        </w:rPr>
        <w:t>Inštitúcie zverejňujú informácie uvedené</w:t>
      </w:r>
      <w:r w:rsidR="00E602B2">
        <w:rPr>
          <w:rFonts w:ascii="Times New Roman" w:hAnsi="Times New Roman"/>
          <w:sz w:val="24"/>
        </w:rPr>
        <w:t xml:space="preserve"> v </w:t>
      </w:r>
      <w:r w:rsidRPr="00E602B2">
        <w:rPr>
          <w:rFonts w:ascii="Times New Roman" w:hAnsi="Times New Roman"/>
          <w:sz w:val="24"/>
        </w:rPr>
        <w:t xml:space="preserve">článku 445 nariadenia (EÚ) </w:t>
      </w:r>
      <w:r w:rsidR="00E602B2">
        <w:rPr>
          <w:rFonts w:ascii="Times New Roman" w:hAnsi="Times New Roman"/>
          <w:sz w:val="24"/>
        </w:rPr>
        <w:t>č. </w:t>
      </w:r>
      <w:r w:rsidRPr="00E602B2">
        <w:rPr>
          <w:rFonts w:ascii="Times New Roman" w:hAnsi="Times New Roman"/>
          <w:sz w:val="24"/>
        </w:rPr>
        <w:t>575/2013 podľa pokynov uvedených nižšie</w:t>
      </w:r>
      <w:r w:rsidR="00E602B2">
        <w:rPr>
          <w:rFonts w:ascii="Times New Roman" w:hAnsi="Times New Roman"/>
          <w:sz w:val="24"/>
        </w:rPr>
        <w:t xml:space="preserve"> v </w:t>
      </w:r>
      <w:r w:rsidRPr="00E602B2">
        <w:rPr>
          <w:rFonts w:ascii="Times New Roman" w:hAnsi="Times New Roman"/>
          <w:sz w:val="24"/>
        </w:rPr>
        <w:t>tejto prílohe</w:t>
      </w:r>
      <w:r w:rsidR="00E602B2">
        <w:rPr>
          <w:rFonts w:ascii="Times New Roman" w:hAnsi="Times New Roman"/>
          <w:sz w:val="24"/>
        </w:rPr>
        <w:t xml:space="preserve"> s </w:t>
      </w:r>
      <w:r w:rsidRPr="00E602B2">
        <w:rPr>
          <w:rFonts w:ascii="Times New Roman" w:hAnsi="Times New Roman"/>
          <w:sz w:val="24"/>
        </w:rPr>
        <w:t>cieľom vyplniť vzor EU MR1, ktorý je uvedený</w:t>
      </w:r>
      <w:r w:rsidR="00E602B2">
        <w:rPr>
          <w:rFonts w:ascii="Times New Roman" w:hAnsi="Times New Roman"/>
          <w:sz w:val="24"/>
        </w:rPr>
        <w:t xml:space="preserve"> v </w:t>
      </w:r>
      <w:r w:rsidRPr="00E602B2">
        <w:rPr>
          <w:rFonts w:ascii="Times New Roman" w:hAnsi="Times New Roman"/>
          <w:sz w:val="24"/>
        </w:rPr>
        <w:t>prílohe XXIX.</w:t>
      </w:r>
      <w:r w:rsidRPr="00E602B2">
        <w:rPr>
          <w:rFonts w:ascii="Times New Roman" w:hAnsi="Times New Roman"/>
          <w:color w:val="000000" w:themeColor="text1"/>
          <w:sz w:val="24"/>
        </w:rPr>
        <w:t xml:space="preserve"> </w:t>
      </w:r>
      <w:r w:rsidRPr="00E602B2">
        <w:rPr>
          <w:rFonts w:ascii="Times New Roman" w:hAnsi="Times New Roman"/>
          <w:color w:val="auto"/>
          <w:sz w:val="24"/>
        </w:rPr>
        <w:t>Inštitúcie do tohto vzoru nezahŕňajú žiadne údaje</w:t>
      </w:r>
      <w:r w:rsidR="00E602B2">
        <w:rPr>
          <w:rFonts w:ascii="Times New Roman" w:hAnsi="Times New Roman"/>
          <w:color w:val="auto"/>
          <w:sz w:val="24"/>
        </w:rPr>
        <w:t xml:space="preserve"> o </w:t>
      </w:r>
      <w:r w:rsidRPr="00E602B2">
        <w:rPr>
          <w:rFonts w:ascii="Times New Roman" w:hAnsi="Times New Roman"/>
          <w:color w:val="auto"/>
          <w:sz w:val="24"/>
        </w:rPr>
        <w:t>svojom desku na interný presun rizika (IRT).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E602B2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1DE248B3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6503780" w:rsidRPr="00E602B2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6503780" w:rsidRPr="00E602B2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EDD4A6E" w14:textId="77777777" w:rsidR="00E602B2" w:rsidRDefault="06503780" w:rsidP="00DB0A49">
            <w:pPr>
              <w:spacing w:after="240"/>
              <w:rPr>
                <w:rFonts w:ascii="Times New Roman" w:hAnsi="Times New Roman"/>
                <w:sz w:val="24"/>
                <w:u w:val="single"/>
              </w:rPr>
            </w:pPr>
            <w:r w:rsidRPr="00E602B2">
              <w:rPr>
                <w:rFonts w:ascii="Times New Roman" w:hAnsi="Times New Roman"/>
                <w:b/>
                <w:sz w:val="24"/>
                <w:u w:val="single"/>
              </w:rPr>
              <w:t>Metóda založená na citlivosti</w:t>
            </w:r>
          </w:p>
          <w:p w14:paraId="32BE5AB7" w14:textId="7330D5EC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v 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treťou časťou hlavou IV kapitolou 1a oddielom 2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Všeobecné úrokové riziko (GIRR)</w:t>
            </w:r>
          </w:p>
          <w:p w14:paraId="7CFD9A05" w14:textId="11FDDC63" w:rsidR="06503780" w:rsidRPr="00E602B2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325d ods. 1 bodu i)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52CB" w:rsidRPr="00E602B2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E602B2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E602B2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Akciové riziko (EQU)</w:t>
            </w:r>
          </w:p>
          <w:p w14:paraId="7FA49EA1" w14:textId="3C294B17" w:rsidR="006852CB" w:rsidRPr="00E602B2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>podľa článku 325c ods. 2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325d ods. 1 bodu v)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52CB" w:rsidRPr="00E602B2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E602B2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E602B2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Komoditné riziko (COM)</w:t>
            </w:r>
          </w:p>
          <w:p w14:paraId="2EF1141F" w14:textId="0A29A24B" w:rsidR="006852CB" w:rsidRPr="00E602B2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325d ods. 1 bodu vi)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6852CB" w:rsidRPr="00E602B2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E602B2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E602B2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Devízové riziko (FX)</w:t>
            </w:r>
          </w:p>
          <w:p w14:paraId="4E899697" w14:textId="1909673F" w:rsidR="006852CB" w:rsidRPr="00E602B2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325d ods. 1 bodu vii)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E602B2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Riziko kreditného rozpätia (CSR) pre nesekuritizácie</w:t>
            </w:r>
          </w:p>
          <w:p w14:paraId="7FFBB47A" w14:textId="321DC417" w:rsidR="06503780" w:rsidRPr="00E602B2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325d ods. 1 bodu ii)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E602B2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4DDCB5B4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Riziko kreditného rozpätia pre sekuritizáciu neobsiahnuté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b/>
                <w:sz w:val="24"/>
              </w:rPr>
              <w:t>alternatívnom korelačnom obchodnom portfóliu (mimo ACTP CSR)</w:t>
            </w:r>
          </w:p>
          <w:p w14:paraId="7767EDBC" w14:textId="6946DC40" w:rsidR="06503780" w:rsidRPr="00E602B2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325d ods. 1 bodu iii)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E602B2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19683ED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Riziko kreditného rozpätia pre sekuritizáciu obsiahnuté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b/>
                <w:sz w:val="24"/>
              </w:rPr>
              <w:t>alternatívnom korelačnom obchodnom portfóliu (ACTP CSR)</w:t>
            </w:r>
          </w:p>
          <w:p w14:paraId="3E4A8A35" w14:textId="65C6B91C" w:rsidR="06503780" w:rsidRPr="00E602B2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a)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325d ods. 1 bodu iv)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E602B2">
              <w:rPr>
                <w:rFonts w:ascii="Times New Roman" w:hAnsi="Times New Roman"/>
                <w:b/>
                <w:sz w:val="24"/>
                <w:u w:val="single"/>
              </w:rPr>
              <w:t>Riziko zlyhania</w:t>
            </w:r>
          </w:p>
          <w:p w14:paraId="50AC8B96" w14:textId="21324447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v 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treťou časťou hlavou IV kapitolou 1a oddielom 5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Nesekuritizácie</w:t>
            </w:r>
          </w:p>
          <w:p w14:paraId="6E07A74F" w14:textId="550146E3" w:rsidR="06503780" w:rsidRPr="00E602B2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b)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tretej časti hlavy IV kapitoly 1a oddielu 5 pododdielu 1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  <w:r w:rsidRPr="00E602B2"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E602B2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40C87726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Sekuritizácia neobsiahnutá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b/>
                <w:sz w:val="24"/>
              </w:rPr>
              <w:t>alternatívnom korelačnom obchodnom portfóliu (mimo ACTP)</w:t>
            </w:r>
          </w:p>
          <w:p w14:paraId="093A58C5" w14:textId="5CCBEF73" w:rsidR="06503780" w:rsidRPr="00E602B2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b)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tretej časti hlavy IV kapitoly 1a oddielu 5 pododdielu 2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  <w:r w:rsidRPr="00E602B2"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E602B2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5A272029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Sekuritizácia obsiahnutá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b/>
                <w:sz w:val="24"/>
              </w:rPr>
              <w:t>alternatívnom korelačnom obchodnom portfóliu (ACTP)</w:t>
            </w:r>
          </w:p>
          <w:p w14:paraId="4F126C34" w14:textId="2A93721F" w:rsidR="06503780" w:rsidRPr="00E602B2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>podľa článku 325c ods. 2 písm. b)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tretej časti hlavy IV kapitoly 1a oddielu 5 pododdielu 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  <w:r w:rsidRPr="00E602B2"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E602B2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E602B2">
              <w:rPr>
                <w:rFonts w:ascii="Times New Roman" w:hAnsi="Times New Roman"/>
                <w:b/>
                <w:sz w:val="24"/>
                <w:u w:val="single"/>
              </w:rPr>
              <w:t>Reziduálne riziko</w:t>
            </w:r>
          </w:p>
          <w:p w14:paraId="3E3A6F03" w14:textId="5DD2F788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 xml:space="preserve">Tretia časť hlava IV kapitola 1a oddiel 4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E602B2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EU 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Exotické podkladové aktíva</w:t>
            </w:r>
          </w:p>
          <w:p w14:paraId="7ED02FAC" w14:textId="1D506DDE" w:rsidR="06503780" w:rsidRPr="00E602B2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c)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325u ods. 2 písm. a)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E602B2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EU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E602B2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Ostatné reziduálne riziká</w:t>
            </w:r>
          </w:p>
          <w:p w14:paraId="5E46032C" w14:textId="04811DD2" w:rsidR="06503780" w:rsidRPr="00E602B2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podľa článku 325c ods. 2 písm. c)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článku 325u ods. 2 písm. b)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6503780" w:rsidRPr="00E602B2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E602B2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E602B2">
              <w:rPr>
                <w:rFonts w:ascii="Times New Roman" w:hAnsi="Times New Roman"/>
                <w:b/>
                <w:sz w:val="24"/>
                <w:u w:val="single"/>
              </w:rPr>
              <w:t>Požiadavky na celkové vlastné zdroje (OFR)</w:t>
            </w:r>
          </w:p>
          <w:p w14:paraId="3AEB87FA" w14:textId="63F7CC8B" w:rsidR="06503780" w:rsidRPr="00E602B2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Súčet riadkov 1 až EU11b.</w:t>
            </w:r>
          </w:p>
          <w:p w14:paraId="65A75CAB" w14:textId="1D4354D4" w:rsidR="002A353C" w:rsidRPr="00E602B2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E602B2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Písmeno stĺpca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E602B2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6503780" w:rsidRPr="00E602B2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E602B2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E602B2">
              <w:rPr>
                <w:rFonts w:ascii="Times New Roman" w:hAnsi="Times New Roman"/>
                <w:b/>
                <w:sz w:val="24"/>
                <w:u w:val="single"/>
              </w:rPr>
              <w:t>Požiadavky na celkové vlastné zdroje (OFR)</w:t>
            </w:r>
          </w:p>
        </w:tc>
      </w:tr>
      <w:tr w:rsidR="06503780" w:rsidRPr="00E602B2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E602B2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78D22E0" w:rsidR="517DDA85" w:rsidRPr="00E602B2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Zverejňovanie informácií</w:t>
            </w:r>
            <w:r w:rsidR="00E602B2">
              <w:rPr>
                <w:rFonts w:ascii="Times New Roman" w:hAnsi="Times New Roman"/>
                <w:sz w:val="24"/>
              </w:rPr>
              <w:t xml:space="preserve"> o </w:t>
            </w:r>
            <w:r w:rsidRPr="00E602B2">
              <w:rPr>
                <w:rFonts w:ascii="Times New Roman" w:hAnsi="Times New Roman"/>
                <w:sz w:val="24"/>
              </w:rPr>
              <w:t xml:space="preserve">požiadavkách na vlastné zdroje podľa článku 438 písm. d) 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</w:t>
            </w:r>
            <w:r w:rsidRPr="00E602B2">
              <w:rPr>
                <w:rFonts w:ascii="Times New Roman" w:hAnsi="Times New Roman"/>
                <w:sz w:val="24"/>
              </w:rPr>
              <w:t>, vypočítaných ako jednoduchý súčet súm uvedených vyššie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riadkoch 1 až EU 11b.</w:t>
            </w:r>
          </w:p>
          <w:p w14:paraId="4E5B9771" w14:textId="40E878CC" w:rsidR="06503780" w:rsidRPr="00E602B2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E602B2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3568E139" w:rsidR="00931C32" w:rsidRPr="00E602B2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 w:rsidRPr="00E602B2">
        <w:rPr>
          <w:rFonts w:ascii="Times New Roman" w:hAnsi="Times New Roman"/>
          <w:b/>
          <w:sz w:val="24"/>
        </w:rPr>
        <w:t>Tabuľka EU MRB: Požiadavky na zverejňovanie kvalitatívnych informácií pre inštitúcie, ktoré používajú alternatívny prístup interného modelu</w:t>
      </w:r>
      <w:r w:rsidRPr="00E602B2">
        <w:rPr>
          <w:rFonts w:ascii="Times New Roman" w:hAnsi="Times New Roman"/>
          <w:sz w:val="24"/>
        </w:rPr>
        <w:t>: formát</w:t>
      </w:r>
      <w:r w:rsidR="00E602B2">
        <w:rPr>
          <w:rFonts w:ascii="Times New Roman" w:hAnsi="Times New Roman"/>
          <w:sz w:val="24"/>
        </w:rPr>
        <w:t xml:space="preserve"> s </w:t>
      </w:r>
      <w:r w:rsidRPr="00E602B2">
        <w:rPr>
          <w:rFonts w:ascii="Times New Roman" w:hAnsi="Times New Roman"/>
          <w:sz w:val="24"/>
        </w:rPr>
        <w:t>ľubovoľným textom</w:t>
      </w:r>
    </w:p>
    <w:p w14:paraId="32EDF34C" w14:textId="55F84EA3" w:rsidR="00931C32" w:rsidRPr="00E602B2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E602B2">
        <w:rPr>
          <w:rFonts w:ascii="Times New Roman" w:hAnsi="Times New Roman"/>
          <w:color w:val="000000" w:themeColor="text1"/>
          <w:sz w:val="24"/>
        </w:rPr>
        <w:t>Inštitúcie zverejňujú informácie uvedené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článku 455 písm. a), b), c), d), e)</w:t>
      </w:r>
      <w:r w:rsidR="00E602B2">
        <w:rPr>
          <w:rFonts w:ascii="Times New Roman" w:hAnsi="Times New Roman"/>
          <w:color w:val="000000" w:themeColor="text1"/>
          <w:sz w:val="24"/>
        </w:rPr>
        <w:t xml:space="preserve"> a </w:t>
      </w:r>
      <w:r w:rsidRPr="00E602B2">
        <w:rPr>
          <w:rFonts w:ascii="Times New Roman" w:hAnsi="Times New Roman"/>
          <w:color w:val="000000" w:themeColor="text1"/>
          <w:sz w:val="24"/>
        </w:rPr>
        <w:t xml:space="preserve">f) nariadenia (EÚ) </w:t>
      </w:r>
      <w:r w:rsidR="00E602B2">
        <w:rPr>
          <w:rFonts w:ascii="Times New Roman" w:hAnsi="Times New Roman"/>
          <w:color w:val="000000" w:themeColor="text1"/>
          <w:sz w:val="24"/>
        </w:rPr>
        <w:t>č. </w:t>
      </w:r>
      <w:r w:rsidRPr="00E602B2">
        <w:rPr>
          <w:rFonts w:ascii="Times New Roman" w:hAnsi="Times New Roman"/>
          <w:color w:val="000000" w:themeColor="text1"/>
          <w:sz w:val="24"/>
        </w:rPr>
        <w:t>575/2013 podľa pokynov uvedených nižšie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tejto prílohe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s </w:t>
      </w:r>
      <w:r w:rsidRPr="00E602B2">
        <w:rPr>
          <w:rFonts w:ascii="Times New Roman" w:hAnsi="Times New Roman"/>
          <w:color w:val="000000" w:themeColor="text1"/>
          <w:sz w:val="24"/>
        </w:rPr>
        <w:t>cieľom vyplniť tabuľku EU MRB, ktorá je uvedená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prílohe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E602B2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6F8E2F2E" w:rsidR="00931C32" w:rsidRPr="00E602B2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31C32" w:rsidRPr="00E602B2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E602B2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E602B2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3765CAC5" w:rsidRPr="00E602B2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E602B2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02532369" w:rsidR="7BC02D42" w:rsidRPr="00E602B2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Inštitúcie pri zverejňovaní informácií uvedených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článku 455 prvom odseku písm. a)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</w:t>
            </w:r>
            <w:r w:rsidR="00E602B2">
              <w:rPr>
                <w:rFonts w:ascii="Times New Roman" w:hAnsi="Times New Roman"/>
                <w:sz w:val="24"/>
              </w:rPr>
              <w:t xml:space="preserve"> o </w:t>
            </w:r>
            <w:r w:rsidRPr="00E602B2">
              <w:rPr>
                <w:rFonts w:ascii="Times New Roman" w:hAnsi="Times New Roman"/>
                <w:sz w:val="24"/>
              </w:rPr>
              <w:t>alternatívnych interných modeloch trhového rizika zahŕňajú:</w:t>
            </w:r>
          </w:p>
        </w:tc>
      </w:tr>
      <w:tr w:rsidR="3765CAC5" w:rsidRPr="00E602B2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E602B2" w:rsidRDefault="00B02BFD" w:rsidP="3765CAC5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EU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0497C958" w:rsidR="3C9E464D" w:rsidRPr="00E602B2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ciele inštitúcie pri vykonávaní obchodných činností, ako aj postupy uplatňované na identifikáciu, meranie, monitorovanie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kontrolu 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trhových rizík inštitúcie. Túto informáciu možno poskytnúť tak, že sa uvedie krížový odkaz na tabuľku EU MRA;</w:t>
            </w:r>
          </w:p>
        </w:tc>
      </w:tr>
      <w:tr w:rsidR="3765CAC5" w:rsidRPr="00E602B2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E602B2" w:rsidRDefault="00671C85" w:rsidP="3765CAC5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>EU 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0B8C913C" w:rsidR="3C9E464D" w:rsidRPr="00E602B2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politiky uvedené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článku 104 ods. 1 na určenie toho, ktorá pozícia sa má zahrnúť do obchodnej knihy. Túto informáciu možno poskytnúť tak, že sa uvedie krížový odkaz na tabuľku EU MR A;</w:t>
            </w:r>
          </w:p>
        </w:tc>
      </w:tr>
      <w:tr w:rsidR="00671C85" w:rsidRPr="00E602B2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E602B2" w:rsidRDefault="00C06844" w:rsidP="00DE090B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EU 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A001BC0" w:rsidR="00671C85" w:rsidRPr="00E602B2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štruktúru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organizáciu funkcie riadenia trhového rizika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jej správu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riadenie;</w:t>
            </w:r>
          </w:p>
        </w:tc>
      </w:tr>
      <w:tr w:rsidR="00701D8F" w:rsidRPr="00E602B2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E602B2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7DFC5456" w:rsidR="00701D8F" w:rsidRPr="00E602B2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A) B) Všeobecný opis štruktúry trading deskov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druhov nástrojov, ktoré sú zahrnuté do trading desku podľa AIMA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súlade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článkom 455 ods. 1 písm. c), d)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575/2013. </w:t>
            </w:r>
          </w:p>
        </w:tc>
      </w:tr>
      <w:tr w:rsidR="001B4290" w:rsidRPr="00E602B2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E602B2" w:rsidRDefault="001B4290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B a)</w:t>
            </w:r>
          </w:p>
          <w:p w14:paraId="6D2F2E9A" w14:textId="09BF2D11" w:rsidR="001B4290" w:rsidRPr="00E602B2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2E4D7BA9" w:rsidR="001B4290" w:rsidRPr="00E602B2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Inštitúcie pri zverejňovaní informácií podľa článku 455 ods. 1 písm. c)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 uvádzajú všeobecný opis štruktúry trading deskov, na ktoré sa vzťahujú interné modely uvedené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článku 325az, vrátane rozšíreného opisu – pre každý desk – obchodnej stratégie desku, nástrojov, ktoré má povolenie používať,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hlavných druhov rizika súvisiacich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týmto deskom;</w:t>
            </w:r>
          </w:p>
        </w:tc>
      </w:tr>
      <w:tr w:rsidR="001B4290" w:rsidRPr="00E602B2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E602B2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73473DFF" w:rsidR="001B4290" w:rsidRPr="00E602B2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Inštitúcie pri zverejňovaní informácií podľa článku 455 ods. 1 písm. d)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 uvádzajú všeobecný prehľad pozícií obchodnej knihy, na ktoré sa nevzťahujú interné modely uvedené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článku 325az, vrátane všeobecného opisu štruktúry desku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typu nástrojov zahrnutých do deskov alebo kategórií deskov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súlade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článkom 104b.</w:t>
            </w:r>
          </w:p>
        </w:tc>
      </w:tr>
      <w:tr w:rsidR="00090EA4" w:rsidRPr="00E602B2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54539DD" w:rsidR="00090EA4" w:rsidRPr="00E602B2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B) C) E) Opis hlavných charakteristických znakov modelov používaných na konsolidovanej úrovni vrátane prístupov používaných pri validácii modelov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procesov modelovania.</w:t>
            </w:r>
          </w:p>
          <w:p w14:paraId="32D410A2" w14:textId="3D7C861F" w:rsidR="00DE5B78" w:rsidRPr="00E602B2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E602B2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E602B2" w:rsidDel="00671C85" w:rsidRDefault="00A75779" w:rsidP="3765CAC5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B b) c) d) 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3162E8A1" w:rsidR="007E7D7A" w:rsidRPr="00E602B2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Inštitúcie pri zverejňovaní informácií podľa článku 455 ods. 1 písm. f) bodu i)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 uvádzajú: rozsah, hlavné charakteristické znaky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kľúčové zvolené možnosti modelovania rôznych interných modelov uvedených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článku 325az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575/2013, ktoré sa používajú na výpočet hodnôt rizikových expozícií pre hlavné modely používané na konsolidovanej úrovni,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opis toho, do akej miery tieto interné modely zastupujú všetky modely používané na konsolidovanej úrovni, prípadne aj: i) rozšírený opis prístupu modelovania použitého na výpočet predpokladaného schodku uvedeného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článku 325ba ods. 1 písm. a) CRR vrátane frekvencie aktualizácie údajov.</w:t>
            </w:r>
          </w:p>
        </w:tc>
      </w:tr>
      <w:tr w:rsidR="008A05A4" w:rsidRPr="00E602B2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E602B2" w:rsidDel="00671C85" w:rsidRDefault="00C82CB4" w:rsidP="3765CAC5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C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31D0C17E" w:rsidR="00D6625B" w:rsidRPr="00E602B2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Inštitúcie pri zverejňovaní informácií podľa článku 455 ods. 1 písm. f) bodu ii)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 uvádzajú, ak je to relevantné: rozšírený opis metodiky použitej na výpočet miery rizika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rámci stresového scenára uvedenej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článku 325ba ods. 1 písm. b)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 okrem špecifikácií stanovených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článku 325bk ods. 3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575/2013.</w:t>
            </w:r>
          </w:p>
          <w:p w14:paraId="3E866C05" w14:textId="635C3FD9" w:rsidR="008A05A4" w:rsidRPr="00E602B2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E602B2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E602B2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D) Opis interných modelov na výpočet požiadavky na krytie rizika zlyhania.</w:t>
            </w:r>
          </w:p>
        </w:tc>
      </w:tr>
      <w:tr w:rsidR="3765CAC5" w:rsidRPr="00E602B2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E602B2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8010E71" w:rsidR="3C9E464D" w:rsidRPr="00E602B2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Inštitúcie pri zverejňovaní informácií podľa článku 455 ods. 1 písm. f) bodu iii)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 xml:space="preserve">575/2013 uvádzajú, ak je to relevantné: rozšírený opis prístupu modelovania použitého na výpočet požiadavky 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na krytie rizika zlyhania podľa článku 325ba ods. 2 nariadenia (EÚ) </w:t>
            </w:r>
            <w:r w:rsidR="00E602B2">
              <w:rPr>
                <w:rFonts w:ascii="Times New Roman" w:hAnsi="Times New Roman"/>
                <w:color w:val="000000" w:themeColor="text1"/>
                <w:sz w:val="24"/>
              </w:rPr>
              <w:t>č. </w:t>
            </w:r>
            <w:r w:rsidRPr="00E602B2">
              <w:rPr>
                <w:rFonts w:ascii="Times New Roman" w:hAnsi="Times New Roman"/>
                <w:color w:val="000000" w:themeColor="text1"/>
                <w:sz w:val="24"/>
              </w:rPr>
              <w:t>575/2013 vrátane frekvencie aktualizácie údajov.</w:t>
            </w:r>
          </w:p>
        </w:tc>
      </w:tr>
    </w:tbl>
    <w:p w14:paraId="116B518F" w14:textId="73EB613A" w:rsidR="3765CAC5" w:rsidRPr="00E602B2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E602B2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E602B2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 w:rsidRPr="00E602B2">
        <w:rPr>
          <w:rFonts w:ascii="Times New Roman" w:hAnsi="Times New Roman"/>
          <w:b/>
          <w:color w:val="auto"/>
          <w:sz w:val="24"/>
        </w:rPr>
        <w:t>Vzor EU MR2 – Trhové riziko podľa alternatívneho prístupu interného modelu (AIMA):</w:t>
      </w:r>
      <w:r w:rsidRPr="00E602B2">
        <w:rPr>
          <w:rFonts w:ascii="Times New Roman" w:hAnsi="Times New Roman"/>
          <w:color w:val="auto"/>
          <w:sz w:val="24"/>
        </w:rPr>
        <w:t xml:space="preserve"> pevný formát</w:t>
      </w:r>
    </w:p>
    <w:p w14:paraId="2D64DF36" w14:textId="4877E1D6" w:rsidR="00931C32" w:rsidRPr="00E602B2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E602B2">
        <w:rPr>
          <w:rFonts w:ascii="Times New Roman" w:hAnsi="Times New Roman"/>
          <w:color w:val="000000" w:themeColor="text1"/>
          <w:sz w:val="24"/>
        </w:rPr>
        <w:t>Inštitúcie zverejňujú informácie uvedené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 xml:space="preserve">článku 455 ods. 2 nariadenia (EÚ) </w:t>
      </w:r>
      <w:r w:rsidR="00E602B2">
        <w:rPr>
          <w:rFonts w:ascii="Times New Roman" w:hAnsi="Times New Roman"/>
          <w:color w:val="000000" w:themeColor="text1"/>
          <w:sz w:val="24"/>
        </w:rPr>
        <w:t>č. </w:t>
      </w:r>
      <w:r w:rsidRPr="00E602B2">
        <w:rPr>
          <w:rFonts w:ascii="Times New Roman" w:hAnsi="Times New Roman"/>
          <w:color w:val="000000" w:themeColor="text1"/>
          <w:sz w:val="24"/>
        </w:rPr>
        <w:t>575/2013 podľa pokynov uvedených nižšie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tejto prílohe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s </w:t>
      </w:r>
      <w:r w:rsidRPr="00E602B2">
        <w:rPr>
          <w:rFonts w:ascii="Times New Roman" w:hAnsi="Times New Roman"/>
          <w:color w:val="000000" w:themeColor="text1"/>
          <w:sz w:val="24"/>
        </w:rPr>
        <w:t>cieľom vyplniť vzor EU MR2, ktorý je uvedený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 xml:space="preserve">prílohe XXIX. </w:t>
      </w:r>
      <w:r w:rsidRPr="00E602B2">
        <w:rPr>
          <w:rFonts w:ascii="Times New Roman" w:hAnsi="Times New Roman"/>
          <w:color w:val="auto"/>
          <w:sz w:val="24"/>
        </w:rPr>
        <w:t>Inštitúcie do tohto vzoru nezahŕňajú žiadne údaje</w:t>
      </w:r>
      <w:r w:rsidR="00E602B2">
        <w:rPr>
          <w:rFonts w:ascii="Times New Roman" w:hAnsi="Times New Roman"/>
          <w:color w:val="auto"/>
          <w:sz w:val="24"/>
        </w:rPr>
        <w:t xml:space="preserve"> o </w:t>
      </w:r>
      <w:r w:rsidRPr="00E602B2">
        <w:rPr>
          <w:rFonts w:ascii="Times New Roman" w:hAnsi="Times New Roman"/>
          <w:color w:val="auto"/>
          <w:sz w:val="24"/>
        </w:rPr>
        <w:t>svojom desku na interný presun rizika (IRT).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E602B2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4EE0ADD6" w:rsidR="00931C32" w:rsidRPr="00E602B2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31C32" w:rsidRPr="00E602B2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E602B2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E602B2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3765CAC5" w:rsidRPr="00E602B2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E602B2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E602B2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rizika neobmedzeného predpokladaného schodku (UESt)</w:t>
            </w:r>
          </w:p>
          <w:p w14:paraId="1E53AB6F" w14:textId="6D2B5B6F" w:rsidR="3E91330B" w:rsidRPr="00E602B2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Zverejňovaná hodnota sa vypočítava na úrovni celkového portfólia,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nie na úrovni širokej kategórie rizika podľa článkov 325bb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325bc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4A0450B5" w:rsidRPr="00E602B2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E602B2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E602B2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rizika neobmedzeného predpokladaného schodku pre rizikové faktory kategórie úrokového rizika</w:t>
            </w:r>
          </w:p>
          <w:p w14:paraId="39E48A15" w14:textId="77A36B60" w:rsidR="40EE3118" w:rsidRPr="00E602B2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Zverejňovaná hodnota sa vypočítava pre rizikové faktory kategórie úrokového rizika podľa článkov 325bb, 325bc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325bd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E602B2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E6EA98E" w14:textId="77777777" w:rsidR="00E602B2" w:rsidRDefault="471075D0" w:rsidP="140F9DE1">
            <w:pPr>
              <w:rPr>
                <w:rFonts w:ascii="Times New Roman" w:hAnsi="Times New Roman"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rizika neobmedzeného predpokladaného schodku pre rizikové faktory kategórie akciového rizika</w:t>
            </w:r>
          </w:p>
          <w:p w14:paraId="4E1BA488" w14:textId="6DBDF9B3" w:rsidR="00234F41" w:rsidRPr="00E602B2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Zverejňovaná hodnota sa vypočítava pre rizikové faktory kategórie akciového rizika podľa článkov 325bb, 325bc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325bd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B86E1A" w:rsidRPr="00E602B2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E602B2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A86C26" w14:textId="77777777" w:rsidR="00E602B2" w:rsidRDefault="00B86E1A" w:rsidP="00B86E1A">
            <w:pPr>
              <w:rPr>
                <w:rFonts w:ascii="Times New Roman" w:hAnsi="Times New Roman"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rizika neobmedzeného predpokladaného schodku pre rizikové faktory kategórie komoditného rizika</w:t>
            </w:r>
          </w:p>
          <w:p w14:paraId="70BA8462" w14:textId="10EE9303" w:rsidR="00B86E1A" w:rsidRPr="00E602B2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 xml:space="preserve"> Zverejňovaná hodnota sa vypočítava pre rizikové faktory kategórie komoditného rizika podľa článkov 325bb, 325bc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325bd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F3022" w:rsidRPr="00E602B2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E602B2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E602B2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rizika neobmedzeného predpokladaného schodku pre rizikové faktory kategórie devízového rizika</w:t>
            </w:r>
          </w:p>
          <w:p w14:paraId="1880B223" w14:textId="7FA1CB9C" w:rsidR="002F3022" w:rsidRPr="00E602B2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b/>
                <w:color w:val="444444"/>
                <w:sz w:val="24"/>
              </w:rPr>
              <w:t xml:space="preserve"> </w:t>
            </w:r>
            <w:r w:rsidRPr="00E602B2">
              <w:rPr>
                <w:rFonts w:ascii="Times New Roman" w:hAnsi="Times New Roman"/>
                <w:sz w:val="24"/>
              </w:rPr>
              <w:t xml:space="preserve"> Zverejňovaná hodnota sa vypočítava pre rizikové faktory kategórie devízového rizika podľa článkov 325bb, 325bc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325bd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E602B2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5867B48" w14:textId="77777777" w:rsidR="00E602B2" w:rsidRDefault="00234F41" w:rsidP="00234F41">
            <w:pPr>
              <w:rPr>
                <w:rFonts w:ascii="Times New Roman" w:hAnsi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rizika neobmedzeného predpokladaného schodku pre rizikové faktory kategórie rizika kreditného rozpätia</w:t>
            </w:r>
          </w:p>
          <w:p w14:paraId="5C567B92" w14:textId="79509FC8" w:rsidR="00234F41" w:rsidRPr="00E602B2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Zverejňovaná hodnota sa vypočítava pre rizikové faktory kategórie rizika kreditného rozpätia podľa článkov 325bb, 325bc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 xml:space="preserve">325bd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F4E8E19" w14:textId="77777777" w:rsidR="00E602B2" w:rsidRDefault="471075D0" w:rsidP="140F9DE1">
            <w:pPr>
              <w:rPr>
                <w:rFonts w:ascii="Times New Roman" w:hAnsi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Súčet miery rizika neobmedzeného predpokladaného schodku pre hlavné kategórie faktorov rizika (∑UES</w:t>
            </w:r>
            <w:r w:rsidRPr="00E602B2">
              <w:rPr>
                <w:rFonts w:ascii="Times New Roman" w:hAnsi="Times New Roman"/>
                <w:sz w:val="24"/>
                <w:vertAlign w:val="superscript"/>
              </w:rPr>
              <w:t>i</w:t>
            </w:r>
            <w:r w:rsidRPr="00E602B2">
              <w:rPr>
                <w:rFonts w:ascii="Times New Roman" w:hAnsi="Times New Roman"/>
                <w:sz w:val="24"/>
                <w:vertAlign w:val="subscript"/>
              </w:rPr>
              <w:t>t</w:t>
            </w:r>
            <w:r w:rsidRPr="00E602B2">
              <w:rPr>
                <w:rFonts w:ascii="Times New Roman" w:hAnsi="Times New Roman"/>
                <w:sz w:val="24"/>
              </w:rPr>
              <w:t>)</w:t>
            </w:r>
          </w:p>
          <w:p w14:paraId="014CC777" w14:textId="43347A8F" w:rsidR="00234F41" w:rsidRPr="00E602B2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Súčet riadkov 2 až 6.</w:t>
            </w:r>
          </w:p>
          <w:p w14:paraId="0D4B3B7E" w14:textId="0C505591" w:rsidR="00234F41" w:rsidRPr="00E602B2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E602B2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E602B2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predpokladaného schodku (ES</w:t>
            </w:r>
            <w:r w:rsidRPr="00E602B2"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 w:rsidRPr="00E602B2">
              <w:rPr>
                <w:rFonts w:ascii="Times New Roman" w:hAnsi="Times New Roman"/>
                <w:b/>
                <w:sz w:val="24"/>
              </w:rPr>
              <w:t>)</w:t>
            </w:r>
          </w:p>
          <w:p w14:paraId="3985A7B9" w14:textId="3DA66292" w:rsidR="00234F41" w:rsidRPr="00E602B2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Miera rizika predpokladaného schodku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článkom 325ba ods. 1 písm. a) bodom i)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1F96ACDE" w:rsidR="00234F41" w:rsidRPr="00E602B2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Miera rizika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b/>
                <w:sz w:val="24"/>
              </w:rPr>
              <w:t>rámci stresového scenára (SS</w:t>
            </w:r>
            <w:r w:rsidRPr="00E602B2"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 w:rsidRPr="00E602B2">
              <w:rPr>
                <w:rFonts w:ascii="Times New Roman" w:hAnsi="Times New Roman"/>
                <w:b/>
                <w:sz w:val="24"/>
              </w:rPr>
              <w:t>)</w:t>
            </w:r>
          </w:p>
          <w:p w14:paraId="1A984573" w14:textId="7A3FAF17" w:rsidR="00234F41" w:rsidRPr="00E602B2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Miera rizika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rámci stresového scenára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článkom 325ba ods. 1 písm. a) bodom ii)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E602B2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Požiadavka na krytie rizika zlyhania (DRC</w:t>
            </w:r>
            <w:r w:rsidRPr="00E602B2"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 w:rsidRPr="00E602B2">
              <w:rPr>
                <w:rFonts w:ascii="Times New Roman" w:hAnsi="Times New Roman"/>
                <w:b/>
                <w:sz w:val="24"/>
              </w:rPr>
              <w:t>)</w:t>
            </w:r>
          </w:p>
          <w:p w14:paraId="0AF5675B" w14:textId="6EB1995B" w:rsidR="00234F41" w:rsidRPr="00E602B2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Požiadavka na krytie rizika zlyhania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článkom 325ba ods. 2 písm. a)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E602B2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PLAaddon</w:t>
            </w:r>
          </w:p>
          <w:p w14:paraId="72CEFFB9" w14:textId="155F3F78" w:rsidR="00234F41" w:rsidRPr="00E602B2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Táto hodnota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článkom 325ba ods. 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spojení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článkom 10 ods. 1 nariadenia (EÚ) 2022/2059.</w:t>
            </w:r>
          </w:p>
        </w:tc>
      </w:tr>
      <w:tr w:rsidR="00234F41" w:rsidRPr="00E602B2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382EDCDA" w:rsidR="00234F41" w:rsidRPr="00E602B2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OFR pre súvahové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podsúvahové činnosti plus PLAaddon (AIMA + PLAaddon)</w:t>
            </w:r>
          </w:p>
          <w:p w14:paraId="595AB2F9" w14:textId="147FE4EC" w:rsidR="00234F41" w:rsidRPr="00E602B2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Táto hodnota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článkom 10 ods. 1 nariadenia (EÚ) 2022/2059. Pripočítava sa hodnota riadku 11.</w:t>
            </w:r>
          </w:p>
        </w:tc>
      </w:tr>
      <w:tr w:rsidR="00234F41" w:rsidRPr="00E602B2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E602B2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Celkové OFR podľa ASA pre trading desky, ktoré nie sú oprávnené používať AIMA (ASAnon-aima)</w:t>
            </w:r>
          </w:p>
          <w:p w14:paraId="010A62FB" w14:textId="210F84F5" w:rsidR="00234F41" w:rsidRPr="00E602B2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Táto hodnota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článkom 325ba ods. 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15CB7519" w:rsidR="00234F41" w:rsidRPr="00E602B2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Rozdiel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b/>
                <w:sz w:val="24"/>
              </w:rPr>
              <w:t>OFR podľa AIMA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ASA pre trading desky podľa AIMA (AIMA – ASAaima)</w:t>
            </w:r>
          </w:p>
          <w:p w14:paraId="326E0483" w14:textId="01BF5D3E" w:rsidR="00234F41" w:rsidRPr="00E602B2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Táto hodnota sa vypočítava ako rozdiel medzi požiadavkami na vlastné zdroje podľa AIMA pre desky podľa AIMA [článok 10 ods. 1 nariadenia (EÚ) 2022/2059]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hodnotou požiadaviek na vlastné zdroje podľa ASA pre všetky desky podľa AIMA (prehľad portfólií) [článok 10 ods. 1 nariadenia (EÚ) 2022/2059].</w:t>
            </w:r>
          </w:p>
        </w:tc>
      </w:tr>
      <w:tr w:rsidR="00234F41" w:rsidRPr="00E602B2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E602B2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OFR podľa ASA pre všetky trading desky (vrátane tých, na ktoré sa vzťahuje AIMA) (ASAall portfolio)</w:t>
            </w:r>
          </w:p>
          <w:p w14:paraId="7232E72B" w14:textId="3B962DA3" w:rsidR="00234F41" w:rsidRPr="00E602B2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Táto hodnota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článkom 325ba ods. 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234F41" w:rsidRPr="00E602B2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E602B2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E602B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Požiadavky na celkové vlastné zdroje podľa AIMA (TotalAIMA)</w:t>
            </w:r>
          </w:p>
          <w:p w14:paraId="11A40A93" w14:textId="3BF28300" w:rsidR="00234F41" w:rsidRPr="00E602B2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Táto hodnota sa vypočítava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 xml:space="preserve">článkom 325ba ods. 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234F41" w:rsidRPr="00E602B2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E602B2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Písmeno stĺpca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E602B2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234F41" w:rsidRPr="00E602B2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E602B2" w:rsidRDefault="00234F41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18587E3C" w:rsidR="00234F41" w:rsidRPr="00E602B2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Zverejňovanie najnovšej miery rizika [riadky 1 až 10] alebo požiadaviek na vlastné zdroje [riadky 11 až 16]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bežnom štvrťroku. </w:t>
            </w:r>
          </w:p>
        </w:tc>
      </w:tr>
      <w:tr w:rsidR="00825C6F" w:rsidRPr="00E602B2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E602B2" w:rsidRDefault="00825C6F" w:rsidP="00825C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208B7569" w:rsidR="00825C6F" w:rsidRPr="00E602B2" w:rsidRDefault="00825C6F" w:rsidP="3821DFBC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Stredná hodnota miery rizika [riadky 1 až 10] za predchádzajúcich 60 pracovných dní [riadky 1 až 9] alebo za predchádzajúcich 12 týždňov [riadok 10]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bežnom štvrťroku.</w:t>
            </w:r>
          </w:p>
        </w:tc>
      </w:tr>
      <w:tr w:rsidR="00234F41" w:rsidRPr="00E602B2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E602B2" w:rsidRDefault="00825C6F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7F6D6068" w:rsidR="00234F41" w:rsidRPr="00E602B2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Najvyššia miera rizika za predchádzajúcich 60 pracovných dní [riadky 1 až 6]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bežnom štvrťroku.</w:t>
            </w:r>
          </w:p>
        </w:tc>
      </w:tr>
      <w:tr w:rsidR="00234F41" w:rsidRPr="00E602B2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E602B2" w:rsidRDefault="00825C6F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1F2299EB" w:rsidR="00234F41" w:rsidRPr="00E602B2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Najnižšia miera rizika za predchádzajúcich 60 pracovných dní [riadky 1 až 6]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bežnom štvrťroku.</w:t>
            </w:r>
          </w:p>
        </w:tc>
      </w:tr>
      <w:tr w:rsidR="00234F41" w:rsidRPr="00E602B2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E602B2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3D760DBC" w:rsidR="00234F41" w:rsidRPr="00E602B2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Počet prekročení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rámci spätného testovania [riadok 1]</w:t>
            </w:r>
          </w:p>
          <w:p w14:paraId="486CF129" w14:textId="2D8D180A" w:rsidR="00234F41" w:rsidRPr="00E602B2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Počet prekročení vykázaných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tejto bunke je počet použitý na určenie dodatočnej hodnoty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súlade tabuľkou 3 článku 325bf ods. 6 písm. b) </w:t>
            </w:r>
            <w:r w:rsidRPr="00E602B2">
              <w:rPr>
                <w:rFonts w:ascii="Times New Roman" w:hAnsi="Times New Roman"/>
                <w:sz w:val="24"/>
              </w:rPr>
              <w:lastRenderedPageBreak/>
              <w:t xml:space="preserve">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 Prekročenia, ktoré sú vylúčené so súhlasom príslušného orgánu, sa nezahŕňajú.</w:t>
            </w:r>
          </w:p>
        </w:tc>
      </w:tr>
      <w:tr w:rsidR="00234F41" w:rsidRPr="00E602B2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E602B2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3490696A" w:rsidR="00234F41" w:rsidRPr="00E602B2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Najnovšia miera rizika [riadky 1 až 10] alebo požiadavky na vlastné zdroje [riadky 11 až 16]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predchádzajúcom štvrťroku. </w:t>
            </w:r>
          </w:p>
        </w:tc>
      </w:tr>
      <w:tr w:rsidR="00234F41" w:rsidRPr="00E602B2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E602B2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6EFB8BCD" w:rsidR="00234F41" w:rsidRPr="00E602B2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Stredná hodnota miery rizika [riadky 1 až 10] za predchádzajúcich 60 pracovných dní [riadky 1 až 9] alebo za predchádzajúcich 12 týždňov [riadok 10]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predchádzajúcom štvrťroku.</w:t>
            </w:r>
          </w:p>
        </w:tc>
      </w:tr>
    </w:tbl>
    <w:p w14:paraId="60061E4C" w14:textId="6CE0B0D3" w:rsidR="00AA4A0F" w:rsidRPr="00E602B2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7EADC0A6" w14:textId="5B12A297" w:rsidR="00AA4A0F" w:rsidRPr="00E602B2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 w:rsidRPr="00E602B2">
        <w:rPr>
          <w:rFonts w:ascii="Times New Roman" w:hAnsi="Times New Roman"/>
          <w:b/>
          <w:color w:val="auto"/>
          <w:sz w:val="24"/>
        </w:rPr>
        <w:t>Vzor EU MR3 – Trhové riziko podľa zjednodušeného štandardizovaného prístupu (SSA)</w:t>
      </w:r>
      <w:r w:rsidRPr="00E602B2">
        <w:rPr>
          <w:rFonts w:ascii="Times New Roman" w:hAnsi="Times New Roman"/>
          <w:color w:val="auto"/>
          <w:sz w:val="24"/>
        </w:rPr>
        <w:t>: pevný formát</w:t>
      </w:r>
    </w:p>
    <w:p w14:paraId="6AC491D2" w14:textId="67C3185A" w:rsidR="00AA4A0F" w:rsidRPr="00E602B2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</w:rPr>
      </w:pPr>
      <w:r w:rsidRPr="00E602B2">
        <w:rPr>
          <w:rFonts w:ascii="Times New Roman" w:hAnsi="Times New Roman"/>
          <w:color w:val="000000" w:themeColor="text1"/>
          <w:sz w:val="24"/>
        </w:rPr>
        <w:t>Inštitúcie zverejňujú informácie uvedené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 xml:space="preserve">článku 445 nariadenia (EÚ) </w:t>
      </w:r>
      <w:r w:rsidR="00E602B2">
        <w:rPr>
          <w:rFonts w:ascii="Times New Roman" w:hAnsi="Times New Roman"/>
          <w:color w:val="000000" w:themeColor="text1"/>
          <w:sz w:val="24"/>
        </w:rPr>
        <w:t>č. </w:t>
      </w:r>
      <w:r w:rsidRPr="00E602B2">
        <w:rPr>
          <w:rFonts w:ascii="Times New Roman" w:hAnsi="Times New Roman"/>
          <w:color w:val="000000" w:themeColor="text1"/>
          <w:sz w:val="24"/>
        </w:rPr>
        <w:t>575/2013 podľa pokynov uvedených nižšie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tejto prílohe</w:t>
      </w:r>
      <w:r w:rsidR="00E602B2">
        <w:rPr>
          <w:rFonts w:ascii="Times New Roman" w:hAnsi="Times New Roman"/>
          <w:color w:val="000000" w:themeColor="text1"/>
          <w:sz w:val="24"/>
        </w:rPr>
        <w:t xml:space="preserve"> s </w:t>
      </w:r>
      <w:r w:rsidRPr="00E602B2">
        <w:rPr>
          <w:rFonts w:ascii="Times New Roman" w:hAnsi="Times New Roman"/>
          <w:color w:val="000000" w:themeColor="text1"/>
          <w:sz w:val="24"/>
        </w:rPr>
        <w:t>cieľom vyplniť vzor EU MR 3, ktorý je uvedený</w:t>
      </w:r>
      <w:r w:rsidR="00E602B2">
        <w:rPr>
          <w:rFonts w:ascii="Times New Roman" w:hAnsi="Times New Roman"/>
          <w:color w:val="000000" w:themeColor="text1"/>
          <w:sz w:val="24"/>
        </w:rPr>
        <w:t xml:space="preserve"> v </w:t>
      </w:r>
      <w:r w:rsidRPr="00E602B2">
        <w:rPr>
          <w:rFonts w:ascii="Times New Roman" w:hAnsi="Times New Roman"/>
          <w:color w:val="000000" w:themeColor="text1"/>
          <w:sz w:val="24"/>
        </w:rPr>
        <w:t>prílohe XXIX dokumentu</w:t>
      </w:r>
      <w:r w:rsidR="00E602B2">
        <w:rPr>
          <w:rFonts w:ascii="Times New Roman" w:hAnsi="Times New Roman"/>
          <w:color w:val="000000" w:themeColor="text1"/>
          <w:sz w:val="24"/>
        </w:rPr>
        <w:t xml:space="preserve"> s </w:t>
      </w:r>
      <w:r w:rsidRPr="00E602B2">
        <w:rPr>
          <w:rFonts w:ascii="Times New Roman" w:hAnsi="Times New Roman"/>
          <w:color w:val="000000" w:themeColor="text1"/>
          <w:sz w:val="24"/>
        </w:rPr>
        <w:t>IT riešeniami.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E602B2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3D6DF648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AA4A0F" w:rsidRPr="00E602B2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AA4A0F" w:rsidRPr="00E602B2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E602B2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E789" w14:textId="77777777" w:rsidR="00E602B2" w:rsidRDefault="00AA4A0F" w:rsidP="00DE090B">
            <w:pPr>
              <w:spacing w:after="240"/>
              <w:rPr>
                <w:rFonts w:ascii="Times New Roman" w:hAnsi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Úrokové riziko (všeobecné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špecifické)</w:t>
            </w:r>
          </w:p>
          <w:p w14:paraId="53976F70" w14:textId="460327F1" w:rsidR="00AA4A0F" w:rsidRPr="00E602B2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Všeobecné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špecifické riziko pozícií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obchodovaných dlhových nástrojoch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obchodnej knihe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treťou časťou hlavou IV kapitolou 2 nariadenia (EÚ) 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575/2013,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výnimkou špecifického rizika súvisiaceho so sekuritizáciou.</w:t>
            </w:r>
          </w:p>
        </w:tc>
      </w:tr>
      <w:tr w:rsidR="00AA4A0F" w:rsidRPr="00E602B2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0573FDEA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Akciové riziko (všeobecné</w:t>
            </w:r>
            <w:r w:rsidR="00E602B2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b/>
                <w:sz w:val="24"/>
              </w:rPr>
              <w:t>špecifické)</w:t>
            </w:r>
          </w:p>
          <w:p w14:paraId="7CB149BE" w14:textId="246FB80A" w:rsidR="00AA4A0F" w:rsidRPr="00E602B2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Všeobecné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špecifické riziko pozícií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kapitálových cenných papieroch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obchodnej knihe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treťou časťou hlavou IV kapitolou 2 nariadenia (EÚ) 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A4A0F" w:rsidRPr="00E602B2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Komoditné riziko</w:t>
            </w:r>
          </w:p>
          <w:p w14:paraId="63B3CA85" w14:textId="6B214569" w:rsidR="00AA4A0F" w:rsidRPr="00E602B2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Riziko pozícií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komoditách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treťou časťou hlavou IV kapitolou 4 nariadenia (EÚ) 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A4A0F" w:rsidRPr="00E602B2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Devízové riziko</w:t>
            </w:r>
          </w:p>
          <w:p w14:paraId="0EF57964" w14:textId="5F40AF90" w:rsidR="00AA4A0F" w:rsidRPr="00E602B2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Riziko devízových pozícií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treťou časťou hlavou IV kapitolou 3 nariadenia (EÚ) 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A4A0F" w:rsidRPr="00E602B2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E602B2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E602B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Sekuritizácia (špecifické riziko)</w:t>
            </w:r>
          </w:p>
          <w:p w14:paraId="20BB6B2F" w14:textId="300FF964" w:rsidR="00AA4A0F" w:rsidRPr="00E602B2" w:rsidRDefault="00AA4A0F" w:rsidP="00DE090B">
            <w:pPr>
              <w:rPr>
                <w:rFonts w:ascii="Times New Roman" w:hAnsi="Times New Roman" w:cs="Times New Roman"/>
              </w:rPr>
            </w:pPr>
            <w:r w:rsidRPr="00E602B2">
              <w:rPr>
                <w:rFonts w:ascii="Times New Roman" w:hAnsi="Times New Roman"/>
                <w:sz w:val="24"/>
              </w:rPr>
              <w:t>Špecifické riziko sekuritizačných pozícií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obchodnej knihe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súlade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treťou časťou hlavou IV kapitolou 2 článkami 337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338 nariadenia (EÚ) 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A4A0F" w:rsidRPr="00E602B2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E602B2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E50D" w14:textId="77777777" w:rsidR="00E602B2" w:rsidRDefault="00AA4A0F" w:rsidP="00DE090B">
            <w:pPr>
              <w:spacing w:after="240"/>
              <w:rPr>
                <w:rFonts w:ascii="Times New Roman" w:hAnsi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OFR S-SA spolu</w:t>
            </w:r>
          </w:p>
          <w:p w14:paraId="5DD2D55D" w14:textId="63454E73" w:rsidR="00AA4A0F" w:rsidRPr="00E602B2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Zverejňovanie požiadaviek na vlastné zdroje uvedených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článku 438 písm. d)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575/2013, vypočítané ako jednoduchý súčet hodnôt uvedených vyššie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riadkoch 1 až 5 pre stĺpec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a vypočítané ako jednoduchý súčet hodnôt uvedených vyššie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riadkoch 1 až 4 pre stĺpce b, c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d.</w:t>
            </w:r>
          </w:p>
        </w:tc>
      </w:tr>
      <w:tr w:rsidR="00AA4A0F" w:rsidRPr="00E602B2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E602B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Písmeno stĺpca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AA4A0F" w:rsidRPr="00E602B2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E602B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Priame produkty</w:t>
            </w:r>
          </w:p>
        </w:tc>
      </w:tr>
      <w:tr w:rsidR="00AA4A0F" w:rsidRPr="00E602B2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E602B2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78BBE984" w:rsidR="00AA4A0F" w:rsidRPr="00E602B2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 w:rsidRPr="00E602B2">
              <w:rPr>
                <w:rFonts w:ascii="Times New Roman" w:hAnsi="Times New Roman"/>
                <w:sz w:val="24"/>
              </w:rPr>
              <w:t>Pozície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produktoch, ktoré nie sú voliteľné</w:t>
            </w:r>
            <w:r w:rsidR="00E602B2">
              <w:rPr>
                <w:rFonts w:ascii="Times New Roman" w:hAnsi="Times New Roman"/>
                <w:sz w:val="24"/>
              </w:rPr>
              <w:t xml:space="preserve"> a </w:t>
            </w:r>
            <w:r w:rsidRPr="00E602B2">
              <w:rPr>
                <w:rFonts w:ascii="Times New Roman" w:hAnsi="Times New Roman"/>
                <w:sz w:val="24"/>
              </w:rPr>
              <w:t>nie sú zahrnuté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prístupoch regulačných technických predpisov pre riziko iné ako delta pri opciách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rámci štandardizovaného prístupu</w:t>
            </w:r>
            <w:r w:rsidR="00E602B2">
              <w:rPr>
                <w:rFonts w:ascii="Times New Roman" w:hAnsi="Times New Roman"/>
                <w:sz w:val="24"/>
              </w:rPr>
              <w:t xml:space="preserve"> k </w:t>
            </w:r>
            <w:r w:rsidRPr="00E602B2">
              <w:rPr>
                <w:rFonts w:ascii="Times New Roman" w:hAnsi="Times New Roman"/>
                <w:sz w:val="24"/>
              </w:rPr>
              <w:t>trhovému riziku</w:t>
            </w:r>
            <w:r w:rsidRPr="00E602B2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 w:rsidRPr="00E602B2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E602B2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E602B2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Opcie</w:t>
            </w:r>
          </w:p>
        </w:tc>
      </w:tr>
      <w:tr w:rsidR="00AA4A0F" w:rsidRPr="00E602B2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E602B2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Zjednodušený prístup</w:t>
            </w:r>
          </w:p>
          <w:p w14:paraId="71365A3F" w14:textId="3AAED861" w:rsidR="00AA4A0F" w:rsidRPr="00E602B2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Opcie alebo waranty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zmysle vymedzenia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tretej časti hlave IV kapitole 2 článku 329 ods. 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575/2013, pre ktoré inštitúcie vypočítavajú požiadavky na vlastné zdroje súvisiace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rizikom iným než delta pomocou zjednodušeného prístupu</w:t>
            </w:r>
            <w:r w:rsidRPr="00E602B2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 w:rsidRPr="00E602B2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E602B2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E602B2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Prístup delta plus</w:t>
            </w:r>
          </w:p>
          <w:p w14:paraId="4982FF4D" w14:textId="56FB4E59" w:rsidR="00AA4A0F" w:rsidRPr="00E602B2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Opcie alebo waranty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obchodnej knihe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zmysle vymedzenia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tretej časti hlave IV kapitole 2 článku 329 ods. 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575/2013, pre ktoré inštitúcie vypočítavajú požiadavky na vlastné zdroje súvisiace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rizikom iným než delta pomocou prístupu delta plus</w:t>
            </w:r>
            <w:r w:rsidRPr="00E602B2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 w:rsidRPr="00E602B2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E602B2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E602B2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E602B2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602B2">
              <w:rPr>
                <w:rFonts w:ascii="Times New Roman" w:hAnsi="Times New Roman"/>
                <w:b/>
                <w:sz w:val="24"/>
              </w:rPr>
              <w:t>Prístup na základe scenárov</w:t>
            </w:r>
          </w:p>
          <w:p w14:paraId="2B78A76A" w14:textId="5ECABE91" w:rsidR="00AA4A0F" w:rsidRPr="00E602B2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2B2">
              <w:rPr>
                <w:rFonts w:ascii="Times New Roman" w:hAnsi="Times New Roman"/>
                <w:sz w:val="24"/>
              </w:rPr>
              <w:t>Opcie alebo waranty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obchodnej knihe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>zmysle vymedzenia</w:t>
            </w:r>
            <w:r w:rsidR="00E602B2">
              <w:rPr>
                <w:rFonts w:ascii="Times New Roman" w:hAnsi="Times New Roman"/>
                <w:sz w:val="24"/>
              </w:rPr>
              <w:t xml:space="preserve"> v </w:t>
            </w:r>
            <w:r w:rsidRPr="00E602B2">
              <w:rPr>
                <w:rFonts w:ascii="Times New Roman" w:hAnsi="Times New Roman"/>
                <w:sz w:val="24"/>
              </w:rPr>
              <w:t xml:space="preserve">tretej časti hlave IV kapitole 2 článku 329 ods. 3 nariadenia (EÚ) </w:t>
            </w:r>
            <w:r w:rsidR="00E602B2">
              <w:rPr>
                <w:rFonts w:ascii="Times New Roman" w:hAnsi="Times New Roman"/>
                <w:sz w:val="24"/>
              </w:rPr>
              <w:t>č. </w:t>
            </w:r>
            <w:r w:rsidRPr="00E602B2">
              <w:rPr>
                <w:rFonts w:ascii="Times New Roman" w:hAnsi="Times New Roman"/>
                <w:sz w:val="24"/>
              </w:rPr>
              <w:t>575/2013, pre ktoré inštitúcie vypočítavajú požiadavky na vlastné zdroje súvisiace</w:t>
            </w:r>
            <w:r w:rsidR="00E602B2">
              <w:rPr>
                <w:rFonts w:ascii="Times New Roman" w:hAnsi="Times New Roman"/>
                <w:sz w:val="24"/>
              </w:rPr>
              <w:t xml:space="preserve"> s </w:t>
            </w:r>
            <w:r w:rsidRPr="00E602B2">
              <w:rPr>
                <w:rFonts w:ascii="Times New Roman" w:hAnsi="Times New Roman"/>
                <w:sz w:val="24"/>
              </w:rPr>
              <w:t>rizikom iným než delta pomocou prístupu založeného na scenároch</w:t>
            </w:r>
            <w:r w:rsidRPr="00E602B2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 w:rsidRPr="00E602B2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79592B57" w14:textId="77777777" w:rsidR="00931C32" w:rsidRPr="00E602B2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sectPr w:rsidR="00931C32" w:rsidRPr="00E602B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8A387" w14:textId="77777777" w:rsidR="00CA7928" w:rsidRDefault="00CA7928" w:rsidP="00931C32">
      <w:r>
        <w:separator/>
      </w:r>
    </w:p>
  </w:endnote>
  <w:endnote w:type="continuationSeparator" w:id="0">
    <w:p w14:paraId="7DA6D4BC" w14:textId="77777777" w:rsidR="00CA7928" w:rsidRDefault="00CA7928" w:rsidP="00931C32">
      <w:r>
        <w:continuationSeparator/>
      </w:r>
    </w:p>
  </w:endnote>
  <w:endnote w:type="continuationNotice" w:id="1">
    <w:p w14:paraId="14B5C952" w14:textId="77777777" w:rsidR="00CA7928" w:rsidRDefault="00CA79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t>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474AF" w14:textId="77777777" w:rsidR="00CA7928" w:rsidRDefault="00CA7928" w:rsidP="00931C32">
      <w:r>
        <w:separator/>
      </w:r>
    </w:p>
  </w:footnote>
  <w:footnote w:type="continuationSeparator" w:id="0">
    <w:p w14:paraId="02B05D56" w14:textId="77777777" w:rsidR="00CA7928" w:rsidRDefault="00CA7928" w:rsidP="00931C32">
      <w:r>
        <w:continuationSeparator/>
      </w:r>
    </w:p>
  </w:footnote>
  <w:footnote w:type="continuationNotice" w:id="1">
    <w:p w14:paraId="74CB5CA7" w14:textId="77777777" w:rsidR="00CA7928" w:rsidRDefault="00CA7928"/>
  </w:footnote>
  <w:footnote w:id="2">
    <w:p w14:paraId="62EBF3C5" w14:textId="1205D2D4" w:rsidR="00931C32" w:rsidRPr="00E602B2" w:rsidRDefault="00931C32" w:rsidP="007F0B68">
      <w:pPr>
        <w:pStyle w:val="FootnoteText"/>
      </w:pPr>
      <w:r w:rsidRPr="00E602B2">
        <w:rPr>
          <w:rStyle w:val="FootnoteReference"/>
          <w:rFonts w:cstheme="minorHAnsi"/>
        </w:rPr>
        <w:footnoteRef/>
      </w:r>
      <w:r w:rsidRPr="00E602B2">
        <w:tab/>
        <w:t>Nariadenie Európskeho parlamentu</w:t>
      </w:r>
      <w:r w:rsidR="00E602B2">
        <w:t xml:space="preserve"> a </w:t>
      </w:r>
      <w:r w:rsidRPr="00E602B2">
        <w:t xml:space="preserve">Rady (EÚ) </w:t>
      </w:r>
      <w:r w:rsidR="00E602B2">
        <w:t>č. </w:t>
      </w:r>
      <w:r w:rsidRPr="00E602B2">
        <w:t>575/2013</w:t>
      </w:r>
      <w:r w:rsidR="00E602B2">
        <w:t xml:space="preserve"> z </w:t>
      </w:r>
      <w:r w:rsidRPr="00E602B2">
        <w:t>26</w:t>
      </w:r>
      <w:r w:rsidR="00E602B2">
        <w:t>. júna</w:t>
      </w:r>
      <w:r w:rsidRPr="00E602B2">
        <w:t xml:space="preserve"> 2013</w:t>
      </w:r>
      <w:r w:rsidR="00E602B2">
        <w:t xml:space="preserve"> o </w:t>
      </w:r>
      <w:r w:rsidRPr="00E602B2">
        <w:t>prudenciálnych požiadavkách na úverové inštitúcie</w:t>
      </w:r>
      <w:r w:rsidR="00E602B2">
        <w:t xml:space="preserve"> a o </w:t>
      </w:r>
      <w:r w:rsidRPr="00E602B2">
        <w:t xml:space="preserve">zmene nariadenia (EÚ) </w:t>
      </w:r>
      <w:r w:rsidR="00E602B2">
        <w:t>č. </w:t>
      </w:r>
      <w:r w:rsidRPr="00E602B2">
        <w:t xml:space="preserve">648/2012, zmenené nariadením (EÚ) 2024/1623 </w:t>
      </w:r>
      <w:r w:rsidRPr="00E602B2">
        <w:rPr>
          <w:color w:val="444444"/>
        </w:rPr>
        <w:t>[</w:t>
      </w:r>
      <w:hyperlink r:id="rId1" w:history="1">
        <w:r w:rsidRPr="00E602B2">
          <w:rPr>
            <w:rStyle w:val="Hyperlink"/>
            <w:color w:val="800080"/>
          </w:rPr>
          <w:t>Ú. v. EÚ L 176, 27.6.2013, s. 1</w:t>
        </w:r>
      </w:hyperlink>
      <w:r w:rsidRPr="00E602B2">
        <w:rPr>
          <w:color w:val="800080"/>
          <w:u w:val="single"/>
        </w:rPr>
        <w:t xml:space="preserve">; </w:t>
      </w:r>
      <w:hyperlink r:id="rId2" w:history="1">
        <w:r w:rsidRPr="00E602B2">
          <w:rPr>
            <w:rStyle w:val="Hyperlink"/>
          </w:rPr>
          <w:t>Nariadenie (EÚ) 2024/1623 – SK – EUR-Lex (europa.eu)</w:t>
        </w:r>
      </w:hyperlink>
      <w:r w:rsidRPr="00E602B2">
        <w:rPr>
          <w:color w:val="444444"/>
        </w:rPr>
        <w:t>]</w:t>
      </w:r>
      <w:r w:rsidRPr="00E602B2">
        <w:t>.</w:t>
      </w:r>
    </w:p>
  </w:footnote>
  <w:footnote w:id="3">
    <w:p w14:paraId="6651B5AC" w14:textId="68F4B4CC" w:rsidR="00AA4A0F" w:rsidRPr="00E602B2" w:rsidRDefault="00AA4A0F" w:rsidP="00AA4A0F">
      <w:pPr>
        <w:pStyle w:val="FootnoteText"/>
      </w:pPr>
      <w:r w:rsidRPr="00E602B2">
        <w:footnoteRef/>
      </w:r>
      <w:r w:rsidRPr="00E602B2">
        <w:t xml:space="preserve"> </w:t>
      </w:r>
      <w:r w:rsidRPr="00E602B2">
        <w:tab/>
      </w:r>
      <w:r w:rsidRPr="00E602B2">
        <w:t>V zmysle vymedzenia</w:t>
      </w:r>
      <w:r w:rsidR="00E602B2">
        <w:t xml:space="preserve"> v </w:t>
      </w:r>
      <w:r w:rsidRPr="00E602B2">
        <w:t xml:space="preserve">DELEGOVANOM NARIADENÍ KOMISIE (EÚ) </w:t>
      </w:r>
      <w:r w:rsidR="00E602B2">
        <w:t>č. </w:t>
      </w:r>
      <w:r w:rsidRPr="00E602B2">
        <w:t>528/2014</w:t>
      </w:r>
      <w:r w:rsidR="00E602B2">
        <w:t xml:space="preserve"> z </w:t>
      </w:r>
      <w:r w:rsidRPr="00E602B2">
        <w:t>12</w:t>
      </w:r>
      <w:r w:rsidR="00E602B2">
        <w:t>. marca</w:t>
      </w:r>
      <w:r w:rsidRPr="00E602B2">
        <w:t xml:space="preserve"> 2014, ktorým sa dopĺňa nariadenie Európskeho parlamentu</w:t>
      </w:r>
      <w:r w:rsidR="00E602B2">
        <w:t xml:space="preserve"> a </w:t>
      </w:r>
      <w:r w:rsidRPr="00E602B2">
        <w:t xml:space="preserve">Rady (EÚ) </w:t>
      </w:r>
      <w:r w:rsidR="00E602B2">
        <w:t>č. </w:t>
      </w:r>
      <w:r w:rsidRPr="00E602B2">
        <w:t>575/2013, pokiaľ ide</w:t>
      </w:r>
      <w:r w:rsidR="00E602B2">
        <w:t xml:space="preserve"> o </w:t>
      </w:r>
      <w:r w:rsidRPr="00E602B2">
        <w:t>regulačné technické predpisy pre riziko iné než delta pri opciách</w:t>
      </w:r>
      <w:r w:rsidR="00E602B2">
        <w:t xml:space="preserve"> v </w:t>
      </w:r>
      <w:r w:rsidRPr="00E602B2">
        <w:t>štandardizovanom prístupe</w:t>
      </w:r>
      <w:r w:rsidR="00E602B2">
        <w:t xml:space="preserve"> k </w:t>
      </w:r>
      <w:r w:rsidRPr="00E602B2">
        <w:t>trhovému riziku (Ú. v. EÚ L 148, 20.5.2014, s. 29).</w:t>
      </w:r>
    </w:p>
  </w:footnote>
  <w:footnote w:id="4">
    <w:p w14:paraId="67B37F98" w14:textId="24192840" w:rsidR="00AA4A0F" w:rsidRPr="00E602B2" w:rsidRDefault="00AA4A0F" w:rsidP="00AA4A0F">
      <w:pPr>
        <w:pStyle w:val="FootnoteText"/>
      </w:pPr>
      <w:r w:rsidRPr="00E602B2">
        <w:rPr>
          <w:rStyle w:val="FootnoteReference"/>
          <w:rFonts w:cstheme="minorHAnsi"/>
        </w:rPr>
        <w:footnoteRef/>
      </w:r>
      <w:r w:rsidRPr="00E602B2">
        <w:t xml:space="preserve"> </w:t>
      </w:r>
      <w:r w:rsidRPr="00E602B2">
        <w:tab/>
      </w:r>
      <w:r w:rsidRPr="00E602B2">
        <w:t>V zmysle vymedzenia</w:t>
      </w:r>
      <w:r w:rsidR="00E602B2">
        <w:t xml:space="preserve"> v </w:t>
      </w:r>
      <w:r w:rsidRPr="00E602B2">
        <w:t xml:space="preserve">DELEGOVANOM NARIADENÍ KOMISIE (EÚ) </w:t>
      </w:r>
      <w:r w:rsidR="00E602B2">
        <w:t>č. </w:t>
      </w:r>
      <w:r w:rsidRPr="00E602B2">
        <w:t>528/2014</w:t>
      </w:r>
      <w:r w:rsidR="00E602B2">
        <w:t xml:space="preserve"> z </w:t>
      </w:r>
      <w:r w:rsidRPr="00E602B2">
        <w:t>12</w:t>
      </w:r>
      <w:r w:rsidR="00E602B2">
        <w:t>. marca</w:t>
      </w:r>
      <w:r w:rsidRPr="00E602B2">
        <w:t xml:space="preserve"> 2014, ktorým sa dopĺňa nariadenie Európskeho parlamentu</w:t>
      </w:r>
      <w:r w:rsidR="00E602B2">
        <w:t xml:space="preserve"> a </w:t>
      </w:r>
      <w:r w:rsidRPr="00E602B2">
        <w:t xml:space="preserve">Rady (EÚ) </w:t>
      </w:r>
      <w:r w:rsidR="00E602B2">
        <w:t>č. </w:t>
      </w:r>
      <w:r w:rsidRPr="00E602B2">
        <w:t>575/2013, pokiaľ ide</w:t>
      </w:r>
      <w:r w:rsidR="00E602B2">
        <w:t xml:space="preserve"> o </w:t>
      </w:r>
      <w:r w:rsidRPr="00E602B2">
        <w:t>regulačné technické predpisy pre riziko iné než delta pri opciách</w:t>
      </w:r>
      <w:r w:rsidR="00E602B2">
        <w:t xml:space="preserve"> v </w:t>
      </w:r>
      <w:r w:rsidRPr="00E602B2">
        <w:t>štandardizovanom prístupe</w:t>
      </w:r>
      <w:r w:rsidR="00E602B2">
        <w:t xml:space="preserve"> k </w:t>
      </w:r>
      <w:r w:rsidRPr="00E602B2">
        <w:t>trhovému riziku (Ú. v. EÚ L 148, 20.5.2014, s. 29).</w:t>
      </w:r>
    </w:p>
  </w:footnote>
  <w:footnote w:id="5">
    <w:p w14:paraId="6C32CA93" w14:textId="50D8897E" w:rsidR="00AA4A0F" w:rsidRPr="00E602B2" w:rsidRDefault="00AA4A0F" w:rsidP="00AA4A0F">
      <w:pPr>
        <w:pStyle w:val="FootnoteText"/>
      </w:pPr>
      <w:r w:rsidRPr="00E602B2">
        <w:rPr>
          <w:rStyle w:val="FootnoteReference"/>
          <w:rFonts w:cstheme="minorHAnsi"/>
        </w:rPr>
        <w:footnoteRef/>
      </w:r>
      <w:r w:rsidRPr="00E602B2">
        <w:t xml:space="preserve"> </w:t>
      </w:r>
      <w:r w:rsidRPr="00E602B2">
        <w:tab/>
      </w:r>
      <w:r w:rsidRPr="00E602B2">
        <w:t>V zmysle vymedzenia</w:t>
      </w:r>
      <w:r w:rsidR="00E602B2">
        <w:t xml:space="preserve"> v </w:t>
      </w:r>
      <w:r w:rsidRPr="00E602B2">
        <w:t xml:space="preserve">DELEGOVANOM NARIADENÍ KOMISIE (EÚ) </w:t>
      </w:r>
      <w:r w:rsidR="00E602B2">
        <w:t>č. </w:t>
      </w:r>
      <w:r w:rsidRPr="00E602B2">
        <w:t>528/2014</w:t>
      </w:r>
      <w:r w:rsidR="00E602B2">
        <w:t xml:space="preserve"> z </w:t>
      </w:r>
      <w:r w:rsidRPr="00E602B2">
        <w:t>12</w:t>
      </w:r>
      <w:r w:rsidR="00E602B2">
        <w:t>. marca</w:t>
      </w:r>
      <w:r w:rsidRPr="00E602B2">
        <w:t xml:space="preserve"> 2014, ktorým sa dopĺňa nariadenie Európskeho parlamentu</w:t>
      </w:r>
      <w:r w:rsidR="00E602B2">
        <w:t xml:space="preserve"> a </w:t>
      </w:r>
      <w:r w:rsidRPr="00E602B2">
        <w:t xml:space="preserve">Rady (EÚ) </w:t>
      </w:r>
      <w:r w:rsidR="00E602B2">
        <w:t>č. </w:t>
      </w:r>
      <w:r w:rsidRPr="00E602B2">
        <w:t>575/2013, pokiaľ ide</w:t>
      </w:r>
      <w:r w:rsidR="00E602B2">
        <w:t xml:space="preserve"> o </w:t>
      </w:r>
      <w:r w:rsidRPr="00E602B2">
        <w:t>regulačné technické predpisy pre riziko iné než delta pri opciách</w:t>
      </w:r>
      <w:r w:rsidR="00E602B2">
        <w:t xml:space="preserve"> v </w:t>
      </w:r>
      <w:r w:rsidRPr="00E602B2">
        <w:t>štandardizovanom prístupe</w:t>
      </w:r>
      <w:r w:rsidR="00E602B2">
        <w:t xml:space="preserve"> k </w:t>
      </w:r>
      <w:r w:rsidRPr="00E602B2">
        <w:t>trhovému riziku (Ú. v. EÚ L 148, 20.5.2014, s. 29).</w:t>
      </w:r>
    </w:p>
  </w:footnote>
  <w:footnote w:id="6">
    <w:p w14:paraId="739259DE" w14:textId="1257E9E0" w:rsidR="00AA4A0F" w:rsidRPr="00E602B2" w:rsidRDefault="00AA4A0F" w:rsidP="00AA4A0F">
      <w:pPr>
        <w:pStyle w:val="FootnoteText"/>
      </w:pPr>
      <w:r w:rsidRPr="00E602B2">
        <w:rPr>
          <w:rStyle w:val="FootnoteReference"/>
          <w:rFonts w:cstheme="minorHAnsi"/>
        </w:rPr>
        <w:footnoteRef/>
      </w:r>
      <w:r w:rsidRPr="00E602B2">
        <w:t xml:space="preserve"> </w:t>
      </w:r>
      <w:r w:rsidRPr="00E602B2">
        <w:tab/>
      </w:r>
      <w:r w:rsidRPr="00E602B2">
        <w:t>V zmysle vymedzenia</w:t>
      </w:r>
      <w:r w:rsidR="00E602B2">
        <w:t xml:space="preserve"> v </w:t>
      </w:r>
      <w:r w:rsidRPr="00E602B2">
        <w:t xml:space="preserve">DELEGOVANOM NARIADENÍ KOMISIE (EÚ) </w:t>
      </w:r>
      <w:r w:rsidR="00E602B2">
        <w:t>č. </w:t>
      </w:r>
      <w:r w:rsidRPr="00E602B2">
        <w:t>528/2014</w:t>
      </w:r>
      <w:r w:rsidR="00E602B2">
        <w:t xml:space="preserve"> z </w:t>
      </w:r>
      <w:r w:rsidRPr="00E602B2">
        <w:t>12</w:t>
      </w:r>
      <w:r w:rsidR="00E602B2">
        <w:t>. marca</w:t>
      </w:r>
      <w:r w:rsidRPr="00E602B2">
        <w:t xml:space="preserve"> 2014, ktorým sa dopĺňa nariadenie Európskeho parlamentu</w:t>
      </w:r>
      <w:r w:rsidR="00E602B2">
        <w:t xml:space="preserve"> a </w:t>
      </w:r>
      <w:r w:rsidRPr="00E602B2">
        <w:t xml:space="preserve">Rady (EÚ) </w:t>
      </w:r>
      <w:r w:rsidR="00E602B2">
        <w:t>č. </w:t>
      </w:r>
      <w:r w:rsidRPr="00E602B2">
        <w:t>575/2013, pokiaľ ide</w:t>
      </w:r>
      <w:r w:rsidR="00E602B2">
        <w:t xml:space="preserve"> o </w:t>
      </w:r>
      <w:r w:rsidRPr="00E602B2">
        <w:t>regulačné technické predpisy pre riziko iné než delta pri opciách</w:t>
      </w:r>
      <w:r w:rsidR="00E602B2">
        <w:t xml:space="preserve"> v </w:t>
      </w:r>
      <w:r w:rsidRPr="00E602B2">
        <w:t>štandardizovanom prístupe</w:t>
      </w:r>
      <w:r w:rsidR="00E602B2">
        <w:t xml:space="preserve"> k </w:t>
      </w:r>
      <w:r w:rsidRPr="00E602B2">
        <w:t>trhovému riziku (Ú. v. EÚ L 148, 20.5.2014, s. 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37A75258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r w:rsidR="00E602B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Bežné použiti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37A75258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r w:rsidR="00E602B2">
                      <w:rPr>
                        <w:rFonts w:ascii="Calibri" w:hAnsi="Calibri"/>
                        <w:color w:val="000000"/>
                        <w:sz w:val="24"/>
                      </w:rPr>
                      <w:t>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E9340B1E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2804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A7928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02B2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046064-94F8-4CEC-89B1-9E891DF26118}"/>
</file>

<file path=customXml/itemProps3.xml><?xml version="1.0" encoding="utf-8"?>
<ds:datastoreItem xmlns:ds="http://schemas.openxmlformats.org/officeDocument/2006/customXml" ds:itemID="{3F0DF09A-7FB7-478D-8F0C-2D87906DEDC5}"/>
</file>

<file path=customXml/itemProps4.xml><?xml version="1.0" encoding="utf-8"?>
<ds:datastoreItem xmlns:ds="http://schemas.openxmlformats.org/officeDocument/2006/customXml" ds:itemID="{31A81AC8-89E5-4035-83E0-106CE7003C87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2644</Words>
  <Characters>14811</Characters>
  <Application>Microsoft Office Word</Application>
  <DocSecurity>0</DocSecurity>
  <Lines>423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2024-10-15T14:47:00Z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