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29B3" w14:textId="77777777" w:rsidR="001A67EA" w:rsidRPr="007F4CC8" w:rsidRDefault="001A67EA" w:rsidP="001A67EA">
      <w:pPr>
        <w:pStyle w:val="Annexetitre"/>
        <w:spacing w:before="0"/>
      </w:pPr>
      <w:r>
        <w:t xml:space="preserve">XVIII. MELLÉKLET – A hitelkockázat-mérséklési technikák alkalmazásának nyilvánosságra hozatala</w:t>
      </w:r>
    </w:p>
    <w:p w14:paraId="180377C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8177053" w14:textId="77777777" w:rsidR="001A67EA" w:rsidRPr="007F4CC8" w:rsidRDefault="001A67EA" w:rsidP="001A67EA">
      <w:pPr>
        <w:spacing w:after="120"/>
        <w:rPr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EU CRC táblázat – A hitelkockázat-mérséklési technikákkal kapcsolatos minőségi nyilvánosságra hozatali követelmények.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Rugalmasan kitölthető táblázat</w:t>
      </w:r>
    </w:p>
    <w:p w14:paraId="163D083B" w14:textId="60F05672" w:rsidR="001A67EA" w:rsidRPr="007F4CC8" w:rsidRDefault="001A67EA" w:rsidP="001A67EA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Az intézmények az EBH IT-megoldásainak XVII. mellékletében található EU CRC táblázat e mellékletben foglalt útmutató szerinti kitöltésével hozzák nyilvánosságra az 575/2013/EU rendelet</w:t>
      </w:r>
      <w:r>
        <w:rPr>
          <w:rStyle w:val="FootnoteReference"/>
          <w:rFonts w:ascii="Times New Roman" w:hAnsi="Times New Roman" w:cs="Times New Roman"/>
          <w:sz w:val="24"/>
        </w:rPr>
        <w:footnoteReference w:id="1"/>
      </w:r>
      <w:r>
        <w:rPr>
          <w:sz w:val="24"/>
          <w:rFonts w:ascii="Times New Roman" w:hAnsi="Times New Roman"/>
        </w:rPr>
        <w:t xml:space="preserve"> (CRR) 453. cikkének a)–e) pontjában említett információkat.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4AD1712D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17E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 jelölése</w:t>
            </w:r>
          </w:p>
          <w:p w14:paraId="2309F28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A1416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Jogszabályi hivatkozások és útmutató</w:t>
            </w:r>
          </w:p>
        </w:tc>
      </w:tr>
      <w:tr w:rsidR="001A67EA" w:rsidRPr="007F4CC8" w14:paraId="60B868A1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F95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26F67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Magyarázat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883"/>
        <w:gridCol w:w="6782"/>
      </w:tblGrid>
      <w:tr w:rsidR="001A67EA" w:rsidRPr="007F4CC8" w14:paraId="6046C957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D92DAC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DEF80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a) pontja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DDFD2E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Amikor a CRR 453. cikkének a) pontjával összhangban a nettósítási politikáikra és a nettósítás alkalmazására vonatkozó információkat hoznak nyilvánosságra, az intézményeknek egyértelmű leírást kell adniuk a mérlegen belüli és a mérlegen kívüli nettósítást, valamint a nettósítási keretmegállapodásokat érintő hitelkockázat-mérséklési politikákról és folyamatokról.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Azt is meg kell adniuk, hogy milyen mértékben vették igénybe a mérlegen belüli és mérlegen kívüli nettósítást, valamint a nettósítási keretmegállapodásokat, és ezeknek milyen jelentősége van a hitelkockázat kezelése szempontjából.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intézmények megemlíthetik mindenekelőtt a használatban lévő technikák részleteit, valamint a mérlegen belüli nettósítási megállapodások hatálya alá tartozó pozíciókat és a nettósítási keretmegállapodásokban foglalt pénzügyi instrumentumokat.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Ezenfelül ismertetni lehet az e technikák eredményességének biztosításához szükséges feltételeket és a jogi kockázat tekintetében bevezetett kontrollintézkedéseket.</w:t>
            </w:r>
          </w:p>
        </w:tc>
      </w:tr>
      <w:tr w:rsidR="001A67EA" w:rsidRPr="007F4CC8" w14:paraId="088E4178" w14:textId="77777777" w:rsidTr="004F3087">
        <w:trPr>
          <w:trHeight w:val="841"/>
        </w:trPr>
        <w:tc>
          <w:tcPr>
            <w:tcW w:w="1407" w:type="dxa"/>
          </w:tcPr>
          <w:p w14:paraId="16A703B9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883" w:type="dxa"/>
          </w:tcPr>
          <w:p w14:paraId="20468003" w14:textId="77777777" w:rsidR="001A67EA" w:rsidRPr="007F4CC8" w:rsidRDefault="001A67EA" w:rsidP="004F3087">
            <w:pPr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b) pontja</w:t>
            </w:r>
          </w:p>
          <w:p w14:paraId="4BA9C895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</w:p>
        </w:tc>
        <w:tc>
          <w:tcPr>
            <w:tcW w:w="6782" w:type="dxa"/>
          </w:tcPr>
          <w:p w14:paraId="4B80DFA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elismert biztosítékok értékelésére és kezelésére vonatkozó szabályok és eljárások legfontosabb jellemzőire vonatkozóan a CRR 453. cikkének b) pontjával összhangban nyilvánosságra hozott információk részeként az intézményeknek a következőket kell megadniuk:</w:t>
            </w:r>
          </w:p>
          <w:p w14:paraId="2A102C16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 nyújtott biztosíték vizsgálatának és értékelésének alapja, beleértve a hitelkockázat-mérséklési technikák jogbiztonságának értékelését;</w:t>
            </w:r>
          </w:p>
          <w:p w14:paraId="4978007D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az értékelés típusa (piaci érték, jelzálog-hitelbiztosítéki érték, egyéb értéktípusok);</w:t>
            </w:r>
          </w:p>
          <w:p w14:paraId="1BB7939A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 biztosíték számított értékét milyen mértékben csökkenti haircut;</w:t>
            </w:r>
          </w:p>
          <w:p w14:paraId="6CA64CC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 jelzálog-biztosítékok és egyéb dologi biztosítékok értékének nyomon követésére bevezetett eljárás, gyakoriság és módszerek.</w:t>
            </w:r>
          </w:p>
          <w:p w14:paraId="42DBE288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 ezen túlmenően azt is nyilvánosságra hozhatják, hogy rendelkeznek-e a hitelezési kitettségi limitekre vonatkozó rendszerrel, és hogy az elfogadott biztosíték hogyan hat e limitek számszerűsítésére.</w:t>
            </w:r>
          </w:p>
        </w:tc>
      </w:tr>
      <w:tr w:rsidR="001A67EA" w:rsidRPr="007F4CC8" w:rsidDel="00915DC9" w14:paraId="3A5626B8" w14:textId="77777777" w:rsidTr="004F3087">
        <w:trPr>
          <w:trHeight w:val="973"/>
        </w:trPr>
        <w:tc>
          <w:tcPr>
            <w:tcW w:w="1407" w:type="dxa"/>
          </w:tcPr>
          <w:p w14:paraId="547245B3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c)</w:t>
            </w:r>
          </w:p>
        </w:tc>
        <w:tc>
          <w:tcPr>
            <w:tcW w:w="883" w:type="dxa"/>
          </w:tcPr>
          <w:p w14:paraId="3EE8CB3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c) pontja</w:t>
            </w:r>
          </w:p>
        </w:tc>
        <w:tc>
          <w:tcPr>
            <w:tcW w:w="6782" w:type="dxa"/>
          </w:tcPr>
          <w:p w14:paraId="03C8684E" w14:textId="77777777" w:rsidR="001A67EA" w:rsidRPr="007F4CC8" w:rsidDel="00915DC9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c) pontjával összhangban az elfogadott biztosítékok leírása során az intézményeknek kitettségtípusonként részletes leírást kell adniuk a hitelkockázat mérséklése céljából elfogadott fő biztosítéktípusokról.</w:t>
            </w:r>
          </w:p>
        </w:tc>
      </w:tr>
      <w:tr w:rsidR="001A67EA" w:rsidRPr="007F4CC8" w14:paraId="0B958E6C" w14:textId="77777777" w:rsidTr="004F3087">
        <w:trPr>
          <w:trHeight w:val="1265"/>
        </w:trPr>
        <w:tc>
          <w:tcPr>
            <w:tcW w:w="1407" w:type="dxa"/>
          </w:tcPr>
          <w:p w14:paraId="16182508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d)</w:t>
            </w:r>
          </w:p>
        </w:tc>
        <w:tc>
          <w:tcPr>
            <w:tcW w:w="883" w:type="dxa"/>
          </w:tcPr>
          <w:p w14:paraId="3751629F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d) pontja</w:t>
            </w:r>
          </w:p>
        </w:tc>
        <w:tc>
          <w:tcPr>
            <w:tcW w:w="6782" w:type="dxa"/>
          </w:tcPr>
          <w:p w14:paraId="484148E0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garantőrök és a hitelderivatíva-partnerek főbb típusaira és hitelképességükre vonatkozó, a CRR 453. cikkének d) pontjával összhangban nyilvánosságra hozandó leírásnak a tőkekövetelmények csökkentése céljából igénybe vett hitelderivatívákra kell kiterjednie, a szintetikus értékpapírosítási struktúrák részeként felhasznált hitelderivatívák kivételével.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intézmények leírást adhatnak a garantőrök és partnerek fő típusai által nyújtott garanciák vagy hitelderivatívák hatásának megjelenítésére használt módszerekről is.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A67EA" w:rsidRPr="007F4CC8" w14:paraId="45D6C7FC" w14:textId="77777777" w:rsidTr="004F3087">
        <w:trPr>
          <w:trHeight w:val="1405"/>
        </w:trPr>
        <w:tc>
          <w:tcPr>
            <w:tcW w:w="1407" w:type="dxa"/>
          </w:tcPr>
          <w:p w14:paraId="03857EEF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e)</w:t>
            </w:r>
          </w:p>
        </w:tc>
        <w:tc>
          <w:tcPr>
            <w:tcW w:w="883" w:type="dxa"/>
          </w:tcPr>
          <w:p w14:paraId="3363450E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453. cikkének e) pontja</w:t>
            </w:r>
          </w:p>
        </w:tc>
        <w:tc>
          <w:tcPr>
            <w:tcW w:w="6782" w:type="dxa"/>
          </w:tcPr>
          <w:p w14:paraId="025D06B4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alkalmazott hitelkockázat-mérséklési technikákhoz kapcsolódóan a piaci kockázat, illetve a hitelkockázat koncentrációjával kapcsolatos információk CRR 453. cikkének e) pontja szerinti nyilvánosságra hozatala során az intézményeknek elemezniük kell a hitelkockázat-mérséklési technikák miatt esetlegesen felmerülő, és a hitelkockázat-mérséklési instrumentumok hatékonyságát adott esetben akadályozó koncentrációkat.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 nyilvánosságra hozatalok körében a koncentrációhoz tartozhatnak a biztosítékként igénybe vett instrumentumok típusa, szervezet (garantőrök típusa és hitelderivatíva-szolgáltatók szerinti koncentrációk), ágazat, földrajzi terület, pénznem, minősítés vagy egyéb tényezők szerint bontott koncentrációk, amelyek hatással lehetnek a védelem értékére és ezáltal csökkenthetik e védelmet.</w:t>
            </w:r>
          </w:p>
        </w:tc>
      </w:tr>
    </w:tbl>
    <w:p w14:paraId="5BC2E8E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F6E25BC" w14:textId="77777777" w:rsidR="001A67EA" w:rsidRPr="007F4CC8" w:rsidRDefault="001A67EA" w:rsidP="001A67EA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EU CR3 tábla – Hitelkockázat-mérséklési technikák áttekintése: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a hitelkockázat-mérséklési technikák alkalmazásának nyilvánosságra hozatala.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Kötött formátumú tábla.</w:t>
      </w:r>
    </w:p>
    <w:p w14:paraId="1FAA7723" w14:textId="77777777" w:rsidR="001A67EA" w:rsidRPr="007F4CC8" w:rsidRDefault="001A67EA" w:rsidP="001A67EA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Az intézmények az e végrehajtási rendelet XVII. mellékletében található EU CR3 tábla e mellékletben foglalt útmutató szerinti kitöltésével hozzák nyilvánosságra a CRR 453. cikkének f) pontjában említett információkat.</w:t>
      </w:r>
    </w:p>
    <w:p w14:paraId="69A94B62" w14:textId="77777777" w:rsidR="001A67EA" w:rsidRPr="007F4CC8" w:rsidRDefault="001A67EA" w:rsidP="001A67EA">
      <w:pPr>
        <w:spacing w:after="120"/>
        <w:jc w:val="both"/>
        <w:rPr>
          <w:b/>
          <w:iCs/>
          <w:sz w:val="24"/>
          <w:rFonts w:ascii="Times New Roman" w:eastAsia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Ez a tábla kiterjed az alkalmazandó számviteli szabályozás szerint elismert összes hitelkockázat-mérséklési technikára, függetlenül attól, hogy ezek a technikák a CRR szerint elismertek-e, beleértve – de nem kizárólag – az összes fedezett kitettség tekintetében felhasznált valamennyi típusú biztosítékot, pénzügyi garanciát és hitelderivatívát, tekintet nélkül arra, hogy a kockázattal súlyozott kitettségérték (RWEA) számításához a sztenderd módszert vagy az IRB-módszert alkalmazzák-e.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Az intézményeknek szöveges magyarázattal kell kiegészíteniük a táblát, amelyben kifejtik a nyilvánosságra hozatali időszak során bekövetkezett esetleges jelentős változásokat és az e változásokat mozgató fő hajtóerőket.</w:t>
      </w:r>
    </w:p>
    <w:p w14:paraId="1EBDEE5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3A73F47C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DE74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 jelölése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EA746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Jogszabályi hivatkozások és útmutató</w:t>
            </w:r>
          </w:p>
        </w:tc>
      </w:tr>
      <w:tr w:rsidR="001A67EA" w:rsidRPr="007F4CC8" w14:paraId="583C89A3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6FA8A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62A2B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Magyarázat</w:t>
            </w:r>
          </w:p>
        </w:tc>
      </w:tr>
      <w:tr w:rsidR="001A67EA" w:rsidRPr="007F4CC8" w14:paraId="35223F05" w14:textId="77777777" w:rsidTr="004F3087">
        <w:trPr>
          <w:trHeight w:val="316"/>
        </w:trPr>
        <w:tc>
          <w:tcPr>
            <w:tcW w:w="1413" w:type="dxa"/>
          </w:tcPr>
          <w:p w14:paraId="2579202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32D2A419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Fedezetlen könyv szerinti érték: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5EE349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azoknak a kitettségeknek a könyv szerinti értéke (az értékvesztéstől megtisztítva), amelyek tekintetében nem alkalmaznak hitelkockázat-mérséklési technikát, függetlenül attól, hogy a CRR alapján elismert technikáról van-e szó.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E635E37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Mindenekelőtt olyan kitettségekre vonatkozik, amelyek sem biztosítékot, sem pénzügyi garanciát nem kaptak fedezetül.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részben fedezett vagy részben garantált kitettség fedezetlen része nem tartozik ide.</w:t>
            </w:r>
          </w:p>
        </w:tc>
      </w:tr>
      <w:tr w:rsidR="001A67EA" w:rsidRPr="007F4CC8" w14:paraId="475E6E51" w14:textId="77777777" w:rsidTr="004F3087">
        <w:trPr>
          <w:trHeight w:val="316"/>
        </w:trPr>
        <w:tc>
          <w:tcPr>
            <w:tcW w:w="1413" w:type="dxa"/>
          </w:tcPr>
          <w:p w14:paraId="7DD870E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736FBF01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Fedezett könyv szerinti érték: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0FF840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olyan kitettségek könyv szerinti értéke, amelyekhez legalább egy hitelkockázat-mérséklési technika kapcsolódik (biztosíték, pénzügyi garancia, hitelderivatíva).</w:t>
            </w:r>
          </w:p>
          <w:p w14:paraId="05789AFF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Amennyiben a kitettséget fedező biztosítékok, pénzügyi garanciák és hitelderivatívák értéke meghaladja az adott kitettség könyv szerinti értékét, csak az adott kitettség könyv szerinti értékéig terjedő értékeket szabad feltüntetni.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Amennyiben a kitettség könyv szerinti értéke meghaladja az adott kitettséget fedező biztosítékok, pénzügyi garanciák és hitelderivatívák értékét, a kitettség teljes könyv szerinti értékét kell feltüntetni.</w:t>
            </w:r>
          </w:p>
          <w:p w14:paraId="7EDEE0AE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„c”, „d” és „e” oszlop alkalmazásában a többszörösen fedezett kitettségek könyv szerinti értékének a különböző hitelkockázat-mérséklési technikáikhoz való hozzárendelését elsőbbségi sorrendben kell elvégezni, azzal a hitelkockázat-mérséklési technikával kezdve, amelyet nemfizetés esetén várhatóan elsőként hívnak le, és a fedezett kitettségek könyv szerinti értékének határain belül.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kitettségrészeket az e tábla „c”, „d” vagy „e” oszlopa közül csak az egyikben kell feltüntetni.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A67EA" w:rsidRPr="007F4CC8" w14:paraId="37B3496C" w14:textId="77777777" w:rsidTr="004F3087">
        <w:trPr>
          <w:trHeight w:val="316"/>
        </w:trPr>
        <w:tc>
          <w:tcPr>
            <w:tcW w:w="1413" w:type="dxa"/>
          </w:tcPr>
          <w:p w14:paraId="0CBB040D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7D972C67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Ebből biztosítékkal fedezett: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B8F68C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ez az oszlop e tábla „b” oszlopának részhalmaza, és a biztosítékkal fedezett (értékvesztéstől megtisztított) kitettségek vagy kitettségrészek könyv szerinti értékét mutatja.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Ha valamely kitettséget olyan biztosítékkal vagy egyéb hitelkockázat-mérséklési technikával (technikákkal) fedeznek, amelyet (amelyeket) nemfizetés esetén várhatóan előbb hívnak le, a biztosítékkal fedezett kitettség könyv szerinti értéke a kitettségnek az egyéb kockázatmérséklési technikákkal már fedezett kitettségrészek figyelembevétele után fennmaradó része, az adott kitettség könyv szerinti értékéig.</w:t>
            </w:r>
          </w:p>
        </w:tc>
      </w:tr>
      <w:tr w:rsidR="001A67EA" w:rsidRPr="007F4CC8" w14:paraId="50B32400" w14:textId="77777777" w:rsidTr="004F3087">
        <w:trPr>
          <w:trHeight w:val="316"/>
        </w:trPr>
        <w:tc>
          <w:tcPr>
            <w:tcW w:w="1413" w:type="dxa"/>
          </w:tcPr>
          <w:p w14:paraId="741497BC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550E0FE4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Ebből pénzügyi garanciákkal fedezett: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7847CC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ez az oszlop e tábla „b” oszlopának részhalmaza, és a garanciákkal fedezett (értékvesztéstől megtisztított) kitettségek vagy kitettségrészek könyv szerinti értékét mutatja.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Ha valamely kitettséget olyan garanciákkal vagy egyéb hitelkockázat-mérséklési technikákkal fedeznek, amelyeket nemfizetés esetén várhatóan előbb hívnak le, a garanciákkal fedezett kitettség könyv szerinti értéke a kitettségnek az egyéb kockázatmérséklési technikákkal már fedezett kitettségrészek figyelembevétele után fennmaradó része, az adott kitettség könyv szerinti értékéig.</w:t>
            </w:r>
          </w:p>
        </w:tc>
      </w:tr>
      <w:tr w:rsidR="001A67EA" w:rsidRPr="007F4CC8" w14:paraId="674417F3" w14:textId="77777777" w:rsidTr="004F3087">
        <w:trPr>
          <w:trHeight w:val="316"/>
        </w:trPr>
        <w:tc>
          <w:tcPr>
            <w:tcW w:w="1413" w:type="dxa"/>
          </w:tcPr>
          <w:p w14:paraId="0378E1B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4" w:type="dxa"/>
          </w:tcPr>
          <w:p w14:paraId="4F7777BA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Ebből hitelderivatívákkal fedezett: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5390365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ez az oszlop e tábla „d” oszlopának (pénzügyi garanciák) részhalmaza, és a hitelderivatívákkal fedezett (értékvesztéstől megtisztított) kitettségek vagy kitettségrészek könyv szerinti értékét mutatja.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Ha valamely kitettséget olyan hitelderivatívákkal vagy egyéb hitelkockázat-mérséklési technikákkal fedeznek, amelyeket nemfizetés esetén várhatóan előbb hívnak le, a hitelderivatívákkal fedezett kitettség könyv szerinti értéke a kitettségnek az egyéb kockázatmérséklési technikákkal már fedezett kitettségrészek figyelembevétele után fennmaradó része, az adott kitettség könyv szerinti értékéig.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3A57B273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A67EA" w:rsidRPr="007F4CC8" w14:paraId="4ED59B80" w14:textId="77777777" w:rsidTr="004F3087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5B23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 száma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25938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Jogszabályi hivatkozások és útmutató</w:t>
            </w:r>
          </w:p>
        </w:tc>
      </w:tr>
      <w:tr w:rsidR="001A67EA" w:rsidRPr="007F4CC8" w14:paraId="2D299A07" w14:textId="77777777" w:rsidTr="004F3087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B556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7B9A3" w14:textId="77777777" w:rsidR="001A67EA" w:rsidRPr="007F4CC8" w:rsidRDefault="001A67EA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Magyarázat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A67EA" w:rsidRPr="007F4CC8" w14:paraId="67790BED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06C31B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E779E01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Hitelek és előlegek</w:t>
            </w:r>
          </w:p>
          <w:p w14:paraId="1DF552E0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„Hitelek és előlegek” az intézmény által tartott hitelviszonyt megtestesítő instrumentumok, amelyek nem értékpapírok;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ez a tétel magában foglalja az 1071/2013/EU rendelet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(EKB BSI rendelet) szerinti „hiteleket”, valamint azokat az előlegeket, amelyek a 680/2014/EU bizottsági végrehajtási rendelet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 V. melléklete 1. részének 32. pontjában meghatározottak szerint nem sorolhatók be az EKB BSI rendelet szerinti „hitelek”-ként.</w:t>
            </w:r>
          </w:p>
        </w:tc>
      </w:tr>
      <w:tr w:rsidR="001A67EA" w:rsidRPr="007F4CC8" w14:paraId="04E2555D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77EA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064C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Hitelviszonyt megtestesítő értékpapírok</w:t>
            </w:r>
          </w:p>
          <w:p w14:paraId="64329DF3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„Hitelviszonyt megtestesítő értékpapírok” az intézmény által tartott, értékpapírként kibocsátott hitelviszonyt megtestesítő instrumentumok, amelyek nem az EKB BSI rendelet szerinti hitelek, a 680/2014/EU bizottsági végrehajtási rendelet V. melléklete 1. részének 31. pontjában meghatározottak szerint.</w:t>
            </w:r>
          </w:p>
        </w:tc>
      </w:tr>
      <w:tr w:rsidR="001A67EA" w:rsidRPr="007F4CC8" w14:paraId="05FBC0A7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7B5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BF67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Összesen</w:t>
            </w:r>
          </w:p>
          <w:p w14:paraId="1D5CA391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 tábla 1. és 2. sorában szereplő értékek összege</w:t>
            </w:r>
          </w:p>
        </w:tc>
      </w:tr>
      <w:tr w:rsidR="001A67EA" w:rsidRPr="007F4CC8" w14:paraId="232D94F6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B61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15E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 nemteljesítő kitettségek</w:t>
            </w:r>
          </w:p>
          <w:p w14:paraId="3AA9E7C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47a. cikke szerinti nemteljesítő kitettségek</w:t>
            </w:r>
          </w:p>
        </w:tc>
      </w:tr>
      <w:tr w:rsidR="001A67EA" w:rsidRPr="007F4CC8" w14:paraId="1562F9C2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68C7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51BE" w14:textId="77777777" w:rsidR="001A67EA" w:rsidRPr="007F4CC8" w:rsidRDefault="001A67EA" w:rsidP="004F3087">
            <w:pPr>
              <w:spacing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 nemteljesítő (defaulted)</w:t>
            </w:r>
          </w:p>
          <w:p w14:paraId="6D84A962" w14:textId="77777777" w:rsidR="001A67EA" w:rsidRPr="007F4CC8" w:rsidRDefault="001A67EA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CRR 178. cikke szerinti nemteljesítő (defaulted) kitettségek.</w:t>
            </w:r>
          </w:p>
        </w:tc>
      </w:tr>
    </w:tbl>
    <w:p w14:paraId="1114435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16865D4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2D174E35" w14:textId="77777777" w:rsidR="00993FC2" w:rsidRDefault="00993FC2" w:rsidP="001A67EA"/>
    <w:sectPr w:rsidR="00993FC2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916F" w14:textId="77777777" w:rsidR="00FE2307" w:rsidRDefault="00FE2307" w:rsidP="001A67EA">
      <w:r>
        <w:separator/>
      </w:r>
    </w:p>
  </w:endnote>
  <w:endnote w:type="continuationSeparator" w:id="0">
    <w:p w14:paraId="6DA24895" w14:textId="77777777" w:rsidR="00FE2307" w:rsidRDefault="00FE2307" w:rsidP="001A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856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45D7D" w14:textId="77777777" w:rsidR="001A67EA" w:rsidRDefault="001A6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</w:p>
    </w:sdtContent>
  </w:sdt>
  <w:p w14:paraId="32B367C4" w14:textId="77777777" w:rsidR="001A67EA" w:rsidRDefault="001A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D53A" w14:textId="77777777" w:rsidR="00FE2307" w:rsidRDefault="00FE2307" w:rsidP="001A67EA">
      <w:r>
        <w:separator/>
      </w:r>
    </w:p>
  </w:footnote>
  <w:footnote w:type="continuationSeparator" w:id="0">
    <w:p w14:paraId="308DFB3F" w14:textId="77777777" w:rsidR="00FE2307" w:rsidRDefault="00FE2307" w:rsidP="001A67EA">
      <w:r>
        <w:continuationSeparator/>
      </w:r>
    </w:p>
  </w:footnote>
  <w:footnote w:id="1">
    <w:p w14:paraId="46EBDC9A" w14:textId="0643DC4B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Az (EU) 2024/1623 rendelettel módosított 575/2013/EU európai parlamenti és tanácsi rendelet (2013. június 26.) a hitelintézetekre vonatkozó prudenciális követelményekről és a 648/2012/EU rendelet módosításáról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HL L 176., 2013.6.27., 1. o.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(EU) 2024/1623 rendelet – HU –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17AD8C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AZ EURÓPAI KÖZPONTI BANK 1071/2013/EU RENDELETE (2013. szeptember 24.) a monetáris pénzügyi intézmények ágazati mérlegéről (EKB/2013/33) (HL L 297., 2013.11.7., 1. o.).</w:t>
      </w:r>
    </w:p>
  </w:footnote>
  <w:footnote w:id="3">
    <w:p w14:paraId="40DC675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A BIZOTTSÁG 680/2014/EU VÉGREHAJTÁSI RENDELETE (2014. április 16.) az intézmények 575/2013/EU európai parlamenti és tanácsi rendelet szerinti felügyeleti adatszolgáltatása tekintetében végrehajtás-technikai standardok megállapításáról (HL L 191., 2014.6.28., 1. 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D94" w14:textId="0D45C6BA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8E57A27" wp14:editId="38EFA05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1192801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14E2E" w14:textId="6051178C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E57A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4CF14E2E" w14:textId="6051178C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4A0" w14:textId="4D7564CB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BA8A8F2" wp14:editId="73F2E6A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51966805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3A51A" w14:textId="77519130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A8A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B33A51A" w14:textId="77519130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360" w14:textId="228A2E9F" w:rsidR="00D03F87" w:rsidRDefault="00D03F8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A2B5F7B" wp14:editId="256233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13512796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F4275" w14:textId="46855021" w:rsidR="00D03F87" w:rsidRPr="00D03F87" w:rsidRDefault="00D03F87" w:rsidP="00D03F8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A2B5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295F4275" w14:textId="46855021" w:rsidR="00D03F87" w:rsidRPr="00D03F87" w:rsidRDefault="00D03F87" w:rsidP="00D03F8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82C49"/>
    <w:rsid w:val="001A67EA"/>
    <w:rsid w:val="00382C49"/>
    <w:rsid w:val="004E6337"/>
    <w:rsid w:val="00993FC2"/>
    <w:rsid w:val="00CA68B1"/>
    <w:rsid w:val="00D03F87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0B00"/>
  <w15:chartTrackingRefBased/>
  <w15:docId w15:val="{10B9F566-ECEB-472F-BF93-6D8F7AA9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EA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1A67EA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1A67EA"/>
    <w:pPr>
      <w:spacing w:before="80" w:line="200" w:lineRule="exact"/>
      <w:ind w:left="567" w:hanging="567"/>
      <w:jc w:val="both"/>
    </w:pPr>
    <w:rPr>
      <w:sz w:val="18"/>
      <w:szCs w:val="18"/>
      <w:lang w:val="hu-HU"/>
    </w:rPr>
  </w:style>
  <w:style w:type="character" w:customStyle="1" w:styleId="FootnoteTextChar">
    <w:name w:val="Footnote Text Char"/>
    <w:basedOn w:val="DefaultParagraphFont"/>
    <w:link w:val="FootnoteText"/>
    <w:rsid w:val="001A67EA"/>
    <w:rPr>
      <w:rFonts w:eastAsiaTheme="minorEastAsia"/>
      <w:sz w:val="18"/>
      <w:szCs w:val="18"/>
      <w:lang w:val="hu-HU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1A67EA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1A67EA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1A67E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table" w:styleId="TableProfessional">
    <w:name w:val="Table Professional"/>
    <w:basedOn w:val="TableNormal"/>
    <w:uiPriority w:val="99"/>
    <w:semiHidden/>
    <w:unhideWhenUsed/>
    <w:rsid w:val="001A67EA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7EA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7EA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U/TXT/?uri=OJ:L_202401623" TargetMode="External"/><Relationship Id="rId1" Type="http://schemas.openxmlformats.org/officeDocument/2006/relationships/hyperlink" Target="https://eur-lex.europa.eu/legal-content/HU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22FA9B-F96B-49B4-AA8B-708AF5B4AEB0}"/>
</file>

<file path=customXml/itemProps2.xml><?xml version="1.0" encoding="utf-8"?>
<ds:datastoreItem xmlns:ds="http://schemas.openxmlformats.org/officeDocument/2006/customXml" ds:itemID="{9D155749-5132-4A9F-95B6-DE3C3A6EC1CD}"/>
</file>

<file path=customXml/itemProps3.xml><?xml version="1.0" encoding="utf-8"?>
<ds:datastoreItem xmlns:ds="http://schemas.openxmlformats.org/officeDocument/2006/customXml" ds:itemID="{179307B1-AEB4-42C4-AC78-40BBFDD5888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7560</Characters>
  <Application>Microsoft Office Word</Application>
  <DocSecurity>0</DocSecurity>
  <Lines>198</Lines>
  <Paragraphs>82</Paragraphs>
  <ScaleCrop>false</ScaleCrop>
  <Company>European Banking Authority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2021-03-11T13:17:00Z</dcterms:created>
  <dcterms:modified xsi:type="dcterms:W3CDTF">2024-09-26T15:08:00Z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18a5b45c,5a12f8e1,20e65855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2024-09-26T15:08:54Z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70db11ff-dbab-49fe-8b5a-723b3ae89617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