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AB54" w14:textId="77777777" w:rsidR="00023C1E" w:rsidRDefault="00023C1E" w:rsidP="00023C1E">
      <w:pPr>
        <w:jc w:val="center"/>
        <w:rPr>
          <w:rFonts w:ascii="Times New Roman" w:hAnsi="Times New Roman"/>
          <w:sz w:val="24"/>
          <w:szCs w:val="22"/>
        </w:rPr>
      </w:pPr>
      <w:r>
        <w:rPr>
          <w:rFonts w:ascii="Times New Roman" w:hAnsi="Times New Roman"/>
          <w:sz w:val="24"/>
        </w:rPr>
        <w:t>CS</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rFonts w:ascii="Times New Roman" w:hAnsi="Times New Roman"/>
          <w:sz w:val="24"/>
        </w:rPr>
      </w:pPr>
      <w:r>
        <w:rPr>
          <w:rFonts w:ascii="Times New Roman" w:hAnsi="Times New Roman"/>
          <w:sz w:val="24"/>
        </w:rPr>
        <w:t>PŘÍLOHA II</w:t>
      </w:r>
    </w:p>
    <w:p w14:paraId="3C60A640" w14:textId="77777777" w:rsidR="00EC5F08" w:rsidRPr="00037E7B" w:rsidRDefault="00EC5F08" w:rsidP="00EC5F08">
      <w:pPr>
        <w:jc w:val="center"/>
        <w:rPr>
          <w:rFonts w:ascii="Times New Roman" w:hAnsi="Times New Roman"/>
          <w:sz w:val="24"/>
        </w:rPr>
      </w:pPr>
      <w:r>
        <w:rPr>
          <w:rFonts w:ascii="Times New Roman" w:hAnsi="Times New Roman"/>
          <w:sz w:val="24"/>
        </w:rPr>
        <w:t>„PŘÍLOHA II</w:t>
      </w:r>
    </w:p>
    <w:p w14:paraId="62D6C096" w14:textId="77777777" w:rsidR="00EC5F08" w:rsidRPr="00037E7B" w:rsidRDefault="00EC5F08" w:rsidP="00EC5F08">
      <w:pPr>
        <w:jc w:val="center"/>
        <w:rPr>
          <w:rFonts w:ascii="Times New Roman" w:hAnsi="Times New Roman"/>
          <w:b/>
          <w:sz w:val="24"/>
        </w:rPr>
      </w:pPr>
      <w:r>
        <w:rPr>
          <w:rFonts w:ascii="Times New Roman" w:hAnsi="Times New Roman"/>
          <w:b/>
          <w:sz w:val="24"/>
        </w:rPr>
        <w:t>POKYNY PRO PODÁVÁNÍ ZPRÁV O KAPITÁLU A KAPITÁLOVÝCH POŽADAVCÍCH</w:t>
      </w:r>
    </w:p>
    <w:p w14:paraId="63A72470" w14:textId="77777777" w:rsidR="00EC5F08" w:rsidRDefault="00EC5F08" w:rsidP="00EC5F08"/>
    <w:p w14:paraId="1E2DD6C0" w14:textId="77777777" w:rsidR="00EC5F08" w:rsidRDefault="00EC5F08" w:rsidP="00EC5F0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ČÁST II: POKYNY PRO VYPLNĚNÍ ŠABLONY</w:t>
      </w:r>
    </w:p>
    <w:p w14:paraId="5F94331A" w14:textId="77777777" w:rsidR="00EC5F08"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37964DB" w14:textId="77777777" w:rsidR="00EC5F08" w:rsidRPr="00736637"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0" w:name="_Toc473561055"/>
      <w:bookmarkStart w:id="1" w:name="_Toc151714522"/>
      <w:r>
        <w:rPr>
          <w:rFonts w:ascii="Times New Roman" w:hAnsi="Times New Roman"/>
          <w:sz w:val="24"/>
          <w:u w:val="none"/>
        </w:rPr>
        <w:t>7.</w:t>
      </w:r>
      <w:r>
        <w:tab/>
      </w:r>
      <w:r>
        <w:rPr>
          <w:rFonts w:ascii="Times New Roman" w:hAnsi="Times New Roman"/>
          <w:sz w:val="24"/>
        </w:rPr>
        <w:t>C 33.00 – Expozice vůči vládním institucím (GOV)</w:t>
      </w:r>
      <w:bookmarkEnd w:id="0"/>
      <w:bookmarkEnd w:id="1"/>
    </w:p>
    <w:p w14:paraId="47ECBF7E"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2" w:name="_Toc367202008"/>
      <w:bookmarkStart w:id="3" w:name="_Toc473561056"/>
      <w:bookmarkStart w:id="4" w:name="_Toc151714523"/>
      <w:r>
        <w:rPr>
          <w:rFonts w:ascii="Times New Roman" w:hAnsi="Times New Roman"/>
          <w:sz w:val="24"/>
          <w:u w:val="none"/>
        </w:rPr>
        <w:t>7.1</w:t>
      </w:r>
      <w:r>
        <w:tab/>
      </w:r>
      <w:r>
        <w:rPr>
          <w:rFonts w:ascii="Times New Roman" w:hAnsi="Times New Roman"/>
          <w:sz w:val="24"/>
        </w:rPr>
        <w:t>Obecné poznámky</w:t>
      </w:r>
      <w:bookmarkEnd w:id="2"/>
      <w:bookmarkEnd w:id="3"/>
      <w:bookmarkEnd w:id="4"/>
      <w:r>
        <w:rPr>
          <w:rFonts w:ascii="Times New Roman" w:hAnsi="Times New Roman"/>
          <w:sz w:val="24"/>
        </w:rPr>
        <w:t xml:space="preserve"> </w:t>
      </w:r>
    </w:p>
    <w:p w14:paraId="607B1B9D" w14:textId="4D6DEBA3"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191</w:t>
      </w:r>
      <w:r>
        <w:fldChar w:fldCharType="end"/>
      </w:r>
      <w:r>
        <w:t>.</w:t>
      </w:r>
      <w:r>
        <w:tab/>
        <w:t xml:space="preserve"> Informace pro účely šablony C 33.00 zahrnují všechny expozice vůči „vládním institucím“, jak je uvedeno v odst. 42 písm. b) přílohy V tohoto prováděcího nařízení.</w:t>
      </w:r>
    </w:p>
    <w:p w14:paraId="6DDF43E1" w14:textId="777647EB"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192</w:t>
      </w:r>
      <w:r>
        <w:fldChar w:fldCharType="end"/>
      </w:r>
      <w:r>
        <w:t>.</w:t>
      </w:r>
      <w:r>
        <w:tab/>
        <w:t xml:space="preserve"> Pokud expozice vůči „vládním institucím“ podléhají kapitálovým požadavkům podle části třetí hlavy II nařízení (EU) č. 575/2013, zahrnují se do různých kategorií expozic v souladu s články 112 a 147 uvedeného nařízení, jak stanoví pokyny pro vyplnění šablon C 07.00, C 08.01 a C 08.02. </w:t>
      </w:r>
    </w:p>
    <w:p w14:paraId="293BF385" w14:textId="0FB1F10B"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193</w:t>
      </w:r>
      <w:r>
        <w:fldChar w:fldCharType="end"/>
      </w:r>
      <w:r>
        <w:t>.</w:t>
      </w:r>
      <w:r>
        <w:tab/>
        <w:t xml:space="preserve"> Při mapování kategorií expozic použitých pro výpočet kapitálových požadavků podle nařízení (EU) č. 575/2013 ke kategorii protistran „vládní instituce“ se postupuje podle tabulky 2 (Standardizovaný přístup) a tabulky 3 (Přístup IRB) zařazených v části 3 přílohy V tohoto prováděcího nařízení. </w:t>
      </w:r>
    </w:p>
    <w:p w14:paraId="7BF9F4A1" w14:textId="3878F16A"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194</w:t>
      </w:r>
      <w:r>
        <w:fldChar w:fldCharType="end"/>
      </w:r>
      <w:r>
        <w:t xml:space="preserve">. Informace se vykazují pro celkové souhrnné expozice (tj. součet hodnot ze všech zemí, ve kterých má banka svrchované expozice) a pro každou zemi na základě sídla protistrany na principu bezprostředního dlužníka. </w:t>
      </w:r>
    </w:p>
    <w:p w14:paraId="3F2AB0FC" w14:textId="12D22EC0"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195</w:t>
      </w:r>
      <w:r>
        <w:fldChar w:fldCharType="end"/>
      </w:r>
      <w:r>
        <w:t>.</w:t>
      </w:r>
      <w:r>
        <w:tab/>
        <w:t xml:space="preserve"> Rozdělení expozic do kategorií expozic nebo jurisdikcí se provede bez zohlednění technik snižování úvěrového rizika, a zejména bez zohlednění substitučních účinků. Výpočet hodnot expozice a objemů rizikově vážených expozic pro každou kategorii expozic a každou jurisdikci však zahrnuje dopad technik snižování úvěrového rizika, včetně substitučních účinků. </w:t>
      </w:r>
    </w:p>
    <w:p w14:paraId="63D48DFC" w14:textId="24583AEB"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196</w:t>
      </w:r>
      <w:r>
        <w:fldChar w:fldCharType="end"/>
      </w:r>
      <w:r>
        <w:t>.</w:t>
      </w:r>
      <w:r>
        <w:tab/>
        <w:t xml:space="preserve"> Na vykazování informací o expozicích vůči „vládním institucím“ podle jurisdikce sídla dané bezprostřední protistrany </w:t>
      </w:r>
      <w:proofErr w:type="gramStart"/>
      <w:r>
        <w:t>jiné</w:t>
      </w:r>
      <w:proofErr w:type="gramEnd"/>
      <w:r>
        <w:t xml:space="preserve"> než domácí jurisdikce vykazující instituce se vztahují prahové hodnoty stanovené v čl. 6 odst. 3 tohoto prováděcího nařízení.</w:t>
      </w:r>
    </w:p>
    <w:p w14:paraId="6C57DF9A"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5" w:name="_Toc367202009"/>
      <w:bookmarkStart w:id="6" w:name="_Toc473561057"/>
      <w:bookmarkStart w:id="7" w:name="_Toc151714524"/>
      <w:r>
        <w:rPr>
          <w:rFonts w:ascii="Times New Roman" w:hAnsi="Times New Roman"/>
          <w:sz w:val="24"/>
          <w:u w:val="none"/>
        </w:rPr>
        <w:lastRenderedPageBreak/>
        <w:t>7.2</w:t>
      </w:r>
      <w:r>
        <w:tab/>
      </w:r>
      <w:r>
        <w:rPr>
          <w:rFonts w:ascii="Times New Roman" w:hAnsi="Times New Roman"/>
          <w:sz w:val="24"/>
        </w:rPr>
        <w:t>Oblast působnosti šablony</w:t>
      </w:r>
      <w:bookmarkEnd w:id="5"/>
      <w:r>
        <w:t xml:space="preserve"> </w:t>
      </w:r>
      <w:r>
        <w:rPr>
          <w:rFonts w:ascii="Times New Roman" w:hAnsi="Times New Roman"/>
          <w:sz w:val="24"/>
        </w:rPr>
        <w:t>pro expozice vůči „vládním institucím“</w:t>
      </w:r>
      <w:bookmarkEnd w:id="6"/>
      <w:bookmarkEnd w:id="7"/>
    </w:p>
    <w:p w14:paraId="0229F5BC" w14:textId="67D90191"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197</w:t>
      </w:r>
      <w:r>
        <w:fldChar w:fldCharType="end"/>
      </w:r>
      <w:r>
        <w:t>.</w:t>
      </w:r>
      <w:r>
        <w:tab/>
        <w:t xml:space="preserve"> Šablona pro expozice vůči vládním institucím (GOV) se vztahuje na přímé rozvahové, podrozvahové a derivátové expozice vůči „vládním institucím“ v bankovním i obchodním portfoliu. Vyžaduje se také doplňková položka týkající se nepřímých expozic ve formě prodaných úvěrových derivátů na expozice vůči vládním institucím.</w:t>
      </w:r>
    </w:p>
    <w:p w14:paraId="1EC4D83C" w14:textId="376B0B1B"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198</w:t>
      </w:r>
      <w:r>
        <w:fldChar w:fldCharType="end"/>
      </w:r>
      <w:r>
        <w:t>.</w:t>
      </w:r>
      <w:r>
        <w:tab/>
        <w:t xml:space="preserve"> Expozice je přímou expozicí, jestliže bezprostřední protistranou je subjekt, který je „vládní institucí“ podle přílohy V odst. 42 písm. b) tohoto prováděcího nařízení. </w:t>
      </w:r>
    </w:p>
    <w:p w14:paraId="00A82C5A" w14:textId="7F0E5E44" w:rsidR="00BD16F2" w:rsidRPr="002A677E" w:rsidRDefault="00BD16F2" w:rsidP="00BD16F2">
      <w:pPr>
        <w:pStyle w:val="InstructionsText2"/>
        <w:numPr>
          <w:ilvl w:val="0"/>
          <w:numId w:val="0"/>
        </w:numPr>
        <w:ind w:left="993"/>
      </w:pPr>
      <w:r>
        <w:fldChar w:fldCharType="begin"/>
      </w:r>
      <w:r>
        <w:instrText xml:space="preserve"> seq paragraphs </w:instrText>
      </w:r>
      <w:r>
        <w:fldChar w:fldCharType="separate"/>
      </w:r>
      <w:r>
        <w:t>199</w:t>
      </w:r>
      <w:r>
        <w:fldChar w:fldCharType="end"/>
      </w:r>
      <w:r>
        <w:t>.</w:t>
      </w:r>
      <w:r>
        <w:tab/>
        <w:t xml:space="preserve"> Šablona je rozdělena do dvou částí. První část je založena na členění expozic podle rizika, regulatorního přístupu a kategorií expozic, zatímco druhá část je založena na členění podle zbytkové splatnosti.</w:t>
      </w:r>
    </w:p>
    <w:p w14:paraId="4EBA25CD"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8" w:name="_Toc473561058"/>
      <w:bookmarkStart w:id="9" w:name="_Toc151714525"/>
      <w:r>
        <w:rPr>
          <w:rFonts w:ascii="Times New Roman" w:hAnsi="Times New Roman"/>
          <w:sz w:val="24"/>
          <w:u w:val="none"/>
        </w:rPr>
        <w:t>7.3</w:t>
      </w:r>
      <w:r>
        <w:tab/>
      </w:r>
      <w:r>
        <w:rPr>
          <w:rFonts w:ascii="Times New Roman" w:hAnsi="Times New Roman"/>
          <w:sz w:val="24"/>
        </w:rPr>
        <w:t>Pokyny pro konkrétní pozice</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Sloupce</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Pokyny</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PŘÍMÉ EXPOZICE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0010–0140</w:t>
            </w:r>
          </w:p>
        </w:tc>
        <w:tc>
          <w:tcPr>
            <w:tcW w:w="8640" w:type="dxa"/>
          </w:tcPr>
          <w:p w14:paraId="70877AF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ROZVAHOVÉ EXPOZICE</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640" w:type="dxa"/>
          </w:tcPr>
          <w:p w14:paraId="00745A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Celková hrubá účetní hodnota nederivátových finančních aktiv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Souhrn hrubé účetní hodnoty (určené v souladu s odstavcem 34 v příloze V části 1 tohoto prováděcího nařízení) nederivátových finančních aktiv vůči vládním institucím, pro všechna účetní portfolia podle IFRS nebo národních GAAP vycházejících ze směrnice Rady 86/635/EHS, ve smyslu definice v odstavcích 15 až 22 v příloze V části 1 tohoto prováděcího nařízení, uvedená ve sloupcích 0030 až 0120.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Obezřetnostní úpravy ocenění nesmí snížit hrubou účetní hodnotu obchodních a neobchodních expozic oceněných reálnou hodnotou.</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w:t>
            </w:r>
          </w:p>
        </w:tc>
        <w:tc>
          <w:tcPr>
            <w:tcW w:w="8640" w:type="dxa"/>
          </w:tcPr>
          <w:p w14:paraId="6AED785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Celková účetní hodnota nederivátových finančních aktiv (očištěná o krátké pozice)</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Souhrn účetní hodnoty (podle odstavce 27 v příloze V části 1 tohoto prováděcího nařízení) nederivátových finančních aktiv vůči vládním institucím, pro všechna účetní portfolia podle IFRS nebo národních GAAP vycházejících ze směrnice Rady 86/635/EHS, ve smyslu definice v odstavcích 15 až 22 v příloze V části 1 tohoto prováděcího nařízení, uvedená ve sloupcích 0030 až 0120, očištěný o krátké pozice.</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Má-li instituce pro stejnou zbytkovou splatnost a pro stejnou bezprostřední protistranu krátkou pozici, která je denominována ve stejné měně, účetní hodnota krátké pozice se započítá vůči účetní hodnotě přímé pozice. Tato čistá hodnota se považuje za nulovou, pokud je to záporná částka. Má-li instituce krátkou pozici bez odpovídající přímé pozice, částka krátké pozice se pro účely tohoto sloupce považuje za nulovou.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77D588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NEDERIVÁTOVÁ FINANČNÍ AKTIVA PODLE ÚČETNÍCH PORTFOLIÍ</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Souhrnná účetní hodnota nederivátových finančních aktiv, ve smyslu řádku této tabulky výše, vůči vládním institucím v členění podle účetního portfolia v rámci použitelného účetního rámce.</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640" w:type="dxa"/>
          </w:tcPr>
          <w:p w14:paraId="536B204E"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Finanční aktiva k obchodování</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IFRS 7 odst. 8 písm. a) bod </w:t>
            </w:r>
            <w:proofErr w:type="spellStart"/>
            <w:r>
              <w:rPr>
                <w:rFonts w:ascii="Times New Roman" w:hAnsi="Times New Roman"/>
                <w:sz w:val="24"/>
              </w:rPr>
              <w:t>ii</w:t>
            </w:r>
            <w:proofErr w:type="spellEnd"/>
            <w:r>
              <w:rPr>
                <w:rFonts w:ascii="Times New Roman" w:hAnsi="Times New Roman"/>
                <w:sz w:val="24"/>
              </w:rPr>
              <w:t>); IFRS 9 dodatek A</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640" w:type="dxa"/>
          </w:tcPr>
          <w:p w14:paraId="5F82DDB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Obchodovatelná finanční aktiva</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Články 32 a 33 směrnice Rady 86/635/EHS; příloha V část 1 odstavec 16 tohoto prováděcího nařízení; čl. 8 odst. 1 písm. a) směrnice 2013/34/EU</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Vyplňují pouze instituce podle vnitrostátních všeobecně přijímaných účetních zásad (GAAP).</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640" w:type="dxa"/>
          </w:tcPr>
          <w:p w14:paraId="00F501FE" w14:textId="0DA3534E"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Neobchodní finanční aktiva povinně oceňovaná </w:t>
            </w:r>
            <w:r w:rsidR="005C4540">
              <w:rPr>
                <w:rFonts w:ascii="Times New Roman" w:hAnsi="Times New Roman"/>
                <w:b/>
                <w:sz w:val="24"/>
                <w:u w:val="single"/>
              </w:rPr>
              <w:t>reálnou hodnotou</w:t>
            </w:r>
            <w:r>
              <w:rPr>
                <w:rFonts w:ascii="Times New Roman" w:hAnsi="Times New Roman"/>
                <w:b/>
                <w:sz w:val="24"/>
                <w:u w:val="single"/>
              </w:rPr>
              <w:t xml:space="preserve"> do zisku nebo ztráty</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IFRS 7 odst. 8 písm. a) bod </w:t>
            </w:r>
            <w:proofErr w:type="spellStart"/>
            <w:r>
              <w:rPr>
                <w:rFonts w:ascii="Times New Roman" w:hAnsi="Times New Roman"/>
                <w:sz w:val="24"/>
              </w:rPr>
              <w:t>ii</w:t>
            </w:r>
            <w:proofErr w:type="spellEnd"/>
            <w:r>
              <w:rPr>
                <w:rFonts w:ascii="Times New Roman" w:hAnsi="Times New Roman"/>
                <w:sz w:val="24"/>
              </w:rPr>
              <w:t>); IFRS 9 odst. 4.1.4</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640" w:type="dxa"/>
          </w:tcPr>
          <w:p w14:paraId="6F969304" w14:textId="6C032B5F"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Finanční aktiva </w:t>
            </w:r>
            <w:r w:rsidR="005C4540">
              <w:rPr>
                <w:rFonts w:ascii="Times New Roman" w:hAnsi="Times New Roman"/>
                <w:b/>
                <w:sz w:val="24"/>
                <w:u w:val="single"/>
              </w:rPr>
              <w:t>oceňovaná reálnou hodnotou</w:t>
            </w:r>
            <w:r>
              <w:rPr>
                <w:rFonts w:ascii="Times New Roman" w:hAnsi="Times New Roman"/>
                <w:b/>
                <w:sz w:val="24"/>
                <w:u w:val="single"/>
              </w:rPr>
              <w:t xml:space="preserve"> do zisku nebo ztráty</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 odst. 8 písm. a) bod i); IFRS 9 odst. 4.1.5 a čl. 8 odst. 1 písm. a) a čl. 8 odst. 6 směrnice 2013/34/EU</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640" w:type="dxa"/>
          </w:tcPr>
          <w:p w14:paraId="68D73903" w14:textId="0319BBAF"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Neobchodní nederivátová finanční aktiva </w:t>
            </w:r>
            <w:r w:rsidR="005C4540">
              <w:rPr>
                <w:rFonts w:ascii="Times New Roman" w:hAnsi="Times New Roman"/>
                <w:b/>
                <w:sz w:val="24"/>
                <w:u w:val="single"/>
              </w:rPr>
              <w:t>oceňovaná reálnou hodnotou</w:t>
            </w:r>
            <w:r>
              <w:rPr>
                <w:rFonts w:ascii="Times New Roman" w:hAnsi="Times New Roman"/>
                <w:b/>
                <w:sz w:val="24"/>
                <w:u w:val="single"/>
              </w:rPr>
              <w:t xml:space="preserve"> do zisku nebo ztráty</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Ustanovení čl. 36 odst. 2 směrnice Rady 86/635/EHS; čl. 8 odst. 1 písm. a) směrnice 2013/34/EU</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Vyplňují pouze instituce podle vnitrostátních všeobecně přijímaných účetních zásad (GAAP).</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640" w:type="dxa"/>
          </w:tcPr>
          <w:p w14:paraId="3A843C30" w14:textId="1D9418BF"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Finanční aktiva </w:t>
            </w:r>
            <w:r w:rsidR="005C4540">
              <w:rPr>
                <w:rFonts w:ascii="Times New Roman" w:hAnsi="Times New Roman"/>
                <w:b/>
                <w:sz w:val="24"/>
                <w:u w:val="single"/>
              </w:rPr>
              <w:t>oceňovaná reálnou hodnotou</w:t>
            </w:r>
            <w:r>
              <w:rPr>
                <w:rFonts w:ascii="Times New Roman" w:hAnsi="Times New Roman"/>
                <w:b/>
                <w:sz w:val="24"/>
                <w:u w:val="single"/>
              </w:rPr>
              <w:t xml:space="preserve"> do ostatního úplného výsledku</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IFRS 7 odst. 8 písm. d); IFRS 9 odst. 4.1.2A</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640" w:type="dxa"/>
          </w:tcPr>
          <w:p w14:paraId="508FA160" w14:textId="4D596D3A"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Neobchodní nederivátová finanční aktiva </w:t>
            </w:r>
            <w:r w:rsidR="005C4540">
              <w:rPr>
                <w:rFonts w:ascii="Times New Roman" w:hAnsi="Times New Roman"/>
                <w:b/>
                <w:sz w:val="24"/>
                <w:u w:val="single"/>
              </w:rPr>
              <w:t>oceňovaná reálnou hodnotou</w:t>
            </w:r>
            <w:r>
              <w:rPr>
                <w:rFonts w:ascii="Times New Roman" w:hAnsi="Times New Roman"/>
                <w:b/>
                <w:sz w:val="24"/>
                <w:u w:val="single"/>
              </w:rPr>
              <w:t xml:space="preserve"> do vlastního kapitálu</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Ustanovení čl. 8 odst. 1 písm. a) a čl. 8 odst. 8 směrnice 2013/34/EU</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Vyplňují pouze instituce podle vnitrostátních všeobecně přijímaných účetních zásad (GAAP).</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640" w:type="dxa"/>
          </w:tcPr>
          <w:p w14:paraId="479F694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Finanční aktiva v naběhlé hodnotě</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IFRS 7 odst. 8 písm. f); IFRS 9 odst. 4.1.2; příloha V část 1 odstavec 15 tohoto prováděcího nařízení</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0110</w:t>
            </w:r>
          </w:p>
        </w:tc>
        <w:tc>
          <w:tcPr>
            <w:tcW w:w="8640" w:type="dxa"/>
          </w:tcPr>
          <w:p w14:paraId="766084D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Neobchodní nederivátová finanční aktiva oceněná pořizovací cenou</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Článek 35 směrnice Rady 86/635/EHS; čl. 6 odst. 1 písm. i) a čl. 8 odst. 2 směrnice 2013/34/EU; příloha V část 1 odstavec 16 tohoto prováděcího nařízení</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Vyplňují pouze instituce podle vnitrostátních všeobecně přijímaných účetních zásad (GAAP).</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640" w:type="dxa"/>
          </w:tcPr>
          <w:p w14:paraId="4E4E0E8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Ostatní neobchodní nederivátová finanční aktiva</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Článek 37 směrnice Rady 86/635/EHS; čl. 12 odst. 7 směrnice 2013/34/EU; příloha V část 1 odstavec 16 tohoto prováděcího nařízení</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Vyplňují pouze instituce podle vnitrostátních všeobecně přijímaných účetních zásad (GAAP).</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640" w:type="dxa"/>
          </w:tcPr>
          <w:p w14:paraId="76C04A1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Krátké pozice</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Účetní hodnota krátkých pozic ve smyslu IFRS 9 BA.7 písm. b), je-li přímou protistranou vládní instituce ve smyslu odstavců 155 až 160 této přílohy.</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Krátké pozice vznikají v případech, kdy instituce prodává cenné papíry nabyté v reverzní repo operaci či vypůjčené v rámci transakce s půjčkou cenných papírů.</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Účetní hodnotou je reálná hodnota krátkých pozic.</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Krátké pozice musí být vykázány podle zbytkového koše splatností, jak je uvedeno v řádcích 0170 až 0230, a podle bezprostřední protistrany.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Krátké pozice vykázané v tomto sloupci mohou být započteny proti pozicím se stejnou zbytkovou splatností a bezprostřední protistranou denominovaným ve stejné měně, které se vykazují ve sloupcích 0030 až 0120, aby se získala čistá pozice, která se vykazuje ve sloupci 0020.</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rFonts w:ascii="Times New Roman" w:hAnsi="Times New Roman"/>
                <w:bCs/>
                <w:sz w:val="24"/>
              </w:rPr>
            </w:pPr>
            <w:r>
              <w:rPr>
                <w:rFonts w:ascii="Times New Roman" w:hAnsi="Times New Roman"/>
                <w:sz w:val="24"/>
              </w:rPr>
              <w:t>0140</w:t>
            </w:r>
          </w:p>
        </w:tc>
        <w:tc>
          <w:tcPr>
            <w:tcW w:w="8640" w:type="dxa"/>
          </w:tcPr>
          <w:p w14:paraId="7E8B6597" w14:textId="393F8708"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Z toho: </w:t>
            </w:r>
            <w:r w:rsidR="005C4540">
              <w:rPr>
                <w:rFonts w:ascii="Times New Roman" w:hAnsi="Times New Roman"/>
                <w:b/>
                <w:sz w:val="24"/>
                <w:u w:val="single"/>
              </w:rPr>
              <w:t>k</w:t>
            </w:r>
            <w:r>
              <w:rPr>
                <w:rFonts w:ascii="Times New Roman" w:hAnsi="Times New Roman"/>
                <w:b/>
                <w:sz w:val="24"/>
                <w:u w:val="single"/>
              </w:rPr>
              <w:t>rátké pozice z reverzních repo operací klasifikované jako k obchodování nebo obchodovatelná finanční aktiva</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Účetní hodnota krátkých pozic ve smyslu definice v IFRS 9 BA.7 písm. b), které vznikají v případech, kdy instituce prodává cenné papíry nabyté v reverzních repo operacích, pokud přímou protistranou uvedených cenných papírů je vládní instituce, a jež jsou zahrnuty v účetních portfoliích finančních aktiv držených k obchodování nebo obchodovatelných (sloupec 0030 nebo 0040).</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 tomto sloupci nejsou zahrnuty krátké pozice, které vznikají v případech, kdy prodané cenné papíry byly vypůjčeny v rámci transakce s půjčkou cenných papírů.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lastRenderedPageBreak/>
              <w:t>0150</w:t>
            </w:r>
          </w:p>
        </w:tc>
        <w:tc>
          <w:tcPr>
            <w:tcW w:w="8640" w:type="dxa"/>
          </w:tcPr>
          <w:p w14:paraId="6965A7CA"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Kumulované ztráty ze znehodnocení</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Souhrn kumulovaných ztrát ze znehodnocení v souvislosti s nederivátovými finančními aktivy vykazovanými ve sloupcích 0080 až 0120 (příloha V část 2 odstavce 70 a 71 tohoto prováděcího nařízení)</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640" w:type="dxa"/>
          </w:tcPr>
          <w:p w14:paraId="053E70B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Kumulované ztráty ze znehodnocení – z toho: z finančních aktiv oceněných reálnou hodnotou do ostatního úplného výsledku nebo z neobchodních nederivátových finančních aktiv oceněných reálnou hodnotou do vlastního kapitálu</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Souhrn kumulovaných ztrát ze znehodnocení v souvislosti s nederivátovými finančními aktivy vykazovanými ve sloupcích 0080 a 0090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0170</w:t>
            </w:r>
          </w:p>
        </w:tc>
        <w:tc>
          <w:tcPr>
            <w:tcW w:w="8640" w:type="dxa"/>
          </w:tcPr>
          <w:p w14:paraId="7BD9BE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Kumulované záporné změny reálné hodnoty z titulu úvěrového rizika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Souhrn kumulovaných záporných změn reálné hodnoty z titulu úvěrového rizika v souvislosti s pozicemi vykazovanými ve sloupcích 0050, 0060, 0070, 0080 a 0090 (příloha V část 2 odstavec 69 tohoto prováděcího nařízení)</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0180</w:t>
            </w:r>
          </w:p>
        </w:tc>
        <w:tc>
          <w:tcPr>
            <w:tcW w:w="8640" w:type="dxa"/>
          </w:tcPr>
          <w:p w14:paraId="781601F8" w14:textId="166D9C50"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Kumulované záporné změny reálné hodnoty z titulu úvěrového </w:t>
            </w:r>
            <w:proofErr w:type="gramStart"/>
            <w:r>
              <w:rPr>
                <w:rFonts w:ascii="Times New Roman" w:hAnsi="Times New Roman"/>
                <w:b/>
                <w:sz w:val="24"/>
                <w:u w:val="single"/>
              </w:rPr>
              <w:t>rizika - z</w:t>
            </w:r>
            <w:proofErr w:type="gramEnd"/>
            <w:r>
              <w:rPr>
                <w:rFonts w:ascii="Times New Roman" w:hAnsi="Times New Roman"/>
                <w:b/>
                <w:sz w:val="24"/>
                <w:u w:val="single"/>
              </w:rPr>
              <w:t xml:space="preserve"> toho: z neobchodních finančních aktiv povinně oceňovaných reálnou hodnotou do zisku nebo ztráty, finančních aktiv </w:t>
            </w:r>
            <w:r w:rsidR="005C4540">
              <w:rPr>
                <w:rFonts w:ascii="Times New Roman" w:hAnsi="Times New Roman"/>
                <w:b/>
                <w:sz w:val="24"/>
                <w:u w:val="single"/>
              </w:rPr>
              <w:t>oceňovaných reálnou hodnotou</w:t>
            </w:r>
            <w:r>
              <w:rPr>
                <w:rFonts w:ascii="Times New Roman" w:hAnsi="Times New Roman"/>
                <w:b/>
                <w:sz w:val="24"/>
                <w:u w:val="single"/>
              </w:rPr>
              <w:t xml:space="preserve"> do zisku nebo ztráty nebo z neobchodních finančních aktiv </w:t>
            </w:r>
            <w:r w:rsidR="005C4540">
              <w:rPr>
                <w:rFonts w:ascii="Times New Roman" w:hAnsi="Times New Roman"/>
                <w:b/>
                <w:sz w:val="24"/>
                <w:u w:val="single"/>
              </w:rPr>
              <w:t>oceňovaných reálnou hodnotou</w:t>
            </w:r>
            <w:r>
              <w:rPr>
                <w:rFonts w:ascii="Times New Roman" w:hAnsi="Times New Roman"/>
                <w:b/>
                <w:sz w:val="24"/>
                <w:u w:val="single"/>
              </w:rPr>
              <w:t xml:space="preserve"> do zisku nebo ztráty</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Souhrn kumulovaných záporných změn reálné hodnoty z titulu úvěrového rizika v souvislosti s pozicemi vykazovanými ve sloupcích 0050, 0060 a 0070.</w:t>
            </w:r>
          </w:p>
          <w:p w14:paraId="24A9000C"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0190</w:t>
            </w:r>
          </w:p>
        </w:tc>
        <w:tc>
          <w:tcPr>
            <w:tcW w:w="8640" w:type="dxa"/>
          </w:tcPr>
          <w:p w14:paraId="6C4F0B8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Kumulované záporné změny reálné hodnoty z titulu úvěrového </w:t>
            </w:r>
            <w:proofErr w:type="gramStart"/>
            <w:r>
              <w:rPr>
                <w:rFonts w:ascii="Times New Roman" w:hAnsi="Times New Roman"/>
                <w:b/>
                <w:sz w:val="24"/>
                <w:u w:val="single"/>
              </w:rPr>
              <w:t>rizika - z</w:t>
            </w:r>
            <w:proofErr w:type="gramEnd"/>
            <w:r>
              <w:rPr>
                <w:rFonts w:ascii="Times New Roman" w:hAnsi="Times New Roman"/>
                <w:b/>
                <w:sz w:val="24"/>
                <w:u w:val="single"/>
              </w:rPr>
              <w:t xml:space="preserve"> toho: z finančních aktiv oceněných reálnou hodnotou do ostatního úplného výsledku nebo z neobchodních nederivátových finančních aktiv oceněných reálnou hodnotou do vlastního kapitálu</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Souhrn kumulovaných záporných změn reálné hodnoty z titulu úvěrového rizika v souvislosti s pozicemi vykazovanými ve sloupcích 0080 a 0090.</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0200–0230</w:t>
            </w:r>
          </w:p>
        </w:tc>
        <w:tc>
          <w:tcPr>
            <w:tcW w:w="8640" w:type="dxa"/>
          </w:tcPr>
          <w:p w14:paraId="1A337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DERIVÁTY</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Přímé derivátové pozice se vykazují ve sloupcích 0200 až 0230.</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Ohledně vykazování derivátů, které podléhají úvěrovému riziku protistrany i kapitálovým požadavkům souvisejícím s tržním rizikem, viz pokyny pro členění řádků.</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0200–0210</w:t>
            </w:r>
          </w:p>
        </w:tc>
        <w:tc>
          <w:tcPr>
            <w:tcW w:w="8640" w:type="dxa"/>
          </w:tcPr>
          <w:p w14:paraId="7FE3AF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Deriváty s kladnou reálnou hodnotou</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Veškeré derivátové nástroje s vládní institucí coby protistranou s kladnou reálnou hodnotou pro instituci k datu vykazování bez ohledu na to, zda jsou tyto nástroje použity v kvalifikovaném zajišťovacím vztahu, drženy k obchodování nebo zahrnuty do </w:t>
            </w:r>
            <w:r>
              <w:rPr>
                <w:rFonts w:ascii="Times New Roman" w:hAnsi="Times New Roman"/>
                <w:sz w:val="24"/>
              </w:rPr>
              <w:lastRenderedPageBreak/>
              <w:t xml:space="preserve">obchodního portfolia podle IFRS a národních GAAP založených na směrnici Rady 86/635/EHS.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Zde se vykazují deriváty použité v ekonomickém zajištění v případech, kdy jsou zahrnuty v účetních portfoliích „obchodovatelné“ nebo „k obchodování“ (příloha V, část 2, odstavce 120, 124, 125 a 137 až 140 tohoto prováděcího nařízení).</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0200</w:t>
            </w:r>
          </w:p>
        </w:tc>
        <w:tc>
          <w:tcPr>
            <w:tcW w:w="8640" w:type="dxa"/>
          </w:tcPr>
          <w:p w14:paraId="3E1D071C" w14:textId="018154EA"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Deriváty s kladnou reálnou hodnotou: </w:t>
            </w:r>
            <w:r w:rsidR="005C4540">
              <w:rPr>
                <w:rFonts w:ascii="Times New Roman" w:hAnsi="Times New Roman"/>
                <w:b/>
                <w:sz w:val="24"/>
                <w:u w:val="single"/>
              </w:rPr>
              <w:t>ú</w:t>
            </w:r>
            <w:r>
              <w:rPr>
                <w:rFonts w:ascii="Times New Roman" w:hAnsi="Times New Roman"/>
                <w:b/>
                <w:sz w:val="24"/>
                <w:u w:val="single"/>
              </w:rPr>
              <w:t xml:space="preserve">četní hodnota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Účetní hodnota derivátů zaúčtovaných jako finanční aktiva k referenčnímu datu vykazování.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Podle GAAP založených na směrnici Rady 86/635/EHS deriváty, které se vykazují v těchto sloupcích, zahrnují derivátové nástroje oceněné pořizovací cenou či nižší z pořizovací ceny nebo tržní hodnoty zahrnuté do obchodního portfolia nebo určené jako zajišťovací nástroje.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0210</w:t>
            </w:r>
          </w:p>
        </w:tc>
        <w:tc>
          <w:tcPr>
            <w:tcW w:w="8640" w:type="dxa"/>
          </w:tcPr>
          <w:p w14:paraId="2BD96DA9" w14:textId="68CA2716"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Deriváty s kladnou reálnou hodnotou: </w:t>
            </w:r>
            <w:r w:rsidR="005C4540">
              <w:rPr>
                <w:rFonts w:ascii="Times New Roman" w:hAnsi="Times New Roman"/>
                <w:b/>
                <w:sz w:val="24"/>
                <w:u w:val="single"/>
              </w:rPr>
              <w:t>p</w:t>
            </w:r>
            <w:r>
              <w:rPr>
                <w:rFonts w:ascii="Times New Roman" w:hAnsi="Times New Roman"/>
                <w:b/>
                <w:sz w:val="24"/>
                <w:u w:val="single"/>
              </w:rPr>
              <w:t>omyslná hodnota</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Podle IFRS i národních GAAP založených na směrnici Rady 86/635/EHS se jedná o pomyslnou hodnotu, ve smyslu přílohy V části 2 odstavců 133 až 135 tohoto prováděcího nařízení, všech derivátových smluv, které byly uzavřeny a k referenčnímu datu vykazování ještě nebyly vypořádány, jejichž protistranou je vládní instituce ve smyslu této přílohy odstavců 191 až 196 a reálná hodnota derivátu je pro instituci k referenčnímu datu kladná.</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0220–0230</w:t>
            </w:r>
          </w:p>
        </w:tc>
        <w:tc>
          <w:tcPr>
            <w:tcW w:w="8640" w:type="dxa"/>
          </w:tcPr>
          <w:p w14:paraId="51C3AE6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Deriváty se zápornou reálnou hodnotou</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Veškeré derivátové nástroje s vládní institucí coby protistranou se zápornou reálnou hodnotu pro instituci k referenčnímu datu vykázání bez ohledu na to, zda jsou tyto nástroje použity v kvalifikovaném zajišťovacím vztahu, nebo jsou drženy k obchodování či zahrnuty do obchodního portfolia podle IFRS a národních GAAP založených na směrnici Rady 86/635/EHS.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Zde se vykazují deriváty použité v ekonomickém zajištění v případech, kdy jsou zahrnuty v účetních portfoliích „obchodovatelné“ nebo „k obchodování“ (příloha V, část 2, odstavce 120, 124, 125 a 137 až 140 tohoto prováděcího nařízení).</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w:t>
            </w:r>
          </w:p>
        </w:tc>
        <w:tc>
          <w:tcPr>
            <w:tcW w:w="8640" w:type="dxa"/>
          </w:tcPr>
          <w:p w14:paraId="1F315A9C" w14:textId="7980CE32"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Deriváty se zápornou reálnou hodnotou: </w:t>
            </w:r>
            <w:r w:rsidR="005C4540">
              <w:rPr>
                <w:rFonts w:ascii="Times New Roman" w:hAnsi="Times New Roman"/>
                <w:b/>
                <w:sz w:val="24"/>
                <w:u w:val="single"/>
              </w:rPr>
              <w:t>ú</w:t>
            </w:r>
            <w:r>
              <w:rPr>
                <w:rFonts w:ascii="Times New Roman" w:hAnsi="Times New Roman"/>
                <w:b/>
                <w:sz w:val="24"/>
                <w:u w:val="single"/>
              </w:rPr>
              <w:t xml:space="preserve">četní hodnota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Účetní hodnota derivátů zaúčtovaných jako finanční závazky k referenčnímu datu vykazování.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Podle GAAP založených na směrnici Rady 86/635/EHS deriváty, které se vykazují v těchto sloupcích, zahrnují derivátové nástroje oceněné pořizovací cenou či nižší z pořizovací ceny nebo tržní hodnoty zahrnuté do obchodního portfolia nebo určené jako zajišťovací nástroje.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0230</w:t>
            </w:r>
          </w:p>
        </w:tc>
        <w:tc>
          <w:tcPr>
            <w:tcW w:w="8640" w:type="dxa"/>
          </w:tcPr>
          <w:p w14:paraId="2C9A0CD6" w14:textId="2B367A62" w:rsidR="00BD16F2" w:rsidRPr="002A677E" w:rsidRDefault="00BD16F2" w:rsidP="00E07FE9">
            <w:pPr>
              <w:spacing w:before="0" w:after="0"/>
              <w:rPr>
                <w:rFonts w:ascii="Times New Roman" w:hAnsi="Times New Roman"/>
                <w:b/>
                <w:bCs/>
                <w:sz w:val="24"/>
                <w:u w:val="single"/>
              </w:rPr>
            </w:pPr>
            <w:r>
              <w:rPr>
                <w:rFonts w:ascii="Times New Roman" w:hAnsi="Times New Roman"/>
                <w:b/>
                <w:sz w:val="24"/>
                <w:u w:val="single"/>
              </w:rPr>
              <w:t xml:space="preserve">Deriváty se zápornou reálnou hodnotou: </w:t>
            </w:r>
            <w:r w:rsidR="005C4540">
              <w:rPr>
                <w:rFonts w:ascii="Times New Roman" w:hAnsi="Times New Roman"/>
                <w:b/>
                <w:sz w:val="24"/>
                <w:u w:val="single"/>
              </w:rPr>
              <w:t>p</w:t>
            </w:r>
            <w:r>
              <w:rPr>
                <w:rFonts w:ascii="Times New Roman" w:hAnsi="Times New Roman"/>
                <w:b/>
                <w:sz w:val="24"/>
                <w:u w:val="single"/>
              </w:rPr>
              <w:t>omyslná hodnota</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Podle IFRS i národních GAAP založených na směrnici Rady 86/635/EHS se jedná o pomyslnou hodnotu, ve smyslu přílohy V části 2 odstavců 133 až 135 tohoto prováděcího nařízení, všech derivátových smluv, které byly uzavřeny a k referenčnímu datu ještě nebyly vypořádány, jejichž protistranou je vládní instituce ve smyslu této přílohy odstavců 191 až 196 a reálná hodnota derivátu je pro instituci k referenčnímu datu záporná.</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0240–0260</w:t>
            </w:r>
          </w:p>
        </w:tc>
        <w:tc>
          <w:tcPr>
            <w:tcW w:w="8640" w:type="dxa"/>
          </w:tcPr>
          <w:p w14:paraId="006F006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PODROZVAHOVÉ EXPOZICE</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w:t>
            </w:r>
          </w:p>
        </w:tc>
        <w:tc>
          <w:tcPr>
            <w:tcW w:w="8640" w:type="dxa"/>
          </w:tcPr>
          <w:p w14:paraId="3ED0E67D"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Nominální hodnota</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Je-li přímou protistranou podrozvahové položky vládní instituce ve smyslu definice v odstavců 155 až 160 této přílohy, jedná se o nominální hodnotu závazků a finančních záruk, které nejsou považovány za derivát v souladu s IFRS nebo podle národních GAAP založených na směrnici Rady 86/635/EHS (příloha V část 2 odstavce 102 až 119 tohoto prováděcího nařízení).</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 xml:space="preserve">V souladu s přílohou V částí 2 odstavci 43 a 44 tohoto prováděcího nařízení je vládní instituce přímou protistranou: a) v poskytnuté finanční záruce, kdy je přímou protistranou zaručeného dluhového nástroje, a b) v úvěrovém příslibu a jiném poskytnutém příslibu, kdy je protistranou, jejíž úvěrové riziko je převzato vykazující institucí.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0250</w:t>
            </w:r>
          </w:p>
        </w:tc>
        <w:tc>
          <w:tcPr>
            <w:tcW w:w="8640" w:type="dxa"/>
          </w:tcPr>
          <w:p w14:paraId="22A7294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Rezervy</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„Závazky“, čl. 4 bod 6 písm. c) a „Podrozvahové položky“, čl. 27 odst. 11, čl. 28 odst. 8 a článek 33 směrnice Rady 86/635/EHS; IFRS 9 odst. 4.2.1 písm. c) bod </w:t>
            </w:r>
            <w:proofErr w:type="spellStart"/>
            <w:r>
              <w:rPr>
                <w:rFonts w:ascii="Times New Roman" w:hAnsi="Times New Roman"/>
                <w:sz w:val="24"/>
              </w:rPr>
              <w:t>ii</w:t>
            </w:r>
            <w:proofErr w:type="spellEnd"/>
            <w:r>
              <w:rPr>
                <w:rFonts w:ascii="Times New Roman" w:hAnsi="Times New Roman"/>
                <w:sz w:val="24"/>
              </w:rPr>
              <w:t>) a písm. d) bod </w:t>
            </w:r>
            <w:proofErr w:type="spellStart"/>
            <w:r>
              <w:rPr>
                <w:rFonts w:ascii="Times New Roman" w:hAnsi="Times New Roman"/>
                <w:sz w:val="24"/>
              </w:rPr>
              <w:t>ii</w:t>
            </w:r>
            <w:proofErr w:type="spellEnd"/>
            <w:r>
              <w:rPr>
                <w:rFonts w:ascii="Times New Roman" w:hAnsi="Times New Roman"/>
                <w:sz w:val="24"/>
              </w:rPr>
              <w:t>), odst. 5.5.20; IAS 37, IFRS 4, příloha V část 2.11 tohoto prováděcího nařízení.</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0A2F81C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Ustanovení o podrozvahových expozicích bez ohledu na to, jak jsou oceňována, kromě těch, která jsou oceňována </w:t>
            </w:r>
            <w:r w:rsidR="001D4F41">
              <w:rPr>
                <w:rFonts w:ascii="Times New Roman" w:hAnsi="Times New Roman"/>
                <w:sz w:val="24"/>
              </w:rPr>
              <w:t>reálnou hodnotou</w:t>
            </w:r>
            <w:r>
              <w:rPr>
                <w:rFonts w:ascii="Times New Roman" w:hAnsi="Times New Roman"/>
                <w:sz w:val="24"/>
              </w:rPr>
              <w:t xml:space="preserve"> do zisku nebo ztráty v souladu s IFRS 9.</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Podle IFRS se znehodnocení poskytnutého úvěrového příslibu vykáže ve sloupci 150 v případech, kdy instituce není schopna samostatně určit očekávané úvěrové ztráty spojené s čerpanými a nečerpanými částkami dluhového nástroje. Jestliže kombinované očekávané úvěrové ztráty u tohoto finančního nástroje přesahují hrubou účetní hodnotu úvěrové složky daného nástroje, zbývající zůstatek očekávaných úvěrových ztrát se vykazuje jako rezerva ve sloupci 0250.</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0260</w:t>
            </w:r>
          </w:p>
        </w:tc>
        <w:tc>
          <w:tcPr>
            <w:tcW w:w="8640" w:type="dxa"/>
          </w:tcPr>
          <w:p w14:paraId="1E41EC8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Kumulované záporné změny reálné hodnoty z titulu úvěrového rizika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 podrozvahových položek oceněných reálnou hodnotou do zisku nebo ztráty v souladu s IFRS 9 se jedná o kumulované záporné změny reálné hodnoty z titulu úvěrového rizika (příloha V, část 2, odstavec 110 tohoto prováděcího nařízení)</w:t>
            </w:r>
          </w:p>
          <w:p w14:paraId="14DC17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Doplňková položka: úvěrové deriváty prodané na expozice vůči vládním institucím</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Vykazují se úvěrové deriváty, které neodpovídají definici finančních záruk v příloze V části 2 odstavci 58, jež vykazující instituce uzavřela s jinými protistranami než s vládními institucemi a jejichž referenční expozicí je vládní instituce.</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Tyto sloupce se nevyplňují u expozic v členění podle rizika, regulatorního přístupu a kategorie expozic (řádky 0020 až 0160).</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lastRenderedPageBreak/>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Deriváty s kladnou reálnou hodnotou – účetní hodnota</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Souhrnná účetní hodnota úvěrových derivátů prodaných na expozice vůči vládním institucím, které mají pro instituci k referenčnímu datu vykazování kladnou reálnou hodnotu, aniž se zohlední obezřetností úpravy ocenění.</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 derivátů podle IFRS je hodnotou, jež má být vykázána v tomto sloupci, účetní hodnota derivátů, které jsou k datu vykazování finančními aktivy.</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 derivátů podle GAAP založených na směrnici Rady 86/635/EHS je hodnotou, jež má být vykázána v tomto sloupci, reálná hodnota derivátů s kladnou reálnou hodnotou k referenčnímu datu vykazování nezávisle na tom, jak jsou zaúčtovány.</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Deriváty se zápornou reálnou hodnotou – účetní hodnota</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Souhrnná účetní hodnota úvěrových derivátů prodaných na expozice vůči vládním institucím, které mají pro instituci k referenčnímu datu vykazování zápornou reálnou hodnotu, aniž se zohlední obezřetností úpravy ocenění.</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U derivátů podle IFRS je hodnotou, jež má být vykázána v tomto sloupci, účetní hodnota derivátů, které jsou k datu vykázání finančními závazky.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U derivátů podle GAAP založených na směrnici Rady 86/635/EHS je hodnotou, jež má být vykázána v tomto sloupci, reálná hodnota derivátů se zápornou reálnou hodnotou k referenčnímu datu vykazování nezávisle na tom, jak jsou zaúčtovány.</w:t>
            </w:r>
            <w:r>
              <w:rPr>
                <w:rFonts w:ascii="Times New Roman" w:hAnsi="Times New Roman"/>
                <w:b/>
                <w:sz w:val="24"/>
                <w:u w:val="single"/>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Hodnota expozice</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296664BF"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Hodnota expozice u expozic, na které se použije rámec </w:t>
            </w:r>
            <w:r w:rsidR="001D4F41">
              <w:rPr>
                <w:rFonts w:ascii="Times New Roman" w:hAnsi="Times New Roman"/>
                <w:sz w:val="24"/>
              </w:rPr>
              <w:t xml:space="preserve">pro </w:t>
            </w:r>
            <w:r>
              <w:rPr>
                <w:rFonts w:ascii="Times New Roman" w:hAnsi="Times New Roman"/>
                <w:sz w:val="24"/>
              </w:rPr>
              <w:t>úvěrové rizik</w:t>
            </w:r>
            <w:r w:rsidR="001D4F41">
              <w:rPr>
                <w:rFonts w:ascii="Times New Roman" w:hAnsi="Times New Roman"/>
                <w:sz w:val="24"/>
              </w:rPr>
              <w:t>o</w:t>
            </w:r>
            <w:r>
              <w:rPr>
                <w:rFonts w:ascii="Times New Roman" w:hAnsi="Times New Roman"/>
                <w:sz w:val="24"/>
              </w:rPr>
              <w:t>.</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Ohledně expozic, na něž se vztahuje standardizovaný přístup (SA): viz článek 111 nařízení (EU) č. 575/2013. Ohledně expozic, na něž se vztahuje přístup IRB: viz článek 166 a čl. 230 odst. 1 druhá věta nařízení (EU) č. 575/2013.</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Ohledně vykazování derivátů, které podléhají úvěrovému riziku protistrany i kapitálovým požadavkům souvisejícím s tržním rizikem, viz pokyny pro členění řádků.</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Expozice vykázané ve sloupcích 0270 a 0280 se pro účely tohoto sloupce nezohledňují, neboť hodnota v tomto sloupci je založena výhradně na přímých expozicích.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Objem rizikově vážených expozic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456FBF64"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Objem rizikově vážených expozic u expozic, na které se použije rámec </w:t>
            </w:r>
            <w:r w:rsidR="001D4F41">
              <w:rPr>
                <w:rFonts w:ascii="Times New Roman" w:hAnsi="Times New Roman"/>
                <w:sz w:val="24"/>
              </w:rPr>
              <w:t xml:space="preserve">pro </w:t>
            </w:r>
            <w:r>
              <w:rPr>
                <w:rFonts w:ascii="Times New Roman" w:hAnsi="Times New Roman"/>
                <w:sz w:val="24"/>
              </w:rPr>
              <w:t>úvěrové rizik</w:t>
            </w:r>
            <w:r w:rsidR="001D4F41">
              <w:rPr>
                <w:rFonts w:ascii="Times New Roman" w:hAnsi="Times New Roman"/>
                <w:sz w:val="24"/>
              </w:rPr>
              <w:t>o</w:t>
            </w:r>
            <w:r>
              <w:rPr>
                <w:rFonts w:ascii="Times New Roman" w:hAnsi="Times New Roman"/>
                <w:sz w:val="24"/>
              </w:rPr>
              <w:t xml:space="preserve">.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Ohledně expozic, na něž se vztahuje standardizovaný přístup (SA): viz čl. 113 odst. 1 až 5 nařízení (EU) č. 575/2013. Ohledně expozic, na něž se vztahuje přístup IRB: viz čl. 153 odst. 1 a 3 nařízení (EU) č. 575/2013.</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Pro vykazování přímých expozic spadajících do oblasti působnosti článku 271 nařízení (EU) č. 575/2013, pokud jde o kapitálové požadavky týkající se úvěrového rizika protistrany i tržního rizika, viz pokyny pro členění řádků.</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 xml:space="preserve">Expozice vykázané ve sloupcích 0270 a 0280 se pro účely tohoto sloupce nezohledňují, neboť hodnota v tomto sloupci je založena výhradně na přímých expozicích.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Řádky</w:t>
            </w:r>
          </w:p>
        </w:tc>
        <w:tc>
          <w:tcPr>
            <w:tcW w:w="8701" w:type="dxa"/>
            <w:shd w:val="clear" w:color="auto" w:fill="CCCCCC"/>
          </w:tcPr>
          <w:p w14:paraId="59E26E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Pokyny</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ROZČLENĚNÍ EXPOZIC PODLE REGULATORNÍHO PŘÍSTUPU</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45AF8DB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Celkové expozice</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Souhrn expozic vůči vládním institucím ve smyslu odstavců 191 až 196 této přílohy.</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0020–0155</w:t>
            </w:r>
          </w:p>
        </w:tc>
        <w:tc>
          <w:tcPr>
            <w:tcW w:w="8701" w:type="dxa"/>
          </w:tcPr>
          <w:p w14:paraId="7E2E9BC1" w14:textId="09901768"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 xml:space="preserve">Expozice podle rámce </w:t>
            </w:r>
            <w:r w:rsidR="005C4540">
              <w:rPr>
                <w:rFonts w:ascii="Times New Roman" w:hAnsi="Times New Roman"/>
                <w:b/>
                <w:sz w:val="24"/>
                <w:u w:val="single"/>
              </w:rPr>
              <w:t xml:space="preserve">pro </w:t>
            </w:r>
            <w:r>
              <w:rPr>
                <w:rFonts w:ascii="Times New Roman" w:hAnsi="Times New Roman"/>
                <w:b/>
                <w:sz w:val="24"/>
                <w:u w:val="single"/>
              </w:rPr>
              <w:t>úvěrové rizik</w:t>
            </w:r>
            <w:r w:rsidR="005C4540">
              <w:rPr>
                <w:rFonts w:ascii="Times New Roman" w:hAnsi="Times New Roman"/>
                <w:b/>
                <w:sz w:val="24"/>
                <w:u w:val="single"/>
              </w:rPr>
              <w:t>o</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Souhrn expozic vůči vládním institucím, jimž se přidělí riziková váha v souladu s částí třetí hlavou II nařízení (EU) č. 575/2013. Expozice podle rámce úvěrového rizika zahrnují expozice z investičního i obchodního portfolia, na něž se vztahuje kapitálový požadavek související s úvěrovým rizikem protistrany.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Přímé expozice spadající do oblasti působnosti článku 271 nařízení (EU) č. 575/2013, pokud jde o kapitálové požadavky týkající se úvěrového rizika protistrany i tržního rizika, se vykazují jak v řádcích pro úvěrové riziko (0020 až 0155), tak v řádku pro tržní riziko (řádek 0160): expozice z titulu úvěrového rizika protistrany se vykazují v řádcích úvěrového rizika, zatímco expozice z titulu tržního rizika se vykazují v řádku tržního rizika.</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701" w:type="dxa"/>
          </w:tcPr>
          <w:p w14:paraId="7376AE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Standardizovaný přístup</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Expozice vůči vládním institucím, kterým se přidělí riziková váha v souladu s částí třetí hlavou II kapitolou 2 nařízení (EU) č. 575/2013, včetně expozic z investičního portfolia, u kterých rizikové vážení v souladu s uvedenou kapitolou </w:t>
            </w:r>
            <w:proofErr w:type="gramStart"/>
            <w:r>
              <w:rPr>
                <w:rFonts w:ascii="Times New Roman" w:hAnsi="Times New Roman"/>
                <w:sz w:val="24"/>
              </w:rPr>
              <w:t>řeší</w:t>
            </w:r>
            <w:proofErr w:type="gramEnd"/>
            <w:r>
              <w:rPr>
                <w:rFonts w:ascii="Times New Roman" w:hAnsi="Times New Roman"/>
                <w:sz w:val="24"/>
              </w:rPr>
              <w:t xml:space="preserve"> úvěrové riziko protistrany.</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701" w:type="dxa"/>
          </w:tcPr>
          <w:p w14:paraId="7AB5772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Ústřední vlády</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Expozice vůči vládním institucím, které jsou ústředními vládními institucemi. Tyto expozice jsou přiřazeny ke kategorii expozic vůči „ústředním vládám nebo centrálním bankám“ v souladu s články 112 a 114 nařízení (EU) č. 575/2013, jak stanoví pokyny pro šablonu C 07.00, s výjimkou specifikací, pokud jde o přerozdělování expozic vůči vládním institucím do jiných kategorií expozic v důsledku použití technik snižování úvěrového rizika se substitučními účinky na expozici, které se nepoužijí.</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701" w:type="dxa"/>
          </w:tcPr>
          <w:p w14:paraId="005C4B4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Regionální vlády nebo místní orgány</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Expozice vůči vládním institucím, které jsou regionálními vládami nebo místními orgány. Tyto expozice jsou přiřazeny ke kategorii expozic vůči „regionálním vládám nebo místním orgánům“ v souladu s články 112 a 115 nařízení (EU) č. 575/2013, jak stanoví pokyny pro šablonu C 07.00, s výjimkou specifikací, pokud jde o přerozdělování expozic vůči vládním institucím do jiných kategorií expozic v důsledku použití technik snižování úvěrového rizika se substitučními účinky na expozici, které se nepoužijí.</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0060</w:t>
            </w:r>
          </w:p>
        </w:tc>
        <w:tc>
          <w:tcPr>
            <w:tcW w:w="8701" w:type="dxa"/>
          </w:tcPr>
          <w:p w14:paraId="66765FA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Subjekty veřejného sektoru</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Expozice vůči vládním institucím, které jsou subjekty veřejného sektoru. Tyto expozice jsou přiřazeny ke kategorii expozic vůči „subjektům veřejného sektoru“ v souladu s články 112 a 116 nařízení (EU) č. 575/2013, jak stanoví pokyny pro šablonu C 07.00, s výjimkou specifikací, pokud jde o přerozdělování expozic vůči vládním institucím do jiných kategorií expozic v důsledku použití technik snižování úvěrového rizika se substitučními účinky na expozici, které se nepoužijí.</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701" w:type="dxa"/>
          </w:tcPr>
          <w:p w14:paraId="259C4B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Mezinárodní organizace</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Expozice vůči vládním institucím, které jsou mezinárodními organizacemi. Tyto expozice jsou přiřazeny ke kategoriím expozic vůči „mezinárodním organizacím“ v souladu s články 112 a 118 nařízení (EU) č. 575/2013, jak stanoví pokyny pro šablonu C 07.00, s výjimkou specifikací, pokud jde o přerozdělování expozic vůči vládním institucím do jiných kategorií expozic v důsledku použití technik snižování úvěrového rizika se substitučními účinky na expozici, které se nepoužijí.</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0075</w:t>
            </w:r>
          </w:p>
        </w:tc>
        <w:tc>
          <w:tcPr>
            <w:tcW w:w="8701" w:type="dxa"/>
          </w:tcPr>
          <w:p w14:paraId="5A60039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Ostatní expozice vůči vládním institucím, na něž se vztahuje standardizovaný přístup</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Expozice vůči vládním institucím jiné než ty, které jsou zahrnuty v řádcích 0040 až 0070 výše, které jsou přiřazeny do tříd expozic, na něž se podle článku 112 nařízení (EU) č. 575/2013 vztahuje pro účely výpočtu kapitálových požadavků standardizovaný přístup.</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701" w:type="dxa"/>
          </w:tcPr>
          <w:p w14:paraId="3D44157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Přístup založený na interním ratingu (IRB)</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Expozice vůči vládním institucím, kterým se přidělí riziková váha v souladu s částí třetí hlavou II kapitolou 3 nařízení (EU) č. 575/2013, včetně expozic z investičního portfolia, u kterých rizikové vážení v souladu s uvedenou kapitolou </w:t>
            </w:r>
            <w:proofErr w:type="gramStart"/>
            <w:r>
              <w:rPr>
                <w:rFonts w:ascii="Times New Roman" w:hAnsi="Times New Roman"/>
                <w:sz w:val="24"/>
              </w:rPr>
              <w:t>řeší</w:t>
            </w:r>
            <w:proofErr w:type="gramEnd"/>
            <w:r>
              <w:rPr>
                <w:rFonts w:ascii="Times New Roman" w:hAnsi="Times New Roman"/>
                <w:sz w:val="24"/>
              </w:rPr>
              <w:t xml:space="preserve"> úvěrové riziko protistrany.</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701" w:type="dxa"/>
          </w:tcPr>
          <w:p w14:paraId="537110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Ústřední vlády</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Expozice vůči vládním institucím, které jsou ústředními vládami a které jsou přiřazeny ke kategorii expozic vůči „ústředním vládám a centrálním bankám“ v souladu s čl. 147 odst. 3 písm. a) nařízení (EU) č. 575/2013,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701" w:type="dxa"/>
          </w:tcPr>
          <w:p w14:paraId="590811E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Regionální vlády nebo místní orgány [Ústřední vlády a centrální banky]</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Expozice vůči vládním institucím, které jsou regionálními vládami nebo místními orgány, které jsou přiřazeny ke kategorii expozic vůči „ústředním vládám a centrálním bankám“ v souladu s čl. 147 odst. 3a nařízení (EU) č. 575/2013,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0110</w:t>
            </w:r>
          </w:p>
        </w:tc>
        <w:tc>
          <w:tcPr>
            <w:tcW w:w="8701" w:type="dxa"/>
          </w:tcPr>
          <w:p w14:paraId="6A830321" w14:textId="624574DD"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Regionální vlády nebo místní orgány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Expozice vůči regionálním vládám nebo místním orgánům, které jsou přiřazeny ke kategorii expozic vůči „regionálním vládám nebo místním orgánům“ v souladu s čl. 147 odst. 2 písm. a1) bodu i) nařízení (EU) č. 575/2013,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701" w:type="dxa"/>
          </w:tcPr>
          <w:p w14:paraId="6B31BA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Subjekty veřejného sektoru [Ústřední vlády a centrální banky]</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rFonts w:ascii="Times New Roman" w:hAnsi="Times New Roman"/>
                <w:bCs/>
                <w:sz w:val="24"/>
              </w:rPr>
            </w:pPr>
            <w:r>
              <w:rPr>
                <w:rFonts w:ascii="Times New Roman" w:hAnsi="Times New Roman"/>
                <w:sz w:val="24"/>
              </w:rPr>
              <w:t>Expozice vůči vládním institucím, které jsou subjekty veřejného sektoru v souladu s čl. 4 odst. 8 nařízení (EU) č. 575/2013 a které jsou přiřazeny ke kategorii expozic vůči „ústředním vládám a centrálním bankám“ v souladu s čl. 147 odst. 3a uvedeného nařízení,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701" w:type="dxa"/>
          </w:tcPr>
          <w:p w14:paraId="4211C115" w14:textId="1030AFC3"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Subjekty veřejného sektoru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Expozice vůči subjektům veřejného sektoru v souladu s čl. 4 odst. 8 nařízení (EU) č. 575/2013 a které jsou přiřazeny ke kategorii expozic vůči „Subjektům veřejného sektoru“ v souladu s čl. 147 odst. 2 písm. a1 bodu </w:t>
            </w:r>
            <w:proofErr w:type="spellStart"/>
            <w:r>
              <w:rPr>
                <w:rFonts w:ascii="Times New Roman" w:hAnsi="Times New Roman"/>
                <w:sz w:val="24"/>
              </w:rPr>
              <w:t>ii</w:t>
            </w:r>
            <w:proofErr w:type="spellEnd"/>
            <w:r>
              <w:rPr>
                <w:rFonts w:ascii="Times New Roman" w:hAnsi="Times New Roman"/>
                <w:sz w:val="24"/>
              </w:rPr>
              <w:t>) uvedeného nařízení,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rFonts w:ascii="Times New Roman" w:hAnsi="Times New Roman"/>
                <w:bCs/>
                <w:sz w:val="24"/>
              </w:rPr>
            </w:pPr>
            <w:r>
              <w:rPr>
                <w:rFonts w:ascii="Times New Roman" w:hAnsi="Times New Roman"/>
                <w:sz w:val="24"/>
              </w:rPr>
              <w:t>0140</w:t>
            </w:r>
          </w:p>
        </w:tc>
        <w:tc>
          <w:tcPr>
            <w:tcW w:w="8701" w:type="dxa"/>
          </w:tcPr>
          <w:p w14:paraId="1BE8FBD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Mezinárodní organizace [Ústřední vlády a centrální banky]</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Expozice vůči vládním institucím, které jsou mezinárodními organizacemi a které jsou přiřazeny ke kategorii expozic vůči „ústředním vládám a centrálním bankám“ v souladu s čl. 147 odst. 3 písm. c) nařízení (EU) č. 575/2013,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0155</w:t>
            </w:r>
          </w:p>
        </w:tc>
        <w:tc>
          <w:tcPr>
            <w:tcW w:w="8701" w:type="dxa"/>
          </w:tcPr>
          <w:p w14:paraId="205F29D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Ostatní expozice vůči vládním institucím, na něž se vztahuje přístup IRB</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Expozice vůči vládním institucím jiné než ty, které jsou zahrnuty v řádcích 0090 až 0140 výše, které jsou přiřazeny do tříd expozic, na něž se podle článku 147 nařízení (EU) č. 575/2013 vztahuje pro účely výpočtu kapitálových požadavků přístup IRB.</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0160</w:t>
            </w:r>
          </w:p>
        </w:tc>
        <w:tc>
          <w:tcPr>
            <w:tcW w:w="8701" w:type="dxa"/>
          </w:tcPr>
          <w:p w14:paraId="1066509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Expozice podléhající tržnímu riziku</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Tento řádek se vztahuje na pozice, pro které se vypočítává jeden z následujících kapitálových požadavků podle části třetí hlavy IV nařízení (EU) č. 575/2013:</w:t>
            </w:r>
          </w:p>
          <w:p w14:paraId="4D91BB25" w14:textId="77777777" w:rsidR="00BD16F2" w:rsidRPr="002A677E" w:rsidRDefault="00BD16F2" w:rsidP="00BD16F2">
            <w:pPr>
              <w:pStyle w:val="ListParagraph"/>
              <w:numPr>
                <w:ilvl w:val="0"/>
                <w:numId w:val="19"/>
              </w:numPr>
              <w:contextualSpacing w:val="0"/>
              <w:rPr>
                <w:rFonts w:ascii="Times New Roman" w:hAnsi="Times New Roman"/>
                <w:bCs/>
                <w:sz w:val="24"/>
              </w:rPr>
            </w:pPr>
            <w:r>
              <w:rPr>
                <w:rFonts w:ascii="Times New Roman" w:hAnsi="Times New Roman"/>
                <w:sz w:val="24"/>
              </w:rPr>
              <w:t>kapitálové požadavky k pozičnímu riziku v souladu s článkem 326 nařízení (EU) č. 575/2013</w:t>
            </w:r>
          </w:p>
          <w:p w14:paraId="6AC569B5" w14:textId="6FA3AEB0" w:rsidR="00BD16F2" w:rsidRPr="000059B8" w:rsidRDefault="00BD16F2" w:rsidP="00BD16F2">
            <w:pPr>
              <w:pStyle w:val="ListParagraph"/>
              <w:numPr>
                <w:ilvl w:val="0"/>
                <w:numId w:val="19"/>
              </w:numPr>
              <w:contextualSpacing w:val="0"/>
            </w:pPr>
            <w:r>
              <w:rPr>
                <w:rFonts w:ascii="Times New Roman" w:hAnsi="Times New Roman"/>
                <w:sz w:val="24"/>
              </w:rPr>
              <w:t>kapitálové požadavky ke specifickému nebo obecnému riziku v souladu s částí třetí hlavou IV kapitolou 5 uvedeného nařízení;</w:t>
            </w:r>
          </w:p>
          <w:p w14:paraId="32753AD8" w14:textId="77777777" w:rsidR="00BD16F2" w:rsidRPr="008735B6" w:rsidRDefault="00BD16F2" w:rsidP="00BD16F2">
            <w:pPr>
              <w:pStyle w:val="ListParagraph"/>
              <w:numPr>
                <w:ilvl w:val="0"/>
                <w:numId w:val="19"/>
              </w:numPr>
              <w:contextualSpacing w:val="0"/>
            </w:pPr>
            <w:r>
              <w:rPr>
                <w:rFonts w:ascii="Times New Roman" w:hAnsi="Times New Roman"/>
                <w:sz w:val="24"/>
              </w:rPr>
              <w:t xml:space="preserve">kapitálové požadavky k riziku úvěrového rozpětí nebo k riziku selhání v souladu s částí třetí hlavou IV kapitolou 1a uvedeného nařízení. </w:t>
            </w:r>
          </w:p>
          <w:p w14:paraId="565F2E22" w14:textId="77777777" w:rsidR="00BD16F2" w:rsidRPr="002A677E" w:rsidRDefault="00BD16F2" w:rsidP="00BD16F2">
            <w:pPr>
              <w:pStyle w:val="ListParagraph"/>
              <w:numPr>
                <w:ilvl w:val="0"/>
                <w:numId w:val="19"/>
              </w:numPr>
              <w:contextualSpacing w:val="0"/>
            </w:pPr>
            <w:r>
              <w:rPr>
                <w:rFonts w:ascii="Times New Roman" w:hAnsi="Times New Roman"/>
                <w:sz w:val="24"/>
              </w:rPr>
              <w:t>Kapitálové požadavky vypočítané v souladu s částí třetí hlavou IV kapitolou 1a uvedeného nařízení, pokud je pozice ovlivněna rizikovými faktory obecné kategorie rizikových faktorů úvěrových rozpětí nebo je zahrnuta v interním modelu rizika selhání instituce.</w:t>
            </w:r>
          </w:p>
          <w:p w14:paraId="1C79BB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Přímé expozice spadající do oblasti působnosti článku 271 nařízení (EU) č. 575/2013, pokud jde o kapitálové požadavky týkající se úvěrového rizika protistrany i tržního rizika, se vykazují jak v řádcích pro úvěrové riziko (0020 až 0155), tak v řádku pro tržní riziko (řádek 0160): expozice z titulu úvěrového rizika protistrany se vykáže v řádcích úvěrového rizika, zatímco expozice z titulu tržního rizika se vykáže v řádku tržního rizika.</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0170–0230</w:t>
            </w:r>
          </w:p>
        </w:tc>
        <w:tc>
          <w:tcPr>
            <w:tcW w:w="8701" w:type="dxa"/>
          </w:tcPr>
          <w:p w14:paraId="08A57F53" w14:textId="77777777" w:rsidR="00BD16F2" w:rsidRPr="002A677E" w:rsidRDefault="00BD16F2" w:rsidP="00E07FE9">
            <w:pPr>
              <w:spacing w:before="0" w:after="0"/>
              <w:ind w:left="33"/>
              <w:rPr>
                <w:rFonts w:ascii="Times New Roman" w:hAnsi="Times New Roman"/>
                <w:b/>
                <w:bCs/>
                <w:sz w:val="24"/>
              </w:rPr>
            </w:pPr>
            <w:r>
              <w:rPr>
                <w:rFonts w:ascii="Times New Roman" w:hAnsi="Times New Roman"/>
                <w:b/>
                <w:sz w:val="24"/>
              </w:rPr>
              <w:t>ROZČLENĚNÍ EXPOZIC PODLE ZBYTKOVÉ SPLATNOSTI:</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Zbytková splatnost se pro všechny pozice vypočítává v dnech mezi smluvním datem splatnosti a referenčním datem vykazování.</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Expozice vůči vládním institucím se rozčlení podle zbytkové splatnosti a přiřadí ke stanoveným košům takto:</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6EBCC4FC"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[0–3 M</w:t>
            </w:r>
            <w:r w:rsidR="005C4540">
              <w:rPr>
                <w:rFonts w:ascii="Times New Roman" w:hAnsi="Times New Roman"/>
                <w:sz w:val="24"/>
              </w:rPr>
              <w:t>]</w:t>
            </w:r>
            <w:r>
              <w:rPr>
                <w:rFonts w:ascii="Times New Roman" w:hAnsi="Times New Roman"/>
                <w:sz w:val="24"/>
              </w:rPr>
              <w:t>: méně než 90 dní,</w:t>
            </w:r>
          </w:p>
          <w:p w14:paraId="0F583012" w14:textId="76A5D193"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xml:space="preserve">[3 </w:t>
            </w:r>
            <w:proofErr w:type="gramStart"/>
            <w:r>
              <w:rPr>
                <w:rFonts w:ascii="Times New Roman" w:hAnsi="Times New Roman"/>
                <w:b/>
                <w:sz w:val="24"/>
              </w:rPr>
              <w:t>M – 1</w:t>
            </w:r>
            <w:proofErr w:type="gramEnd"/>
            <w:r>
              <w:rPr>
                <w:rFonts w:ascii="Times New Roman" w:hAnsi="Times New Roman"/>
                <w:b/>
                <w:sz w:val="24"/>
              </w:rPr>
              <w:t xml:space="preserve"> R</w:t>
            </w:r>
            <w:r w:rsidR="005C4540">
              <w:rPr>
                <w:rFonts w:ascii="Times New Roman" w:hAnsi="Times New Roman"/>
                <w:sz w:val="24"/>
              </w:rPr>
              <w:t>]</w:t>
            </w:r>
            <w:r>
              <w:rPr>
                <w:rFonts w:ascii="Times New Roman" w:hAnsi="Times New Roman"/>
                <w:sz w:val="24"/>
              </w:rPr>
              <w:t>: rovno nebo více než 90 dní a méně než 365 dní,</w:t>
            </w:r>
          </w:p>
          <w:p w14:paraId="4538DC89" w14:textId="5265E7B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xml:space="preserve">[1 </w:t>
            </w:r>
            <w:proofErr w:type="gramStart"/>
            <w:r>
              <w:rPr>
                <w:rFonts w:ascii="Times New Roman" w:hAnsi="Times New Roman"/>
                <w:b/>
                <w:sz w:val="24"/>
              </w:rPr>
              <w:t>R – 2</w:t>
            </w:r>
            <w:proofErr w:type="gramEnd"/>
            <w:r>
              <w:rPr>
                <w:rFonts w:ascii="Times New Roman" w:hAnsi="Times New Roman"/>
                <w:b/>
                <w:sz w:val="24"/>
              </w:rPr>
              <w:t xml:space="preserve"> R</w:t>
            </w:r>
            <w:r w:rsidR="005C4540">
              <w:rPr>
                <w:rFonts w:ascii="Times New Roman" w:hAnsi="Times New Roman"/>
                <w:sz w:val="24"/>
              </w:rPr>
              <w:t>]</w:t>
            </w:r>
            <w:r>
              <w:rPr>
                <w:rFonts w:ascii="Times New Roman" w:hAnsi="Times New Roman"/>
                <w:sz w:val="24"/>
              </w:rPr>
              <w:t>: rovno nebo více než 365 dní a méně než 730 dní,</w:t>
            </w:r>
          </w:p>
          <w:p w14:paraId="31713DE0" w14:textId="2A77464D"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xml:space="preserve">[2 </w:t>
            </w:r>
            <w:proofErr w:type="gramStart"/>
            <w:r>
              <w:rPr>
                <w:rFonts w:ascii="Times New Roman" w:hAnsi="Times New Roman"/>
                <w:b/>
                <w:sz w:val="24"/>
              </w:rPr>
              <w:t>R – 3</w:t>
            </w:r>
            <w:proofErr w:type="gramEnd"/>
            <w:r>
              <w:rPr>
                <w:rFonts w:ascii="Times New Roman" w:hAnsi="Times New Roman"/>
                <w:b/>
                <w:sz w:val="24"/>
              </w:rPr>
              <w:t xml:space="preserve"> R</w:t>
            </w:r>
            <w:r w:rsidR="005C4540">
              <w:rPr>
                <w:rFonts w:ascii="Times New Roman" w:hAnsi="Times New Roman"/>
                <w:sz w:val="24"/>
              </w:rPr>
              <w:t>]</w:t>
            </w:r>
            <w:r>
              <w:rPr>
                <w:rFonts w:ascii="Times New Roman" w:hAnsi="Times New Roman"/>
                <w:sz w:val="24"/>
              </w:rPr>
              <w:t>: rovno nebo více než 730 dní a méně než 1 095 dní,</w:t>
            </w:r>
          </w:p>
          <w:p w14:paraId="605F8680" w14:textId="3CD0C440"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xml:space="preserve">[3 </w:t>
            </w:r>
            <w:proofErr w:type="gramStart"/>
            <w:r>
              <w:rPr>
                <w:rFonts w:ascii="Times New Roman" w:hAnsi="Times New Roman"/>
                <w:b/>
                <w:sz w:val="24"/>
              </w:rPr>
              <w:t>R – 5</w:t>
            </w:r>
            <w:proofErr w:type="gramEnd"/>
            <w:r>
              <w:rPr>
                <w:rFonts w:ascii="Times New Roman" w:hAnsi="Times New Roman"/>
                <w:b/>
                <w:sz w:val="24"/>
              </w:rPr>
              <w:t xml:space="preserve"> R</w:t>
            </w:r>
            <w:r w:rsidR="005C4540">
              <w:rPr>
                <w:rFonts w:ascii="Times New Roman" w:hAnsi="Times New Roman"/>
                <w:sz w:val="24"/>
              </w:rPr>
              <w:t>]</w:t>
            </w:r>
            <w:r>
              <w:rPr>
                <w:rFonts w:ascii="Times New Roman" w:hAnsi="Times New Roman"/>
                <w:sz w:val="24"/>
              </w:rPr>
              <w:t>: rovno nebo více než 1 095 dní a méně než 1 825 dní,</w:t>
            </w:r>
          </w:p>
          <w:p w14:paraId="4BB7CB52" w14:textId="3005A1A5"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 xml:space="preserve">[5 </w:t>
            </w:r>
            <w:proofErr w:type="gramStart"/>
            <w:r>
              <w:rPr>
                <w:rFonts w:ascii="Times New Roman" w:hAnsi="Times New Roman"/>
                <w:b/>
                <w:sz w:val="24"/>
              </w:rPr>
              <w:t>R – 10</w:t>
            </w:r>
            <w:proofErr w:type="gramEnd"/>
            <w:r>
              <w:rPr>
                <w:rFonts w:ascii="Times New Roman" w:hAnsi="Times New Roman"/>
                <w:b/>
                <w:sz w:val="24"/>
              </w:rPr>
              <w:t xml:space="preserve"> R</w:t>
            </w:r>
            <w:r w:rsidR="005C4540">
              <w:rPr>
                <w:rFonts w:ascii="Times New Roman" w:hAnsi="Times New Roman"/>
                <w:sz w:val="24"/>
              </w:rPr>
              <w:t>]</w:t>
            </w:r>
            <w:r>
              <w:rPr>
                <w:rFonts w:ascii="Times New Roman" w:hAnsi="Times New Roman"/>
                <w:sz w:val="24"/>
              </w:rPr>
              <w:t>: rovno nebo více než 1 825 dní a méně než 3 650 dní,</w:t>
            </w:r>
          </w:p>
          <w:p w14:paraId="64FFD510" w14:textId="6316FAF9"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tab/>
            </w:r>
            <w:r>
              <w:rPr>
                <w:rFonts w:ascii="Times New Roman" w:hAnsi="Times New Roman"/>
                <w:b/>
                <w:sz w:val="24"/>
              </w:rPr>
              <w:t>[10 R – více</w:t>
            </w:r>
            <w:r w:rsidR="005C4540">
              <w:rPr>
                <w:rFonts w:ascii="Times New Roman" w:hAnsi="Times New Roman"/>
                <w:sz w:val="24"/>
              </w:rPr>
              <w:t>]</w:t>
            </w:r>
            <w:r>
              <w:rPr>
                <w:rFonts w:ascii="Times New Roman" w:hAnsi="Times New Roman"/>
                <w:sz w:val="24"/>
              </w:rPr>
              <w:t>: rovno nebo více než 3 650 dní.</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rFonts w:ascii="Times New Roman" w:hAnsi="Times New Roman"/>
                <w:bCs/>
                <w:sz w:val="24"/>
              </w:rPr>
            </w:pPr>
            <w:r>
              <w:rPr>
                <w:rFonts w:ascii="Times New Roman" w:hAnsi="Times New Roman"/>
                <w:sz w:val="24"/>
              </w:rPr>
              <w:t>Pokud smluvní datum splatnosti předchází referenčnímu datu vykazování (tj. rozdíl mezi referenčním datem vykazování a datem splatnosti je záporná hodnota), zařadí se expozice do koše [0–3 M].</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Expozice bez zbytkové splatnosti se zařadí do koše zbytkové splatnosti na základě výpovědní lhůty nebo jiných smluvních údajů o splatnosti. Pokud neexistuje předem stanovená výpovědní lhůta ani jiné smluvní údaje o splatnosti, expozice se zařadí do koše zbytkové splatnosti [10 R – více].</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A95A" w14:textId="6AF3BF07" w:rsidR="00BD16F2" w:rsidRDefault="00BD16F2">
    <w:pPr>
      <w:pStyle w:val="Header"/>
    </w:pPr>
    <w:r>
      <w:rPr>
        <w:noProof/>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F67" w14:textId="6AACFABF" w:rsidR="00BD16F2" w:rsidRDefault="00BD16F2">
    <w:pPr>
      <w:pStyle w:val="Header"/>
    </w:pPr>
    <w:r>
      <w:rPr>
        <w:noProof/>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BAF6" w14:textId="6E2DFCB8" w:rsidR="00BD16F2" w:rsidRDefault="00BD16F2">
    <w:pPr>
      <w:pStyle w:val="Header"/>
    </w:pPr>
    <w:r>
      <w:rPr>
        <w:noProof/>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0275DF"/>
    <w:rsid w:val="001D4F41"/>
    <w:rsid w:val="004E7B6F"/>
    <w:rsid w:val="005C4540"/>
    <w:rsid w:val="00631623"/>
    <w:rsid w:val="00701E4C"/>
    <w:rsid w:val="00816CE5"/>
    <w:rsid w:val="00855551"/>
    <w:rsid w:val="00A6002C"/>
    <w:rsid w:val="00B71F25"/>
    <w:rsid w:val="00BD16F2"/>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cs-CZ"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cs-CZ"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cs-CZ"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cs-CZ"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cs-CZ"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cs-CZ"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cs-CZ"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cs-CZ"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cs-CZ"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cs-CZ"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BD16F2"/>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cs-CZ"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EF042B73-34FF-440C-9899-89AF61134E61}"/>
</file>

<file path=customXml/itemProps3.xml><?xml version="1.0" encoding="utf-8"?>
<ds:datastoreItem xmlns:ds="http://schemas.openxmlformats.org/officeDocument/2006/customXml" ds:itemID="{6952D216-D3C6-4AB8-A370-6C6BC6A81648}">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4225</Words>
  <Characters>24342</Characters>
  <Application>Microsoft Office Word</Application>
  <DocSecurity>0</DocSecurity>
  <Lines>657</Lines>
  <Paragraphs>280</Paragraphs>
  <ScaleCrop>false</ScaleCrop>
  <Company/>
  <LinksUpToDate>false</LinksUpToDate>
  <CharactersWithSpaces>28287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2024-12-09T13:57:00Z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2024-11-19T09:19:58Z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27201a89-aa11-45b8-9281-3f6f46346ac8</vt:lpwstr>
  </property>
  <property fmtid="{D5CDD505-2E9C-101B-9397-08002B2CF9AE}" pid="9" name="MSIP_Label_6bd9ddd1-4d20-43f6-abfa-fc3c07406f94_ContentBits">
    <vt:lpwstr>0</vt:lpwstr>
  </property>
</Properties>
</file>