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EL</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Pr>
          <w:rFonts w:ascii="Times New Roman" w:hAnsi="Times New Roman"/>
          <w:sz w:val="24"/>
        </w:rPr>
        <w:t>ΠΑΡΑΡΤΗΜΑ II</w:t>
      </w:r>
    </w:p>
    <w:p w14:paraId="03895EA2" w14:textId="77777777" w:rsidR="009C5DD6" w:rsidRPr="00037E7B" w:rsidRDefault="009C5DD6" w:rsidP="009C5DD6">
      <w:pPr>
        <w:jc w:val="center"/>
        <w:rPr>
          <w:rFonts w:ascii="Times New Roman" w:hAnsi="Times New Roman"/>
          <w:sz w:val="24"/>
        </w:rPr>
      </w:pPr>
      <w:r>
        <w:rPr>
          <w:rFonts w:ascii="Times New Roman" w:hAnsi="Times New Roman"/>
          <w:sz w:val="24"/>
        </w:rPr>
        <w:t>«ΠΑΡΑΡΤΗΜΑ II</w:t>
      </w:r>
    </w:p>
    <w:p w14:paraId="480031C9" w14:textId="77777777" w:rsidR="009C5DD6" w:rsidRPr="00037E7B" w:rsidRDefault="009C5DD6" w:rsidP="009C5DD6">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4DA6D037" w14:textId="77777777" w:rsidR="00FC29F5"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Pr>
          <w:rFonts w:ascii="Times New Roman" w:hAnsi="Times New Roman"/>
          <w:sz w:val="24"/>
          <w:u w:val="none"/>
        </w:rPr>
        <w:t>3.6.</w:t>
      </w:r>
      <w:r>
        <w:tab/>
      </w:r>
      <w:r>
        <w:rPr>
          <w:rFonts w:ascii="Times New Roman" w:hAnsi="Times New Roman"/>
          <w:sz w:val="24"/>
        </w:rPr>
        <w:t>C 11.00 – Κίνδυνος διακανονισμού/ παράδοσης</w:t>
      </w:r>
      <w:bookmarkEnd w:id="0"/>
      <w:bookmarkEnd w:id="1"/>
      <w:r>
        <w:rPr>
          <w:rFonts w:ascii="Times New Roman" w:hAnsi="Times New Roman"/>
          <w:sz w:val="24"/>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Pr>
          <w:rFonts w:ascii="Times New Roman" w:hAnsi="Times New Roman"/>
          <w:sz w:val="24"/>
          <w:u w:val="none"/>
        </w:rPr>
        <w:t>3.6.1.</w:t>
      </w:r>
      <w:r>
        <w:tab/>
      </w:r>
      <w:r>
        <w:rPr>
          <w:rFonts w:ascii="Times New Roman" w:hAnsi="Times New Roman"/>
          <w:sz w:val="24"/>
        </w:rPr>
        <w:t>Γενικές παρατηρήσεις</w:t>
      </w:r>
      <w:bookmarkEnd w:id="4"/>
      <w:bookmarkEnd w:id="5"/>
      <w:bookmarkEnd w:id="6"/>
      <w:bookmarkEnd w:id="7"/>
      <w:bookmarkEnd w:id="8"/>
      <w:bookmarkEnd w:id="9"/>
    </w:p>
    <w:p w14:paraId="2F026EC9" w14:textId="0B459D4B" w:rsidR="00925646" w:rsidRPr="002A677E" w:rsidRDefault="00925646" w:rsidP="00925646">
      <w:pPr>
        <w:pStyle w:val="InstructionsText2"/>
        <w:numPr>
          <w:ilvl w:val="0"/>
          <w:numId w:val="0"/>
        </w:numPr>
        <w:ind w:left="993"/>
      </w:pPr>
      <w:r>
        <w:fldChar w:fldCharType="begin"/>
      </w:r>
      <w:r>
        <w:instrText>seq paragraphs</w:instrText>
      </w:r>
      <w:r>
        <w:fldChar w:fldCharType="separate"/>
      </w:r>
      <w:r>
        <w:t>99</w:t>
      </w:r>
      <w:r>
        <w:fldChar w:fldCharType="end"/>
      </w:r>
      <w:r>
        <w:t>.</w:t>
      </w:r>
      <w:r>
        <w:tab/>
        <w:t xml:space="preserve">Στο συγκεκριμένο υπόδειγμα ζητούνται πληροφορίες για συναλλαγές εντός και εκτός του χαρτοφυλακίου συναλλαγών οι οποίες δεν έχουν διακανονιστεί ακόμη μετά τις προβλεπόμενες ημερομηνίες παράδοσής τους και τις αντίστοιχες απαιτήσεις ιδίων κεφαλαίων για τον κίνδυνο διακανονισμού, όπως προβλέπεται στο άρθρο 92 παράγραφος 3 στοιχείο γ) σημείο ii) και στο άρθρο 378 του κανονισμού (ΕΕ) αριθ. 575/2013.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100</w:t>
      </w:r>
      <w:r>
        <w:fldChar w:fldCharType="end"/>
      </w:r>
      <w:r>
        <w:t>.</w:t>
      </w:r>
      <w:r>
        <w:tab/>
        <w:t xml:space="preserve">Τα ιδρύματα αναφέρουν στο υπόδειγμα CR SETT πληροφορίες για τον κίνδυνο διακανονισμού/παράδοσης σε σχέση με χρεωστικούς τίτλους, μετοχές, συνάλλαγμα και βασικά εμπορεύματα εντός ή εκτός του χαρτοφυλακίου συναλλαγών τους. </w:t>
      </w:r>
    </w:p>
    <w:p w14:paraId="1F6DAE78" w14:textId="6128EA18"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101</w:t>
      </w:r>
      <w:r>
        <w:fldChar w:fldCharType="end"/>
      </w:r>
      <w:r>
        <w:t>.</w:t>
      </w:r>
      <w:r>
        <w:tab/>
        <w:t>Σύμφωνα με το άρθρο 378 του κανονισμού (ΕΕ) αριθ. 575/2013, οι συναλλαγές επαναγοράς, οι συναλλαγές δανειοδοσίας και δανειοληψίας τίτλων ή εμπορευμάτων σε σχέση με χρεωστικούς τίτλους, μετοχές, συνάλλαγμα και βασικά εμπορεύματα δεν υπόκεινται σε απαιτήσεις ιδίων κεφαλαίων για τον κίνδυνο διακανονισμού/παράδοσης. Σημειώνεται, ωστόσο, ότι τα παράγωγα και οι πράξεις με μακρά περίοδο διακανονισμού, που δεν έχουν διακανονιστεί ακόμη μετά τις προβλεπόμενες ημερομηνίες παράδοσής τους, υπόκεινται σε απαιτήσεις ιδίων κεφαλαίων για τον κίνδυνο διακανονισμού/παράδοσης, όπως ορίζεται στο άρθρο 378 του κανονισμού (ΕΕ) αριθ. 575/2013.</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102</w:t>
      </w:r>
      <w:r>
        <w:fldChar w:fldCharType="end"/>
      </w:r>
      <w:r>
        <w:t>.</w:t>
      </w:r>
      <w:r>
        <w:tab/>
        <w:t xml:space="preserve">Στην περίπτωση μη διακανονισθεισών συναλλαγών μετά την προβλεπόμενη ημερομηνία παράδοσης, τα ιδρύματα υπολογίζουν τον κίνδυνο διαφοράς τιμών στον οποίο εκτίθενται. Πρόκειται για τη διαφορά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εμπεριέχει ζημία για το ίδρυμα.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103</w:t>
      </w:r>
      <w:r>
        <w:fldChar w:fldCharType="end"/>
      </w:r>
      <w:r>
        <w:t>.</w:t>
      </w:r>
      <w:r>
        <w:tab/>
        <w:t>Τα ιδρύματα πολλαπλασιάζουν τη διαφορά αυτή με τον κατάλληλο συντελεστή του πίνακα 1 του άρθρου 378 του κανονισμού (ΕΕ) αριθ. 575/2013 για τον προσδιορισμό των αντίστοιχων απαιτήσεων ιδίων κεφαλαίων.</w:t>
      </w:r>
    </w:p>
    <w:p w14:paraId="59D114DF" w14:textId="657627A8"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t>104</w:t>
      </w:r>
      <w:r>
        <w:fldChar w:fldCharType="end"/>
      </w:r>
      <w:r>
        <w:t>.</w:t>
      </w:r>
      <w:r>
        <w:tab/>
        <w:t>Σύμφωνα με το άρθρο 92 παράγραφος 4 στοιχείο β) του κανονισμού (ΕΕ) αριθ. 575/2013, οι απαιτήσεις ιδίων κεφαλαίων για τον κίνδυνο διακανονισμού/παράδοσης πολλαπλασιάζονται με συντελεστή 12,5 για τον υπολογισμό του ποσού του ανοίγματος σε κίνδυνο.</w:t>
      </w:r>
    </w:p>
    <w:p w14:paraId="451A9870" w14:textId="00DC3B9D"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105</w:t>
      </w:r>
      <w:r>
        <w:fldChar w:fldCharType="end"/>
      </w:r>
      <w:r>
        <w:t>.</w:t>
      </w:r>
      <w:r>
        <w:tab/>
        <w:t>Σημειώνεται ότι οι απαιτήσεις ιδίων κεφαλαίων για τις ατελείς συναλλαγές που προβλέπονται στο άρθρο 379 του κανονισμού (ΕΕ) αριθ. 575/2013 δεν εμπίπτουν στο πεδίο εφαρμογής του υποδείγματος CR SETT. Οι εν λόγω απαιτήσεις ιδίων κεφαλαίων αναφέρονται στα υποδείγματα πιστωτικού κινδύνου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Pr>
          <w:rFonts w:ascii="Times New Roman" w:hAnsi="Times New Roman"/>
          <w:sz w:val="24"/>
          <w:u w:val="none"/>
        </w:rPr>
        <w:t>3.6.2.</w:t>
      </w:r>
      <w:r>
        <w:tab/>
      </w:r>
      <w:r>
        <w:rPr>
          <w:rFonts w:ascii="Times New Roman" w:hAnsi="Times New Roman"/>
          <w:sz w:val="24"/>
        </w:rPr>
        <w:t>Οδηγίες για συγκεκριμένες θέσεις</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Στήλες</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ΔΙΑΚΑΝΟΝΙΣΘΕΙΣΕΣ ΣΥΝΑΛΛΑΓΕΣ ΣΕ ΤΙΜΗ ΔΙΑΚΑΝΟΝΙΣΜΟΥ</w:t>
            </w:r>
          </w:p>
          <w:p w14:paraId="4CB9A5A9"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τις μη διακανονισθείσες συναλλαγές μετά την προβλεπόμενη ημερομηνία παράδοσής τους στις αντίστοιχες συμφωνηθείσες τιμές διακανονισμού, όπως προβλέπεται στο άρθρο 378 του κανονισμού (ΕΕ) αριθ. 575/2013. </w:t>
            </w:r>
          </w:p>
          <w:p w14:paraId="09152D4C"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Όλες οι μη διακανονισθείσες συναλλαγές περιλαμβάνονται στη συγκεκριμένη στήλη, ανεξαρτήτως του αν καταλήγουν σε κέρδος ή ζημία μετά την προβλεπόμενη ημερομηνία διακανονισμού.</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ΑΝΟΙΓΜΑ ΔΙΑΦΟΡΑΣ ΤΙΜΗΣ ΛΟΓΩ ΜΗ ΔΙΑΚΑΝΟΝΙΣΘΕΙΣΩΝ ΣΥΝΑΛΛΑΓΩΝ</w:t>
            </w:r>
          </w:p>
          <w:p w14:paraId="43853AD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τη διαφορά τιμών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εάν η διαφορά αυτή θα μπορούσε να συνεπάγεται ζημία για το ίδρυμα, όπως προβλέπεται στο άρθρο 378 του κανονισμού (ΕΕ) αριθ. 575/2013. </w:t>
            </w:r>
          </w:p>
          <w:p w14:paraId="692F8AB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Στη συγκεκριμένη στήλη αναφέρονται μόνο οι μη διακανονισθείσες συναλλαγές που προκαλούν ζημία μετά την προβλεπόμενη ημερομηνία διακανονισμού.</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ΑΠΑΙΤΗΣΕΙΣ ΙΔΙΩΝ ΚΕΦΑΛΑΙΩΝ</w:t>
            </w:r>
          </w:p>
          <w:p w14:paraId="24894388"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Τα ιδρύματα αναφέρουν τις απαιτήσεις ιδίων κεφαλαίων, που υπολογίζονται σύμφωνα με το άρθρο 378 του κανονισμού (ΕΕ) αριθ.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 ΔΙΑΚΑΝΟΝΙΣΜΟΥ</w:t>
            </w:r>
          </w:p>
          <w:p w14:paraId="3A06223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Σύμφωνα με το άρθρο 92 παράγραφος 4 στοιχείο β) του κανονισμού (ΕΕ) αριθ. 575/2013, τα ιδρύματα πολλαπλασιάζουν τις απαιτήσεις ιδίων κεφαλαίων τους που αναφέρουν στη στήλη 0030 με τον συντελεστή 12,5 για τον υπολογισμό του ποσού ανοίγματος σε κίνδυνο διακανονισμού.</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lastRenderedPageBreak/>
              <w:t>Γραμμές</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εκτός του χαρτοφυλακίου συναλλαγών</w:t>
            </w:r>
          </w:p>
          <w:p w14:paraId="21410DD0" w14:textId="700C573F"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Τα ιδρύματα αναφέρουν συγκεντρωτικές πληροφορίες σε σχέση με τον κίνδυνο διακανονισμού/παράδοσης για θέσεις εκτός του χαρτοφυλακίου συναλλαγών [όπως προβλέπεται στο άρθρο 92 παράγραφος 4 στοιχείο γα) και στο άρθρο 378 του κανονισμού (ΕΕ) αριθ. 575/2013].</w:t>
            </w:r>
          </w:p>
          <w:p w14:paraId="57BBA9B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Τα ιδρύματα αναφέρουν στη {γραμμή 0010, στήλη 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14:paraId="556AEAC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Τα ιδρύματα αναφέρουν στη {γραμμή 0010, στήλη 0020} συγκεντρωτικές πληροφορίες για το άνοιγμα διαφοράς τιμής λόγω μη διακανονισθεισών συναλλαγών που προκαλούν ζημία.</w:t>
            </w:r>
          </w:p>
          <w:p w14:paraId="01BDECE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0010, στήλη 0030} τις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κανονισμού (ΕΕ) αριθ.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έως 4 ημέρες (Συντελεστής 0</w:t>
            </w:r>
            <w:r>
              <w:t> </w:t>
            </w:r>
            <w:r>
              <w:rPr>
                <w:rStyle w:val="InstructionsTabelleberschrift"/>
                <w:rFonts w:ascii="Times New Roman" w:hAnsi="Times New Roman"/>
                <w:sz w:val="24"/>
              </w:rPr>
              <w:t xml:space="preserve">%)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(Συντελεστής 100 %)</w:t>
            </w:r>
          </w:p>
          <w:p w14:paraId="4BCE7D0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στις γραμμές 0020 έως 0060 τις πληροφορίες σε σχέση με τον κίνδυνο διακανονισμού/παράδοσης για θέσεις εκτός του χαρτοφυλακίου συναλλαγών, σύμφωνα με τις κατηγορίες του πίνακα 1 του άρθρου 378 του κανονισμού (ΕΕ) αριθ. 575/2013. </w:t>
            </w:r>
          </w:p>
          <w:p w14:paraId="4BA0384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εντός του χαρτοφυλακίου</w:t>
            </w:r>
          </w:p>
          <w:p w14:paraId="3C4B428B" w14:textId="446A5161"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συγκεντρωτικές πληροφορίες σε σχέση με τον κίνδυνο διακανονισμού/παράδοσης για θέσεις εντός του χαρτοφυλακίου συναλλαγών </w:t>
            </w:r>
            <w:r>
              <w:rPr>
                <w:rFonts w:ascii="Times New Roman" w:hAnsi="Times New Roman"/>
                <w:sz w:val="24"/>
              </w:rPr>
              <w:lastRenderedPageBreak/>
              <w:t>[όπως προβλέπεται στο άρθρο 92 παράγραφος 4 στοιχείο γα) και στο άρθρο 378 του κανονισμού (ΕΕ) αριθ. 575/2013].</w:t>
            </w:r>
          </w:p>
          <w:p w14:paraId="2E44B3F3"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0070, στήλη 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14:paraId="1CB848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0070, στήλη 0020} συγκεντρωτικές πληροφορίες για το άνοιγμα διαφοράς τιμής λόγω μη διακανονισθεισών συναλλαγών που προκαλούν ζημία.</w:t>
            </w:r>
          </w:p>
          <w:p w14:paraId="64D05373"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Τα ιδρύματα αναφέρουν στη {γραμμή 0070, στήλη 0030} τις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κανονισμού (ΕΕ) αριθ.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έως 4 ημέρες (Συντελεστής 0</w:t>
            </w:r>
            <w:r>
              <w:t> </w:t>
            </w:r>
            <w:r>
              <w:rPr>
                <w:rStyle w:val="InstructionsTabelleberschrift"/>
                <w:rFonts w:ascii="Times New Roman" w:hAnsi="Times New Roman"/>
                <w:sz w:val="24"/>
              </w:rPr>
              <w:t xml:space="preserve">%)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(Συντελεστής 100 %)</w:t>
            </w:r>
          </w:p>
          <w:p w14:paraId="1A0345F5"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στις γραμμές 0080 έως 0120 πληροφορίες σε σχέση με τον κίνδυνο διακανονισμού/παράδοσης για θέσεις εντός του χαρτοφυλακίου συναλλαγών, σύμφωνα με τις κατηγορίες του πίνακα 1 του άρθρου 378 του κανονισμού (ΕΕ) αριθ. 575/2013. </w:t>
            </w:r>
          </w:p>
          <w:p w14:paraId="0A9F762A"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bl>
    <w:p w14:paraId="43F97E9B" w14:textId="166FA7EE" w:rsidR="00925646" w:rsidRDefault="00F17480" w:rsidP="00925646">
      <w:r>
        <w:t>»</w:t>
      </w:r>
    </w:p>
    <w:p w14:paraId="557ADFEB" w14:textId="77777777" w:rsidR="00925646" w:rsidRDefault="00925646"/>
    <w:sectPr w:rsidR="0092564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B226" w14:textId="77777777" w:rsidR="00F17480" w:rsidRDefault="00F17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199B" w14:textId="77777777" w:rsidR="00F17480" w:rsidRDefault="00F174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47622" w14:textId="77777777" w:rsidR="00F17480" w:rsidRDefault="00F17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48BE82CA" w:rsidR="00925646" w:rsidRPr="00925646" w:rsidRDefault="00F17480" w:rsidP="00925646">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48BE82CA" w:rsidR="00925646" w:rsidRPr="00925646" w:rsidRDefault="00F17480" w:rsidP="00925646">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A0E0B"/>
    <w:rsid w:val="00631623"/>
    <w:rsid w:val="006364D5"/>
    <w:rsid w:val="00736637"/>
    <w:rsid w:val="007E5623"/>
    <w:rsid w:val="00925646"/>
    <w:rsid w:val="00960943"/>
    <w:rsid w:val="009C5DD6"/>
    <w:rsid w:val="00A6002C"/>
    <w:rsid w:val="00AB618F"/>
    <w:rsid w:val="00B71F25"/>
    <w:rsid w:val="00CB0520"/>
    <w:rsid w:val="00EE75F2"/>
    <w:rsid w:val="00EF07A1"/>
    <w:rsid w:val="00F17480"/>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 w:type="paragraph" w:styleId="Footer">
    <w:name w:val="footer"/>
    <w:basedOn w:val="Normal"/>
    <w:link w:val="FooterChar"/>
    <w:uiPriority w:val="99"/>
    <w:unhideWhenUsed/>
    <w:rsid w:val="00F17480"/>
    <w:pPr>
      <w:tabs>
        <w:tab w:val="center" w:pos="4513"/>
        <w:tab w:val="right" w:pos="9026"/>
      </w:tabs>
      <w:spacing w:before="0" w:after="0"/>
    </w:pPr>
  </w:style>
  <w:style w:type="character" w:customStyle="1" w:styleId="FooterChar">
    <w:name w:val="Footer Char"/>
    <w:basedOn w:val="DefaultParagraphFont"/>
    <w:link w:val="Footer"/>
    <w:uiPriority w:val="99"/>
    <w:rsid w:val="00F17480"/>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2.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672A94D-DCAB-4F8F-90BD-341CC161E13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1161</Words>
  <Characters>7329</Characters>
  <Application>Microsoft Office Word</Application>
  <DocSecurity>0</DocSecurity>
  <Lines>166</Lines>
  <Paragraphs>70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SPANOU Marina (DGT)</cp:lastModifiedBy>
  <cp:revision>10</cp:revision>
  <dcterms:created xsi:type="dcterms:W3CDTF">2024-05-28T09:25:00Z</dcterms:created>
  <dcterms:modified xsi:type="dcterms:W3CDTF">2025-01-13T11:32:00Z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