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3B806" w14:textId="66831D99" w:rsidR="009E7D0C" w:rsidRPr="004B0EC7" w:rsidRDefault="009E7D0C" w:rsidP="00A33695">
      <w:pPr>
        <w:jc w:val="center"/>
        <w:rPr>
          <w:sz w:val="24"/>
          <w:rFonts w:ascii="Times New Roman" w:hAnsi="Times New Roman"/>
        </w:rPr>
      </w:pPr>
      <w:bookmarkStart w:id="0" w:name="_Toc262568021"/>
      <w:bookmarkStart w:id="1" w:name="_Toc295829847"/>
      <w:r>
        <w:rPr>
          <w:sz w:val="24"/>
          <w:rFonts w:ascii="Times New Roman" w:hAnsi="Times New Roman"/>
        </w:rPr>
        <w:t xml:space="preserve">FR</w:t>
      </w:r>
    </w:p>
    <w:p w14:paraId="2704A83C" w14:textId="77777777" w:rsidR="009E7D0C" w:rsidRPr="004B0EC7" w:rsidRDefault="009E7D0C" w:rsidP="00A33695">
      <w:pPr>
        <w:jc w:val="center"/>
        <w:rPr>
          <w:rFonts w:ascii="Times New Roman" w:hAnsi="Times New Roman"/>
          <w:sz w:val="24"/>
        </w:rPr>
      </w:pPr>
    </w:p>
    <w:p w14:paraId="24333E7A" w14:textId="5D6FD9D5" w:rsidR="008D696E" w:rsidRPr="004B0EC7" w:rsidRDefault="008D696E" w:rsidP="00A33695">
      <w:pPr>
        <w:jc w:val="center"/>
        <w:rPr>
          <w:sz w:val="24"/>
          <w:rFonts w:ascii="Times New Roman" w:hAnsi="Times New Roman"/>
        </w:rPr>
      </w:pPr>
      <w:r>
        <w:rPr>
          <w:sz w:val="24"/>
          <w:rFonts w:ascii="Times New Roman" w:hAnsi="Times New Roman"/>
        </w:rPr>
        <w:t xml:space="preserve">ANNEXE II</w:t>
      </w:r>
    </w:p>
    <w:p w14:paraId="37362007" w14:textId="6FB5EC15" w:rsidR="002648B0" w:rsidRPr="004B0EC7" w:rsidRDefault="008D696E" w:rsidP="00A33695">
      <w:pPr>
        <w:jc w:val="center"/>
        <w:rPr>
          <w:sz w:val="24"/>
          <w:rFonts w:ascii="Times New Roman" w:hAnsi="Times New Roman"/>
        </w:rPr>
      </w:pPr>
      <w:r>
        <w:rPr>
          <w:sz w:val="24"/>
          <w:rFonts w:ascii="Times New Roman" w:hAnsi="Times New Roman"/>
        </w:rPr>
        <w:t xml:space="preserve">«ANNEXE II</w:t>
      </w:r>
    </w:p>
    <w:p w14:paraId="327777EC" w14:textId="77777777" w:rsidR="002648B0" w:rsidRPr="004B0EC7" w:rsidRDefault="00D11E4C" w:rsidP="00C87CEE">
      <w:pPr>
        <w:jc w:val="center"/>
        <w:rPr>
          <w:b/>
          <w:sz w:val="24"/>
          <w:rFonts w:ascii="Times New Roman" w:hAnsi="Times New Roman"/>
        </w:rPr>
      </w:pPr>
      <w:r>
        <w:rPr>
          <w:b/>
          <w:sz w:val="24"/>
          <w:rFonts w:ascii="Times New Roman" w:hAnsi="Times New Roman"/>
        </w:rPr>
        <w:t xml:space="preserve">INSTRUCTIONS POUR REMPLIR LA DÉCLARATION RELATIVE AUX FONDS PROPRES ET EXIGENCES DE FONDS PROPRES</w:t>
      </w:r>
    </w:p>
    <w:p w14:paraId="2C40683C" w14:textId="77777777" w:rsidR="00436204" w:rsidRPr="004B0EC7" w:rsidRDefault="00436204" w:rsidP="00C87CEE">
      <w:pPr>
        <w:jc w:val="center"/>
        <w:rPr>
          <w:rFonts w:ascii="Times New Roman" w:hAnsi="Times New Roman"/>
          <w:b/>
          <w:sz w:val="24"/>
          <w:lang w:eastAsia="de-DE"/>
        </w:rPr>
      </w:pPr>
    </w:p>
    <w:p w14:paraId="587AAF25" w14:textId="155D24EC" w:rsidR="00971D22" w:rsidRPr="004B0EC7" w:rsidRDefault="00971D22" w:rsidP="00971D22">
      <w:pPr>
        <w:rPr>
          <w:sz w:val="24"/>
          <w:rFonts w:ascii="Times New Roman" w:hAnsi="Times New Roman"/>
        </w:rPr>
      </w:pPr>
      <w:r>
        <w:rPr>
          <w:sz w:val="24"/>
          <w:rFonts w:ascii="Times New Roman" w:hAnsi="Times New Roman"/>
        </w:rPr>
        <w:t xml:space="preserve">(…)</w:t>
      </w:r>
    </w:p>
    <w:p w14:paraId="74494658" w14:textId="77777777" w:rsidR="002648B0" w:rsidRPr="004B0EC7"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Pr>
          <w:rFonts w:ascii="Times New Roman" w:hAnsi="Times New Roman"/>
        </w:rPr>
        <w:t xml:space="preserve">PARTIE II:</w:t>
      </w:r>
      <w:r>
        <w:rPr>
          <w:rFonts w:ascii="Times New Roman" w:hAnsi="Times New Roman"/>
        </w:rPr>
        <w:t xml:space="preserve"> </w:t>
      </w:r>
      <w:r>
        <w:rPr>
          <w:rFonts w:ascii="Times New Roman" w:hAnsi="Times New Roman"/>
        </w:rPr>
        <w:t xml:space="preserve">INSTRUCTIONS RELATIVES AUX MODÈLES</w:t>
      </w:r>
      <w:bookmarkEnd w:id="3"/>
      <w:bookmarkEnd w:id="4"/>
      <w:bookmarkEnd w:id="5"/>
    </w:p>
    <w:p w14:paraId="42779579" w14:textId="77777777" w:rsidR="00971D22" w:rsidRPr="004B0EC7" w:rsidRDefault="00971D22" w:rsidP="00971D22">
      <w:pPr>
        <w:rPr>
          <w:sz w:val="24"/>
          <w:rFonts w:ascii="Times New Roman" w:hAnsi="Times New Roman"/>
        </w:rPr>
      </w:pPr>
      <w:bookmarkStart w:id="6" w:name="_Toc360188323"/>
      <w:bookmarkStart w:id="7" w:name="_Toc473560871"/>
      <w:bookmarkStart w:id="8" w:name="_Toc151714359"/>
      <w:r>
        <w:rPr>
          <w:sz w:val="24"/>
          <w:rFonts w:ascii="Times New Roman" w:hAnsi="Times New Roman"/>
        </w:rPr>
        <w:t xml:space="preserve">(…)</w:t>
      </w:r>
    </w:p>
    <w:p w14:paraId="73EBDC1C"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Pr>
          <w:sz w:val="24"/>
          <w:u w:val="none"/>
          <w:rFonts w:ascii="Times New Roman" w:hAnsi="Times New Roman"/>
        </w:rPr>
        <w:t xml:space="preserve">5.</w:t>
      </w:r>
      <w:r>
        <w:rPr>
          <w:sz w:val="24"/>
          <w:u w:val="none"/>
          <w:rFonts w:ascii="Times New Roman" w:hAnsi="Times New Roman"/>
        </w:rPr>
        <w:tab/>
      </w:r>
      <w:r>
        <w:rPr>
          <w:sz w:val="24"/>
          <w:rFonts w:ascii="Times New Roman" w:hAnsi="Times New Roman"/>
        </w:rPr>
        <w:t xml:space="preserve">Modèles consacrés au risque de marché</w:t>
      </w:r>
      <w:bookmarkEnd w:id="9"/>
      <w:bookmarkEnd w:id="10"/>
      <w:bookmarkEnd w:id="11"/>
      <w:bookmarkEnd w:id="12"/>
      <w:bookmarkEnd w:id="13"/>
      <w:bookmarkEnd w:id="14"/>
      <w:bookmarkEnd w:id="15"/>
    </w:p>
    <w:bookmarkStart w:id="16" w:name="_Toc308426672"/>
    <w:p w14:paraId="3A680559" w14:textId="06E26721" w:rsidR="000B0B09" w:rsidRPr="004B0EC7" w:rsidRDefault="00771068" w:rsidP="00660845">
      <w:pPr>
        <w:pStyle w:val="InstructionsText2"/>
        <w:numPr>
          <w:ilvl w:val="0"/>
          <w:numId w:val="0"/>
        </w:numPr>
        <w:ind w:left="993"/>
      </w:pPr>
      <w:r w:rsidRPr="004B0EC7">
        <w:fldChar w:fldCharType="begin" w:dirty="true"/>
      </w:r>
      <w:r w:rsidRPr="004B0EC7">
        <w:instrText xml:space="preserve"> seq paragraphs </w:instrText>
      </w:r>
      <w:r w:rsidRPr="004B0EC7">
        <w:fldChar w:fldCharType="separate"/>
      </w:r>
      <w:r w:rsidRPr="004B0EC7">
        <w:t>158</w:t>
      </w:r>
      <w:r w:rsidRPr="004B0EC7">
        <w:fldChar w:fldCharType="end"/>
      </w:r>
      <w:r>
        <w:t xml:space="preserve">.</w:t>
      </w:r>
      <w:r>
        <w:tab/>
      </w:r>
      <w:r>
        <w:t xml:space="preserve"> </w:t>
      </w:r>
      <w:r>
        <w:t xml:space="preserve">Ces instructions concernent les modèles de déclaration du calcul selon l'approche standard des exigences de fonds propres pour risque de change (MKR SSA FX), risque sur matières premières (MKR SSA COM), risque de taux d'intérêt (MKR SSA TDI, MKR SSA SEC, MKR SSA CTP) et risque lié aux actions (MKR SSA EQU).</w:t>
      </w:r>
      <w:r>
        <w:t xml:space="preserve"> </w:t>
      </w:r>
      <w:r>
        <w:t xml:space="preserve">Cette partie reprend également les instructions pour le modèle de déclaration du calcul des exigences de fonds propres selon l'approche fondée sur les modèles internes (MKR IM).</w:t>
      </w:r>
      <w:r>
        <w:t xml:space="preserve"> </w:t>
      </w:r>
    </w:p>
    <w:p w14:paraId="43A205D1" w14:textId="37E67CF7" w:rsidR="000B0B09"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159</w:t>
      </w:r>
      <w:r w:rsidRPr="004B0EC7">
        <w:fldChar w:fldCharType="end"/>
      </w:r>
      <w:r>
        <w:t xml:space="preserve">.</w:t>
      </w:r>
      <w:r>
        <w:tab/>
      </w:r>
      <w:r>
        <w:t xml:space="preserve"> </w:t>
      </w:r>
      <w:r>
        <w:t xml:space="preserve">Le risque de position sur un titre de créance négocié ou une action négociée (ou un instrument dérivé sur titre de créance négocié ou sur action) sera divisé en deux composantes pour le calcul des fonds propres requis pour y faire face.</w:t>
      </w:r>
      <w:r>
        <w:t xml:space="preserve"> </w:t>
      </w:r>
      <w:r>
        <w:t xml:space="preserve">La première composante est la composante «risque spécifique», c'est-à-dire le risque d'une variation du prix de l'instrument concerné sous l'influence de facteurs liés à son émetteur ou, dans le cas d'un instrument dérivé, à l'émetteur de l'instrument sous-jacent.</w:t>
      </w:r>
      <w:r>
        <w:t xml:space="preserve"> </w:t>
      </w:r>
      <w:r>
        <w:t xml:space="preserve">La seconde composante couvre le «risque général», c'est-à-dire le risque d'une variation du prix de l'instrument provoquée (dans le cas d'un titre de créance négocié ou d'un instrument dérivé sur un titre de créance négocié) par une fluctuation du niveau des taux d'intérêt ou (dans le cas d'une action ou d'un instrument dérivé sur action) par un mouvement général du marché des actions non imputable à certaines caractéristiques spécifiques des titres concernés.</w:t>
      </w:r>
      <w:r>
        <w:t xml:space="preserve"> </w:t>
      </w:r>
      <w:bookmarkEnd w:id="16"/>
      <w:r>
        <w:t xml:space="preserve">Le traitement général à appliquer selon les instruments, ainsi que les procédures de compensation, sont décrits dans les articles 326 à 333 du règlement (UE) nº 575/2013.</w:t>
      </w:r>
      <w:r>
        <w:t xml:space="preserve"> </w:t>
      </w:r>
    </w:p>
    <w:p w14:paraId="39C5FEA4" w14:textId="0C709FA3"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Pr>
          <w:sz w:val="24"/>
          <w:u w:val="none"/>
          <w:rFonts w:ascii="Times New Roman" w:hAnsi="Times New Roman"/>
        </w:rPr>
        <w:t xml:space="preserve">5.1.</w:t>
      </w:r>
      <w:r>
        <w:rPr>
          <w:sz w:val="24"/>
          <w:u w:val="none"/>
          <w:rFonts w:ascii="Times New Roman" w:hAnsi="Times New Roman"/>
        </w:rPr>
        <w:tab/>
      </w:r>
      <w:r>
        <w:rPr>
          <w:sz w:val="24"/>
          <w:rFonts w:ascii="Times New Roman" w:hAnsi="Times New Roman"/>
        </w:rPr>
        <w:t xml:space="preserve">C 18.01 – Risque de marché:</w:t>
      </w:r>
      <w:r>
        <w:rPr>
          <w:sz w:val="24"/>
          <w:rFonts w:ascii="Times New Roman" w:hAnsi="Times New Roman"/>
        </w:rPr>
        <w:t xml:space="preserve"> </w:t>
      </w:r>
      <w:r>
        <w:rPr>
          <w:sz w:val="24"/>
          <w:rFonts w:ascii="Times New Roman" w:hAnsi="Times New Roman"/>
        </w:rPr>
        <w:t xml:space="preserve">approche standard simplifiée des risques de position relatifs aux titres de créance négociés</w:t>
      </w:r>
      <w:bookmarkEnd w:id="17"/>
      <w:bookmarkEnd w:id="18"/>
      <w:bookmarkEnd w:id="19"/>
      <w:bookmarkEnd w:id="20"/>
      <w:bookmarkEnd w:id="21"/>
      <w:bookmarkEnd w:id="22"/>
      <w:r>
        <w:rPr>
          <w:sz w:val="24"/>
          <w:rFonts w:ascii="Times New Roman" w:hAnsi="Times New Roman"/>
        </w:rPr>
        <w:t xml:space="preserve"> (MKR SSA TDI)</w:t>
      </w:r>
      <w:bookmarkEnd w:id="23"/>
      <w:bookmarkEnd w:id="24"/>
    </w:p>
    <w:p w14:paraId="7BC699A3"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Pr>
          <w:sz w:val="24"/>
          <w:u w:val="none"/>
          <w:rFonts w:ascii="Times New Roman" w:hAnsi="Times New Roman"/>
        </w:rPr>
        <w:t xml:space="preserve">5.1.1.</w:t>
      </w:r>
      <w:r>
        <w:rPr>
          <w:sz w:val="24"/>
          <w:u w:val="none"/>
          <w:rFonts w:ascii="Times New Roman" w:hAnsi="Times New Roman"/>
        </w:rPr>
        <w:tab/>
      </w:r>
      <w:r>
        <w:rPr>
          <w:sz w:val="24"/>
          <w:rFonts w:ascii="Times New Roman" w:hAnsi="Times New Roman"/>
        </w:rPr>
        <w:t xml:space="preserve">Remarques générales</w:t>
      </w:r>
      <w:bookmarkEnd w:id="25"/>
      <w:bookmarkEnd w:id="26"/>
      <w:bookmarkEnd w:id="27"/>
      <w:bookmarkEnd w:id="28"/>
      <w:bookmarkEnd w:id="29"/>
      <w:bookmarkEnd w:id="30"/>
      <w:bookmarkEnd w:id="31"/>
    </w:p>
    <w:p w14:paraId="0D010E09" w14:textId="091C822F" w:rsidR="000B0B09"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160</w:t>
      </w:r>
      <w:r w:rsidRPr="004B0EC7">
        <w:fldChar w:fldCharType="end"/>
      </w:r>
      <w:r>
        <w:t xml:space="preserve">.</w:t>
      </w:r>
      <w:r>
        <w:tab/>
      </w:r>
      <w:r>
        <w:t xml:space="preserve"> </w:t>
      </w:r>
      <w:r>
        <w:t xml:space="preserve">Ce modèle traite des positions et des exigences de fonds propres correspondantes pour risque de position sur des titres de créance négociés selon l’approche standard [article 325, paragraphe 2, point a), du règlement (UE) nº 575/2013].</w:t>
      </w:r>
      <w:r>
        <w:t xml:space="preserve"> </w:t>
      </w:r>
      <w:r>
        <w:t xml:space="preserve">Les différents risques et les différentes méthodes applicables en vertu du règlement (UE) nº 575/2013 sont considérés par ligne.</w:t>
      </w:r>
      <w:r>
        <w:t xml:space="preserve"> </w:t>
      </w:r>
      <w:r>
        <w:t xml:space="preserve">Le risque spécifique associé aux expositions figurant dans les modèles MKR SSA SEC et MKR SSA CTP ne doit être déclaré que dans le modèle MKR SSA TDI Total.</w:t>
      </w:r>
      <w:r>
        <w:t xml:space="preserve"> </w:t>
      </w:r>
      <w:r>
        <w:t xml:space="preserve">Les exigences de fonds propres déclarées dans ces modèles seront respectivement transférées vers la cellule {0325;0060} (titrisations) et la cellule {0330;0060} (portefeuille de négociation en corrélation).</w:t>
      </w:r>
    </w:p>
    <w:p w14:paraId="7C8420A5" w14:textId="7A817DE2" w:rsidR="000B0B09" w:rsidRPr="004B0EC7" w:rsidRDefault="008F3052" w:rsidP="00660845">
      <w:pPr>
        <w:pStyle w:val="InstructionsText2"/>
        <w:numPr>
          <w:ilvl w:val="0"/>
          <w:numId w:val="0"/>
        </w:numPr>
        <w:ind w:left="993"/>
      </w:pPr>
      <w:r w:rsidRPr="004B0EC7">
        <w:lastRenderedPageBreak/>
        <w:fldChar w:fldCharType="begin" w:dirty="true"/>
      </w:r>
      <w:r w:rsidRPr="004B0EC7">
        <w:instrText>seq paragraphs</w:instrText>
      </w:r>
      <w:r w:rsidRPr="004B0EC7">
        <w:fldChar w:fldCharType="separate"/>
      </w:r>
      <w:r w:rsidR="00771068" w:rsidRPr="004B0EC7">
        <w:t>161</w:t>
      </w:r>
      <w:r w:rsidRPr="004B0EC7">
        <w:fldChar w:fldCharType="end"/>
      </w:r>
      <w:r>
        <w:t xml:space="preserve">.</w:t>
      </w:r>
      <w:r>
        <w:tab/>
      </w:r>
      <w:r>
        <w:t xml:space="preserve"> </w:t>
      </w:r>
      <w:r>
        <w:t xml:space="preserve">Le modèle doit être rempli séparément pour le «Total» et pour une liste prédéfinie des devises suivantes:</w:t>
      </w:r>
      <w:r>
        <w:t xml:space="preserve"> </w:t>
      </w:r>
      <w:bookmarkStart w:id="32" w:name="OLE_LINK1"/>
      <w:r>
        <w:t xml:space="preserve">EUR, ALL, BGN, CZK, DKK, EGP, GBP, HUF, ISK, JPY, MKD, NOK, PLN, RON, RUB, RSD, SEK, CHF, TRY, UAH, USD</w:t>
      </w:r>
      <w:bookmarkEnd w:id="32"/>
      <w:r>
        <w:t xml:space="preserve"> et un modèle supplémentaire pour toutes les autres devises.</w:t>
      </w:r>
      <w:r>
        <w:t xml:space="preserve"> </w:t>
      </w:r>
    </w:p>
    <w:p w14:paraId="73E54EAD" w14:textId="76F64ACC"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Pr>
          <w:sz w:val="24"/>
          <w:u w:val="none"/>
          <w:rFonts w:ascii="Times New Roman" w:hAnsi="Times New Roman"/>
        </w:rPr>
        <w:t xml:space="preserve">5.1.2.</w:t>
      </w:r>
      <w:r>
        <w:rPr>
          <w:sz w:val="24"/>
          <w:u w:val="none"/>
          <w:rFonts w:ascii="Times New Roman" w:hAnsi="Times New Roman"/>
        </w:rPr>
        <w:tab/>
      </w:r>
      <w:r>
        <w:rPr>
          <w:sz w:val="24"/>
          <w:rFonts w:ascii="Times New Roman" w:hAnsi="Times New Roman"/>
        </w:rPr>
        <w:t xml:space="preserve">Instructions concernant certaines positions</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Colonnes</w:t>
            </w:r>
          </w:p>
        </w:tc>
      </w:tr>
      <w:tr w:rsidR="000B0B09" w:rsidRPr="004B0EC7" w14:paraId="2FB66B69" w14:textId="77777777" w:rsidTr="00672D2A">
        <w:tc>
          <w:tcPr>
            <w:tcW w:w="988" w:type="dxa"/>
          </w:tcPr>
          <w:p w14:paraId="3487AAF4"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0010 – 0020</w:t>
            </w:r>
          </w:p>
        </w:tc>
        <w:tc>
          <w:tcPr>
            <w:tcW w:w="7874" w:type="dxa"/>
          </w:tcPr>
          <w:p w14:paraId="53B61CB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TOUTES LES POSITIONS (LONGUES ET COURTES)</w:t>
            </w:r>
          </w:p>
          <w:p w14:paraId="0C799784" w14:textId="63DC6E88" w:rsidR="000B0B09" w:rsidRPr="004B0EC7" w:rsidRDefault="000B0B09" w:rsidP="00D24331">
            <w:pPr>
              <w:rPr>
                <w:sz w:val="24"/>
                <w:rFonts w:ascii="Times New Roman" w:hAnsi="Times New Roman"/>
              </w:rPr>
            </w:pPr>
            <w:r>
              <w:rPr>
                <w:sz w:val="24"/>
                <w:rFonts w:ascii="Times New Roman" w:hAnsi="Times New Roman"/>
              </w:rPr>
              <w:t xml:space="preserve">Article 102 et article 105, paragraphe 1, du règlement (UE) nº 575/2013.</w:t>
            </w:r>
            <w:r>
              <w:rPr>
                <w:sz w:val="24"/>
                <w:rFonts w:ascii="Times New Roman" w:hAnsi="Times New Roman"/>
              </w:rPr>
              <w:t xml:space="preserve"> </w:t>
            </w:r>
            <w:r>
              <w:rPr>
                <w:sz w:val="24"/>
                <w:rFonts w:ascii="Times New Roman" w:hAnsi="Times New Roman"/>
              </w:rPr>
              <w:t xml:space="preserve">Il s'agit de positions brutes qui ne sont pas compensées par des instruments, à l'exclusion des positions de prise ferme souscrites ou reprises par des tiers conformément à l’article 345, paragraphe 1, premier alinéa, deuxième phrase, du règlement (UE) nº 575/2013.</w:t>
            </w:r>
            <w:r>
              <w:rPr>
                <w:sz w:val="24"/>
                <w:rFonts w:ascii="Times New Roman" w:hAnsi="Times New Roman"/>
              </w:rPr>
              <w:t xml:space="preserve"> </w:t>
            </w:r>
            <w:r>
              <w:rPr>
                <w:sz w:val="24"/>
                <w:rFonts w:ascii="Times New Roman" w:hAnsi="Times New Roman"/>
              </w:rPr>
              <w:t xml:space="preserve">En ce qui concerne la distinction entre les positions longues et courtes, également applicable à ces positions brutes, voir l'article 328, paragraphe 2, du règlement (UE) nº 575/2013.</w:t>
            </w:r>
          </w:p>
        </w:tc>
      </w:tr>
      <w:tr w:rsidR="000B0B09" w:rsidRPr="004B0EC7" w14:paraId="05A2AFD3" w14:textId="77777777" w:rsidTr="00672D2A">
        <w:tc>
          <w:tcPr>
            <w:tcW w:w="988" w:type="dxa"/>
          </w:tcPr>
          <w:p w14:paraId="0443676D"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0030 – 0040</w:t>
            </w:r>
          </w:p>
        </w:tc>
        <w:tc>
          <w:tcPr>
            <w:tcW w:w="7874" w:type="dxa"/>
          </w:tcPr>
          <w:p w14:paraId="28E370A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NETTES (LONGUES ET COURTES)</w:t>
            </w:r>
          </w:p>
          <w:p w14:paraId="38649486" w14:textId="21B59DB4" w:rsidR="000B0B09" w:rsidRPr="004B0EC7" w:rsidRDefault="000B0B09" w:rsidP="005B04C9">
            <w:pPr>
              <w:rPr>
                <w:sz w:val="24"/>
                <w:rFonts w:ascii="Times New Roman" w:hAnsi="Times New Roman"/>
              </w:rPr>
            </w:pPr>
            <w:r>
              <w:rPr>
                <w:sz w:val="24"/>
                <w:rFonts w:ascii="Times New Roman" w:hAnsi="Times New Roman"/>
              </w:rPr>
              <w:t xml:space="preserve">Articles 327 à 329 et article 334 du règlement (UE) nº 575/2013.</w:t>
            </w:r>
            <w:r>
              <w:rPr>
                <w:sz w:val="24"/>
                <w:rFonts w:ascii="Times New Roman" w:hAnsi="Times New Roman"/>
              </w:rPr>
              <w:t xml:space="preserve"> </w:t>
            </w:r>
            <w:r>
              <w:rPr>
                <w:sz w:val="24"/>
                <w:rFonts w:ascii="Times New Roman" w:hAnsi="Times New Roman"/>
              </w:rPr>
              <w:t xml:space="preserve">En ce qui concerne la distinction entre les positions longues et courtes, voir l'article 328, paragraphe 2, du règlement (UE) nº 575/2013.</w:t>
            </w:r>
          </w:p>
        </w:tc>
      </w:tr>
      <w:tr w:rsidR="000B0B09" w:rsidRPr="004B0EC7" w14:paraId="4C7D46FF" w14:textId="77777777" w:rsidTr="00672D2A">
        <w:tc>
          <w:tcPr>
            <w:tcW w:w="988" w:type="dxa"/>
          </w:tcPr>
          <w:p w14:paraId="4D3FEEA5"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74" w:type="dxa"/>
          </w:tcPr>
          <w:p w14:paraId="28B3043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SOUMISES AUX EXIGENCES DE FONDS PROPRES</w:t>
            </w:r>
          </w:p>
          <w:p w14:paraId="76B658E5" w14:textId="104F8165" w:rsidR="000B0B09" w:rsidRPr="004B0EC7" w:rsidRDefault="000B0B09" w:rsidP="007079CE">
            <w:pPr>
              <w:rPr>
                <w:b/>
                <w:bCs/>
                <w:sz w:val="24"/>
                <w:u w:val="single"/>
                <w:rFonts w:ascii="Times New Roman" w:hAnsi="Times New Roman"/>
              </w:rPr>
            </w:pPr>
            <w:r>
              <w:rPr>
                <w:sz w:val="24"/>
                <w:rFonts w:ascii="Times New Roman" w:hAnsi="Times New Roman"/>
              </w:rPr>
              <w:t xml:space="preserve">Positions nettes qui, conformément aux différentes approches envisagées dans la troisième partie, titre IV, chapitre 2 du règlement (UE) nº 575/2013, sont soumises à une exigence de fonds propres.</w:t>
            </w:r>
          </w:p>
        </w:tc>
      </w:tr>
      <w:tr w:rsidR="000B0B09" w:rsidRPr="004B0EC7" w14:paraId="017C014C" w14:textId="77777777" w:rsidTr="00672D2A">
        <w:tc>
          <w:tcPr>
            <w:tcW w:w="988" w:type="dxa"/>
          </w:tcPr>
          <w:p w14:paraId="7D197D93"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74" w:type="dxa"/>
          </w:tcPr>
          <w:p w14:paraId="55F3618B" w14:textId="3706C532"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 AVANT APPLICATION DU FACTEUR DE MAJORATION</w:t>
            </w:r>
          </w:p>
          <w:p w14:paraId="74F1F61F" w14:textId="1A8933CC" w:rsidR="000B0B09" w:rsidRPr="004B0EC7" w:rsidRDefault="000B0B09" w:rsidP="005B04C9">
            <w:pPr>
              <w:rPr>
                <w:b/>
                <w:bCs/>
                <w:sz w:val="24"/>
                <w:u w:val="single"/>
                <w:rFonts w:ascii="Times New Roman" w:hAnsi="Times New Roman"/>
              </w:rPr>
            </w:pPr>
            <w:r>
              <w:rPr>
                <w:sz w:val="24"/>
                <w:rFonts w:ascii="Times New Roman" w:hAnsi="Times New Roman"/>
              </w:rPr>
              <w:t xml:space="preserve">L’exigence de fonds propres pour toute position pertinente conformément à la troisième partie, titre IV, chapitre 2, du règlement (UE) nº 575/2013, avant application des facteurs de majoration visés à l’article 325, paragraphe 2, point a), i), et point d), dudit règlement.</w:t>
            </w:r>
          </w:p>
        </w:tc>
      </w:tr>
      <w:tr w:rsidR="000B0B09" w:rsidRPr="004B0EC7" w14:paraId="56717AD1" w14:textId="77777777" w:rsidTr="00672D2A">
        <w:tc>
          <w:tcPr>
            <w:tcW w:w="988" w:type="dxa"/>
          </w:tcPr>
          <w:p w14:paraId="0D4A61CE" w14:textId="760D6E46"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4" w:type="dxa"/>
          </w:tcPr>
          <w:p w14:paraId="7996E138" w14:textId="77777777"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MONTANT TOTAL D'EXPOSITION AU RISQUE</w:t>
            </w:r>
          </w:p>
          <w:p w14:paraId="2B71E9D1" w14:textId="77777777" w:rsidR="000C566F" w:rsidRPr="004B0EC7" w:rsidRDefault="000B0B09" w:rsidP="00D24331">
            <w:pPr>
              <w:rPr>
                <w:sz w:val="24"/>
                <w:rFonts w:ascii="Times New Roman" w:hAnsi="Times New Roman"/>
              </w:rPr>
            </w:pPr>
            <w:r>
              <w:rPr>
                <w:sz w:val="24"/>
                <w:rFonts w:ascii="Times New Roman" w:hAnsi="Times New Roman"/>
              </w:rPr>
              <w:t xml:space="preserve">Article 92, paragraphe 4, point b), i), du règlement (UE) nº 575/2013.</w:t>
            </w:r>
          </w:p>
          <w:p w14:paraId="2C4B0E54" w14:textId="046410BB" w:rsidR="000B0B09" w:rsidRPr="004B0EC7" w:rsidRDefault="000B0B09" w:rsidP="00D24331">
            <w:pPr>
              <w:rPr>
                <w:b/>
                <w:bCs/>
                <w:sz w:val="24"/>
                <w:u w:val="single"/>
                <w:rFonts w:ascii="Times New Roman" w:hAnsi="Times New Roman"/>
              </w:rPr>
            </w:pPr>
            <w:r>
              <w:rPr>
                <w:sz w:val="24"/>
                <w:rFonts w:ascii="Times New Roman" w:hAnsi="Times New Roman"/>
              </w:rPr>
              <w:t xml:space="preserve">Résultat de la multiplication de l’exigence de fonds propres par 12,5 conformément à l’article 92, paragraphe 6, point b), du règlement (UE) nº 575/2013, et par le facteur de majoration applicable conformément à l’article 325, paragraphe 2, point a), i), et point d), dudit règlement.</w:t>
            </w:r>
            <w:r>
              <w:rPr>
                <w:sz w:val="24"/>
                <w:rFonts w:ascii="Times New Roman" w:hAnsi="Times New Roman"/>
              </w:rPr>
              <w:t xml:space="preserve"> </w:t>
            </w:r>
          </w:p>
        </w:tc>
      </w:tr>
    </w:tbl>
    <w:p w14:paraId="5A8176A5"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Lignes</w:t>
            </w:r>
          </w:p>
        </w:tc>
      </w:tr>
      <w:tr w:rsidR="000B0B09" w:rsidRPr="004B0EC7" w14:paraId="278DCECA" w14:textId="77777777" w:rsidTr="00672D2A">
        <w:trPr>
          <w:trHeight w:val="1168"/>
        </w:trPr>
        <w:tc>
          <w:tcPr>
            <w:tcW w:w="987" w:type="dxa"/>
          </w:tcPr>
          <w:p w14:paraId="2275EBA9" w14:textId="77777777" w:rsidR="000B0B09" w:rsidRPr="004B0EC7" w:rsidRDefault="00EE2CD5" w:rsidP="00EE2CD5">
            <w:pPr>
              <w:autoSpaceDE w:val="0"/>
              <w:autoSpaceDN w:val="0"/>
              <w:adjustRightInd w:val="0"/>
              <w:spacing w:before="0" w:after="0"/>
              <w:rPr>
                <w:sz w:val="24"/>
                <w:rFonts w:ascii="Times New Roman" w:hAnsi="Times New Roman"/>
              </w:rPr>
            </w:pPr>
            <w:r>
              <w:rPr>
                <w:sz w:val="24"/>
                <w:rFonts w:ascii="Times New Roman" w:hAnsi="Times New Roman"/>
              </w:rPr>
              <w:t xml:space="preserve">0010 – 0350</w:t>
            </w:r>
          </w:p>
        </w:tc>
        <w:tc>
          <w:tcPr>
            <w:tcW w:w="7875" w:type="dxa"/>
          </w:tcPr>
          <w:p w14:paraId="20DE7F5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TITRES DE CRÉANCE NÉGOCIÉS DANS LE PORTEFEUILLE DE NÉGOCIATION</w:t>
            </w:r>
          </w:p>
          <w:p w14:paraId="12C841B7" w14:textId="0DE276AE" w:rsidR="000B0B09" w:rsidRPr="004B0EC7" w:rsidRDefault="000B0B09" w:rsidP="00D24331">
            <w:pPr>
              <w:rPr>
                <w:sz w:val="24"/>
                <w:rFonts w:ascii="Times New Roman" w:hAnsi="Times New Roman"/>
              </w:rPr>
            </w:pPr>
            <w:r>
              <w:rPr>
                <w:sz w:val="24"/>
                <w:rFonts w:ascii="Times New Roman" w:hAnsi="Times New Roman"/>
              </w:rPr>
              <w:t xml:space="preserve">Les positions sur titres de créance négociés, dans le portefeuille de négociation, et les exigences de fonds propres correspondantes pour risque de position, conformément à l'article 92, paragraphe 4, point b), i) du règlement (UE) nº 575/2013 et à la troisième partie, titre IV, chapitre 2 du règlement (UE) nº 575/2013, sont déclarées en fonction de leur catégorie de risque, de leur échéance et de l'approche utilisée.</w:t>
            </w:r>
          </w:p>
        </w:tc>
      </w:tr>
      <w:tr w:rsidR="000B0B09" w:rsidRPr="004B0EC7" w14:paraId="2272E4A5" w14:textId="77777777" w:rsidTr="00672D2A">
        <w:tc>
          <w:tcPr>
            <w:tcW w:w="987" w:type="dxa"/>
          </w:tcPr>
          <w:p w14:paraId="0642F5E6"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0011</w:t>
            </w:r>
          </w:p>
        </w:tc>
        <w:tc>
          <w:tcPr>
            <w:tcW w:w="7875" w:type="dxa"/>
          </w:tcPr>
          <w:p w14:paraId="51E03C37" w14:textId="77777777"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RISQUE GÉNÉRAL.</w:t>
            </w:r>
            <w:r>
              <w:rPr>
                <w:b/>
                <w:sz w:val="24"/>
                <w:u w:val="single"/>
                <w:rFonts w:ascii="Times New Roman" w:hAnsi="Times New Roman"/>
              </w:rPr>
              <w:t xml:space="preserve"> </w:t>
            </w:r>
          </w:p>
        </w:tc>
      </w:tr>
      <w:tr w:rsidR="000B0B09" w:rsidRPr="004B0EC7" w14:paraId="55F30C33" w14:textId="77777777" w:rsidTr="00672D2A">
        <w:tc>
          <w:tcPr>
            <w:tcW w:w="987" w:type="dxa"/>
          </w:tcPr>
          <w:p w14:paraId="2CBA5F8A"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0012</w:t>
            </w:r>
          </w:p>
        </w:tc>
        <w:tc>
          <w:tcPr>
            <w:tcW w:w="7875" w:type="dxa"/>
          </w:tcPr>
          <w:p w14:paraId="04F0038F" w14:textId="77777777"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Dérivés</w:t>
            </w:r>
          </w:p>
          <w:p w14:paraId="06C530F0" w14:textId="7A78F919" w:rsidR="000B0B09" w:rsidRPr="004B0EC7" w:rsidRDefault="000B0B09" w:rsidP="00BD2FE7">
            <w:pPr>
              <w:rPr>
                <w:b/>
                <w:bCs/>
                <w:sz w:val="24"/>
                <w:u w:val="single"/>
                <w:rFonts w:ascii="Times New Roman" w:hAnsi="Times New Roman"/>
              </w:rPr>
            </w:pPr>
            <w:r>
              <w:rPr>
                <w:sz w:val="24"/>
                <w:rFonts w:ascii="Times New Roman" w:hAnsi="Times New Roman"/>
              </w:rPr>
              <w:t xml:space="preserve">Dérivés inclus dans le calcul du risque de taux d'intérêt des positions du portefeuille de négociation, compte tenu des articles 328 à 331 du règlement (UE) nº 575/2013, le cas échéant.</w:t>
            </w:r>
          </w:p>
        </w:tc>
      </w:tr>
      <w:tr w:rsidR="000B0B09" w:rsidRPr="004B0EC7" w14:paraId="36851B46" w14:textId="77777777" w:rsidTr="00672D2A">
        <w:tc>
          <w:tcPr>
            <w:tcW w:w="987" w:type="dxa"/>
          </w:tcPr>
          <w:p w14:paraId="6827F663"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0013</w:t>
            </w:r>
          </w:p>
        </w:tc>
        <w:tc>
          <w:tcPr>
            <w:tcW w:w="7875" w:type="dxa"/>
          </w:tcPr>
          <w:p w14:paraId="6024297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Autres éléments d'actif et de passif</w:t>
            </w:r>
          </w:p>
          <w:p w14:paraId="665719C9" w14:textId="77777777" w:rsidR="000B0B09" w:rsidRPr="004B0EC7" w:rsidRDefault="000B0B09" w:rsidP="00BD2FE7">
            <w:pPr>
              <w:rPr>
                <w:b/>
                <w:bCs/>
                <w:sz w:val="24"/>
                <w:u w:val="single"/>
                <w:rFonts w:ascii="Times New Roman" w:hAnsi="Times New Roman"/>
              </w:rPr>
            </w:pPr>
            <w:r>
              <w:rPr>
                <w:sz w:val="24"/>
                <w:rFonts w:ascii="Times New Roman" w:hAnsi="Times New Roman"/>
              </w:rPr>
              <w:t xml:space="preserve">Instruments autres que les dérivés inclus dans le calcul du risque de taux d'intérêt des positions du portefeuille de négociation.</w:t>
            </w:r>
            <w:r>
              <w:rPr>
                <w:sz w:val="24"/>
                <w:rFonts w:ascii="Times New Roman" w:hAnsi="Times New Roman"/>
              </w:rPr>
              <w:t xml:space="preserve"> </w:t>
            </w:r>
          </w:p>
        </w:tc>
      </w:tr>
      <w:tr w:rsidR="000B0B09" w:rsidRPr="004B0EC7" w14:paraId="177EBA5C" w14:textId="77777777" w:rsidTr="00672D2A">
        <w:tc>
          <w:tcPr>
            <w:tcW w:w="987" w:type="dxa"/>
          </w:tcPr>
          <w:p w14:paraId="2B740B72"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0020 – 0200</w:t>
            </w:r>
          </w:p>
        </w:tc>
        <w:tc>
          <w:tcPr>
            <w:tcW w:w="7875" w:type="dxa"/>
          </w:tcPr>
          <w:p w14:paraId="1DE7E50A"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APPROCHE BASÉE SUR L'ÉCHÉANCE</w:t>
            </w:r>
          </w:p>
          <w:p w14:paraId="644A7531" w14:textId="609558C7" w:rsidR="000B0B09" w:rsidRPr="004B0EC7" w:rsidRDefault="000B0B09" w:rsidP="00D24331">
            <w:pPr>
              <w:rPr>
                <w:b/>
                <w:bCs/>
                <w:sz w:val="24"/>
                <w:u w:val="single"/>
                <w:rFonts w:ascii="Times New Roman" w:hAnsi="Times New Roman"/>
              </w:rPr>
            </w:pPr>
            <w:r>
              <w:rPr>
                <w:sz w:val="24"/>
                <w:rFonts w:ascii="Times New Roman" w:hAnsi="Times New Roman"/>
              </w:rPr>
              <w:t xml:space="preserve">Positions sur titres de créance négociés soumises à l'approche fondée sur l'échéance visée à l'article 339, paragraphes 1 à 8, du règlement (UE) nº 575/2013 et les exigences de fonds propres correspondantes calculées conformément à l'article 339, paragraphe 9, du règlement (UE) nº 575/2013.</w:t>
            </w:r>
            <w:r>
              <w:rPr>
                <w:sz w:val="24"/>
                <w:rFonts w:ascii="Times New Roman" w:hAnsi="Times New Roman"/>
              </w:rPr>
              <w:t xml:space="preserve"> </w:t>
            </w:r>
            <w:r>
              <w:rPr>
                <w:sz w:val="24"/>
                <w:rFonts w:ascii="Times New Roman" w:hAnsi="Times New Roman"/>
              </w:rPr>
              <w:t xml:space="preserve">La position sera divisée en zones 1, 2 et 3, et ces zones seront divisées selon l'échéance des instruments.</w:t>
            </w:r>
          </w:p>
        </w:tc>
      </w:tr>
      <w:tr w:rsidR="000B0B09" w:rsidRPr="004B0EC7" w14:paraId="79DAC997" w14:textId="77777777" w:rsidTr="00672D2A">
        <w:tc>
          <w:tcPr>
            <w:tcW w:w="987" w:type="dxa"/>
          </w:tcPr>
          <w:p w14:paraId="73C021ED"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0210 – 0240</w:t>
            </w:r>
          </w:p>
        </w:tc>
        <w:tc>
          <w:tcPr>
            <w:tcW w:w="7875" w:type="dxa"/>
          </w:tcPr>
          <w:p w14:paraId="2CE27E61" w14:textId="77777777"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RISQUE GÉNÉRAL.</w:t>
            </w:r>
            <w:r>
              <w:rPr>
                <w:b/>
                <w:sz w:val="24"/>
                <w:u w:val="single"/>
                <w:rFonts w:ascii="Times New Roman" w:hAnsi="Times New Roman"/>
              </w:rPr>
              <w:t xml:space="preserve"> </w:t>
            </w:r>
            <w:r>
              <w:rPr>
                <w:b/>
                <w:sz w:val="24"/>
                <w:u w:val="single"/>
                <w:rFonts w:ascii="Times New Roman" w:hAnsi="Times New Roman"/>
              </w:rPr>
              <w:t xml:space="preserve">APPROCHE BASÉE SUR LA DURATION</w:t>
            </w:r>
          </w:p>
          <w:p w14:paraId="08171DB1" w14:textId="1FFC6791" w:rsidR="000B0B09" w:rsidRPr="004B0EC7" w:rsidRDefault="000B0B09" w:rsidP="00D24331">
            <w:pPr>
              <w:rPr>
                <w:b/>
                <w:bCs/>
                <w:sz w:val="24"/>
                <w:u w:val="single"/>
                <w:rFonts w:ascii="Times New Roman" w:hAnsi="Times New Roman"/>
              </w:rPr>
            </w:pPr>
            <w:r>
              <w:rPr>
                <w:sz w:val="24"/>
                <w:rFonts w:ascii="Times New Roman" w:hAnsi="Times New Roman"/>
              </w:rPr>
              <w:t xml:space="preserve">Positions sur titres de créance négociés soumises à l'approche fondée sur la duration visée à l'article 340, paragraphes 1 à 6, du règlement (UE) nº 575/2013 et les exigences de fonds propres correspondantes calculées conformément à l'article 340, paragraphe 7, du règlement (UE) nº 575/2013.</w:t>
            </w:r>
            <w:r>
              <w:rPr>
                <w:sz w:val="24"/>
                <w:rFonts w:ascii="Times New Roman" w:hAnsi="Times New Roman"/>
              </w:rPr>
              <w:t xml:space="preserve"> </w:t>
            </w:r>
            <w:r>
              <w:rPr>
                <w:sz w:val="24"/>
                <w:rFonts w:ascii="Times New Roman" w:hAnsi="Times New Roman"/>
              </w:rPr>
              <w:t xml:space="preserve">La position sera divisée en zones 1, 2 et 3.</w:t>
            </w:r>
          </w:p>
        </w:tc>
      </w:tr>
      <w:tr w:rsidR="000B0B09" w:rsidRPr="004B0EC7" w14:paraId="7DD483EC" w14:textId="77777777" w:rsidTr="00672D2A">
        <w:tc>
          <w:tcPr>
            <w:tcW w:w="987" w:type="dxa"/>
          </w:tcPr>
          <w:p w14:paraId="5974B232"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0250</w:t>
            </w:r>
          </w:p>
        </w:tc>
        <w:tc>
          <w:tcPr>
            <w:tcW w:w="7875" w:type="dxa"/>
          </w:tcPr>
          <w:p w14:paraId="6CE50A3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RISQUE SPÉCIFIQUE</w:t>
            </w:r>
          </w:p>
          <w:p w14:paraId="29C6E3D0" w14:textId="77777777" w:rsidR="000B0B09" w:rsidRPr="004B0EC7" w:rsidRDefault="000B0B09" w:rsidP="00BD2FE7">
            <w:pPr>
              <w:rPr>
                <w:sz w:val="24"/>
                <w:rFonts w:ascii="Times New Roman" w:hAnsi="Times New Roman"/>
              </w:rPr>
            </w:pPr>
            <w:r>
              <w:rPr>
                <w:sz w:val="24"/>
                <w:rFonts w:ascii="Times New Roman" w:hAnsi="Times New Roman"/>
              </w:rPr>
              <w:t xml:space="preserve">Somme des montants déclarés aux lignes 0251, 0325 et 0330.</w:t>
            </w:r>
            <w:r>
              <w:rPr>
                <w:sz w:val="24"/>
                <w:rFonts w:ascii="Times New Roman" w:hAnsi="Times New Roman"/>
              </w:rPr>
              <w:t xml:space="preserve"> </w:t>
            </w:r>
          </w:p>
          <w:p w14:paraId="4E1E5CA2" w14:textId="0BF89FF6" w:rsidR="000B0B09" w:rsidRPr="004B0EC7" w:rsidRDefault="000B0B09" w:rsidP="00D24331">
            <w:pPr>
              <w:rPr>
                <w:b/>
                <w:bCs/>
                <w:sz w:val="24"/>
                <w:u w:val="single"/>
                <w:rFonts w:ascii="Times New Roman" w:hAnsi="Times New Roman"/>
              </w:rPr>
            </w:pPr>
            <w:r>
              <w:rPr>
                <w:sz w:val="24"/>
                <w:rFonts w:ascii="Times New Roman" w:hAnsi="Times New Roman"/>
              </w:rPr>
              <w:t xml:space="preserve">Positions sur des titres de créance négociés soumis aux exigences de fonds propres pour risque spécifique, et les exigences de fonds propres correspondantes, conformément à l'article 92, paragraphe 4, point b), à l'article 335, à l'article 336, paragraphes 1, 2 et 3, et aux articles 337 et 338 du règlement (UE) nº 575/2013.</w:t>
            </w:r>
            <w:r>
              <w:rPr>
                <w:sz w:val="24"/>
                <w:rFonts w:ascii="Times New Roman" w:hAnsi="Times New Roman"/>
              </w:rPr>
              <w:t xml:space="preserve"> </w:t>
            </w:r>
            <w:r>
              <w:rPr>
                <w:sz w:val="24"/>
                <w:rFonts w:ascii="Times New Roman" w:hAnsi="Times New Roman"/>
              </w:rPr>
              <w:t xml:space="preserve">Il faut également tenir compte de la dernière phrase de l'article 327, paragraphe 1, du règlement (UE) nº 575/2013.</w:t>
            </w:r>
          </w:p>
        </w:tc>
      </w:tr>
      <w:tr w:rsidR="000B0B09" w:rsidRPr="004B0EC7" w14:paraId="6F8691E7" w14:textId="77777777" w:rsidTr="00672D2A">
        <w:tc>
          <w:tcPr>
            <w:tcW w:w="987" w:type="dxa"/>
          </w:tcPr>
          <w:p w14:paraId="5CD5E31A"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0251 – 0321</w:t>
            </w:r>
          </w:p>
        </w:tc>
        <w:tc>
          <w:tcPr>
            <w:tcW w:w="7875" w:type="dxa"/>
          </w:tcPr>
          <w:p w14:paraId="14764BB8"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 applicables aux titres de créances autres que des positions de titrisation</w:t>
            </w:r>
          </w:p>
          <w:p w14:paraId="19437B35" w14:textId="77777777" w:rsidR="000B0B09" w:rsidRPr="004B0EC7" w:rsidRDefault="000B0B09" w:rsidP="007B2F85">
            <w:pPr>
              <w:rPr>
                <w:sz w:val="24"/>
                <w:rFonts w:ascii="Times New Roman" w:hAnsi="Times New Roman"/>
              </w:rPr>
            </w:pPr>
            <w:r>
              <w:rPr>
                <w:sz w:val="24"/>
                <w:rFonts w:ascii="Times New Roman" w:hAnsi="Times New Roman"/>
              </w:rPr>
              <w:t xml:space="preserve">Somme des montants déclarés aux lignes 260 à 321.</w:t>
            </w:r>
          </w:p>
          <w:p w14:paraId="4CDA5DEB" w14:textId="3E49784D" w:rsidR="000B0B09" w:rsidRPr="004B0EC7" w:rsidRDefault="000B0B09" w:rsidP="00BD2FE7">
            <w:pPr>
              <w:rPr>
                <w:sz w:val="24"/>
                <w:rFonts w:ascii="Times New Roman" w:hAnsi="Times New Roman"/>
              </w:rPr>
            </w:pPr>
            <w:r>
              <w:rPr>
                <w:sz w:val="24"/>
                <w:rFonts w:ascii="Times New Roman" w:hAnsi="Times New Roman"/>
              </w:rPr>
              <w:t xml:space="preserve">L'exigence de fonds propres des dérivés de crédit au nième défaut qui ne bénéficient pas d'une notation externe doit être calculée en additionnant les pondérations de risque des entités de référence [article 332, paragraphe 1, point e), du règlement (UE) nº 575/2013 et article 332, paragraphe 1, deuxième alinéa, du règlement (UE) nº 575/2013 – «Transparence»].</w:t>
            </w:r>
            <w:r>
              <w:rPr>
                <w:sz w:val="24"/>
                <w:rFonts w:ascii="Times New Roman" w:hAnsi="Times New Roman"/>
              </w:rPr>
              <w:t xml:space="preserve"> </w:t>
            </w:r>
            <w:r>
              <w:rPr>
                <w:sz w:val="24"/>
                <w:rFonts w:ascii="Times New Roman" w:hAnsi="Times New Roman"/>
              </w:rPr>
              <w:t xml:space="preserve">Les dérivés de crédit au nième défaut qui bénéficient d'une notation externe [article 332, paragraphe 1, troisième alinéa, du règlement (UE) nº 575/2013] seront déclarés séparément à la ligne 321.</w:t>
            </w:r>
            <w:r>
              <w:rPr>
                <w:sz w:val="24"/>
                <w:rFonts w:ascii="Times New Roman" w:hAnsi="Times New Roman"/>
              </w:rPr>
              <w:t xml:space="preserve"> </w:t>
            </w:r>
          </w:p>
          <w:p w14:paraId="7051ED04" w14:textId="663FE04C" w:rsidR="000B0B09" w:rsidRPr="004B0EC7" w:rsidRDefault="000B0B09" w:rsidP="00BD2FE7">
            <w:pPr>
              <w:rPr>
                <w:sz w:val="24"/>
                <w:rFonts w:ascii="Times New Roman" w:hAnsi="Times New Roman"/>
              </w:rPr>
            </w:pPr>
            <w:r>
              <w:rPr>
                <w:sz w:val="24"/>
                <w:rFonts w:ascii="Times New Roman" w:hAnsi="Times New Roman"/>
              </w:rPr>
              <w:t xml:space="preserve">Déclaration de positions soumises à l'article 336, paragraphe 3, du règlement (UE) nº 575/2013:</w:t>
            </w:r>
            <w:r>
              <w:rPr>
                <w:sz w:val="24"/>
                <w:rFonts w:ascii="Times New Roman" w:hAnsi="Times New Roman"/>
              </w:rPr>
              <w:t xml:space="preserve"> </w:t>
            </w:r>
            <w:r>
              <w:rPr>
                <w:sz w:val="24"/>
                <w:rFonts w:ascii="Times New Roman" w:hAnsi="Times New Roman"/>
              </w:rPr>
              <w:t xml:space="preserve">Il existe un traitement spécial pour les obligations remplissant les conditions pour recevoir une pondération de risque de</w:t>
            </w:r>
            <w:r>
              <w:rPr>
                <w:sz w:val="24"/>
                <w:rFonts w:ascii="Times New Roman" w:hAnsi="Times New Roman"/>
              </w:rPr>
              <w:t xml:space="preserve"> 10 % dans le portefeuille d'intermédiation bancaire, conformément à l'article 129, paragraphe 3, du règlement (UE) nº 575/2013 (obligations garanties).</w:t>
            </w:r>
            <w:r>
              <w:rPr>
                <w:sz w:val="24"/>
                <w:rFonts w:ascii="Times New Roman" w:hAnsi="Times New Roman"/>
              </w:rPr>
              <w:t xml:space="preserve"> </w:t>
            </w:r>
            <w:r>
              <w:rPr>
                <w:sz w:val="24"/>
                <w:rFonts w:ascii="Times New Roman" w:hAnsi="Times New Roman"/>
              </w:rPr>
              <w:t xml:space="preserve">Les exigences de fonds propres spécifiques correspondront à la moitié du pourcentage de la deuxième catégorie du tableau 1 de l'article 336 du règlement (UE) nº 575/2013.</w:t>
            </w:r>
            <w:r>
              <w:rPr>
                <w:sz w:val="24"/>
                <w:rFonts w:ascii="Times New Roman" w:hAnsi="Times New Roman"/>
              </w:rPr>
              <w:t xml:space="preserve"> </w:t>
            </w:r>
            <w:r>
              <w:rPr>
                <w:sz w:val="24"/>
                <w:rFonts w:ascii="Times New Roman" w:hAnsi="Times New Roman"/>
              </w:rPr>
              <w:t xml:space="preserve">Ces positions doivent être affectées aux lignes 0280 à 0300 en fonction de la durée résiduelle jusqu’à l’échéance finale.</w:t>
            </w:r>
          </w:p>
          <w:p w14:paraId="11FE9AD5" w14:textId="13EA9F09" w:rsidR="000B0B09" w:rsidRPr="004B0EC7" w:rsidRDefault="00F41508" w:rsidP="0002267E">
            <w:pPr>
              <w:rPr>
                <w:b/>
                <w:bCs/>
                <w:sz w:val="24"/>
                <w:u w:val="single"/>
                <w:rFonts w:ascii="Times New Roman" w:hAnsi="Times New Roman"/>
              </w:rPr>
            </w:pPr>
            <w:r>
              <w:rPr>
                <w:sz w:val="24"/>
                <w:rFonts w:ascii="Times New Roman" w:hAnsi="Times New Roman"/>
              </w:rPr>
              <w:t xml:space="preserve">Lorsque le risque général des positions liées aux taux d'intérêt est couvert par un dérivé de crédit, les articles 346 et 347 du règlement (UE) nº 575/2013 s'appliquent.</w:t>
            </w:r>
            <w:r>
              <w:rPr>
                <w:sz w:val="24"/>
                <w:rFonts w:ascii="Times New Roman" w:hAnsi="Times New Roman"/>
              </w:rPr>
              <w:t xml:space="preserve"> </w:t>
            </w:r>
          </w:p>
        </w:tc>
      </w:tr>
      <w:tr w:rsidR="000B0B09" w:rsidRPr="004B0EC7" w14:paraId="3F2475A8" w14:textId="77777777" w:rsidTr="00672D2A">
        <w:tc>
          <w:tcPr>
            <w:tcW w:w="987" w:type="dxa"/>
          </w:tcPr>
          <w:p w14:paraId="1898316C" w14:textId="77777777" w:rsidR="000B0B09" w:rsidRPr="004B0EC7" w:rsidDel="00F27BD6"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0325</w:t>
            </w:r>
          </w:p>
        </w:tc>
        <w:tc>
          <w:tcPr>
            <w:tcW w:w="7875" w:type="dxa"/>
          </w:tcPr>
          <w:p w14:paraId="21ACC24B"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 applicables aux positions de titrisation</w:t>
            </w:r>
          </w:p>
          <w:p w14:paraId="7BA68AB7" w14:textId="7771B388" w:rsidR="00722A10" w:rsidRPr="004B0EC7" w:rsidDel="00F27BD6" w:rsidRDefault="000B0B09" w:rsidP="0002267E">
            <w:pPr>
              <w:rPr>
                <w:b/>
                <w:bCs/>
                <w:sz w:val="24"/>
                <w:u w:val="single"/>
                <w:rFonts w:ascii="Times New Roman" w:hAnsi="Times New Roman"/>
              </w:rPr>
            </w:pPr>
            <w:r>
              <w:rPr>
                <w:sz w:val="24"/>
                <w:rFonts w:ascii="Times New Roman" w:hAnsi="Times New Roman"/>
              </w:rPr>
              <w:t xml:space="preserve">Total des exigences de fonds propres déclaré dans la colonne 0601 du modèle MKR SSA SEC. Ces exigences de fonds propres totales ne figureront que dans le niveau «Total» du modèle MKR SSA TDI.</w:t>
            </w:r>
          </w:p>
        </w:tc>
      </w:tr>
      <w:tr w:rsidR="000B0B09" w:rsidRPr="004B0EC7" w14:paraId="55688787" w14:textId="77777777" w:rsidTr="00672D2A">
        <w:tc>
          <w:tcPr>
            <w:tcW w:w="987" w:type="dxa"/>
          </w:tcPr>
          <w:p w14:paraId="74C28C83" w14:textId="77777777" w:rsidR="000B0B09" w:rsidRPr="004B0EC7" w:rsidDel="00F27BD6"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0330</w:t>
            </w:r>
          </w:p>
        </w:tc>
        <w:tc>
          <w:tcPr>
            <w:tcW w:w="7875" w:type="dxa"/>
          </w:tcPr>
          <w:p w14:paraId="66957FAA"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 applicables au portefeuille de négociation en corrélation</w:t>
            </w:r>
          </w:p>
          <w:p w14:paraId="104F8330" w14:textId="55BA6B97" w:rsidR="00722A10" w:rsidRPr="004B0EC7" w:rsidDel="00F27BD6" w:rsidRDefault="000B0B09" w:rsidP="0002267E">
            <w:pPr>
              <w:rPr>
                <w:b/>
                <w:bCs/>
                <w:sz w:val="24"/>
                <w:u w:val="single"/>
                <w:rFonts w:ascii="Times New Roman" w:hAnsi="Times New Roman"/>
              </w:rPr>
            </w:pPr>
            <w:r>
              <w:rPr>
                <w:sz w:val="24"/>
                <w:rFonts w:ascii="Times New Roman" w:hAnsi="Times New Roman"/>
              </w:rPr>
              <w:t xml:space="preserve">Total des exigences de fonds propres déclaré dans la colonne 0450 du modèle MKR SSA CTP.</w:t>
            </w:r>
            <w:r>
              <w:rPr>
                <w:sz w:val="24"/>
                <w:rFonts w:ascii="Times New Roman" w:hAnsi="Times New Roman"/>
              </w:rPr>
              <w:t xml:space="preserve"> </w:t>
            </w:r>
            <w:r>
              <w:rPr>
                <w:sz w:val="24"/>
                <w:rFonts w:ascii="Times New Roman" w:hAnsi="Times New Roman"/>
              </w:rPr>
              <w:t xml:space="preserve">Ces exigences de fonds propres totales ne figureront que dans le niveau «Total» du modèle MKR SSA TDI.</w:t>
            </w:r>
          </w:p>
        </w:tc>
      </w:tr>
      <w:tr w:rsidR="000B0B09" w:rsidRPr="004B0EC7" w14:paraId="230D0723" w14:textId="77777777" w:rsidTr="00672D2A">
        <w:tc>
          <w:tcPr>
            <w:tcW w:w="987" w:type="dxa"/>
          </w:tcPr>
          <w:p w14:paraId="26241DA3"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0350 – 0390</w:t>
            </w:r>
          </w:p>
        </w:tc>
        <w:tc>
          <w:tcPr>
            <w:tcW w:w="7875" w:type="dxa"/>
          </w:tcPr>
          <w:p w14:paraId="5291B6A7" w14:textId="77777777" w:rsidR="000B0B09" w:rsidRPr="004B0EC7" w:rsidRDefault="000B0B09" w:rsidP="000B0B09">
            <w:pPr>
              <w:autoSpaceDE w:val="0"/>
              <w:autoSpaceDN w:val="0"/>
              <w:adjustRightInd w:val="0"/>
              <w:spacing w:before="0" w:after="0"/>
              <w:rPr>
                <w:rStyle w:val="InstructionsTabelleberschrift"/>
                <w:sz w:val="24"/>
                <w:rFonts w:ascii="Times New Roman" w:hAnsi="Times New Roman"/>
              </w:rPr>
            </w:pPr>
            <w:r>
              <w:rPr>
                <w:rStyle w:val="InstructionsTabelleberschrift"/>
                <w:sz w:val="24"/>
                <w:rFonts w:ascii="Times New Roman" w:hAnsi="Times New Roman"/>
              </w:rPr>
              <w:t xml:space="preserve">EXIGENCES SUPPLÉMENTAIRES POUR RISQUES SUR OPTIONS (RISQUES NON DELTA)</w:t>
            </w:r>
            <w:r>
              <w:rPr>
                <w:rStyle w:val="InstructionsTabelleberschrift"/>
                <w:sz w:val="24"/>
                <w:rFonts w:ascii="Times New Roman" w:hAnsi="Times New Roman"/>
              </w:rPr>
              <w:t xml:space="preserve"> </w:t>
            </w:r>
          </w:p>
          <w:p w14:paraId="3B19069A" w14:textId="2AE3D272" w:rsidR="000B0B09" w:rsidRPr="004B0EC7" w:rsidRDefault="000B0B09" w:rsidP="00BD2FE7">
            <w:pPr>
              <w:rPr>
                <w:sz w:val="24"/>
                <w:rFonts w:ascii="Times New Roman" w:hAnsi="Times New Roman"/>
              </w:rPr>
            </w:pPr>
            <w:r>
              <w:rPr>
                <w:sz w:val="24"/>
                <w:rFonts w:ascii="Times New Roman" w:hAnsi="Times New Roman"/>
              </w:rPr>
              <w:t xml:space="preserve">Article 329, paragraphe 3, du règlement (UE) nº 575/2013.</w:t>
            </w:r>
          </w:p>
          <w:p w14:paraId="4A1F04EE" w14:textId="77777777" w:rsidR="000B0B09" w:rsidRPr="004B0EC7" w:rsidRDefault="000B0B09" w:rsidP="0002267E">
            <w:pPr>
              <w:rPr>
                <w:bCs/>
                <w:sz w:val="24"/>
                <w:rFonts w:ascii="Times New Roman" w:hAnsi="Times New Roman"/>
              </w:rPr>
            </w:pPr>
            <w:r>
              <w:rPr>
                <w:sz w:val="24"/>
                <w:rFonts w:ascii="Times New Roman" w:hAnsi="Times New Roman"/>
              </w:rPr>
              <w:t xml:space="preserve">Les exigences supplémentaires pour les options liées aux risques autres que le risque delta seront déclarées en les ventilant en fonction de la méthode appliquée pour leur calcul.</w:t>
            </w:r>
          </w:p>
        </w:tc>
      </w:tr>
    </w:tbl>
    <w:p w14:paraId="45D79A0A"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Pr>
          <w:sz w:val="24"/>
          <w:u w:val="none"/>
          <w:rFonts w:ascii="Times New Roman" w:hAnsi="Times New Roman"/>
        </w:rPr>
        <w:t xml:space="preserve">5.2.</w:t>
      </w:r>
      <w:r>
        <w:rPr>
          <w:sz w:val="24"/>
          <w:u w:val="none"/>
          <w:rFonts w:ascii="Times New Roman" w:hAnsi="Times New Roman"/>
        </w:rPr>
        <w:tab/>
      </w:r>
      <w:r>
        <w:rPr>
          <w:sz w:val="24"/>
          <w:rFonts w:ascii="Times New Roman" w:hAnsi="Times New Roman"/>
        </w:rPr>
        <w:t xml:space="preserve">C 19.01 – Risque de marché:</w:t>
      </w:r>
      <w:r>
        <w:rPr>
          <w:sz w:val="24"/>
          <w:rFonts w:ascii="Times New Roman" w:hAnsi="Times New Roman"/>
        </w:rPr>
        <w:t xml:space="preserve"> </w:t>
      </w:r>
      <w:r>
        <w:rPr>
          <w:sz w:val="24"/>
          <w:rFonts w:ascii="Times New Roman" w:hAnsi="Times New Roman"/>
        </w:rPr>
        <w:t xml:space="preserve">approche standard simplifiée du risque spécifique en titrisation (MKR SSA SEC)</w:t>
      </w:r>
      <w:bookmarkEnd w:id="40"/>
      <w:bookmarkEnd w:id="41"/>
      <w:bookmarkEnd w:id="42"/>
      <w:bookmarkEnd w:id="43"/>
      <w:bookmarkEnd w:id="44"/>
      <w:bookmarkEnd w:id="45"/>
      <w:bookmarkEnd w:id="46"/>
    </w:p>
    <w:p w14:paraId="77E74540"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Pr>
          <w:sz w:val="24"/>
          <w:u w:val="none"/>
          <w:rFonts w:ascii="Times New Roman" w:hAnsi="Times New Roman"/>
        </w:rPr>
        <w:t xml:space="preserve">5.2.1.</w:t>
      </w:r>
      <w:r>
        <w:rPr>
          <w:sz w:val="24"/>
          <w:u w:val="none"/>
          <w:rFonts w:ascii="Times New Roman" w:hAnsi="Times New Roman"/>
        </w:rPr>
        <w:tab/>
      </w:r>
      <w:r>
        <w:rPr>
          <w:sz w:val="24"/>
          <w:rFonts w:ascii="Times New Roman" w:hAnsi="Times New Roman"/>
        </w:rPr>
        <w:t xml:space="preserve">Remarques générales</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660845">
      <w:pPr>
        <w:pStyle w:val="InstructionsText2"/>
        <w:numPr>
          <w:ilvl w:val="0"/>
          <w:numId w:val="0"/>
        </w:numPr>
        <w:ind w:left="993"/>
      </w:pPr>
      <w:r w:rsidRPr="004B0EC7">
        <w:fldChar w:fldCharType="begin" w:dirty="true"/>
      </w:r>
      <w:r w:rsidRPr="004B0EC7">
        <w:instrText xml:space="preserve"> seq paragraphs </w:instrText>
      </w:r>
      <w:r w:rsidRPr="004B0EC7">
        <w:fldChar w:fldCharType="separate"/>
      </w:r>
      <w:r w:rsidRPr="004B0EC7">
        <w:t>162</w:t>
      </w:r>
      <w:r w:rsidRPr="004B0EC7">
        <w:fldChar w:fldCharType="end"/>
      </w:r>
      <w:r>
        <w:t xml:space="preserve">.</w:t>
      </w:r>
      <w:r>
        <w:tab/>
      </w:r>
      <w:r>
        <w:t xml:space="preserve"> </w:t>
      </w:r>
      <w:r>
        <w:t xml:space="preserve">Ce modèle rassemble des informations sur les positions (toutes/nettes et longues/courtes) et les exigences de fonds propres associées pour la composante «risque spécifique» du risque de position dans les titrisations/retitrisations détenues dans le portefeuille de négociation (non éligibles pour le portefeuille de négociation en corrélation), selon l'approche standard.</w:t>
      </w:r>
      <w:r>
        <w:t xml:space="preserve"> </w:t>
      </w:r>
    </w:p>
    <w:p w14:paraId="2729DF95" w14:textId="73D4DCFE" w:rsidR="00FC6275"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163</w:t>
      </w:r>
      <w:r w:rsidRPr="004B0EC7">
        <w:fldChar w:fldCharType="end"/>
      </w:r>
      <w:r>
        <w:t xml:space="preserve">.</w:t>
      </w:r>
      <w:r>
        <w:tab/>
      </w:r>
      <w:r>
        <w:t xml:space="preserve"> </w:t>
      </w:r>
      <w:r>
        <w:t xml:space="preserve">Le modèle MKR SSA SEC présente l'exigence de fonds propres uniquement pour le risque spécifique des positions de titrisation conformément à l'article 335 du règlement (UE) nº 575/2013 en lien avec l'article 337 dudit règlement.</w:t>
      </w:r>
      <w:r>
        <w:t xml:space="preserve"> </w:t>
      </w:r>
      <w:r>
        <w:t xml:space="preserve">Lorsque les positions de titrisation du portefeuille de négociation sont couvertes par des dérivés de crédit, les articles 346 et 347 du règlement (UE) nº 575/2013 s'appliquent.</w:t>
      </w:r>
      <w:r>
        <w:t xml:space="preserve"> </w:t>
      </w:r>
      <w:r>
        <w:t xml:space="preserve">Il n'existe qu'un modèle pour toutes les positions du portefeuille de négociation, quelle que soit l’approche appliquée par l'établissement pour déterminer la pondération de risque de chacune des positions conformément à la troisième partie, titre II, chapitre 5, du règlement (UE) nº 575/2013.</w:t>
      </w:r>
      <w:r>
        <w:t xml:space="preserve"> </w:t>
      </w:r>
      <w:r>
        <w:t xml:space="preserve">Les exigences de fonds propres pour le risque général de ces positions seront déclarées dans les modèles MKR SSA TDI ou MKR IM.</w:t>
      </w:r>
    </w:p>
    <w:p w14:paraId="0C732A14" w14:textId="7B6E3BDD" w:rsidR="00FC6275"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164</w:t>
      </w:r>
      <w:r w:rsidRPr="004B0EC7">
        <w:fldChar w:fldCharType="end"/>
      </w:r>
      <w:r>
        <w:t xml:space="preserve">.</w:t>
      </w:r>
      <w:r>
        <w:t xml:space="preserve"> </w:t>
      </w:r>
      <w:r>
        <w:t xml:space="preserve">Les positions qui reçoivent une pondération de risque de 1 250 % peuvent, subsidiairement, être déduites des fonds propres de base de catégorie 1 (CET1) [voir l'article 244, paragraphe 1, point b), l'article 245, paragraphe 1, point b), et l'article 253 du règlement (UE) nº 575/2013].</w:t>
      </w:r>
      <w:r>
        <w:t xml:space="preserve"> </w:t>
      </w:r>
      <w:r>
        <w:t xml:space="preserve">Lorsque c’est le cas, ces positions doivent être déclarées sur la ligne 0460 du modèle CA1.</w:t>
      </w:r>
    </w:p>
    <w:p w14:paraId="3921F7AA" w14:textId="56C18CF3"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60" w:name="_Toc151714491"/>
      <w:r>
        <w:rPr>
          <w:sz w:val="24"/>
          <w:u w:val="none"/>
          <w:rFonts w:ascii="Times New Roman" w:hAnsi="Times New Roman"/>
        </w:rPr>
        <w:t xml:space="preserve">5.2.2.</w:t>
      </w:r>
      <w:r>
        <w:rPr>
          <w:sz w:val="24"/>
          <w:u w:val="none"/>
          <w:rFonts w:ascii="Times New Roman" w:hAnsi="Times New Roman"/>
        </w:rPr>
        <w:tab/>
      </w:r>
      <w:r>
        <w:rPr>
          <w:sz w:val="24"/>
          <w:rFonts w:ascii="Times New Roman" w:hAnsi="Times New Roman"/>
        </w:rPr>
        <w:t xml:space="preserve">Instructions concernant certaines positions</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E10B85">
            <w:pPr>
              <w:autoSpaceDE w:val="0"/>
              <w:autoSpaceDN w:val="0"/>
              <w:adjustRightInd w:val="0"/>
              <w:spacing w:after="0"/>
              <w:rPr>
                <w:b/>
                <w:sz w:val="24"/>
                <w:rFonts w:ascii="Times New Roman" w:hAnsi="Times New Roman"/>
              </w:rPr>
            </w:pPr>
            <w:r>
              <w:rPr>
                <w:b/>
                <w:sz w:val="24"/>
                <w:rFonts w:ascii="Times New Roman" w:hAnsi="Times New Roman"/>
              </w:rPr>
              <w:t xml:space="preserve">Colonnes</w:t>
            </w:r>
          </w:p>
        </w:tc>
      </w:tr>
      <w:tr w:rsidR="00C55547" w:rsidRPr="004B0EC7" w14:paraId="25DD94D3" w14:textId="77777777" w:rsidTr="000911FE">
        <w:tc>
          <w:tcPr>
            <w:tcW w:w="1413" w:type="dxa"/>
          </w:tcPr>
          <w:p w14:paraId="1C45AB39"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0010 – 0020</w:t>
            </w:r>
          </w:p>
        </w:tc>
        <w:tc>
          <w:tcPr>
            <w:tcW w:w="7605" w:type="dxa"/>
          </w:tcPr>
          <w:p w14:paraId="37C65F35"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TOUTES LES POSITIONS (LONGUES ET COURTES)</w:t>
            </w:r>
          </w:p>
          <w:p w14:paraId="503F4241" w14:textId="5A1E85D7" w:rsidR="00C55547" w:rsidRPr="004B0EC7" w:rsidRDefault="00C55547" w:rsidP="007062FD">
            <w:pPr>
              <w:rPr>
                <w:sz w:val="24"/>
                <w:rFonts w:ascii="Times New Roman" w:hAnsi="Times New Roman"/>
              </w:rPr>
            </w:pPr>
            <w:r>
              <w:rPr>
                <w:sz w:val="24"/>
                <w:rFonts w:ascii="Times New Roman" w:hAnsi="Times New Roman"/>
              </w:rPr>
              <w:t xml:space="preserve">Article </w:t>
            </w:r>
            <w:r>
              <w:rPr>
                <w:sz w:val="24"/>
                <w:rStyle w:val="InstructionsTabelleText"/>
                <w:rFonts w:ascii="Times New Roman" w:hAnsi="Times New Roman"/>
              </w:rPr>
              <w:t xml:space="preserve">102 et article 105, paragraphe 1</w:t>
            </w:r>
            <w:r>
              <w:rPr>
                <w:sz w:val="24"/>
                <w:rFonts w:ascii="Times New Roman" w:hAnsi="Times New Roman"/>
              </w:rPr>
              <w:t xml:space="preserve">, du règlement (UE) nº 575/2013, </w:t>
            </w:r>
            <w:r>
              <w:rPr>
                <w:sz w:val="24"/>
                <w:rStyle w:val="InstructionsTabelleText"/>
                <w:rFonts w:ascii="Times New Roman" w:hAnsi="Times New Roman"/>
              </w:rPr>
              <w:t xml:space="preserve">en lien avec l'article 337</w:t>
            </w:r>
            <w:r>
              <w:rPr>
                <w:sz w:val="24"/>
                <w:rFonts w:ascii="Times New Roman" w:hAnsi="Times New Roman"/>
              </w:rPr>
              <w:t xml:space="preserve"> dudit règlement </w:t>
            </w:r>
            <w:r>
              <w:rPr>
                <w:sz w:val="24"/>
                <w:rStyle w:val="InstructionsTabelleText"/>
                <w:rFonts w:ascii="Times New Roman" w:hAnsi="Times New Roman"/>
              </w:rPr>
              <w:t xml:space="preserve">(positions de titrisation)</w:t>
            </w:r>
            <w:r>
              <w:rPr>
                <w:sz w:val="24"/>
                <w:rFonts w:ascii="Times New Roman" w:hAnsi="Times New Roman"/>
              </w:rPr>
              <w:t xml:space="preserve">.</w:t>
            </w:r>
            <w:r>
              <w:rPr>
                <w:sz w:val="24"/>
                <w:rStyle w:val="InstructionsTabelleText"/>
                <w:rFonts w:ascii="Times New Roman" w:hAnsi="Times New Roman"/>
              </w:rPr>
              <w:t xml:space="preserve"> </w:t>
            </w:r>
            <w:r>
              <w:rPr>
                <w:sz w:val="24"/>
                <w:rStyle w:val="InstructionsTabelleText"/>
                <w:rFonts w:ascii="Times New Roman" w:hAnsi="Times New Roman"/>
              </w:rPr>
              <w:t xml:space="preserve">En ce qui concerne la distinction entre les positions longues et courtes, également applicable à ces positions brutes, voir l'article 328, paragraphe 2,</w:t>
            </w:r>
            <w:r>
              <w:rPr>
                <w:sz w:val="24"/>
                <w:rFonts w:ascii="Times New Roman" w:hAnsi="Times New Roman"/>
              </w:rPr>
              <w:t xml:space="preserve"> du règlement (UE) nº 575/2013</w:t>
            </w:r>
            <w:r>
              <w:rPr>
                <w:sz w:val="24"/>
                <w:rStyle w:val="InstructionsTabelleText"/>
                <w:rFonts w:ascii="Times New Roman" w:hAnsi="Times New Roman"/>
              </w:rPr>
              <w:t xml:space="preserve">.</w:t>
            </w:r>
            <w:r>
              <w:rPr>
                <w:sz w:val="24"/>
                <w:rStyle w:val="InstructionsTabelleText"/>
                <w:rFonts w:ascii="Times New Roman" w:hAnsi="Times New Roman"/>
              </w:rPr>
              <w:t xml:space="preserve"> </w:t>
            </w:r>
          </w:p>
        </w:tc>
      </w:tr>
      <w:tr w:rsidR="00C55547" w:rsidRPr="004B0EC7" w14:paraId="22839602" w14:textId="77777777" w:rsidTr="000911FE">
        <w:tc>
          <w:tcPr>
            <w:tcW w:w="1413" w:type="dxa"/>
          </w:tcPr>
          <w:p w14:paraId="40A33AFE"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0030 – 0040</w:t>
            </w:r>
          </w:p>
        </w:tc>
        <w:tc>
          <w:tcPr>
            <w:tcW w:w="7605" w:type="dxa"/>
          </w:tcPr>
          <w:p w14:paraId="511B0208" w14:textId="77777777" w:rsidR="00C55547" w:rsidRPr="004B0EC7" w:rsidRDefault="00C55547" w:rsidP="00E10B85">
            <w:pPr>
              <w:rPr>
                <w:rStyle w:val="InstructionsTabelleberschrift"/>
                <w:sz w:val="24"/>
                <w:rFonts w:ascii="Times New Roman" w:hAnsi="Times New Roman"/>
              </w:rPr>
            </w:pPr>
            <w:r>
              <w:rPr>
                <w:sz w:val="24"/>
                <w:rStyle w:val="InstructionsTabelleberschrift"/>
                <w:rFonts w:ascii="Times New Roman" w:hAnsi="Times New Roman"/>
              </w:rPr>
              <w:t xml:space="preserve">(-) POSITIONS DÉDUITES DES FONDS PROPRES</w:t>
            </w:r>
            <w:r>
              <w:rPr>
                <w:sz w:val="24"/>
                <w:b/>
                <w:u w:val="single"/>
                <w:rFonts w:ascii="Times New Roman" w:hAnsi="Times New Roman"/>
              </w:rPr>
              <w:t xml:space="preserve"> (POSITIONS LONGUES ET COURTES)</w:t>
            </w:r>
          </w:p>
          <w:p w14:paraId="1429CBFE" w14:textId="010B8175" w:rsidR="00C55547" w:rsidRPr="004B0EC7" w:rsidRDefault="00705025" w:rsidP="00D24331">
            <w:pPr>
              <w:rPr>
                <w:rStyle w:val="InstructionsTabelleText"/>
                <w:sz w:val="24"/>
                <w:rFonts w:ascii="Times New Roman" w:hAnsi="Times New Roman"/>
              </w:rPr>
            </w:pPr>
            <w:r>
              <w:rPr>
                <w:sz w:val="24"/>
                <w:rStyle w:val="InstructionsTabelleText"/>
                <w:rFonts w:ascii="Times New Roman" w:hAnsi="Times New Roman"/>
              </w:rPr>
              <w:t xml:space="preserve"> </w:t>
            </w:r>
            <w:r>
              <w:rPr>
                <w:sz w:val="24"/>
                <w:rStyle w:val="InstructionsTabelleText"/>
                <w:rFonts w:ascii="Times New Roman" w:hAnsi="Times New Roman"/>
              </w:rPr>
              <w:t xml:space="preserve">Article 244, paragraphe 1, point b), article 245, paragraphe 1, point b), et article 253</w:t>
            </w:r>
            <w:r>
              <w:rPr>
                <w:sz w:val="24"/>
                <w:rFonts w:ascii="Times New Roman" w:hAnsi="Times New Roman"/>
              </w:rPr>
              <w:t xml:space="preserve"> du règlement (UE) nº 575/2013.</w:t>
            </w:r>
          </w:p>
        </w:tc>
      </w:tr>
      <w:tr w:rsidR="00C55547" w:rsidRPr="004B0EC7" w14:paraId="16C58348" w14:textId="77777777" w:rsidTr="000911FE">
        <w:tc>
          <w:tcPr>
            <w:tcW w:w="1413" w:type="dxa"/>
          </w:tcPr>
          <w:p w14:paraId="2D1E9030"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0050 – 0060</w:t>
            </w:r>
          </w:p>
        </w:tc>
        <w:tc>
          <w:tcPr>
            <w:tcW w:w="7605" w:type="dxa"/>
          </w:tcPr>
          <w:p w14:paraId="088E4387" w14:textId="77777777" w:rsidR="00C55547" w:rsidRPr="004B0EC7" w:rsidRDefault="00C55547" w:rsidP="00E10B85">
            <w:pPr>
              <w:rPr>
                <w:rStyle w:val="InstructionsTabelleberschrift"/>
                <w:sz w:val="24"/>
                <w:rFonts w:ascii="Times New Roman" w:hAnsi="Times New Roman"/>
              </w:rPr>
            </w:pPr>
            <w:r>
              <w:rPr>
                <w:sz w:val="24"/>
                <w:rStyle w:val="InstructionsTabelleberschrift"/>
                <w:rFonts w:ascii="Times New Roman" w:hAnsi="Times New Roman"/>
              </w:rPr>
              <w:t xml:space="preserve">POSITIONS NETTES</w:t>
            </w:r>
            <w:r>
              <w:rPr>
                <w:sz w:val="24"/>
                <w:b/>
                <w:u w:val="single"/>
                <w:rFonts w:ascii="Times New Roman" w:hAnsi="Times New Roman"/>
              </w:rPr>
              <w:t xml:space="preserve"> (LONGUES ET COURTES)</w:t>
            </w:r>
          </w:p>
          <w:p w14:paraId="54C14D76" w14:textId="7E4CA859" w:rsidR="00C55547" w:rsidRPr="004B0EC7" w:rsidRDefault="00C55547" w:rsidP="003073B2">
            <w:pPr>
              <w:rPr>
                <w:rStyle w:val="InstructionsTabelleText"/>
                <w:sz w:val="24"/>
                <w:rFonts w:ascii="Times New Roman" w:hAnsi="Times New Roman"/>
              </w:rPr>
            </w:pPr>
            <w:r>
              <w:rPr>
                <w:sz w:val="24"/>
                <w:rFonts w:ascii="Times New Roman" w:hAnsi="Times New Roman"/>
              </w:rPr>
              <w:t xml:space="preserve">Articles </w:t>
            </w:r>
            <w:r>
              <w:rPr>
                <w:sz w:val="24"/>
                <w:rStyle w:val="InstructionsTabelleText"/>
                <w:rFonts w:ascii="Times New Roman" w:hAnsi="Times New Roman"/>
              </w:rPr>
              <w:t xml:space="preserve">327, 328, 329 et 334</w:t>
            </w:r>
            <w:r>
              <w:rPr>
                <w:sz w:val="24"/>
                <w:rFonts w:ascii="Times New Roman" w:hAnsi="Times New Roman"/>
              </w:rPr>
              <w:t xml:space="preserve"> du règlement (UE) nº 575/2013</w:t>
            </w:r>
            <w:r>
              <w:rPr>
                <w:sz w:val="24"/>
                <w:rStyle w:val="InstructionsTabelleText"/>
                <w:rFonts w:ascii="Times New Roman" w:hAnsi="Times New Roman"/>
              </w:rPr>
              <w:t xml:space="preserve">.</w:t>
            </w:r>
            <w:r>
              <w:rPr>
                <w:sz w:val="24"/>
                <w:rStyle w:val="InstructionsTabelleText"/>
                <w:rFonts w:ascii="Times New Roman" w:hAnsi="Times New Roman"/>
              </w:rPr>
              <w:t xml:space="preserve"> </w:t>
            </w:r>
            <w:r>
              <w:rPr>
                <w:sz w:val="24"/>
                <w:rStyle w:val="InstructionsTabelleText"/>
                <w:rFonts w:ascii="Times New Roman" w:hAnsi="Times New Roman"/>
              </w:rPr>
              <w:t xml:space="preserve">En ce qui concerne la distinction entre les positions longues et courtes, voir l'article 328, paragraphe 2,</w:t>
            </w:r>
            <w:r>
              <w:rPr>
                <w:sz w:val="24"/>
                <w:rFonts w:ascii="Times New Roman" w:hAnsi="Times New Roman"/>
              </w:rPr>
              <w:t xml:space="preserve"> du règlement (UE) nº 575/2013</w:t>
            </w:r>
            <w:r>
              <w:rPr>
                <w:sz w:val="24"/>
                <w:rStyle w:val="InstructionsTabelleText"/>
                <w:rFonts w:ascii="Times New Roman" w:hAnsi="Times New Roman"/>
              </w:rPr>
              <w:t xml:space="preserve">.</w:t>
            </w:r>
          </w:p>
        </w:tc>
      </w:tr>
      <w:tr w:rsidR="00C55547" w:rsidRPr="004B0EC7" w14:paraId="0BDF729C" w14:textId="77777777" w:rsidTr="000911FE">
        <w:tc>
          <w:tcPr>
            <w:tcW w:w="1413" w:type="dxa"/>
          </w:tcPr>
          <w:p w14:paraId="324A2BB6" w14:textId="77777777" w:rsidR="00C55547" w:rsidRPr="004B0EC7" w:rsidRDefault="00EE2CD5" w:rsidP="00543964">
            <w:pPr>
              <w:autoSpaceDE w:val="0"/>
              <w:autoSpaceDN w:val="0"/>
              <w:adjustRightInd w:val="0"/>
              <w:spacing w:before="0" w:after="0"/>
              <w:rPr>
                <w:sz w:val="24"/>
                <w:rFonts w:ascii="Times New Roman" w:hAnsi="Times New Roman"/>
              </w:rPr>
            </w:pPr>
            <w:r>
              <w:rPr>
                <w:sz w:val="24"/>
                <w:rFonts w:ascii="Times New Roman" w:hAnsi="Times New Roman"/>
              </w:rPr>
              <w:t xml:space="preserve">0061 – 0104</w:t>
            </w:r>
          </w:p>
        </w:tc>
        <w:tc>
          <w:tcPr>
            <w:tcW w:w="7605" w:type="dxa"/>
          </w:tcPr>
          <w:p w14:paraId="627BB4B0"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RÉPARTITION DES POSITIONS NETTES SELON LES PONDÉRATIONS DE RISQUE</w:t>
            </w:r>
          </w:p>
          <w:p w14:paraId="3ECFC065" w14:textId="41D71775" w:rsidR="00C3548F" w:rsidRPr="004B0EC7" w:rsidRDefault="00C55547" w:rsidP="003073B2">
            <w:pPr>
              <w:rPr>
                <w:rStyle w:val="InstructionsTabelleText"/>
                <w:sz w:val="24"/>
                <w:rFonts w:ascii="Times New Roman" w:hAnsi="Times New Roman"/>
              </w:rPr>
            </w:pPr>
            <w:r>
              <w:rPr>
                <w:sz w:val="24"/>
                <w:rStyle w:val="InstructionsTabelleText"/>
                <w:rFonts w:ascii="Times New Roman" w:hAnsi="Times New Roman"/>
              </w:rPr>
              <w:t xml:space="preserve">Articles 259 à 262, article 263, tableaux 1 et 2, article 264, tableaux 3 et 4 et article 266</w:t>
            </w:r>
            <w:r>
              <w:rPr>
                <w:sz w:val="24"/>
                <w:rFonts w:ascii="Times New Roman" w:hAnsi="Times New Roman"/>
              </w:rPr>
              <w:t xml:space="preserve"> du règlement (UE) nº 575/2013</w:t>
            </w:r>
            <w:r>
              <w:rPr>
                <w:sz w:val="24"/>
                <w:rStyle w:val="InstructionsTabelleText"/>
                <w:rFonts w:ascii="Times New Roman" w:hAnsi="Times New Roman"/>
              </w:rPr>
              <w:t xml:space="preserve">.</w:t>
            </w:r>
            <w:r>
              <w:rPr>
                <w:sz w:val="24"/>
                <w:rStyle w:val="InstructionsTabelleText"/>
                <w:rFonts w:ascii="Times New Roman" w:hAnsi="Times New Roman"/>
              </w:rPr>
              <w:t xml:space="preserve"> </w:t>
            </w:r>
          </w:p>
          <w:p w14:paraId="4314B137" w14:textId="77777777" w:rsidR="00C55547" w:rsidRPr="004B0EC7" w:rsidRDefault="00C55547" w:rsidP="003073B2">
            <w:pPr>
              <w:rPr>
                <w:rStyle w:val="InstructionsTabelleText"/>
                <w:sz w:val="24"/>
                <w:rFonts w:ascii="Times New Roman" w:hAnsi="Times New Roman"/>
              </w:rPr>
            </w:pPr>
            <w:r>
              <w:rPr>
                <w:rStyle w:val="InstructionsTabelleText"/>
                <w:sz w:val="24"/>
                <w:rFonts w:ascii="Times New Roman" w:hAnsi="Times New Roman"/>
              </w:rPr>
              <w:t xml:space="preserve">La répartition s'effectue séparément pour les positions longues et les positions courtes.</w:t>
            </w:r>
          </w:p>
        </w:tc>
      </w:tr>
      <w:tr w:rsidR="00C55547" w:rsidRPr="004B0EC7" w14:paraId="2A20E80A" w14:textId="77777777" w:rsidTr="000911FE">
        <w:tc>
          <w:tcPr>
            <w:tcW w:w="1413" w:type="dxa"/>
          </w:tcPr>
          <w:p w14:paraId="163C862B"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0402 – 0406</w:t>
            </w:r>
          </w:p>
        </w:tc>
        <w:tc>
          <w:tcPr>
            <w:tcW w:w="7605" w:type="dxa"/>
          </w:tcPr>
          <w:p w14:paraId="2AF3DBA4"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RÉPARTITION DES POSITIONS NETTES SELON LES APPROCHES</w:t>
            </w:r>
          </w:p>
          <w:p w14:paraId="683DE902" w14:textId="55DF04AD" w:rsidR="00C55547" w:rsidRPr="004B0EC7" w:rsidRDefault="00C55547" w:rsidP="003073B2">
            <w:pPr>
              <w:rPr>
                <w:b/>
                <w:bCs/>
                <w:sz w:val="24"/>
                <w:u w:val="single"/>
                <w:rFonts w:ascii="Times New Roman" w:hAnsi="Times New Roman"/>
              </w:rPr>
            </w:pPr>
            <w:r>
              <w:rPr>
                <w:sz w:val="24"/>
                <w:rFonts w:ascii="Times New Roman" w:hAnsi="Times New Roman"/>
              </w:rPr>
              <w:t xml:space="preserve">Article </w:t>
            </w:r>
            <w:r>
              <w:rPr>
                <w:sz w:val="24"/>
                <w:rStyle w:val="InstructionsTabelleText"/>
                <w:rFonts w:ascii="Times New Roman" w:hAnsi="Times New Roman"/>
              </w:rPr>
              <w:t xml:space="preserve">254</w:t>
            </w:r>
            <w:r>
              <w:rPr>
                <w:sz w:val="24"/>
                <w:rFonts w:ascii="Times New Roman" w:hAnsi="Times New Roman"/>
              </w:rPr>
              <w:t xml:space="preserve"> du règlement (UE) nº 575/2013</w:t>
            </w:r>
            <w:r>
              <w:rPr>
                <w:sz w:val="24"/>
                <w:rStyle w:val="InstructionsTabelleText"/>
                <w:rFonts w:ascii="Times New Roman" w:hAnsi="Times New Roman"/>
              </w:rPr>
              <w:t xml:space="preserve"> </w:t>
            </w:r>
          </w:p>
        </w:tc>
      </w:tr>
      <w:tr w:rsidR="00C55547" w:rsidRPr="004B0EC7" w14:paraId="6061874B" w14:textId="77777777" w:rsidTr="000911FE">
        <w:tc>
          <w:tcPr>
            <w:tcW w:w="1413" w:type="dxa"/>
          </w:tcPr>
          <w:p w14:paraId="4B729A34"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0402</w:t>
            </w:r>
          </w:p>
        </w:tc>
        <w:tc>
          <w:tcPr>
            <w:tcW w:w="7605" w:type="dxa"/>
          </w:tcPr>
          <w:p w14:paraId="06929D2D"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SEC-IRBA</w:t>
            </w:r>
          </w:p>
          <w:p w14:paraId="41A48A7C" w14:textId="67C34C11" w:rsidR="00C55547" w:rsidRPr="004B0EC7" w:rsidRDefault="00C55547" w:rsidP="003073B2">
            <w:pPr>
              <w:rPr>
                <w:b/>
                <w:bCs/>
                <w:sz w:val="24"/>
                <w:u w:val="single"/>
                <w:rFonts w:ascii="Times New Roman" w:hAnsi="Times New Roman"/>
              </w:rPr>
            </w:pPr>
            <w:r>
              <w:rPr>
                <w:sz w:val="24"/>
                <w:rStyle w:val="InstructionsTabelleText"/>
                <w:rFonts w:ascii="Times New Roman" w:hAnsi="Times New Roman"/>
              </w:rPr>
              <w:t xml:space="preserve">Articles 259 et 260</w:t>
            </w:r>
            <w:r>
              <w:rPr>
                <w:sz w:val="24"/>
                <w:rFonts w:ascii="Times New Roman" w:hAnsi="Times New Roman"/>
              </w:rPr>
              <w:t xml:space="preserve"> du règlement (UE) nº 575/2013</w:t>
            </w:r>
          </w:p>
        </w:tc>
      </w:tr>
      <w:tr w:rsidR="00C55547" w:rsidRPr="004B0EC7" w14:paraId="16BB3DCB" w14:textId="77777777" w:rsidTr="000911FE">
        <w:tc>
          <w:tcPr>
            <w:tcW w:w="1413" w:type="dxa"/>
          </w:tcPr>
          <w:p w14:paraId="189036B1"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0403</w:t>
            </w:r>
          </w:p>
        </w:tc>
        <w:tc>
          <w:tcPr>
            <w:tcW w:w="7605" w:type="dxa"/>
          </w:tcPr>
          <w:p w14:paraId="6F8EF419"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SEC-SA</w:t>
            </w:r>
          </w:p>
          <w:p w14:paraId="5A374E14" w14:textId="4A4A259B" w:rsidR="00C55547" w:rsidRPr="004B0EC7" w:rsidRDefault="00C55547" w:rsidP="003073B2">
            <w:pPr>
              <w:autoSpaceDE w:val="0"/>
              <w:autoSpaceDN w:val="0"/>
              <w:adjustRightInd w:val="0"/>
              <w:jc w:val="left"/>
              <w:rPr>
                <w:b/>
                <w:bCs/>
                <w:sz w:val="24"/>
                <w:u w:val="single"/>
                <w:rFonts w:ascii="Times New Roman" w:hAnsi="Times New Roman"/>
              </w:rPr>
            </w:pPr>
            <w:r>
              <w:rPr>
                <w:sz w:val="24"/>
                <w:rStyle w:val="InstructionsTabelleText"/>
                <w:rFonts w:ascii="Times New Roman" w:hAnsi="Times New Roman"/>
              </w:rPr>
              <w:t xml:space="preserve">Articles 261 et 262</w:t>
            </w:r>
            <w:r>
              <w:rPr>
                <w:sz w:val="24"/>
                <w:rFonts w:ascii="Times New Roman" w:hAnsi="Times New Roman"/>
              </w:rPr>
              <w:t xml:space="preserve"> du règlement (UE) nº 575/2013</w:t>
            </w:r>
          </w:p>
        </w:tc>
      </w:tr>
      <w:tr w:rsidR="00C55547" w:rsidRPr="004B0EC7" w14:paraId="0B1E8511" w14:textId="77777777" w:rsidTr="000911FE">
        <w:tc>
          <w:tcPr>
            <w:tcW w:w="1413" w:type="dxa"/>
          </w:tcPr>
          <w:p w14:paraId="283E5722"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0404</w:t>
            </w:r>
          </w:p>
        </w:tc>
        <w:tc>
          <w:tcPr>
            <w:tcW w:w="7605" w:type="dxa"/>
          </w:tcPr>
          <w:p w14:paraId="7AA18AA4"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SEC-ERBA</w:t>
            </w:r>
          </w:p>
          <w:p w14:paraId="2250A6DF" w14:textId="199187B3" w:rsidR="00C55547" w:rsidRPr="004B0EC7" w:rsidRDefault="00C55547" w:rsidP="003073B2">
            <w:pPr>
              <w:rPr>
                <w:b/>
                <w:bCs/>
                <w:sz w:val="24"/>
                <w:u w:val="single"/>
                <w:rFonts w:ascii="Times New Roman" w:hAnsi="Times New Roman"/>
              </w:rPr>
            </w:pPr>
            <w:r>
              <w:rPr>
                <w:sz w:val="24"/>
                <w:rStyle w:val="InstructionsTabelleText"/>
                <w:rFonts w:ascii="Times New Roman" w:hAnsi="Times New Roman"/>
              </w:rPr>
              <w:t xml:space="preserve">Articles 263 et 264</w:t>
            </w:r>
            <w:r>
              <w:rPr>
                <w:sz w:val="24"/>
                <w:rFonts w:ascii="Times New Roman" w:hAnsi="Times New Roman"/>
              </w:rPr>
              <w:t xml:space="preserve"> du règlement (UE) nº 575/2013</w:t>
            </w:r>
          </w:p>
        </w:tc>
      </w:tr>
      <w:tr w:rsidR="00C55547" w:rsidRPr="004B0EC7" w14:paraId="76051CC7" w14:textId="77777777" w:rsidTr="000911FE">
        <w:tc>
          <w:tcPr>
            <w:tcW w:w="1413" w:type="dxa"/>
          </w:tcPr>
          <w:p w14:paraId="2CE39EAA"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0405</w:t>
            </w:r>
          </w:p>
        </w:tc>
        <w:tc>
          <w:tcPr>
            <w:tcW w:w="7605" w:type="dxa"/>
          </w:tcPr>
          <w:p w14:paraId="334AB028"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APPROCHE PAR ÉVALUATION INTERNE</w:t>
            </w:r>
          </w:p>
          <w:p w14:paraId="5354C48C" w14:textId="67E47F49" w:rsidR="00C55547" w:rsidRPr="004B0EC7" w:rsidRDefault="00C55547" w:rsidP="007062FD">
            <w:pPr>
              <w:rPr>
                <w:bCs/>
                <w:sz w:val="24"/>
                <w:u w:val="single"/>
                <w:rFonts w:ascii="Times New Roman" w:hAnsi="Times New Roman"/>
              </w:rPr>
            </w:pPr>
            <w:r>
              <w:rPr>
                <w:sz w:val="24"/>
                <w:rStyle w:val="InstructionsTabelleText"/>
                <w:rFonts w:ascii="Times New Roman" w:hAnsi="Times New Roman"/>
              </w:rPr>
              <w:t xml:space="preserve">Article 254, 265 et article 266, paragraphe 5</w:t>
            </w:r>
            <w:r>
              <w:rPr>
                <w:sz w:val="24"/>
                <w:rFonts w:ascii="Times New Roman" w:hAnsi="Times New Roman"/>
              </w:rPr>
              <w:t xml:space="preserve">, du règlement (UE) nº 575/2013</w:t>
            </w:r>
            <w:r>
              <w:rPr>
                <w:sz w:val="24"/>
                <w:rStyle w:val="InstructionsTabelleText"/>
                <w:rFonts w:ascii="Times New Roman" w:hAnsi="Times New Roman"/>
              </w:rPr>
              <w:t xml:space="preserve">.</w:t>
            </w:r>
          </w:p>
        </w:tc>
      </w:tr>
      <w:tr w:rsidR="0033476C" w:rsidRPr="004B0EC7" w14:paraId="00803C23" w14:textId="77777777" w:rsidTr="000911FE">
        <w:tc>
          <w:tcPr>
            <w:tcW w:w="1413" w:type="dxa"/>
          </w:tcPr>
          <w:p w14:paraId="6969B7D6" w14:textId="7D0DF91C" w:rsidR="0033476C" w:rsidRPr="004B0EC7" w:rsidRDefault="0033476C"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0900</w:t>
            </w:r>
          </w:p>
        </w:tc>
        <w:tc>
          <w:tcPr>
            <w:tcW w:w="7605" w:type="dxa"/>
          </w:tcPr>
          <w:p w14:paraId="1E2E9907" w14:textId="3152DD84" w:rsidR="0033476C" w:rsidRPr="004B0EC7" w:rsidRDefault="0033476C" w:rsidP="0033476C">
            <w:pPr>
              <w:spacing w:before="0" w:after="0"/>
              <w:jc w:val="left"/>
              <w:rPr>
                <w:b/>
                <w:sz w:val="24"/>
                <w:u w:val="single"/>
                <w:rFonts w:ascii="Times New Roman" w:hAnsi="Times New Roman"/>
              </w:rPr>
            </w:pPr>
            <w:r>
              <w:rPr>
                <w:b/>
                <w:sz w:val="24"/>
                <w:u w:val="single"/>
                <w:rFonts w:ascii="Times New Roman" w:hAnsi="Times New Roman"/>
              </w:rPr>
              <w:t xml:space="preserve">TRAITEMENT SPÉCIFIQUE POUR LES TRANCHES DE RANG SUPÉRIEUR DES TITRISATIONS D’EXPOSITIONS NON PERFORMANTES ÉLIGIBLES</w:t>
            </w:r>
          </w:p>
          <w:p w14:paraId="17BE744C" w14:textId="0A44FB4D" w:rsidR="0033476C" w:rsidRPr="004B0EC7" w:rsidRDefault="0033476C" w:rsidP="001235ED">
            <w:pPr>
              <w:rPr>
                <w:b/>
                <w:bCs/>
                <w:sz w:val="24"/>
                <w:u w:val="single"/>
                <w:rFonts w:ascii="Times New Roman" w:hAnsi="Times New Roman"/>
              </w:rPr>
            </w:pPr>
            <w:r>
              <w:rPr>
                <w:sz w:val="24"/>
                <w:rFonts w:ascii="Times New Roman" w:hAnsi="Times New Roman"/>
              </w:rPr>
              <w:t xml:space="preserve">Article 269 </w:t>
            </w:r>
            <w:r>
              <w:rPr>
                <w:sz w:val="24"/>
                <w:i/>
                <w:iCs/>
                <w:rFonts w:ascii="Times New Roman" w:hAnsi="Times New Roman"/>
              </w:rPr>
              <w:t xml:space="preserve">bis</w:t>
            </w:r>
            <w:r>
              <w:rPr>
                <w:sz w:val="24"/>
                <w:rFonts w:ascii="Times New Roman" w:hAnsi="Times New Roman"/>
              </w:rPr>
              <w:t xml:space="preserve">, paragraphe 3, du règlement (UE) nº 575/2013.</w:t>
            </w:r>
          </w:p>
        </w:tc>
      </w:tr>
      <w:tr w:rsidR="00C55547" w:rsidRPr="004B0EC7" w14:paraId="05BEB883" w14:textId="77777777" w:rsidTr="000911FE">
        <w:tc>
          <w:tcPr>
            <w:tcW w:w="1413" w:type="dxa"/>
          </w:tcPr>
          <w:p w14:paraId="3D2DEA0A"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0406</w:t>
            </w:r>
          </w:p>
        </w:tc>
        <w:tc>
          <w:tcPr>
            <w:tcW w:w="7605" w:type="dxa"/>
          </w:tcPr>
          <w:p w14:paraId="25786344" w14:textId="4EFB7A5E"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AUTRE (RW = 1 250 </w:t>
            </w:r>
            <w:r>
              <w:rPr>
                <w:b/>
                <w:sz w:val="24"/>
                <w:u w:val="single"/>
                <w:rFonts w:ascii="Times New Roman" w:hAnsi="Times New Roman"/>
              </w:rPr>
              <w:t xml:space="preserve">%)</w:t>
            </w:r>
          </w:p>
          <w:p w14:paraId="1684F52F" w14:textId="43F3FE5E" w:rsidR="00C55547" w:rsidRPr="004B0EC7" w:rsidRDefault="00C55547" w:rsidP="003073B2">
            <w:pPr>
              <w:rPr>
                <w:b/>
                <w:bCs/>
                <w:sz w:val="24"/>
                <w:u w:val="single"/>
                <w:rFonts w:ascii="Times New Roman" w:hAnsi="Times New Roman"/>
              </w:rPr>
            </w:pPr>
            <w:r>
              <w:rPr>
                <w:sz w:val="24"/>
                <w:rStyle w:val="InstructionsTabelleText"/>
                <w:rFonts w:ascii="Times New Roman" w:hAnsi="Times New Roman"/>
              </w:rPr>
              <w:t xml:space="preserve">Article 254, paragraphe 7,</w:t>
            </w:r>
            <w:r>
              <w:rPr>
                <w:sz w:val="24"/>
                <w:rFonts w:ascii="Times New Roman" w:hAnsi="Times New Roman"/>
              </w:rPr>
              <w:t xml:space="preserve"> du règlement (UE) nº 575/2013</w:t>
            </w:r>
          </w:p>
        </w:tc>
      </w:tr>
      <w:tr w:rsidR="00C55547" w:rsidRPr="004B0EC7" w14:paraId="11316298" w14:textId="77777777" w:rsidTr="000911FE">
        <w:tc>
          <w:tcPr>
            <w:tcW w:w="1413" w:type="dxa"/>
          </w:tcPr>
          <w:p w14:paraId="00B9220E"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0530 – 0540</w:t>
            </w:r>
          </w:p>
        </w:tc>
        <w:tc>
          <w:tcPr>
            <w:tcW w:w="7605" w:type="dxa"/>
          </w:tcPr>
          <w:p w14:paraId="595C29DB"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EFFET GLOBAL (AJUSTEMENT) DÛ AU NON-RESPECT DU CHAPITRE 2 DU RÈGLEMENT (UE) 2017/2402</w:t>
            </w:r>
          </w:p>
          <w:p w14:paraId="3FBEAE4C" w14:textId="027236BE" w:rsidR="00C55547" w:rsidRPr="004B0EC7" w:rsidRDefault="00C55547" w:rsidP="003073B2">
            <w:pPr>
              <w:rPr>
                <w:b/>
                <w:bCs/>
                <w:sz w:val="24"/>
                <w:u w:val="single"/>
                <w:rFonts w:ascii="Times New Roman" w:hAnsi="Times New Roman"/>
              </w:rPr>
            </w:pPr>
            <w:r>
              <w:rPr>
                <w:sz w:val="24"/>
                <w:rStyle w:val="InstructionsTabelleText"/>
                <w:rFonts w:ascii="Times New Roman" w:hAnsi="Times New Roman"/>
              </w:rPr>
              <w:t xml:space="preserve">Article 270 </w:t>
            </w:r>
            <w:r>
              <w:rPr>
                <w:sz w:val="24"/>
                <w:rStyle w:val="InstructionsTabelleText"/>
                <w:i/>
                <w:iCs/>
                <w:rFonts w:ascii="Times New Roman" w:hAnsi="Times New Roman"/>
              </w:rPr>
              <w:t xml:space="preserve">bis</w:t>
            </w:r>
            <w:r>
              <w:rPr>
                <w:sz w:val="24"/>
                <w:rFonts w:ascii="Times New Roman" w:hAnsi="Times New Roman"/>
              </w:rPr>
              <w:t xml:space="preserve"> du règlement (UE) nº 575/2013</w:t>
            </w:r>
          </w:p>
        </w:tc>
      </w:tr>
      <w:tr w:rsidR="00C55547" w:rsidRPr="004B0EC7" w14:paraId="2BA98A90" w14:textId="77777777" w:rsidTr="000911FE">
        <w:tc>
          <w:tcPr>
            <w:tcW w:w="1413" w:type="dxa"/>
          </w:tcPr>
          <w:p w14:paraId="2EA0118D"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0570</w:t>
            </w:r>
          </w:p>
        </w:tc>
        <w:tc>
          <w:tcPr>
            <w:tcW w:w="7605" w:type="dxa"/>
          </w:tcPr>
          <w:p w14:paraId="4DCE07C4"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AVANT APPLICATION DU PLAFOND</w:t>
            </w:r>
            <w:r>
              <w:rPr>
                <w:b/>
                <w:sz w:val="24"/>
                <w:u w:val="single"/>
                <w:rFonts w:ascii="Times New Roman" w:hAnsi="Times New Roman"/>
              </w:rPr>
              <w:t xml:space="preserve"> </w:t>
            </w:r>
          </w:p>
          <w:p w14:paraId="740CD739" w14:textId="19182A93" w:rsidR="00C55547" w:rsidRPr="004B0EC7" w:rsidRDefault="00C55547" w:rsidP="007062FD">
            <w:pPr>
              <w:rPr>
                <w:bCs/>
                <w:sz w:val="24"/>
                <w:rFonts w:ascii="Times New Roman" w:hAnsi="Times New Roman"/>
              </w:rPr>
            </w:pPr>
            <w:r>
              <w:rPr>
                <w:sz w:val="24"/>
                <w:rFonts w:ascii="Times New Roman" w:hAnsi="Times New Roman"/>
              </w:rPr>
              <w:t xml:space="preserve">Article 337 du règlement (UE) nº 575/2013, sans tenir compte de la marge d’appréciation de l’article 335 dudit règlement, qui permet à un établissement de plafonner le produit de la pondération et de la position nette à la perte maximale possible liée à un défaut.</w:t>
            </w:r>
          </w:p>
        </w:tc>
      </w:tr>
      <w:tr w:rsidR="00C55547" w:rsidRPr="004B0EC7" w14:paraId="247B0FB8" w14:textId="77777777" w:rsidTr="000911FE">
        <w:tc>
          <w:tcPr>
            <w:tcW w:w="1413" w:type="dxa"/>
          </w:tcPr>
          <w:p w14:paraId="22357CAC" w14:textId="77777777" w:rsidR="00C55547" w:rsidRPr="004B0EC7" w:rsidRDefault="00EE2CD5" w:rsidP="00EE079A">
            <w:pPr>
              <w:autoSpaceDE w:val="0"/>
              <w:autoSpaceDN w:val="0"/>
              <w:adjustRightInd w:val="0"/>
              <w:spacing w:before="0" w:after="0"/>
              <w:rPr>
                <w:sz w:val="24"/>
                <w:rFonts w:ascii="Times New Roman" w:hAnsi="Times New Roman"/>
              </w:rPr>
            </w:pPr>
            <w:r>
              <w:rPr>
                <w:sz w:val="24"/>
                <w:rFonts w:ascii="Times New Roman" w:hAnsi="Times New Roman"/>
              </w:rPr>
              <w:t xml:space="preserve">0601</w:t>
            </w:r>
          </w:p>
        </w:tc>
        <w:tc>
          <w:tcPr>
            <w:tcW w:w="7605" w:type="dxa"/>
          </w:tcPr>
          <w:p w14:paraId="78FC9B76" w14:textId="4118CCB3"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APRÈS APPLICATION DU PLAFOND / EXIGENCES DE FONDS PROPRES AVANT APPLICATION DU FACTEUR DE MAJORATION</w:t>
            </w:r>
          </w:p>
          <w:p w14:paraId="0DE4FAED" w14:textId="022355BB" w:rsidR="00C55547" w:rsidRPr="004B0EC7" w:rsidRDefault="00C55547" w:rsidP="007062FD">
            <w:pPr>
              <w:rPr>
                <w:bCs/>
                <w:sz w:val="24"/>
                <w:rFonts w:ascii="Times New Roman" w:hAnsi="Times New Roman"/>
              </w:rPr>
            </w:pPr>
            <w:r>
              <w:rPr>
                <w:sz w:val="24"/>
                <w:rFonts w:ascii="Times New Roman" w:hAnsi="Times New Roman"/>
              </w:rPr>
              <w:t xml:space="preserve">Article 337 du règlement (UE) nº 575/2013, sans tenir </w:t>
            </w:r>
            <w:r>
              <w:rPr>
                <w:sz w:val="24"/>
                <w:rStyle w:val="InstructionsTabelleText"/>
                <w:rFonts w:ascii="Times New Roman" w:hAnsi="Times New Roman"/>
              </w:rPr>
              <w:t xml:space="preserve">compte</w:t>
            </w:r>
            <w:r>
              <w:rPr>
                <w:sz w:val="24"/>
                <w:rFonts w:ascii="Times New Roman" w:hAnsi="Times New Roman"/>
              </w:rPr>
              <w:t xml:space="preserve"> de la marge d’appréciation de l’article 335 dudit règlement.</w:t>
            </w:r>
          </w:p>
        </w:tc>
      </w:tr>
    </w:tbl>
    <w:p w14:paraId="2016D379"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E10B85">
            <w:pPr>
              <w:autoSpaceDE w:val="0"/>
              <w:autoSpaceDN w:val="0"/>
              <w:adjustRightInd w:val="0"/>
              <w:spacing w:after="0"/>
              <w:rPr>
                <w:b/>
                <w:sz w:val="24"/>
                <w:rFonts w:ascii="Times New Roman" w:hAnsi="Times New Roman"/>
              </w:rPr>
            </w:pPr>
            <w:r>
              <w:rPr>
                <w:b/>
                <w:sz w:val="24"/>
                <w:rFonts w:ascii="Times New Roman" w:hAnsi="Times New Roman"/>
              </w:rPr>
              <w:t xml:space="preserve">Lignes</w:t>
            </w:r>
          </w:p>
        </w:tc>
      </w:tr>
      <w:tr w:rsidR="00C55547" w:rsidRPr="004B0EC7" w14:paraId="32F42F75" w14:textId="77777777" w:rsidTr="000911FE">
        <w:tc>
          <w:tcPr>
            <w:tcW w:w="1413" w:type="dxa"/>
          </w:tcPr>
          <w:p w14:paraId="4D0640F7"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537" w:type="dxa"/>
          </w:tcPr>
          <w:p w14:paraId="03F7346E" w14:textId="77777777" w:rsidR="00C55547" w:rsidRPr="004B0EC7" w:rsidRDefault="00C55547" w:rsidP="00E10B85">
            <w:pPr>
              <w:rPr>
                <w:sz w:val="24"/>
                <w:rFonts w:ascii="Times New Roman" w:hAnsi="Times New Roman"/>
              </w:rPr>
            </w:pPr>
            <w:r>
              <w:rPr>
                <w:rStyle w:val="InstructionsTabelleberschrift"/>
                <w:sz w:val="24"/>
                <w:rFonts w:ascii="Times New Roman" w:hAnsi="Times New Roman"/>
              </w:rPr>
              <w:t xml:space="preserve">TOTAL DES EXPOSITIONS</w:t>
            </w:r>
          </w:p>
          <w:p w14:paraId="3DA30B45" w14:textId="77777777" w:rsidR="00C55547" w:rsidRPr="004B0EC7" w:rsidRDefault="00C55547" w:rsidP="00C3548F">
            <w:pPr>
              <w:autoSpaceDE w:val="0"/>
              <w:autoSpaceDN w:val="0"/>
              <w:adjustRightInd w:val="0"/>
              <w:spacing w:before="0" w:after="0"/>
              <w:rPr>
                <w:sz w:val="24"/>
                <w:rFonts w:ascii="Times New Roman" w:hAnsi="Times New Roman"/>
              </w:rPr>
            </w:pPr>
            <w:r>
              <w:rPr>
                <w:rStyle w:val="InstructionsTabelleText"/>
                <w:sz w:val="24"/>
                <w:rFonts w:ascii="Times New Roman" w:hAnsi="Times New Roman"/>
              </w:rPr>
              <w:t xml:space="preserve">Encours total des titrisations et retitrisations (détenues dans le portefeuille de négociation) déclaré par l'établissement qui joue le ou les rôles d'initiateur, d’investisseur ou de sponsor.</w:t>
            </w:r>
          </w:p>
        </w:tc>
      </w:tr>
      <w:tr w:rsidR="00C55547" w:rsidRPr="004B0EC7" w14:paraId="21E51D59" w14:textId="77777777" w:rsidTr="000911FE">
        <w:tc>
          <w:tcPr>
            <w:tcW w:w="1413" w:type="dxa"/>
          </w:tcPr>
          <w:p w14:paraId="5CCD69BA" w14:textId="77777777" w:rsidR="00C55547" w:rsidRPr="004B0EC7" w:rsidRDefault="002F79EA" w:rsidP="002F79EA">
            <w:pPr>
              <w:autoSpaceDE w:val="0"/>
              <w:autoSpaceDN w:val="0"/>
              <w:adjustRightInd w:val="0"/>
              <w:spacing w:before="0" w:after="0"/>
              <w:rPr>
                <w:sz w:val="24"/>
                <w:rFonts w:ascii="Times New Roman" w:hAnsi="Times New Roman"/>
              </w:rPr>
            </w:pPr>
            <w:r>
              <w:rPr>
                <w:sz w:val="24"/>
                <w:rFonts w:ascii="Times New Roman" w:hAnsi="Times New Roman"/>
              </w:rPr>
              <w:t xml:space="preserve">0040, 0070 et 0100</w:t>
            </w:r>
          </w:p>
        </w:tc>
        <w:tc>
          <w:tcPr>
            <w:tcW w:w="7537" w:type="dxa"/>
          </w:tcPr>
          <w:p w14:paraId="4F5DF6AF"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POSITIONS DE TITRISATION</w:t>
            </w:r>
          </w:p>
          <w:p w14:paraId="62CD89EA" w14:textId="30BF22B1" w:rsidR="00C55547" w:rsidRPr="004B0EC7" w:rsidRDefault="00532026" w:rsidP="00E10B85">
            <w:pPr>
              <w:autoSpaceDE w:val="0"/>
              <w:autoSpaceDN w:val="0"/>
              <w:adjustRightInd w:val="0"/>
              <w:spacing w:before="0" w:after="0"/>
              <w:rPr>
                <w:bCs/>
                <w:sz w:val="24"/>
                <w:rFonts w:ascii="Times New Roman" w:hAnsi="Times New Roman"/>
              </w:rPr>
            </w:pPr>
            <w:r>
              <w:rPr>
                <w:sz w:val="24"/>
                <w:rFonts w:ascii="Times New Roman" w:hAnsi="Times New Roman"/>
              </w:rPr>
              <w:t xml:space="preserve"> </w:t>
            </w:r>
            <w:r>
              <w:rPr>
                <w:sz w:val="24"/>
                <w:rFonts w:ascii="Times New Roman" w:hAnsi="Times New Roman"/>
              </w:rPr>
              <w:t xml:space="preserve">Article 4, paragraphe 1, point 62), du règlement (UE) nº 575/2013.</w:t>
            </w:r>
          </w:p>
          <w:p w14:paraId="0230B6E5"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2F79EA">
            <w:pPr>
              <w:autoSpaceDE w:val="0"/>
              <w:autoSpaceDN w:val="0"/>
              <w:adjustRightInd w:val="0"/>
              <w:spacing w:before="0" w:after="0"/>
              <w:rPr>
                <w:sz w:val="24"/>
                <w:rFonts w:ascii="Times New Roman" w:hAnsi="Times New Roman"/>
              </w:rPr>
            </w:pPr>
            <w:r>
              <w:rPr>
                <w:sz w:val="24"/>
                <w:rFonts w:ascii="Times New Roman" w:hAnsi="Times New Roman"/>
              </w:rPr>
              <w:t xml:space="preserve">0020, 0050, 0080 et 0110</w:t>
            </w:r>
          </w:p>
        </w:tc>
        <w:tc>
          <w:tcPr>
            <w:tcW w:w="7537" w:type="dxa"/>
          </w:tcPr>
          <w:p w14:paraId="3C62BCE7"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POSITIONS DE RETITRISATION</w:t>
            </w:r>
          </w:p>
          <w:p w14:paraId="32F5BAEB" w14:textId="2FA2B3C6" w:rsidR="00C55547" w:rsidRPr="004B0EC7" w:rsidRDefault="00D24331" w:rsidP="00E10B85">
            <w:pPr>
              <w:autoSpaceDE w:val="0"/>
              <w:autoSpaceDN w:val="0"/>
              <w:adjustRightInd w:val="0"/>
              <w:spacing w:before="0" w:after="0"/>
              <w:rPr>
                <w:bCs/>
                <w:sz w:val="24"/>
                <w:rFonts w:ascii="Times New Roman" w:hAnsi="Times New Roman"/>
              </w:rPr>
            </w:pPr>
            <w:r>
              <w:rPr>
                <w:sz w:val="24"/>
                <w:rFonts w:ascii="Times New Roman" w:hAnsi="Times New Roman"/>
              </w:rPr>
              <w:t xml:space="preserve">Article 4, paragraphe 1, point 64), du règlement (UE) nº 575/2013.</w:t>
            </w:r>
          </w:p>
          <w:p w14:paraId="18108A69"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0041, 0071 et 0101</w:t>
            </w:r>
          </w:p>
        </w:tc>
        <w:tc>
          <w:tcPr>
            <w:tcW w:w="7537" w:type="dxa"/>
          </w:tcPr>
          <w:p w14:paraId="17D8E88B"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ÉLIGIBLES AU TRAITEMENT DIFFÉRENCIÉ EN TERMES D’EXIGENCES DE FONDS PROPRES</w:t>
            </w:r>
          </w:p>
          <w:p w14:paraId="775DD0A5" w14:textId="73ABBACB" w:rsidR="00C55547" w:rsidRPr="004B0EC7" w:rsidRDefault="00C55547" w:rsidP="007062FD">
            <w:pPr>
              <w:rPr>
                <w:rStyle w:val="InstructionsTabelleberschrift"/>
                <w:sz w:val="24"/>
                <w:rFonts w:ascii="Times New Roman" w:hAnsi="Times New Roman"/>
              </w:rPr>
            </w:pPr>
            <w:r>
              <w:rPr>
                <w:sz w:val="24"/>
                <w:rFonts w:ascii="Times New Roman" w:hAnsi="Times New Roman"/>
              </w:rPr>
              <w:t xml:space="preserve">Montant total des positions de titrisation qui remplissent les critères de l’article 243 du règlement (UE) nº 575/2013 ou de l’article 270 dudit règlement et sont donc éligibles au traitement différencié en termes d’exigences de fonds propres.</w:t>
            </w:r>
          </w:p>
        </w:tc>
      </w:tr>
      <w:tr w:rsidR="00C55547" w:rsidRPr="004B0EC7" w14:paraId="5FAF4052" w14:textId="77777777" w:rsidTr="000911FE">
        <w:tc>
          <w:tcPr>
            <w:tcW w:w="1413" w:type="dxa"/>
          </w:tcPr>
          <w:p w14:paraId="39486578"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0030 – 0050</w:t>
            </w:r>
          </w:p>
        </w:tc>
        <w:tc>
          <w:tcPr>
            <w:tcW w:w="7537" w:type="dxa"/>
          </w:tcPr>
          <w:p w14:paraId="29698529"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INITIATEUR</w:t>
            </w:r>
          </w:p>
          <w:p w14:paraId="50264432" w14:textId="0FD773BF" w:rsidR="00C55547" w:rsidRPr="004B0EC7" w:rsidRDefault="00D24331" w:rsidP="00E10B85">
            <w:pPr>
              <w:autoSpaceDE w:val="0"/>
              <w:autoSpaceDN w:val="0"/>
              <w:adjustRightInd w:val="0"/>
              <w:spacing w:before="0" w:after="0"/>
              <w:rPr>
                <w:bCs/>
                <w:sz w:val="24"/>
                <w:rFonts w:ascii="Times New Roman" w:hAnsi="Times New Roman"/>
              </w:rPr>
            </w:pPr>
            <w:r>
              <w:rPr>
                <w:sz w:val="24"/>
                <w:rFonts w:ascii="Times New Roman" w:hAnsi="Times New Roman"/>
              </w:rPr>
              <w:t xml:space="preserve">Article 4, paragraphe 1, point 13), du règlement (UE) nº 575/2013.</w:t>
            </w:r>
          </w:p>
          <w:p w14:paraId="671304E2"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0060 – 0080</w:t>
            </w:r>
          </w:p>
        </w:tc>
        <w:tc>
          <w:tcPr>
            <w:tcW w:w="7537" w:type="dxa"/>
          </w:tcPr>
          <w:p w14:paraId="726E7C5B"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INVESTISSEUR</w:t>
            </w:r>
          </w:p>
          <w:p w14:paraId="13A59676" w14:textId="77777777" w:rsidR="00C55547" w:rsidRPr="004B0EC7" w:rsidRDefault="00C55547" w:rsidP="00E10B85">
            <w:pPr>
              <w:autoSpaceDE w:val="0"/>
              <w:autoSpaceDN w:val="0"/>
              <w:adjustRightInd w:val="0"/>
              <w:spacing w:before="0" w:after="0"/>
              <w:rPr>
                <w:bCs/>
                <w:sz w:val="24"/>
                <w:rFonts w:ascii="Times New Roman" w:hAnsi="Times New Roman"/>
              </w:rPr>
            </w:pPr>
            <w:r>
              <w:rPr>
                <w:sz w:val="24"/>
                <w:rFonts w:ascii="Times New Roman" w:hAnsi="Times New Roman"/>
              </w:rPr>
              <w:t xml:space="preserve">Établissement de crédit qui détient une position de titrisation dans le cadre d'une opération de titrisation pour laquelle il n'est ni initiateur, ni sponsor, ni prêteur initial.</w:t>
            </w:r>
          </w:p>
          <w:p w14:paraId="5289F9D1"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0090 – 0110</w:t>
            </w:r>
          </w:p>
        </w:tc>
        <w:tc>
          <w:tcPr>
            <w:tcW w:w="7537" w:type="dxa"/>
          </w:tcPr>
          <w:p w14:paraId="1405E243"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SPONSOR</w:t>
            </w:r>
          </w:p>
          <w:p w14:paraId="40C5E800" w14:textId="57801E6F" w:rsidR="000242CC" w:rsidRPr="004B0EC7" w:rsidRDefault="00D24331" w:rsidP="00E10B85">
            <w:pPr>
              <w:autoSpaceDE w:val="0"/>
              <w:autoSpaceDN w:val="0"/>
              <w:adjustRightInd w:val="0"/>
              <w:spacing w:before="0" w:after="0"/>
              <w:rPr>
                <w:rStyle w:val="InstructionsTabelleText"/>
                <w:sz w:val="24"/>
                <w:rFonts w:ascii="Times New Roman" w:hAnsi="Times New Roman"/>
              </w:rPr>
            </w:pPr>
            <w:r>
              <w:rPr>
                <w:sz w:val="24"/>
                <w:rFonts w:ascii="Times New Roman" w:hAnsi="Times New Roman"/>
              </w:rPr>
              <w:t xml:space="preserve">Article 4, paragraphe 1, point 14), du règlement (UE) nº 575/2013.</w:t>
            </w:r>
            <w:r>
              <w:rPr>
                <w:sz w:val="24"/>
                <w:rStyle w:val="InstructionsTabelleText"/>
                <w:rFonts w:ascii="Times New Roman" w:hAnsi="Times New Roman"/>
              </w:rPr>
              <w:t xml:space="preserve"> </w:t>
            </w:r>
          </w:p>
          <w:p w14:paraId="036222AB" w14:textId="77777777" w:rsidR="00C55547" w:rsidRPr="004B0EC7" w:rsidRDefault="00532026" w:rsidP="00E64BFE">
            <w:pPr>
              <w:autoSpaceDE w:val="0"/>
              <w:autoSpaceDN w:val="0"/>
              <w:adjustRightInd w:val="0"/>
              <w:spacing w:before="0" w:after="0"/>
              <w:rPr>
                <w:rStyle w:val="InstructionsTabelleText"/>
                <w:sz w:val="24"/>
                <w:rFonts w:ascii="Times New Roman" w:hAnsi="Times New Roman"/>
              </w:rPr>
            </w:pPr>
            <w:r>
              <w:rPr>
                <w:rStyle w:val="InstructionsTabelleText"/>
                <w:sz w:val="24"/>
                <w:rFonts w:ascii="Times New Roman" w:hAnsi="Times New Roman"/>
              </w:rPr>
              <w:t xml:space="preserve">Un sponsor qui titrise également ses propres actifs devra indiquer, dans les lignes sur l'initiateur, les informations relatives à ses propres actifs titrisés.</w:t>
            </w:r>
          </w:p>
        </w:tc>
      </w:tr>
    </w:tbl>
    <w:p w14:paraId="204C667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Pr>
          <w:sz w:val="24"/>
          <w:u w:val="none"/>
          <w:rFonts w:ascii="Times New Roman" w:hAnsi="Times New Roman"/>
        </w:rPr>
        <w:t xml:space="preserve">5.3.</w:t>
      </w:r>
      <w:r>
        <w:rPr>
          <w:sz w:val="24"/>
          <w:u w:val="none"/>
          <w:rFonts w:ascii="Times New Roman" w:hAnsi="Times New Roman"/>
        </w:rPr>
        <w:tab/>
      </w:r>
      <w:r>
        <w:rPr>
          <w:sz w:val="24"/>
          <w:rFonts w:ascii="Times New Roman" w:hAnsi="Times New Roman"/>
        </w:rPr>
        <w:t xml:space="preserve">C 20.01 – Risque de marché:</w:t>
      </w:r>
      <w:r>
        <w:rPr>
          <w:sz w:val="24"/>
          <w:rFonts w:ascii="Times New Roman" w:hAnsi="Times New Roman"/>
        </w:rPr>
        <w:t xml:space="preserve"> </w:t>
      </w:r>
      <w:r>
        <w:rPr>
          <w:sz w:val="24"/>
          <w:rFonts w:ascii="Times New Roman" w:hAnsi="Times New Roman"/>
        </w:rPr>
        <w:t xml:space="preserve">approche standard simplifiée du risque spécifique pour les positions du portefeuille de négociation en corrélation (MKR SSA CTP)</w:t>
      </w:r>
      <w:bookmarkEnd w:id="61"/>
      <w:bookmarkEnd w:id="62"/>
      <w:bookmarkEnd w:id="63"/>
      <w:bookmarkEnd w:id="64"/>
      <w:bookmarkEnd w:id="65"/>
      <w:bookmarkEnd w:id="66"/>
      <w:bookmarkEnd w:id="67"/>
    </w:p>
    <w:p w14:paraId="43960D05"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Pr>
          <w:sz w:val="24"/>
          <w:u w:val="none"/>
          <w:rFonts w:ascii="Times New Roman" w:hAnsi="Times New Roman"/>
        </w:rPr>
        <w:t xml:space="preserve">5.3.1.</w:t>
      </w:r>
      <w:r>
        <w:rPr>
          <w:sz w:val="24"/>
          <w:u w:val="none"/>
          <w:rFonts w:ascii="Times New Roman" w:hAnsi="Times New Roman"/>
        </w:rPr>
        <w:tab/>
      </w:r>
      <w:r>
        <w:rPr>
          <w:sz w:val="24"/>
          <w:rFonts w:ascii="Times New Roman" w:hAnsi="Times New Roman"/>
        </w:rPr>
        <w:t xml:space="preserve">Remarques générales</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4B0EC7" w:rsidRDefault="00771068" w:rsidP="00660845">
      <w:pPr>
        <w:pStyle w:val="InstructionsText2"/>
        <w:numPr>
          <w:ilvl w:val="0"/>
          <w:numId w:val="0"/>
        </w:numPr>
        <w:ind w:left="993"/>
      </w:pPr>
      <w:r w:rsidRPr="004B0EC7">
        <w:fldChar w:fldCharType="begin" w:dirty="true"/>
      </w:r>
      <w:r w:rsidRPr="004B0EC7">
        <w:instrText xml:space="preserve"> seq paragraphs </w:instrText>
      </w:r>
      <w:r w:rsidRPr="004B0EC7">
        <w:fldChar w:fldCharType="separate"/>
      </w:r>
      <w:r w:rsidRPr="004B0EC7">
        <w:t>165</w:t>
      </w:r>
      <w:r w:rsidRPr="004B0EC7">
        <w:fldChar w:fldCharType="end"/>
      </w:r>
      <w:r>
        <w:t xml:space="preserve">.</w:t>
      </w:r>
      <w:r>
        <w:t xml:space="preserve"> </w:t>
      </w:r>
      <w:r>
        <w:t xml:space="preserve">Ce modèle rassemble des informations sur les positions du portefeuille de négociation en corrélation (CTP) [comprenant les titrisations, dérivés de crédit au nième défaut et autres positions du CTP incluses conformément à l'article 338, paragraphe 3, du règlement (UE) nº 575/2013] et les exigences de fonds propres correspondantes, selon l'approche standard.</w:t>
      </w:r>
    </w:p>
    <w:p w14:paraId="7D9D9B10" w14:textId="72D4CBCA" w:rsidR="00C55547"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166</w:t>
      </w:r>
      <w:r w:rsidRPr="004B0EC7">
        <w:fldChar w:fldCharType="end"/>
      </w:r>
      <w:r>
        <w:t xml:space="preserve">.</w:t>
      </w:r>
      <w:r>
        <w:tab/>
      </w:r>
      <w:r>
        <w:t xml:space="preserve"> </w:t>
      </w:r>
      <w:r>
        <w:t xml:space="preserve">Le modèle MKR SSA CTP présente l'exigence de fonds propres uniquement pour le risque spécifique des positions affectées au CTP conformément à l'article 335 du règlement (UE) nº 575/2013 en lien avec l'article 338, paragraphes 2 et 3, dudit règlement.</w:t>
      </w:r>
      <w:r>
        <w:t xml:space="preserve"> </w:t>
      </w:r>
      <w:r>
        <w:t xml:space="preserve">Lorsque les positions CTP du portefeuille de négociation sont couvertes par des dérivés de crédit, les articles 346 et 347 du règlement (UE) nº 575/2013 s'appliquent.</w:t>
      </w:r>
      <w:r>
        <w:t xml:space="preserve"> </w:t>
      </w:r>
      <w:r>
        <w:t xml:space="preserve">Il n'existe qu'un modèle pour toutes les positions CTP du portefeuille de négociation, quelle que soit l’approche appliquée par l'établissement pour déterminer la pondération de risque de chacune des positions conformément à la troisième partie, titre II, chapitre 5 du règlement (UE) nº 575/2013.</w:t>
      </w:r>
      <w:r>
        <w:t xml:space="preserve"> </w:t>
      </w:r>
      <w:r>
        <w:t xml:space="preserve">Les exigences de fonds propres pour le risque général de ces positions sont déclarées dans les modèles MKR SSA TDI ou MKR IM.</w:t>
      </w:r>
    </w:p>
    <w:p w14:paraId="2252BE4F" w14:textId="6A0EE270" w:rsidR="00C55547"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167</w:t>
      </w:r>
      <w:r w:rsidRPr="004B0EC7">
        <w:fldChar w:fldCharType="end"/>
      </w:r>
      <w:r>
        <w:t xml:space="preserve">.</w:t>
      </w:r>
      <w:r>
        <w:tab/>
      </w:r>
      <w:r>
        <w:t xml:space="preserve"> </w:t>
      </w:r>
      <w:r>
        <w:t xml:space="preserve">Le modèle distingue les positions de titrisation, les dérivés de crédit au nième défaut et les autres positions CTP.</w:t>
      </w:r>
      <w:r>
        <w:t xml:space="preserve"> </w:t>
      </w:r>
      <w:r>
        <w:t xml:space="preserve">Les positions de titrisation seront toujours déclarées aux lignes 0030, 0060 ou 0090 (selon le rôle de l'établissement dans la titrisation).</w:t>
      </w:r>
      <w:r>
        <w:t xml:space="preserve"> </w:t>
      </w:r>
      <w:r>
        <w:t xml:space="preserve">Les dérivés de crédit au nième défaut seront toujours déclarés à la ligne 0110.</w:t>
      </w:r>
      <w:r>
        <w:t xml:space="preserve"> </w:t>
      </w:r>
      <w:r>
        <w:t xml:space="preserve">Les «autres positions du portefeuille de négociation en corrélation» sont des positions qui ne sont ni des positions de titrisation ni des dérivés de crédit au nième défaut [voir l'article 338, paragraphe 3, du règlement (UE) nº 575/2013], mais qui sont explicitement «liées» (en raison de l'objectif de couverture) à une de ces deux positions.</w:t>
      </w:r>
      <w:r>
        <w:t xml:space="preserve"> </w:t>
      </w:r>
    </w:p>
    <w:p w14:paraId="5B5B9C2A" w14:textId="21A69FAD" w:rsidR="00C55547"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168</w:t>
      </w:r>
      <w:r w:rsidRPr="004B0EC7">
        <w:fldChar w:fldCharType="end"/>
      </w:r>
      <w:r>
        <w:t xml:space="preserve">.</w:t>
      </w:r>
      <w:r>
        <w:tab/>
      </w:r>
      <w:r>
        <w:t xml:space="preserve"> </w:t>
      </w:r>
      <w:r>
        <w:t xml:space="preserve">Les positions qui reçoivent une pondération de risque de 1 250 % peuvent, subsidiairement, être déduites des fonds propres de base de catégorie 1 (CET1) [voir l'article 244, paragraphe 1, point b), l'article 245, paragraphe 1, point b), et l'article 253 du règlement (UE) nº 575/2013].</w:t>
      </w:r>
      <w:r>
        <w:t xml:space="preserve"> </w:t>
      </w:r>
      <w:r>
        <w:t xml:space="preserve">Lorsque c’est le cas, ces positions doivent être déclarées sur la ligne 0460 du modèle CA1.</w:t>
      </w:r>
    </w:p>
    <w:p w14:paraId="6482CB53" w14:textId="3E0BDD09"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81" w:name="_Toc151714494"/>
      <w:r>
        <w:rPr>
          <w:sz w:val="24"/>
          <w:u w:val="none"/>
          <w:rFonts w:ascii="Times New Roman" w:hAnsi="Times New Roman"/>
        </w:rPr>
        <w:t xml:space="preserve">5.3.2.</w:t>
      </w:r>
      <w:r>
        <w:rPr>
          <w:sz w:val="24"/>
          <w:u w:val="none"/>
          <w:rFonts w:ascii="Times New Roman" w:hAnsi="Times New Roman"/>
        </w:rPr>
        <w:tab/>
      </w:r>
      <w:r>
        <w:rPr>
          <w:sz w:val="24"/>
          <w:rFonts w:ascii="Times New Roman" w:hAnsi="Times New Roman"/>
        </w:rPr>
        <w:t xml:space="preserve">Instructions concernant certaines positions</w:t>
      </w:r>
      <w:bookmarkEnd w:id="75"/>
      <w:bookmarkEnd w:id="76"/>
      <w:bookmarkEnd w:id="77"/>
      <w:bookmarkEnd w:id="78"/>
      <w:bookmarkEnd w:id="79"/>
      <w:bookmarkEnd w:id="80"/>
      <w:bookmarkEnd w:id="81"/>
    </w:p>
    <w:p w14:paraId="08BF27B7" w14:textId="77777777" w:rsidR="000B0B09" w:rsidRPr="004B0EC7"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E10B85">
            <w:pPr>
              <w:autoSpaceDE w:val="0"/>
              <w:autoSpaceDN w:val="0"/>
              <w:adjustRightInd w:val="0"/>
              <w:spacing w:after="0"/>
              <w:rPr>
                <w:b/>
                <w:sz w:val="24"/>
                <w:rFonts w:ascii="Times New Roman" w:hAnsi="Times New Roman"/>
              </w:rPr>
            </w:pPr>
            <w:r>
              <w:rPr>
                <w:b/>
                <w:sz w:val="24"/>
                <w:rFonts w:ascii="Times New Roman" w:hAnsi="Times New Roman"/>
              </w:rPr>
              <w:t xml:space="preserve">Colonnes</w:t>
            </w:r>
          </w:p>
        </w:tc>
      </w:tr>
      <w:tr w:rsidR="00C55547" w:rsidRPr="004B0EC7" w14:paraId="697D3EB6" w14:textId="77777777" w:rsidTr="00E10B85">
        <w:tc>
          <w:tcPr>
            <w:tcW w:w="1016" w:type="dxa"/>
          </w:tcPr>
          <w:p w14:paraId="5A814BB2"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0010 – 0020</w:t>
            </w:r>
          </w:p>
        </w:tc>
        <w:tc>
          <w:tcPr>
            <w:tcW w:w="7874" w:type="dxa"/>
          </w:tcPr>
          <w:p w14:paraId="2D41C55B"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TOUTES LES POSITIONS (LONGUES ET COURTES)</w:t>
            </w:r>
          </w:p>
          <w:p w14:paraId="4F3CF7CB" w14:textId="017BAB06" w:rsidR="005C14B0" w:rsidRPr="004B0EC7" w:rsidRDefault="00C55547" w:rsidP="00E10B85">
            <w:pPr>
              <w:rPr>
                <w:sz w:val="24"/>
                <w:rFonts w:ascii="Times New Roman" w:hAnsi="Times New Roman"/>
              </w:rPr>
            </w:pPr>
            <w:r>
              <w:rPr>
                <w:sz w:val="24"/>
                <w:rFonts w:ascii="Times New Roman" w:hAnsi="Times New Roman"/>
              </w:rPr>
              <w:t xml:space="preserve">Article 102 et article 105, paragraphe 1, du règlement (UE) nº 575/2013 en lien avec l’article 338, paragraphes 2 et 3, dudit règlement (positions affectées au portefeuille de négociation en corrélation).</w:t>
            </w:r>
          </w:p>
          <w:p w14:paraId="70FB0860" w14:textId="005CBA75" w:rsidR="00C55547" w:rsidRPr="004B0EC7" w:rsidRDefault="00C55547" w:rsidP="0002267E">
            <w:pPr>
              <w:rPr>
                <w:sz w:val="24"/>
                <w:rFonts w:ascii="Times New Roman" w:hAnsi="Times New Roman"/>
              </w:rPr>
            </w:pPr>
            <w:r>
              <w:rPr>
                <w:sz w:val="24"/>
                <w:rFonts w:ascii="Times New Roman" w:hAnsi="Times New Roman"/>
              </w:rPr>
              <w:t xml:space="preserve">En ce qui concerne la distinction entre les positions longues et courtes, également applicable à ces positions brutes, voir l'article 328, paragraphe 2, du règlement (UE) nº 575/2013.</w:t>
            </w:r>
          </w:p>
        </w:tc>
      </w:tr>
      <w:tr w:rsidR="00C55547" w:rsidRPr="004B0EC7" w14:paraId="3641769F" w14:textId="77777777" w:rsidTr="00E10B85">
        <w:tc>
          <w:tcPr>
            <w:tcW w:w="1016" w:type="dxa"/>
          </w:tcPr>
          <w:p w14:paraId="04DBC56E"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0030 – 0040</w:t>
            </w:r>
          </w:p>
        </w:tc>
        <w:tc>
          <w:tcPr>
            <w:tcW w:w="7874" w:type="dxa"/>
          </w:tcPr>
          <w:p w14:paraId="7E31C35B"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 POSITIONS DÉDUITES DES FONDS PROPRES (POSITIONS LONGUES ET COURTES)</w:t>
            </w:r>
          </w:p>
          <w:p w14:paraId="56207551" w14:textId="0069D39B" w:rsidR="00C55547" w:rsidRPr="004B0EC7" w:rsidRDefault="00C55547" w:rsidP="00E64BFE">
            <w:pPr>
              <w:rPr>
                <w:sz w:val="24"/>
                <w:rFonts w:ascii="Times New Roman" w:hAnsi="Times New Roman"/>
              </w:rPr>
            </w:pPr>
            <w:r>
              <w:rPr>
                <w:sz w:val="24"/>
                <w:rFonts w:ascii="Times New Roman" w:hAnsi="Times New Roman"/>
              </w:rPr>
              <w:t xml:space="preserve">Article </w:t>
            </w:r>
            <w:r>
              <w:rPr>
                <w:sz w:val="24"/>
                <w:rFonts w:ascii="Times New Roman" w:hAnsi="Times New Roman"/>
              </w:rPr>
              <w:t xml:space="preserve">253</w:t>
            </w:r>
            <w:r>
              <w:rPr>
                <w:sz w:val="24"/>
                <w:rFonts w:ascii="Times New Roman" w:hAnsi="Times New Roman"/>
              </w:rPr>
              <w:t xml:space="preserve"> du règlement (UE) nº 575/2013</w:t>
            </w:r>
            <w:r>
              <w:rPr>
                <w:sz w:val="24"/>
                <w:rFonts w:ascii="Times New Roman" w:hAnsi="Times New Roman"/>
              </w:rPr>
              <w:t xml:space="preserve"> </w:t>
            </w:r>
          </w:p>
        </w:tc>
      </w:tr>
      <w:tr w:rsidR="00C55547" w:rsidRPr="004B0EC7" w14:paraId="6E312180" w14:textId="77777777" w:rsidTr="00E10B85">
        <w:tc>
          <w:tcPr>
            <w:tcW w:w="1016" w:type="dxa"/>
          </w:tcPr>
          <w:p w14:paraId="08709592"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0050 – 0060</w:t>
            </w:r>
          </w:p>
        </w:tc>
        <w:tc>
          <w:tcPr>
            <w:tcW w:w="7874" w:type="dxa"/>
          </w:tcPr>
          <w:p w14:paraId="6226B36A"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POSITIONS NETTES (LONGUES ET COURTES)</w:t>
            </w:r>
          </w:p>
          <w:p w14:paraId="01BDDE40" w14:textId="76E789A7" w:rsidR="005C14B0" w:rsidRPr="004B0EC7" w:rsidRDefault="00C55547" w:rsidP="00E10B85">
            <w:pPr>
              <w:rPr>
                <w:sz w:val="24"/>
                <w:rFonts w:ascii="Times New Roman" w:hAnsi="Times New Roman"/>
              </w:rPr>
            </w:pPr>
            <w:r>
              <w:rPr>
                <w:sz w:val="24"/>
                <w:rFonts w:ascii="Times New Roman" w:hAnsi="Times New Roman"/>
              </w:rPr>
              <w:t xml:space="preserve">Articles 327, 328, 329 et 334 du règlement (UE) nº 575/2013.</w:t>
            </w:r>
            <w:r>
              <w:rPr>
                <w:sz w:val="24"/>
                <w:rFonts w:ascii="Times New Roman" w:hAnsi="Times New Roman"/>
              </w:rPr>
              <w:t xml:space="preserve"> </w:t>
            </w:r>
          </w:p>
          <w:p w14:paraId="6C03F093" w14:textId="2B98C3C7" w:rsidR="00C55547" w:rsidRPr="004B0EC7" w:rsidRDefault="00C55547" w:rsidP="00E64BFE">
            <w:pPr>
              <w:rPr>
                <w:sz w:val="24"/>
                <w:rFonts w:ascii="Times New Roman" w:hAnsi="Times New Roman"/>
              </w:rPr>
            </w:pPr>
            <w:r>
              <w:rPr>
                <w:sz w:val="24"/>
                <w:rFonts w:ascii="Times New Roman" w:hAnsi="Times New Roman"/>
              </w:rPr>
              <w:t xml:space="preserve">En ce qui concerne la distinction entre les positions longues et courtes, voir l'article 328, paragraphe 2, du règlement (UE) nº 575/2013.</w:t>
            </w:r>
          </w:p>
        </w:tc>
      </w:tr>
      <w:tr w:rsidR="00C55547" w:rsidRPr="004B0EC7" w14:paraId="6F83AB99" w14:textId="77777777" w:rsidTr="00E10B85">
        <w:tc>
          <w:tcPr>
            <w:tcW w:w="1016" w:type="dxa"/>
          </w:tcPr>
          <w:p w14:paraId="6DDF2435" w14:textId="77777777" w:rsidR="00C55547" w:rsidRPr="004B0EC7" w:rsidRDefault="002F79EA" w:rsidP="00543964">
            <w:pPr>
              <w:autoSpaceDE w:val="0"/>
              <w:autoSpaceDN w:val="0"/>
              <w:adjustRightInd w:val="0"/>
              <w:spacing w:before="0" w:after="0"/>
              <w:rPr>
                <w:sz w:val="24"/>
                <w:rFonts w:ascii="Times New Roman" w:hAnsi="Times New Roman"/>
              </w:rPr>
            </w:pPr>
            <w:r>
              <w:rPr>
                <w:sz w:val="24"/>
                <w:rFonts w:ascii="Times New Roman" w:hAnsi="Times New Roman"/>
              </w:rPr>
              <w:t xml:space="preserve">0071 – 0097</w:t>
            </w:r>
          </w:p>
        </w:tc>
        <w:tc>
          <w:tcPr>
            <w:tcW w:w="7874" w:type="dxa"/>
          </w:tcPr>
          <w:p w14:paraId="247CF712"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RÉPARTITION DES POSITIONS NETTES SELON LES PONDÉRATIONS DE RISQUE</w:t>
            </w:r>
          </w:p>
          <w:p w14:paraId="691F4414" w14:textId="030DE019" w:rsidR="00C55547" w:rsidRPr="004B0EC7" w:rsidRDefault="00133396" w:rsidP="001F2389">
            <w:pPr>
              <w:rPr>
                <w:sz w:val="24"/>
                <w:rFonts w:ascii="Times New Roman" w:hAnsi="Times New Roman"/>
              </w:rPr>
            </w:pPr>
            <w:r>
              <w:rPr>
                <w:sz w:val="24"/>
                <w:rStyle w:val="InstructionsTabelleText"/>
                <w:rFonts w:ascii="Times New Roman" w:hAnsi="Times New Roman"/>
              </w:rPr>
              <w:t xml:space="preserve">Articles 259 à 262, article 263, tableaux 1 et 2, article 264, tableaux 3 et 4 et article 266</w:t>
            </w:r>
            <w:r>
              <w:rPr>
                <w:sz w:val="24"/>
                <w:rFonts w:ascii="Times New Roman" w:hAnsi="Times New Roman"/>
              </w:rPr>
              <w:t xml:space="preserve"> du règlement (UE) nº 575/2013.</w:t>
            </w:r>
          </w:p>
        </w:tc>
      </w:tr>
      <w:tr w:rsidR="00C55547" w:rsidRPr="004B0EC7" w14:paraId="495D2FD0" w14:textId="77777777" w:rsidTr="00E10B85">
        <w:tc>
          <w:tcPr>
            <w:tcW w:w="1016" w:type="dxa"/>
          </w:tcPr>
          <w:p w14:paraId="295B01D9" w14:textId="77777777" w:rsidR="00C55547" w:rsidRPr="004B0EC7" w:rsidRDefault="002F79EA" w:rsidP="00921700">
            <w:pPr>
              <w:rPr>
                <w:sz w:val="24"/>
                <w:rFonts w:ascii="Times New Roman" w:hAnsi="Times New Roman"/>
              </w:rPr>
            </w:pPr>
            <w:r>
              <w:rPr>
                <w:sz w:val="24"/>
                <w:rFonts w:ascii="Times New Roman" w:hAnsi="Times New Roman"/>
              </w:rPr>
              <w:t xml:space="preserve">0402 – 0406</w:t>
            </w:r>
          </w:p>
        </w:tc>
        <w:tc>
          <w:tcPr>
            <w:tcW w:w="7874" w:type="dxa"/>
          </w:tcPr>
          <w:p w14:paraId="23629FA6" w14:textId="77777777" w:rsidR="00C55547" w:rsidRPr="004B0EC7" w:rsidRDefault="00543964"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RÉPARTITION DES POSITIONS NETTES SELON LES APPROCHES</w:t>
            </w:r>
          </w:p>
          <w:p w14:paraId="19937787" w14:textId="465ADE79" w:rsidR="00C55547" w:rsidRPr="004B0EC7" w:rsidRDefault="00C55547" w:rsidP="0002267E">
            <w:pPr>
              <w:autoSpaceDE w:val="0"/>
              <w:autoSpaceDN w:val="0"/>
              <w:adjustRightInd w:val="0"/>
              <w:spacing w:before="0" w:after="0"/>
              <w:rPr>
                <w:rStyle w:val="InstructionsTabelleberschrift"/>
                <w:sz w:val="24"/>
                <w:rFonts w:ascii="Times New Roman" w:hAnsi="Times New Roman"/>
              </w:rPr>
            </w:pPr>
            <w:r>
              <w:rPr>
                <w:sz w:val="24"/>
                <w:rStyle w:val="InstructionsTabelleText"/>
                <w:rFonts w:ascii="Times New Roman" w:hAnsi="Times New Roman"/>
              </w:rPr>
              <w:t xml:space="preserve">Article 254</w:t>
            </w:r>
            <w:r>
              <w:rPr>
                <w:sz w:val="24"/>
                <w:rFonts w:ascii="Times New Roman" w:hAnsi="Times New Roman"/>
              </w:rPr>
              <w:t xml:space="preserve"> du règlement (UE) nº 575/2013</w:t>
            </w:r>
            <w:r>
              <w:rPr>
                <w:sz w:val="24"/>
                <w:rStyle w:val="InstructionsTabelleText"/>
                <w:rFonts w:ascii="Times New Roman" w:hAnsi="Times New Roman"/>
              </w:rPr>
              <w:t xml:space="preserve"> </w:t>
            </w:r>
          </w:p>
        </w:tc>
      </w:tr>
      <w:tr w:rsidR="00C55547" w:rsidRPr="004B0EC7" w14:paraId="18FE6247" w14:textId="77777777" w:rsidTr="00E10B85">
        <w:tc>
          <w:tcPr>
            <w:tcW w:w="1016" w:type="dxa"/>
          </w:tcPr>
          <w:p w14:paraId="17001A21" w14:textId="77777777" w:rsidR="00C55547" w:rsidRPr="004B0EC7" w:rsidRDefault="002F79EA" w:rsidP="00921700">
            <w:pPr>
              <w:rPr>
                <w:sz w:val="24"/>
                <w:rFonts w:ascii="Times New Roman" w:hAnsi="Times New Roman"/>
              </w:rPr>
            </w:pPr>
            <w:r>
              <w:rPr>
                <w:sz w:val="24"/>
                <w:rFonts w:ascii="Times New Roman" w:hAnsi="Times New Roman"/>
              </w:rPr>
              <w:t xml:space="preserve">0402</w:t>
            </w:r>
          </w:p>
        </w:tc>
        <w:tc>
          <w:tcPr>
            <w:tcW w:w="7874" w:type="dxa"/>
          </w:tcPr>
          <w:p w14:paraId="79F7161D"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SEC-IRBA</w:t>
            </w:r>
          </w:p>
          <w:p w14:paraId="1718443C" w14:textId="27159510"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Style w:val="InstructionsTabelleText"/>
                <w:rFonts w:ascii="Times New Roman" w:hAnsi="Times New Roman"/>
              </w:rPr>
              <w:t xml:space="preserve">Articles 259 et 260</w:t>
            </w:r>
            <w:r>
              <w:rPr>
                <w:sz w:val="24"/>
                <w:rFonts w:ascii="Times New Roman" w:hAnsi="Times New Roman"/>
              </w:rPr>
              <w:t xml:space="preserve"> du règlement (UE) nº 575/2013</w:t>
            </w:r>
          </w:p>
        </w:tc>
      </w:tr>
      <w:tr w:rsidR="00C55547" w:rsidRPr="004B0EC7" w14:paraId="35656008" w14:textId="77777777" w:rsidTr="00E10B85">
        <w:tc>
          <w:tcPr>
            <w:tcW w:w="1016" w:type="dxa"/>
          </w:tcPr>
          <w:p w14:paraId="720D0546" w14:textId="77777777" w:rsidR="00C55547" w:rsidRPr="004B0EC7" w:rsidRDefault="002F79EA" w:rsidP="00921700">
            <w:pPr>
              <w:rPr>
                <w:sz w:val="24"/>
                <w:rFonts w:ascii="Times New Roman" w:hAnsi="Times New Roman"/>
              </w:rPr>
            </w:pPr>
            <w:r>
              <w:rPr>
                <w:sz w:val="24"/>
                <w:rFonts w:ascii="Times New Roman" w:hAnsi="Times New Roman"/>
              </w:rPr>
              <w:t xml:space="preserve">0403</w:t>
            </w:r>
          </w:p>
        </w:tc>
        <w:tc>
          <w:tcPr>
            <w:tcW w:w="7874" w:type="dxa"/>
          </w:tcPr>
          <w:p w14:paraId="78903335"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SEC-SA</w:t>
            </w:r>
          </w:p>
          <w:p w14:paraId="4F095DEE" w14:textId="02044DC6"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Style w:val="InstructionsTabelleText"/>
                <w:rFonts w:ascii="Times New Roman" w:hAnsi="Times New Roman"/>
              </w:rPr>
              <w:t xml:space="preserve">Articles 261 et 262</w:t>
            </w:r>
            <w:r>
              <w:rPr>
                <w:sz w:val="24"/>
                <w:rFonts w:ascii="Times New Roman" w:hAnsi="Times New Roman"/>
              </w:rPr>
              <w:t xml:space="preserve"> du règlement (UE) nº 575/2013</w:t>
            </w:r>
          </w:p>
        </w:tc>
      </w:tr>
      <w:tr w:rsidR="00C55547" w:rsidRPr="004B0EC7" w14:paraId="7B54B7CF" w14:textId="77777777" w:rsidTr="00E10B85">
        <w:tc>
          <w:tcPr>
            <w:tcW w:w="1016" w:type="dxa"/>
          </w:tcPr>
          <w:p w14:paraId="0D21F451" w14:textId="77777777" w:rsidR="00C55547" w:rsidRPr="004B0EC7" w:rsidRDefault="002F79EA" w:rsidP="00921700">
            <w:pPr>
              <w:rPr>
                <w:sz w:val="24"/>
                <w:rFonts w:ascii="Times New Roman" w:hAnsi="Times New Roman"/>
              </w:rPr>
            </w:pPr>
            <w:r>
              <w:rPr>
                <w:sz w:val="24"/>
                <w:rFonts w:ascii="Times New Roman" w:hAnsi="Times New Roman"/>
              </w:rPr>
              <w:t xml:space="preserve">0404</w:t>
            </w:r>
          </w:p>
        </w:tc>
        <w:tc>
          <w:tcPr>
            <w:tcW w:w="7874" w:type="dxa"/>
          </w:tcPr>
          <w:p w14:paraId="6AA67FFF"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SEC-ERBA</w:t>
            </w:r>
          </w:p>
          <w:p w14:paraId="108938CD" w14:textId="7A2858ED"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Style w:val="InstructionsTabelleText"/>
                <w:rFonts w:ascii="Times New Roman" w:hAnsi="Times New Roman"/>
              </w:rPr>
              <w:t xml:space="preserve">Articles 263 et 264</w:t>
            </w:r>
            <w:r>
              <w:rPr>
                <w:sz w:val="24"/>
                <w:rFonts w:ascii="Times New Roman" w:hAnsi="Times New Roman"/>
              </w:rPr>
              <w:t xml:space="preserve"> du règlement (UE) nº 575/2013</w:t>
            </w:r>
          </w:p>
        </w:tc>
      </w:tr>
      <w:tr w:rsidR="00C55547" w:rsidRPr="004B0EC7" w14:paraId="7979A32D" w14:textId="77777777" w:rsidTr="00E10B85">
        <w:tc>
          <w:tcPr>
            <w:tcW w:w="1016" w:type="dxa"/>
          </w:tcPr>
          <w:p w14:paraId="7C1C67E6" w14:textId="77777777" w:rsidR="00C55547" w:rsidRPr="004B0EC7" w:rsidRDefault="002F79EA" w:rsidP="00921700">
            <w:pPr>
              <w:rPr>
                <w:sz w:val="24"/>
                <w:rFonts w:ascii="Times New Roman" w:hAnsi="Times New Roman"/>
              </w:rPr>
            </w:pPr>
            <w:r>
              <w:rPr>
                <w:sz w:val="24"/>
                <w:rFonts w:ascii="Times New Roman" w:hAnsi="Times New Roman"/>
              </w:rPr>
              <w:t xml:space="preserve">0405</w:t>
            </w:r>
          </w:p>
        </w:tc>
        <w:tc>
          <w:tcPr>
            <w:tcW w:w="7874" w:type="dxa"/>
          </w:tcPr>
          <w:p w14:paraId="68CACB61"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APPROCHE PAR ÉVALUATION INTERNE</w:t>
            </w:r>
          </w:p>
          <w:p w14:paraId="46E92693" w14:textId="78E87E8C"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Style w:val="InstructionsTabelleText"/>
                <w:rFonts w:ascii="Times New Roman" w:hAnsi="Times New Roman"/>
              </w:rPr>
              <w:t xml:space="preserve">Articles 254, article 265 et article 266, paragraphe 5,</w:t>
            </w:r>
            <w:r>
              <w:rPr>
                <w:sz w:val="24"/>
                <w:rFonts w:ascii="Times New Roman" w:hAnsi="Times New Roman"/>
              </w:rPr>
              <w:t xml:space="preserve"> du règlement (UE) nº 575/2013</w:t>
            </w:r>
            <w:r>
              <w:rPr>
                <w:sz w:val="24"/>
                <w:rStyle w:val="InstructionsTabelleText"/>
                <w:rFonts w:ascii="Times New Roman" w:hAnsi="Times New Roman"/>
              </w:rPr>
              <w:t xml:space="preserve">.</w:t>
            </w:r>
          </w:p>
        </w:tc>
      </w:tr>
      <w:tr w:rsidR="00A97C62" w:rsidRPr="004B0EC7" w14:paraId="412C0D2A" w14:textId="77777777" w:rsidTr="00E10B85">
        <w:tc>
          <w:tcPr>
            <w:tcW w:w="1016" w:type="dxa"/>
          </w:tcPr>
          <w:p w14:paraId="184EAC6C" w14:textId="26696219" w:rsidR="00A97C62" w:rsidRPr="004B0EC7" w:rsidRDefault="00A97C62" w:rsidP="00A97C62">
            <w:pPr>
              <w:rPr>
                <w:sz w:val="24"/>
                <w:rFonts w:ascii="Times New Roman" w:hAnsi="Times New Roman"/>
              </w:rPr>
            </w:pPr>
            <w:r>
              <w:rPr>
                <w:sz w:val="24"/>
                <w:rFonts w:ascii="Times New Roman" w:hAnsi="Times New Roman"/>
              </w:rPr>
              <w:t xml:space="preserve">0900</w:t>
            </w:r>
          </w:p>
        </w:tc>
        <w:tc>
          <w:tcPr>
            <w:tcW w:w="7874" w:type="dxa"/>
          </w:tcPr>
          <w:p w14:paraId="33E51780" w14:textId="77777777" w:rsidR="00A97C62" w:rsidRPr="004B0EC7" w:rsidRDefault="00A97C62" w:rsidP="00A97C62">
            <w:pPr>
              <w:spacing w:before="0" w:after="0"/>
              <w:jc w:val="left"/>
              <w:rPr>
                <w:b/>
                <w:sz w:val="24"/>
                <w:u w:val="single"/>
                <w:rFonts w:ascii="Times New Roman" w:hAnsi="Times New Roman"/>
              </w:rPr>
            </w:pPr>
            <w:r>
              <w:rPr>
                <w:b/>
                <w:sz w:val="24"/>
                <w:u w:val="single"/>
                <w:rFonts w:ascii="Times New Roman" w:hAnsi="Times New Roman"/>
              </w:rPr>
              <w:t xml:space="preserve">TRAITEMENT SPÉCIFIQUE POUR LES TRANCHES DE RANG SUPÉRIEUR DES TITRISATIONS D’EXPOSITIONS NON PERFORMANTES ÉLIGIBLES</w:t>
            </w:r>
          </w:p>
          <w:p w14:paraId="1D397AE3" w14:textId="76C348BD" w:rsidR="00A97C62" w:rsidRPr="004B0EC7" w:rsidRDefault="00A97C62" w:rsidP="001235ED">
            <w:pPr>
              <w:autoSpaceDE w:val="0"/>
              <w:autoSpaceDN w:val="0"/>
              <w:adjustRightInd w:val="0"/>
              <w:jc w:val="left"/>
              <w:rPr>
                <w:b/>
                <w:bCs/>
                <w:sz w:val="24"/>
                <w:u w:val="single"/>
                <w:rFonts w:ascii="Times New Roman" w:hAnsi="Times New Roman"/>
              </w:rPr>
            </w:pPr>
            <w:r>
              <w:rPr>
                <w:sz w:val="24"/>
                <w:rFonts w:ascii="Times New Roman" w:hAnsi="Times New Roman"/>
              </w:rPr>
              <w:t xml:space="preserve">Article </w:t>
            </w:r>
            <w:r>
              <w:rPr>
                <w:sz w:val="24"/>
                <w:rStyle w:val="InstructionsTabelleText"/>
                <w:rFonts w:ascii="Times New Roman" w:hAnsi="Times New Roman"/>
              </w:rPr>
              <w:t xml:space="preserve">269 </w:t>
            </w:r>
            <w:r>
              <w:rPr>
                <w:sz w:val="24"/>
                <w:rStyle w:val="InstructionsTabelleText"/>
                <w:i/>
                <w:iCs/>
                <w:rFonts w:ascii="Times New Roman" w:hAnsi="Times New Roman"/>
              </w:rPr>
              <w:t xml:space="preserve">bis</w:t>
            </w:r>
            <w:r>
              <w:rPr>
                <w:sz w:val="24"/>
                <w:rFonts w:ascii="Times New Roman" w:hAnsi="Times New Roman"/>
              </w:rPr>
              <w:t xml:space="preserve">, paragraphe 3, du règlement (UE) nº 575/2013.</w:t>
            </w:r>
          </w:p>
        </w:tc>
      </w:tr>
      <w:tr w:rsidR="00C55547" w:rsidRPr="004B0EC7" w14:paraId="5C0D49CC" w14:textId="77777777" w:rsidTr="00E10B85">
        <w:tc>
          <w:tcPr>
            <w:tcW w:w="1016" w:type="dxa"/>
          </w:tcPr>
          <w:p w14:paraId="4A75E404" w14:textId="77777777" w:rsidR="00C55547" w:rsidRPr="004B0EC7" w:rsidRDefault="002F79EA" w:rsidP="00921700">
            <w:pPr>
              <w:rPr>
                <w:sz w:val="24"/>
                <w:rFonts w:ascii="Times New Roman" w:hAnsi="Times New Roman"/>
              </w:rPr>
            </w:pPr>
            <w:r>
              <w:rPr>
                <w:sz w:val="24"/>
                <w:rFonts w:ascii="Times New Roman" w:hAnsi="Times New Roman"/>
              </w:rPr>
              <w:t xml:space="preserve">0406</w:t>
            </w:r>
          </w:p>
        </w:tc>
        <w:tc>
          <w:tcPr>
            <w:tcW w:w="7874" w:type="dxa"/>
          </w:tcPr>
          <w:p w14:paraId="27B9523C" w14:textId="26593451"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AUTRE (RW = 1 250 </w:t>
            </w:r>
            <w:r>
              <w:rPr>
                <w:b/>
                <w:sz w:val="24"/>
                <w:u w:val="single"/>
                <w:rFonts w:ascii="Times New Roman" w:hAnsi="Times New Roman"/>
              </w:rPr>
              <w:t xml:space="preserve">%)</w:t>
            </w:r>
          </w:p>
          <w:p w14:paraId="0B94870A" w14:textId="0A4BBAC5"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Style w:val="InstructionsTabelleText"/>
                <w:rFonts w:ascii="Times New Roman" w:hAnsi="Times New Roman"/>
              </w:rPr>
              <w:t xml:space="preserve">Article 254, paragraphe 7,</w:t>
            </w:r>
            <w:r>
              <w:rPr>
                <w:sz w:val="24"/>
                <w:rFonts w:ascii="Times New Roman" w:hAnsi="Times New Roman"/>
              </w:rPr>
              <w:t xml:space="preserve"> du règlement (UE) nº 575/2013</w:t>
            </w:r>
          </w:p>
        </w:tc>
      </w:tr>
      <w:tr w:rsidR="00C55547" w:rsidRPr="004B0EC7" w14:paraId="16A48520" w14:textId="77777777" w:rsidTr="00E10B85">
        <w:tc>
          <w:tcPr>
            <w:tcW w:w="1016" w:type="dxa"/>
          </w:tcPr>
          <w:p w14:paraId="04D4F5AC" w14:textId="77777777" w:rsidR="00C55547" w:rsidRPr="004B0EC7" w:rsidRDefault="002F79EA" w:rsidP="0002267E">
            <w:pPr>
              <w:rPr>
                <w:sz w:val="24"/>
                <w:rFonts w:ascii="Times New Roman" w:hAnsi="Times New Roman"/>
              </w:rPr>
            </w:pPr>
            <w:r>
              <w:rPr>
                <w:sz w:val="24"/>
                <w:rFonts w:ascii="Times New Roman" w:hAnsi="Times New Roman"/>
              </w:rPr>
              <w:t xml:space="preserve">0410 – 0420</w:t>
            </w:r>
          </w:p>
        </w:tc>
        <w:tc>
          <w:tcPr>
            <w:tcW w:w="7874" w:type="dxa"/>
          </w:tcPr>
          <w:p w14:paraId="78E183CC"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AVANT APPLICATION DU PLAFOND - POSITIONS LONGUES/COURTES NETTES PONDÉRÉES</w:t>
            </w:r>
          </w:p>
          <w:p w14:paraId="7E8A31C6" w14:textId="04B0137F" w:rsidR="00C55547" w:rsidRPr="004B0EC7" w:rsidRDefault="00C55547" w:rsidP="007062FD">
            <w:pPr>
              <w:rPr>
                <w:sz w:val="24"/>
                <w:rFonts w:ascii="Times New Roman" w:hAnsi="Times New Roman"/>
              </w:rPr>
            </w:pPr>
            <w:r>
              <w:rPr>
                <w:sz w:val="24"/>
                <w:rFonts w:ascii="Times New Roman" w:hAnsi="Times New Roman"/>
              </w:rPr>
              <w:t xml:space="preserve">Article 338 du règlement (UE) nº 575/2013, compte non tenu de la marge d'appréciation de l'article 335 dudit règlement.</w:t>
            </w:r>
            <w:r>
              <w:rPr>
                <w:sz w:val="24"/>
                <w:rFonts w:ascii="Times New Roman" w:hAnsi="Times New Roman"/>
              </w:rPr>
              <w:t xml:space="preserve"> </w:t>
            </w:r>
          </w:p>
        </w:tc>
      </w:tr>
      <w:tr w:rsidR="00C55547" w:rsidRPr="004B0EC7" w14:paraId="566ACCB3" w14:textId="77777777" w:rsidTr="00E10B85">
        <w:tc>
          <w:tcPr>
            <w:tcW w:w="1016" w:type="dxa"/>
          </w:tcPr>
          <w:p w14:paraId="4093CA68" w14:textId="77777777" w:rsidR="00C55547" w:rsidRPr="004B0EC7" w:rsidRDefault="002F79EA" w:rsidP="0002267E">
            <w:pPr>
              <w:rPr>
                <w:sz w:val="24"/>
                <w:rFonts w:ascii="Times New Roman" w:hAnsi="Times New Roman"/>
              </w:rPr>
            </w:pPr>
            <w:r>
              <w:rPr>
                <w:sz w:val="24"/>
                <w:rFonts w:ascii="Times New Roman" w:hAnsi="Times New Roman"/>
              </w:rPr>
              <w:t xml:space="preserve">0430 – 0440</w:t>
            </w:r>
          </w:p>
        </w:tc>
        <w:tc>
          <w:tcPr>
            <w:tcW w:w="7874" w:type="dxa"/>
          </w:tcPr>
          <w:p w14:paraId="00C8D0F3"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APRÈS APPLICATION DU PLAFOND - POSITIONS LONGUES/COURTES NETTES PONDÉRÉES</w:t>
            </w:r>
          </w:p>
          <w:p w14:paraId="3304B399" w14:textId="1538540C" w:rsidR="00C55547" w:rsidRPr="004B0EC7" w:rsidRDefault="00C55547" w:rsidP="007062FD">
            <w:pPr>
              <w:rPr>
                <w:sz w:val="24"/>
                <w:rFonts w:ascii="Times New Roman" w:hAnsi="Times New Roman"/>
              </w:rPr>
            </w:pPr>
            <w:r>
              <w:rPr>
                <w:sz w:val="24"/>
                <w:rFonts w:ascii="Times New Roman" w:hAnsi="Times New Roman"/>
              </w:rPr>
              <w:t xml:space="preserve">Article 338 du règlement (UE) nº 575/2013, compte tenu de la marge d’appréciation de l’article 335 dudit règlement.</w:t>
            </w:r>
            <w:r>
              <w:rPr>
                <w:sz w:val="24"/>
                <w:rFonts w:ascii="Times New Roman" w:hAnsi="Times New Roman"/>
              </w:rPr>
              <w:t xml:space="preserve"> </w:t>
            </w:r>
          </w:p>
        </w:tc>
      </w:tr>
      <w:tr w:rsidR="00C55547" w:rsidRPr="004B0EC7" w14:paraId="23063B74" w14:textId="77777777" w:rsidTr="00E10B85">
        <w:tc>
          <w:tcPr>
            <w:tcW w:w="1016" w:type="dxa"/>
          </w:tcPr>
          <w:p w14:paraId="5A3BC562" w14:textId="77777777" w:rsidR="00C55547" w:rsidRPr="004B0EC7" w:rsidRDefault="002F79EA" w:rsidP="0002267E">
            <w:pPr>
              <w:rPr>
                <w:sz w:val="24"/>
                <w:rFonts w:ascii="Times New Roman" w:hAnsi="Times New Roman"/>
              </w:rPr>
            </w:pPr>
            <w:r>
              <w:rPr>
                <w:sz w:val="24"/>
                <w:rFonts w:ascii="Times New Roman" w:hAnsi="Times New Roman"/>
              </w:rPr>
              <w:t xml:space="preserve">0450</w:t>
            </w:r>
          </w:p>
        </w:tc>
        <w:tc>
          <w:tcPr>
            <w:tcW w:w="7874" w:type="dxa"/>
          </w:tcPr>
          <w:p w14:paraId="4210145F" w14:textId="7D6EC5B6"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TOTAL DES EXIGENCES DE FONDS PROPRES AVANT APPLICATION DU FACTEUR DE MAJORATION</w:t>
            </w:r>
          </w:p>
          <w:p w14:paraId="7DEA5D32" w14:textId="77777777" w:rsidR="00C55547" w:rsidRPr="004B0EC7" w:rsidRDefault="00C55547" w:rsidP="00E10B85">
            <w:pPr>
              <w:rPr>
                <w:sz w:val="24"/>
                <w:rFonts w:ascii="Times New Roman" w:hAnsi="Times New Roman"/>
              </w:rPr>
            </w:pPr>
            <w:r>
              <w:rPr>
                <w:sz w:val="24"/>
                <w:rFonts w:ascii="Times New Roman" w:hAnsi="Times New Roman"/>
              </w:rPr>
              <w:t xml:space="preserve">L'exigence de fonds propres correspond à la plus élevée entre i) l'exigence de fonds propres pour risque spécifique qui ne s'appliquerait qu'aux positions longues nettes (colonne 0430) ou ii) l'exigence de fonds propre pour risque spécifique qui ne s'appliquerait qu'aux positions courtes nettes (colonne 0440).</w:t>
            </w:r>
          </w:p>
        </w:tc>
      </w:tr>
    </w:tbl>
    <w:p w14:paraId="4123A762"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E10B85">
            <w:pPr>
              <w:autoSpaceDE w:val="0"/>
              <w:autoSpaceDN w:val="0"/>
              <w:adjustRightInd w:val="0"/>
              <w:spacing w:after="0"/>
              <w:rPr>
                <w:b/>
                <w:sz w:val="24"/>
                <w:rFonts w:ascii="Times New Roman" w:hAnsi="Times New Roman"/>
              </w:rPr>
            </w:pPr>
            <w:r>
              <w:rPr>
                <w:b/>
                <w:sz w:val="24"/>
                <w:rFonts w:ascii="Times New Roman" w:hAnsi="Times New Roman"/>
              </w:rPr>
              <w:t xml:space="preserve">Lignes</w:t>
            </w:r>
          </w:p>
        </w:tc>
      </w:tr>
      <w:tr w:rsidR="00C55547" w:rsidRPr="004B0EC7" w14:paraId="51303CB0" w14:textId="77777777" w:rsidTr="00E10B85">
        <w:tc>
          <w:tcPr>
            <w:tcW w:w="1008" w:type="dxa"/>
          </w:tcPr>
          <w:p w14:paraId="4EF580E7"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8204" w:type="dxa"/>
          </w:tcPr>
          <w:p w14:paraId="3B5F07DE"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TOTAL DES EXPOSITIONS</w:t>
            </w:r>
          </w:p>
          <w:p w14:paraId="47BDA358" w14:textId="77777777" w:rsidR="00C55547" w:rsidRPr="004B0EC7" w:rsidRDefault="00C55547" w:rsidP="00E10B85">
            <w:pPr>
              <w:rPr>
                <w:sz w:val="24"/>
                <w:rFonts w:ascii="Times New Roman" w:hAnsi="Times New Roman"/>
              </w:rPr>
            </w:pPr>
            <w:r>
              <w:rPr>
                <w:sz w:val="24"/>
                <w:rFonts w:ascii="Times New Roman" w:hAnsi="Times New Roman"/>
              </w:rPr>
              <w:t xml:space="preserve">Montant total des positions ouvertes (détenues dans le portefeuille de négociation en corrélation) déclaré par l'établissement qui joue le rôle d'initiateur, d'investisseur ou de sponsor.</w:t>
            </w:r>
          </w:p>
        </w:tc>
      </w:tr>
      <w:tr w:rsidR="00C55547" w:rsidRPr="004B0EC7" w14:paraId="4F9E3B66" w14:textId="77777777" w:rsidTr="00E10B85">
        <w:tc>
          <w:tcPr>
            <w:tcW w:w="1008" w:type="dxa"/>
          </w:tcPr>
          <w:p w14:paraId="4294FDFC"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0020 – 0040</w:t>
            </w:r>
          </w:p>
        </w:tc>
        <w:tc>
          <w:tcPr>
            <w:tcW w:w="8204" w:type="dxa"/>
          </w:tcPr>
          <w:p w14:paraId="68E0826A"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INITIATEUR</w:t>
            </w:r>
          </w:p>
          <w:p w14:paraId="07F7FC7F" w14:textId="691C5D11" w:rsidR="00C55547" w:rsidRPr="004B0EC7" w:rsidRDefault="00C55547" w:rsidP="001F2389">
            <w:pPr>
              <w:rPr>
                <w:sz w:val="24"/>
                <w:rFonts w:ascii="Times New Roman" w:hAnsi="Times New Roman"/>
              </w:rPr>
            </w:pPr>
            <w:r>
              <w:rPr>
                <w:sz w:val="24"/>
                <w:rFonts w:ascii="Times New Roman" w:hAnsi="Times New Roman"/>
              </w:rPr>
              <w:t xml:space="preserve">Article 4, paragraphe 1, point 13), du règlement (UE) nº 575/2013.</w:t>
            </w:r>
            <w:r>
              <w:rPr>
                <w:sz w:val="24"/>
                <w:rFonts w:ascii="Times New Roman" w:hAnsi="Times New Roman"/>
              </w:rPr>
              <w:t xml:space="preserve"> </w:t>
            </w:r>
          </w:p>
        </w:tc>
      </w:tr>
      <w:tr w:rsidR="00C55547" w:rsidRPr="004B0EC7" w14:paraId="1113CFCE" w14:textId="77777777" w:rsidTr="00E10B85">
        <w:tc>
          <w:tcPr>
            <w:tcW w:w="1008" w:type="dxa"/>
          </w:tcPr>
          <w:p w14:paraId="045998CB"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0050 – 0070</w:t>
            </w:r>
          </w:p>
        </w:tc>
        <w:tc>
          <w:tcPr>
            <w:tcW w:w="8204" w:type="dxa"/>
          </w:tcPr>
          <w:p w14:paraId="7C4743F6"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INVESTISSEUR</w:t>
            </w:r>
          </w:p>
          <w:p w14:paraId="5507389D" w14:textId="77777777" w:rsidR="00C55547" w:rsidRPr="004B0EC7" w:rsidRDefault="00C55547">
            <w:pPr>
              <w:rPr>
                <w:sz w:val="24"/>
                <w:rFonts w:ascii="Times New Roman" w:hAnsi="Times New Roman"/>
              </w:rPr>
            </w:pPr>
            <w:r>
              <w:rPr>
                <w:sz w:val="24"/>
                <w:rFonts w:ascii="Times New Roman" w:hAnsi="Times New Roman"/>
              </w:rPr>
              <w:t xml:space="preserve">Établissement de crédit qui détient une position de titrisation dans le cadre d'une opération de titrisation pour laquelle il n'est ni initiateur, ni sponsor, ni prêteur initial</w:t>
            </w:r>
          </w:p>
        </w:tc>
      </w:tr>
      <w:tr w:rsidR="00C55547" w:rsidRPr="004B0EC7" w14:paraId="3AE4557E" w14:textId="77777777" w:rsidTr="00E10B85">
        <w:tc>
          <w:tcPr>
            <w:tcW w:w="1008" w:type="dxa"/>
          </w:tcPr>
          <w:p w14:paraId="4017D379"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0080 – 0100</w:t>
            </w:r>
          </w:p>
        </w:tc>
        <w:tc>
          <w:tcPr>
            <w:tcW w:w="8204" w:type="dxa"/>
          </w:tcPr>
          <w:p w14:paraId="6D18A74A"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SPONSOR</w:t>
            </w:r>
          </w:p>
          <w:p w14:paraId="65D6B605" w14:textId="002B3FBA" w:rsidR="005C14B0" w:rsidRPr="004B0EC7" w:rsidRDefault="00E64BFE" w:rsidP="001E0C80">
            <w:pPr>
              <w:rPr>
                <w:sz w:val="24"/>
                <w:rFonts w:ascii="Times New Roman" w:hAnsi="Times New Roman"/>
              </w:rPr>
            </w:pPr>
            <w:r>
              <w:rPr>
                <w:sz w:val="24"/>
                <w:rFonts w:ascii="Times New Roman" w:hAnsi="Times New Roman"/>
              </w:rPr>
              <w:t xml:space="preserve"> </w:t>
            </w:r>
            <w:r>
              <w:rPr>
                <w:sz w:val="24"/>
                <w:rFonts w:ascii="Times New Roman" w:hAnsi="Times New Roman"/>
              </w:rPr>
              <w:t xml:space="preserve">Article 4, paragraphe 1, point 14), du règlement (UE) nº 575/2013.</w:t>
            </w:r>
            <w:r>
              <w:rPr>
                <w:sz w:val="24"/>
                <w:rFonts w:ascii="Times New Roman" w:hAnsi="Times New Roman"/>
              </w:rPr>
              <w:t xml:space="preserve"> </w:t>
            </w:r>
          </w:p>
          <w:p w14:paraId="7911CCA2" w14:textId="77777777" w:rsidR="00C55547" w:rsidRPr="004B0EC7" w:rsidRDefault="005F3BBE" w:rsidP="005F3BBE">
            <w:pPr>
              <w:rPr>
                <w:sz w:val="24"/>
                <w:rFonts w:ascii="Times New Roman" w:hAnsi="Times New Roman"/>
              </w:rPr>
            </w:pPr>
            <w:r>
              <w:rPr>
                <w:sz w:val="24"/>
                <w:rFonts w:ascii="Times New Roman" w:hAnsi="Times New Roman"/>
              </w:rPr>
              <w:t xml:space="preserve">Un sponsor qui titrise également ses propres actifs devra indiquer, dans les lignes sur l'initiateur, les informations relatives à ses propres actifs titrisés.</w:t>
            </w:r>
          </w:p>
        </w:tc>
      </w:tr>
      <w:tr w:rsidR="00C55547" w:rsidRPr="004B0EC7" w14:paraId="5A0251A3" w14:textId="77777777" w:rsidTr="00E10B85">
        <w:tc>
          <w:tcPr>
            <w:tcW w:w="1008" w:type="dxa"/>
          </w:tcPr>
          <w:p w14:paraId="64B09950"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0030, 0060 et 0090</w:t>
            </w:r>
          </w:p>
        </w:tc>
        <w:tc>
          <w:tcPr>
            <w:tcW w:w="8204" w:type="dxa"/>
          </w:tcPr>
          <w:p w14:paraId="65F68A65"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POSITIONS DE TITRISATION</w:t>
            </w:r>
          </w:p>
          <w:p w14:paraId="3E2839F4" w14:textId="4835C00E" w:rsidR="00C55547" w:rsidRPr="004B0EC7" w:rsidRDefault="00C55547" w:rsidP="00E10B85">
            <w:pPr>
              <w:rPr>
                <w:sz w:val="24"/>
                <w:rFonts w:ascii="Times New Roman" w:hAnsi="Times New Roman"/>
              </w:rPr>
            </w:pPr>
            <w:r>
              <w:rPr>
                <w:sz w:val="24"/>
                <w:rFonts w:ascii="Times New Roman" w:hAnsi="Times New Roman"/>
              </w:rPr>
              <w:t xml:space="preserve">Le portefeuille de négociation en corrélation doit se composer de titrisations, de dérivés de crédit au nième défaut et, éventuellement, d'autres positions de couverture qui satisfont aux critères énoncés à l'article 338, paragraphes 2 et 3, du règlement (UE) nº 575/2013.</w:t>
            </w:r>
          </w:p>
          <w:p w14:paraId="284429BF" w14:textId="77777777" w:rsidR="00C55547" w:rsidRPr="004B0EC7" w:rsidRDefault="00C55547" w:rsidP="00E10B85">
            <w:pPr>
              <w:rPr>
                <w:sz w:val="24"/>
                <w:rFonts w:ascii="Times New Roman" w:hAnsi="Times New Roman"/>
              </w:rPr>
            </w:pPr>
            <w:r>
              <w:rPr>
                <w:sz w:val="24"/>
                <w:rFonts w:ascii="Times New Roman" w:hAnsi="Times New Roman"/>
              </w:rPr>
              <w:t xml:space="preserve">Les dérivés d'expositions de titrisation qui offrent une répartition au prorata ainsi que les positions de couverture de positions CTP seront inscrits dans la ligne «Autres positions du portefeuille de négociation en corrélation».</w:t>
            </w:r>
          </w:p>
        </w:tc>
      </w:tr>
      <w:tr w:rsidR="00C55547" w:rsidRPr="004B0EC7" w14:paraId="310FE06B" w14:textId="77777777" w:rsidTr="00E10B85">
        <w:tc>
          <w:tcPr>
            <w:tcW w:w="1008" w:type="dxa"/>
          </w:tcPr>
          <w:p w14:paraId="2602BE79"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8204" w:type="dxa"/>
          </w:tcPr>
          <w:p w14:paraId="5251DCC8"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DÉRIVÉS DE CRÉDIT AU NIÈME DÉFAUT</w:t>
            </w:r>
          </w:p>
          <w:p w14:paraId="298FC0AB" w14:textId="5115C116" w:rsidR="00C55547" w:rsidRPr="004B0EC7" w:rsidRDefault="00C55547" w:rsidP="00E10B85">
            <w:pPr>
              <w:rPr>
                <w:sz w:val="24"/>
                <w:rFonts w:ascii="Times New Roman" w:hAnsi="Times New Roman"/>
              </w:rPr>
            </w:pPr>
            <w:r>
              <w:rPr>
                <w:sz w:val="24"/>
                <w:rFonts w:ascii="Times New Roman" w:hAnsi="Times New Roman"/>
              </w:rPr>
              <w:t xml:space="preserve">Les dérivés de crédit au nième défaut couverts par des dérivés de crédit au nième défaut, conformément à l'article 347 du règlement (UE) nº 575/2013, doivent être déclarés sous cette rubrique.</w:t>
            </w:r>
          </w:p>
          <w:p w14:paraId="0ADF3C10" w14:textId="77777777" w:rsidR="00C55547" w:rsidRPr="004B0EC7" w:rsidRDefault="00C55547" w:rsidP="00E10B85">
            <w:pPr>
              <w:rPr>
                <w:sz w:val="24"/>
                <w:rFonts w:ascii="Times New Roman" w:hAnsi="Times New Roman"/>
              </w:rPr>
            </w:pPr>
            <w:r>
              <w:rPr>
                <w:sz w:val="24"/>
                <w:rFonts w:ascii="Times New Roman" w:hAnsi="Times New Roman"/>
              </w:rPr>
              <w:t xml:space="preserve">L'initiateur, l'investisseur et le sponsor des positions ne conviennent pas pour les dérivés de crédit au nième défaut.</w:t>
            </w:r>
            <w:r>
              <w:rPr>
                <w:sz w:val="24"/>
                <w:rFonts w:ascii="Times New Roman" w:hAnsi="Times New Roman"/>
              </w:rPr>
              <w:t xml:space="preserve"> </w:t>
            </w:r>
            <w:r>
              <w:rPr>
                <w:sz w:val="24"/>
                <w:rFonts w:ascii="Times New Roman" w:hAnsi="Times New Roman"/>
              </w:rPr>
              <w:t xml:space="preserve">Dès lors, une ventilation concernant les positions de titrisation ne peut être fournie pour les dérivés de crédit au nième défaut.</w:t>
            </w:r>
          </w:p>
        </w:tc>
      </w:tr>
      <w:tr w:rsidR="00C55547" w:rsidRPr="004B0EC7" w14:paraId="3804EA7A" w14:textId="77777777" w:rsidTr="00E10B85">
        <w:tc>
          <w:tcPr>
            <w:tcW w:w="1008" w:type="dxa"/>
          </w:tcPr>
          <w:p w14:paraId="492141F6"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0040, 0070, 0100 et 0120</w:t>
            </w:r>
          </w:p>
        </w:tc>
        <w:tc>
          <w:tcPr>
            <w:tcW w:w="8204" w:type="dxa"/>
          </w:tcPr>
          <w:p w14:paraId="1BEC5316"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AUTRES POSITIONS DU PORTEFEUILLE DE NÉGOCIATION EN CORRÉLATION</w:t>
            </w:r>
          </w:p>
          <w:p w14:paraId="543C28DD" w14:textId="77777777" w:rsidR="00C55547" w:rsidRPr="004B0EC7" w:rsidRDefault="00C55547" w:rsidP="00E10B85">
            <w:pPr>
              <w:rPr>
                <w:sz w:val="24"/>
                <w:rFonts w:ascii="Times New Roman" w:hAnsi="Times New Roman"/>
              </w:rPr>
            </w:pPr>
            <w:r>
              <w:rPr>
                <w:sz w:val="24"/>
                <w:rFonts w:ascii="Times New Roman" w:hAnsi="Times New Roman"/>
              </w:rPr>
              <w:t xml:space="preserve">Les positions suivantes sont à inclure:</w:t>
            </w:r>
            <w:r>
              <w:rPr>
                <w:sz w:val="24"/>
                <w:rFonts w:ascii="Times New Roman" w:hAnsi="Times New Roman"/>
              </w:rPr>
              <w:t xml:space="preserve"> </w:t>
            </w:r>
          </w:p>
          <w:p w14:paraId="22F89721" w14:textId="77777777" w:rsidR="00C55547" w:rsidRPr="004B0EC7" w:rsidRDefault="00C55547" w:rsidP="00E10B85">
            <w:pPr>
              <w:tabs>
                <w:tab w:val="left" w:pos="720"/>
              </w:tabs>
              <w:ind w:left="720" w:hanging="360"/>
              <w:rPr>
                <w:sz w:val="24"/>
                <w:rFonts w:ascii="Times New Roman" w:hAnsi="Times New Roman"/>
              </w:rPr>
            </w:pPr>
            <w:r>
              <w:rPr>
                <w:sz w:val="24"/>
                <w:rFonts w:ascii="Symbol" w:hAnsi="Symbol"/>
              </w:rPr>
              <w:t xml:space="preserve"></w:t>
            </w:r>
            <w:r>
              <w:rPr>
                <w:sz w:val="24"/>
                <w:rFonts w:ascii="Symbol" w:hAnsi="Symbol"/>
              </w:rPr>
              <w:tab/>
            </w:r>
            <w:r>
              <w:rPr>
                <w:sz w:val="24"/>
                <w:rFonts w:ascii="Times New Roman" w:hAnsi="Times New Roman"/>
              </w:rPr>
              <w:t xml:space="preserve">les dérivés d’expositions de titrisation qui offrent une répartition au prorata ainsi que les positions de couverture de positions CTP;</w:t>
            </w:r>
          </w:p>
          <w:p w14:paraId="35CA9598" w14:textId="4A9D4754" w:rsidR="00C55547" w:rsidRPr="004B0EC7" w:rsidRDefault="00C55547" w:rsidP="00E10B85">
            <w:pPr>
              <w:tabs>
                <w:tab w:val="left" w:pos="720"/>
              </w:tabs>
              <w:ind w:left="720" w:hanging="360"/>
              <w:rPr>
                <w:sz w:val="24"/>
                <w:rFonts w:ascii="Times New Roman" w:hAnsi="Times New Roman"/>
              </w:rPr>
            </w:pPr>
            <w:r>
              <w:rPr>
                <w:sz w:val="24"/>
                <w:rFonts w:ascii="Symbol" w:hAnsi="Symbol"/>
              </w:rPr>
              <w:t xml:space="preserve"></w:t>
            </w:r>
            <w:r>
              <w:rPr>
                <w:sz w:val="24"/>
                <w:rFonts w:ascii="Symbol" w:hAnsi="Symbol"/>
              </w:rPr>
              <w:tab/>
            </w:r>
            <w:r>
              <w:rPr>
                <w:sz w:val="24"/>
                <w:rFonts w:ascii="Times New Roman" w:hAnsi="Times New Roman"/>
              </w:rPr>
              <w:t xml:space="preserve">les positions CTP couvertes par des dérivés de crédit, conformément à l’article 346 du règlement (UE) nº 575/2013;</w:t>
            </w:r>
          </w:p>
          <w:p w14:paraId="37D9C26F" w14:textId="0EC62F4B" w:rsidR="00C55547" w:rsidRPr="004B0EC7" w:rsidRDefault="00C55547" w:rsidP="005F3BBE">
            <w:pPr>
              <w:tabs>
                <w:tab w:val="left" w:pos="720"/>
              </w:tabs>
              <w:ind w:left="720" w:hanging="360"/>
              <w:rPr>
                <w:sz w:val="24"/>
                <w:rFonts w:ascii="Times New Roman" w:hAnsi="Times New Roman"/>
              </w:rPr>
            </w:pPr>
            <w:r>
              <w:rPr>
                <w:sz w:val="24"/>
                <w:rFonts w:ascii="Symbol" w:hAnsi="Symbol"/>
              </w:rPr>
              <w:t xml:space="preserve"></w:t>
            </w:r>
            <w:r>
              <w:rPr>
                <w:sz w:val="24"/>
                <w:rFonts w:ascii="Symbol" w:hAnsi="Symbol"/>
              </w:rPr>
              <w:tab/>
            </w:r>
            <w:r>
              <w:rPr>
                <w:sz w:val="24"/>
                <w:rFonts w:ascii="Times New Roman" w:hAnsi="Times New Roman"/>
              </w:rPr>
              <w:t xml:space="preserve">les autres positions qui respectent les dispositions de l’article 338, paragraphe 3, du règlement (UE) nº 575/2013.</w:t>
            </w:r>
          </w:p>
        </w:tc>
      </w:tr>
    </w:tbl>
    <w:p w14:paraId="2FA40F1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Pr>
          <w:sz w:val="24"/>
          <w:u w:val="none"/>
          <w:rFonts w:ascii="Times New Roman" w:hAnsi="Times New Roman"/>
        </w:rPr>
        <w:t xml:space="preserve">5.4.</w:t>
      </w:r>
      <w:r>
        <w:rPr>
          <w:sz w:val="24"/>
          <w:u w:val="none"/>
          <w:rFonts w:ascii="Times New Roman" w:hAnsi="Times New Roman"/>
        </w:rPr>
        <w:tab/>
      </w:r>
      <w:r>
        <w:rPr>
          <w:sz w:val="24"/>
          <w:rFonts w:ascii="Times New Roman" w:hAnsi="Times New Roman"/>
        </w:rPr>
        <w:t xml:space="preserve">C 21.01 – Risque de marché:</w:t>
      </w:r>
      <w:r>
        <w:rPr>
          <w:sz w:val="24"/>
          <w:rFonts w:ascii="Times New Roman" w:hAnsi="Times New Roman"/>
        </w:rPr>
        <w:t xml:space="preserve"> </w:t>
      </w:r>
      <w:r>
        <w:rPr>
          <w:sz w:val="24"/>
          <w:rFonts w:ascii="Times New Roman" w:hAnsi="Times New Roman"/>
        </w:rPr>
        <w:t xml:space="preserve">approche standard simplifiée du risque relatif aux positions sur actions </w:t>
      </w:r>
      <w:bookmarkEnd w:id="82"/>
      <w:bookmarkEnd w:id="83"/>
      <w:bookmarkEnd w:id="84"/>
      <w:bookmarkEnd w:id="85"/>
      <w:bookmarkEnd w:id="86"/>
      <w:r>
        <w:rPr>
          <w:sz w:val="24"/>
          <w:rFonts w:ascii="Times New Roman" w:hAnsi="Times New Roman"/>
        </w:rPr>
        <w:t xml:space="preserve">(MKR SSA EQU)</w:t>
      </w:r>
      <w:bookmarkEnd w:id="87"/>
      <w:bookmarkEnd w:id="88"/>
    </w:p>
    <w:p w14:paraId="28B3FACA"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Pr>
          <w:sz w:val="24"/>
          <w:u w:val="none"/>
          <w:rFonts w:ascii="Times New Roman" w:hAnsi="Times New Roman"/>
        </w:rPr>
        <w:t xml:space="preserve">5.4.1.</w:t>
      </w:r>
      <w:r>
        <w:rPr>
          <w:sz w:val="24"/>
          <w:u w:val="none"/>
          <w:rFonts w:ascii="Times New Roman" w:hAnsi="Times New Roman"/>
        </w:rPr>
        <w:tab/>
      </w:r>
      <w:r>
        <w:rPr>
          <w:sz w:val="24"/>
          <w:rFonts w:ascii="Times New Roman" w:hAnsi="Times New Roman"/>
        </w:rPr>
        <w:t xml:space="preserve">Remarques générales</w:t>
      </w:r>
      <w:bookmarkEnd w:id="89"/>
      <w:bookmarkEnd w:id="90"/>
      <w:bookmarkEnd w:id="91"/>
      <w:bookmarkEnd w:id="92"/>
      <w:bookmarkEnd w:id="93"/>
      <w:bookmarkEnd w:id="94"/>
      <w:bookmarkEnd w:id="95"/>
    </w:p>
    <w:p w14:paraId="1BA8EF6D" w14:textId="171A3E6F" w:rsidR="000B0B09"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169</w:t>
      </w:r>
      <w:r w:rsidRPr="004B0EC7">
        <w:fldChar w:fldCharType="end"/>
      </w:r>
      <w:r>
        <w:t xml:space="preserve">.</w:t>
      </w:r>
      <w:r>
        <w:tab/>
      </w:r>
      <w:r>
        <w:t xml:space="preserve"> </w:t>
      </w:r>
      <w:r>
        <w:t xml:space="preserve">Ce modèle rassemble des informations sur les positions et les exigences de fonds propres correspondantes pour risque de position lié aux actions du portefeuille de négociation, traitées selon l'approche standard.</w:t>
      </w:r>
    </w:p>
    <w:p w14:paraId="3AF5EC7C" w14:textId="2604BD99" w:rsidR="00B828CC"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170</w:t>
      </w:r>
      <w:r w:rsidRPr="004B0EC7">
        <w:fldChar w:fldCharType="end"/>
      </w:r>
      <w:r>
        <w:t xml:space="preserve">.</w:t>
      </w:r>
      <w:r>
        <w:tab/>
      </w:r>
      <w:r>
        <w:t xml:space="preserve"> </w:t>
      </w:r>
      <w:r>
        <w:t xml:space="preserve">Le modèle doit être rempli séparément pour le «Total» et pour une liste statique et prédéfinie de marchés:</w:t>
      </w:r>
      <w:r>
        <w:t xml:space="preserve"> </w:t>
      </w:r>
      <w:r>
        <w:t xml:space="preserve">Bulgarie, République tchèque, Danemark, Égypte, Hongrie, Islande, Liechtenstein, Norvège, Pologne, Roumanie, Suède, Royaume-Uni, Albanie, Japon, ancienne République yougoslave de Macédoine, Fédération de Russie, Serbie, Suisse, Turquie, Ukraine, États-Unis, zone euro, et un modèle supplémentaire pour tous les autres marchés.</w:t>
      </w:r>
      <w:r>
        <w:t xml:space="preserve"> </w:t>
      </w:r>
      <w:r>
        <w:t xml:space="preserve">Aux fins de la présente exigence de déclaration, le terme «marché» signifie «pays» (sauf pour les pays appartenant à la zone euro; voir règlement délégué (UE) nº 525/2014 de la Commission</w:t>
      </w:r>
      <w:r w:rsidR="00B828CC" w:rsidRPr="004B0EC7">
        <w:rPr>
          <w:rStyle w:val="FootnoteReference"/>
        </w:rPr>
        <w:footnoteReference w:id="2"/>
      </w:r>
      <w:r>
        <w:t xml:space="preserve">).</w:t>
      </w:r>
    </w:p>
    <w:p w14:paraId="077E1A41" w14:textId="0A87F23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Pr>
          <w:sz w:val="24"/>
          <w:u w:val="none"/>
          <w:rFonts w:ascii="Times New Roman" w:hAnsi="Times New Roman"/>
        </w:rPr>
        <w:t xml:space="preserve">5.4.2.</w:t>
      </w:r>
      <w:r>
        <w:rPr>
          <w:sz w:val="24"/>
          <w:u w:val="none"/>
          <w:rFonts w:ascii="Times New Roman" w:hAnsi="Times New Roman"/>
        </w:rPr>
        <w:tab/>
      </w:r>
      <w:r>
        <w:rPr>
          <w:sz w:val="24"/>
          <w:rFonts w:ascii="Times New Roman" w:hAnsi="Times New Roman"/>
        </w:rPr>
        <w:t xml:space="preserve">Instructions concernant certaines positions</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Colonnes</w:t>
            </w:r>
          </w:p>
        </w:tc>
      </w:tr>
      <w:tr w:rsidR="000B0B09" w:rsidRPr="004B0EC7" w14:paraId="1B6DCA2D" w14:textId="77777777" w:rsidTr="00672D2A">
        <w:tc>
          <w:tcPr>
            <w:tcW w:w="988" w:type="dxa"/>
          </w:tcPr>
          <w:p w14:paraId="2E10DD05"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0010 – 0020</w:t>
            </w:r>
          </w:p>
        </w:tc>
        <w:tc>
          <w:tcPr>
            <w:tcW w:w="7874" w:type="dxa"/>
          </w:tcPr>
          <w:p w14:paraId="57FBE31B" w14:textId="77777777" w:rsidR="000B0B09" w:rsidRPr="004B0EC7" w:rsidRDefault="000B0B09" w:rsidP="005F3BBE">
            <w:pPr>
              <w:autoSpaceDE w:val="0"/>
              <w:autoSpaceDN w:val="0"/>
              <w:adjustRightInd w:val="0"/>
              <w:rPr>
                <w:b/>
                <w:bCs/>
                <w:sz w:val="24"/>
                <w:u w:val="single"/>
                <w:rFonts w:ascii="Times New Roman" w:hAnsi="Times New Roman"/>
              </w:rPr>
            </w:pPr>
            <w:r>
              <w:rPr>
                <w:b/>
                <w:sz w:val="24"/>
                <w:u w:val="single"/>
                <w:rFonts w:ascii="Times New Roman" w:hAnsi="Times New Roman"/>
              </w:rPr>
              <w:t xml:space="preserve">TOUTES LES POSITIONS (LONGUES ET COURTES)</w:t>
            </w:r>
          </w:p>
          <w:p w14:paraId="754457ED" w14:textId="6411188D" w:rsidR="005C14B0" w:rsidRPr="004B0EC7" w:rsidRDefault="000B0B09" w:rsidP="005F3BBE">
            <w:pPr>
              <w:autoSpaceDE w:val="0"/>
              <w:autoSpaceDN w:val="0"/>
              <w:adjustRightInd w:val="0"/>
              <w:spacing w:before="0"/>
              <w:rPr>
                <w:sz w:val="24"/>
                <w:rFonts w:ascii="Times New Roman" w:hAnsi="Times New Roman"/>
              </w:rPr>
            </w:pPr>
            <w:r>
              <w:rPr>
                <w:sz w:val="24"/>
                <w:rFonts w:ascii="Times New Roman" w:hAnsi="Times New Roman"/>
              </w:rPr>
              <w:t xml:space="preserve">Article 102 et article 105, paragraphe 1, du règlement (UE) nº 575/2013.</w:t>
            </w:r>
            <w:r>
              <w:rPr>
                <w:sz w:val="24"/>
                <w:rFonts w:ascii="Times New Roman" w:hAnsi="Times New Roman"/>
              </w:rPr>
              <w:t xml:space="preserve"> </w:t>
            </w:r>
          </w:p>
          <w:p w14:paraId="59EE061F" w14:textId="7EE7BDEC" w:rsidR="000B0B09" w:rsidRPr="004B0EC7" w:rsidRDefault="000B0B09" w:rsidP="00E64BFE">
            <w:pPr>
              <w:autoSpaceDE w:val="0"/>
              <w:autoSpaceDN w:val="0"/>
              <w:adjustRightInd w:val="0"/>
              <w:spacing w:before="0"/>
              <w:rPr>
                <w:sz w:val="24"/>
                <w:rFonts w:ascii="Times New Roman" w:hAnsi="Times New Roman"/>
              </w:rPr>
            </w:pPr>
            <w:r>
              <w:rPr>
                <w:sz w:val="24"/>
                <w:rFonts w:ascii="Times New Roman" w:hAnsi="Times New Roman"/>
              </w:rPr>
              <w:t xml:space="preserve">Il s'agit de positions brutes qui ne sont pas compensées par des instruments, à l'exclusion des positions de prise ferme souscrites ou reprises par des tiers visées à l’article 345, paragraphe 1, premier alinéa, deuxième phrase, du règlement (UE) nº 575/2013.</w:t>
            </w:r>
            <w:r>
              <w:rPr>
                <w:sz w:val="24"/>
                <w:rFonts w:ascii="Times New Roman" w:hAnsi="Times New Roman"/>
              </w:rPr>
              <w:t xml:space="preserve"> </w:t>
            </w:r>
          </w:p>
        </w:tc>
      </w:tr>
      <w:tr w:rsidR="000B0B09" w:rsidRPr="004B0EC7" w14:paraId="518A8218" w14:textId="77777777" w:rsidTr="00672D2A">
        <w:tc>
          <w:tcPr>
            <w:tcW w:w="988" w:type="dxa"/>
          </w:tcPr>
          <w:p w14:paraId="5DF1DDF0"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0030 – 0040</w:t>
            </w:r>
            <w:r>
              <w:rPr>
                <w:sz w:val="24"/>
                <w:rFonts w:ascii="Times New Roman" w:hAnsi="Times New Roman"/>
              </w:rPr>
              <w:t xml:space="preserve"> </w:t>
            </w:r>
          </w:p>
        </w:tc>
        <w:tc>
          <w:tcPr>
            <w:tcW w:w="7874" w:type="dxa"/>
          </w:tcPr>
          <w:p w14:paraId="22DC25D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NETTES (LONGUES ET COURTES)</w:t>
            </w:r>
          </w:p>
          <w:p w14:paraId="72A57BC7" w14:textId="1B6E0BBC" w:rsidR="000B0B09" w:rsidRPr="004B0EC7" w:rsidRDefault="000B0B09" w:rsidP="005F3BBE">
            <w:pPr>
              <w:autoSpaceDE w:val="0"/>
              <w:autoSpaceDN w:val="0"/>
              <w:adjustRightInd w:val="0"/>
              <w:rPr>
                <w:sz w:val="24"/>
                <w:rFonts w:ascii="Times New Roman" w:hAnsi="Times New Roman"/>
              </w:rPr>
            </w:pPr>
            <w:r>
              <w:rPr>
                <w:sz w:val="24"/>
                <w:rFonts w:ascii="Times New Roman" w:hAnsi="Times New Roman"/>
              </w:rPr>
              <w:t xml:space="preserve">Articles 327, 329, 332, 341 et 345 du règlement (UE) nº 575/2013.</w:t>
            </w:r>
            <w:r>
              <w:rPr>
                <w:sz w:val="24"/>
                <w:rFonts w:ascii="Times New Roman" w:hAnsi="Times New Roman"/>
              </w:rPr>
              <w:t xml:space="preserve"> </w:t>
            </w:r>
          </w:p>
        </w:tc>
      </w:tr>
      <w:tr w:rsidR="000B0B09" w:rsidRPr="004B0EC7" w14:paraId="1ED40A34" w14:textId="77777777" w:rsidTr="00672D2A">
        <w:tc>
          <w:tcPr>
            <w:tcW w:w="988" w:type="dxa"/>
          </w:tcPr>
          <w:p w14:paraId="49ADB5D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74" w:type="dxa"/>
          </w:tcPr>
          <w:p w14:paraId="28262B96" w14:textId="77777777" w:rsidR="000B0B09" w:rsidRPr="004B0EC7" w:rsidRDefault="000B0B09" w:rsidP="000B0B09">
            <w:pPr>
              <w:tabs>
                <w:tab w:val="left" w:pos="579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SOUMISES AUX EXIGENCES DE FONDS PROPRES</w:t>
            </w:r>
          </w:p>
          <w:p w14:paraId="5B62E698" w14:textId="56A23293" w:rsidR="000B0B09" w:rsidRPr="004B0EC7" w:rsidRDefault="000B0B09" w:rsidP="005F3BBE">
            <w:pPr>
              <w:autoSpaceDE w:val="0"/>
              <w:autoSpaceDN w:val="0"/>
              <w:adjustRightInd w:val="0"/>
              <w:spacing w:after="0"/>
              <w:rPr>
                <w:sz w:val="24"/>
                <w:rFonts w:ascii="Times New Roman" w:hAnsi="Times New Roman"/>
              </w:rPr>
            </w:pPr>
            <w:r>
              <w:rPr>
                <w:sz w:val="24"/>
                <w:rFonts w:ascii="Times New Roman" w:hAnsi="Times New Roman"/>
              </w:rPr>
              <w:t xml:space="preserve">Positions nettes qui, conformément aux différentes approches envisagées dans la troisième partie, titre IV, chapitre 2, du règlement (UE) nº 575/2013, sont soumises à une exigence de fonds propres.</w:t>
            </w:r>
            <w:r>
              <w:rPr>
                <w:sz w:val="24"/>
                <w:rFonts w:ascii="Times New Roman" w:hAnsi="Times New Roman"/>
              </w:rPr>
              <w:t xml:space="preserve"> </w:t>
            </w:r>
            <w:r>
              <w:rPr>
                <w:sz w:val="24"/>
                <w:rFonts w:ascii="Times New Roman" w:hAnsi="Times New Roman"/>
              </w:rPr>
              <w:t xml:space="preserve">L'exigence de fonds propres doit être calculée séparément pour chaque marché national.</w:t>
            </w:r>
            <w:r>
              <w:rPr>
                <w:sz w:val="24"/>
                <w:rFonts w:ascii="Times New Roman" w:hAnsi="Times New Roman"/>
              </w:rPr>
              <w:t xml:space="preserve"> </w:t>
            </w:r>
            <w:r>
              <w:rPr>
                <w:sz w:val="24"/>
                <w:rFonts w:ascii="Times New Roman" w:hAnsi="Times New Roman"/>
              </w:rPr>
              <w:t xml:space="preserve">Les positions sur des contrats à terme sur indice boursier visés à l'article 344, paragraphe 4, deuxième phrase, du règlement (UE) nº 575/2013 ne sont pas à inclure dans cette colonne.</w:t>
            </w:r>
          </w:p>
          <w:p w14:paraId="7C352B8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74" w:type="dxa"/>
          </w:tcPr>
          <w:p w14:paraId="3258053C" w14:textId="679461BC"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 AVANT APPLICATION DU FACTEUR DE MAJORATION</w:t>
            </w:r>
          </w:p>
          <w:p w14:paraId="75CDA27D" w14:textId="1AD90BE9" w:rsidR="000B0B09" w:rsidRPr="004B0EC7" w:rsidRDefault="000B0B09" w:rsidP="005F3BBE">
            <w:pPr>
              <w:autoSpaceDE w:val="0"/>
              <w:autoSpaceDN w:val="0"/>
              <w:adjustRightInd w:val="0"/>
              <w:spacing w:after="0"/>
              <w:rPr>
                <w:sz w:val="24"/>
                <w:rFonts w:ascii="Times New Roman" w:hAnsi="Times New Roman"/>
              </w:rPr>
            </w:pPr>
            <w:r>
              <w:rPr>
                <w:sz w:val="24"/>
                <w:rFonts w:ascii="Times New Roman" w:hAnsi="Times New Roman"/>
              </w:rPr>
              <w:t xml:space="preserve">L’exigence de fonds propres conformément à la troisième partie, titre IV, chapitre 2, du règlement (UE) nº 575/2013, pour toute position pertinente avant application des facteurs de majoration visés à l’article 325, paragraphe 2, point a), ii), dudit règlement.</w:t>
            </w:r>
          </w:p>
          <w:p w14:paraId="6CDF917D"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4" w:type="dxa"/>
          </w:tcPr>
          <w:p w14:paraId="1A727463" w14:textId="77777777"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MONTANT TOTAL D'EXPOSITION AU RISQUE</w:t>
            </w:r>
          </w:p>
          <w:p w14:paraId="33E7C378" w14:textId="2CD315CB" w:rsidR="00E64BFE" w:rsidRPr="004B0EC7" w:rsidRDefault="000B0B09" w:rsidP="005F3BBE">
            <w:pPr>
              <w:tabs>
                <w:tab w:val="left" w:pos="1665"/>
              </w:tabs>
              <w:autoSpaceDE w:val="0"/>
              <w:autoSpaceDN w:val="0"/>
              <w:adjustRightInd w:val="0"/>
              <w:spacing w:after="0"/>
              <w:rPr>
                <w:sz w:val="24"/>
                <w:rFonts w:ascii="Times New Roman" w:hAnsi="Times New Roman"/>
              </w:rPr>
            </w:pPr>
            <w:r>
              <w:rPr>
                <w:sz w:val="24"/>
                <w:rFonts w:ascii="Times New Roman" w:hAnsi="Times New Roman"/>
              </w:rPr>
              <w:t xml:space="preserve">Article 92, paragraphe 4, point b), i), du règlement (UE) nº 575/2013.</w:t>
            </w:r>
            <w:r>
              <w:rPr>
                <w:sz w:val="24"/>
                <w:rFonts w:ascii="Times New Roman" w:hAnsi="Times New Roman"/>
              </w:rPr>
              <w:t xml:space="preserve"> </w:t>
            </w:r>
          </w:p>
          <w:p w14:paraId="5D42B3B3" w14:textId="746A8766" w:rsidR="000B0B09" w:rsidRPr="004B0EC7" w:rsidRDefault="000B0B09" w:rsidP="00B828CC">
            <w:pPr>
              <w:tabs>
                <w:tab w:val="left" w:pos="1665"/>
              </w:tabs>
              <w:autoSpaceDE w:val="0"/>
              <w:autoSpaceDN w:val="0"/>
              <w:adjustRightInd w:val="0"/>
              <w:rPr>
                <w:b/>
                <w:bCs/>
                <w:sz w:val="24"/>
                <w:u w:val="single"/>
                <w:rFonts w:ascii="Times New Roman" w:hAnsi="Times New Roman"/>
              </w:rPr>
            </w:pPr>
            <w:r>
              <w:rPr>
                <w:sz w:val="24"/>
                <w:rFonts w:ascii="Times New Roman" w:hAnsi="Times New Roman"/>
              </w:rPr>
              <w:t xml:space="preserve">Résultat de la multiplication des exigences de fonds propres par 12,5 conformément à l’article 92, paragraphe 6, point b), du règlement (UE) nº 575/2013, et par le facteur de majoration conformément à l’article 325, paragraphe 2, point a), ii), dudit règlement.</w:t>
            </w:r>
          </w:p>
        </w:tc>
      </w:tr>
    </w:tbl>
    <w:p w14:paraId="62FB026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Lignes</w:t>
            </w:r>
          </w:p>
        </w:tc>
      </w:tr>
      <w:tr w:rsidR="000B0B09" w:rsidRPr="004B0EC7" w14:paraId="7546B05C" w14:textId="77777777" w:rsidTr="00672D2A">
        <w:tc>
          <w:tcPr>
            <w:tcW w:w="1008" w:type="dxa"/>
          </w:tcPr>
          <w:p w14:paraId="7BE875B0"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0010 – 0130</w:t>
            </w:r>
          </w:p>
        </w:tc>
        <w:tc>
          <w:tcPr>
            <w:tcW w:w="8204" w:type="dxa"/>
          </w:tcPr>
          <w:p w14:paraId="1FF7DE12"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ACTIONS DU PORTEFEUILLE DE NÉGOCIATION</w:t>
            </w:r>
          </w:p>
          <w:p w14:paraId="030F1935" w14:textId="5FC6F493" w:rsidR="000B0B09" w:rsidRPr="004B0EC7" w:rsidRDefault="000B0B09" w:rsidP="007062FD">
            <w:pPr>
              <w:tabs>
                <w:tab w:val="left" w:pos="1665"/>
              </w:tabs>
              <w:autoSpaceDE w:val="0"/>
              <w:autoSpaceDN w:val="0"/>
              <w:adjustRightInd w:val="0"/>
              <w:rPr>
                <w:sz w:val="24"/>
                <w:rFonts w:ascii="Times New Roman" w:hAnsi="Times New Roman"/>
              </w:rPr>
            </w:pPr>
            <w:r>
              <w:rPr>
                <w:sz w:val="24"/>
                <w:rFonts w:ascii="Times New Roman" w:hAnsi="Times New Roman"/>
              </w:rPr>
              <w:t xml:space="preserve">Exigences de fonds propres pour risque de position visée à l'article 92, paragraphe 4, point b), i), du règlement (UE) nº 575/2013 et à la troisième partie, titre IV, chapitre 2, section 3, dudit règlement.</w:t>
            </w:r>
          </w:p>
        </w:tc>
      </w:tr>
      <w:tr w:rsidR="000B0B09" w:rsidRPr="004B0EC7" w14:paraId="06FCC7F1" w14:textId="77777777" w:rsidTr="00672D2A">
        <w:tc>
          <w:tcPr>
            <w:tcW w:w="1008" w:type="dxa"/>
          </w:tcPr>
          <w:p w14:paraId="33E8BCC6"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0020 – 0040</w:t>
            </w:r>
          </w:p>
        </w:tc>
        <w:tc>
          <w:tcPr>
            <w:tcW w:w="8204" w:type="dxa"/>
          </w:tcPr>
          <w:p w14:paraId="029ED25F"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RISQUE GÉNÉRAL</w:t>
            </w:r>
          </w:p>
          <w:p w14:paraId="21F94335" w14:textId="276AABDB" w:rsidR="000B0B09" w:rsidRPr="004B0EC7" w:rsidRDefault="000B0B09" w:rsidP="005F3BBE">
            <w:pPr>
              <w:autoSpaceDE w:val="0"/>
              <w:autoSpaceDN w:val="0"/>
              <w:adjustRightInd w:val="0"/>
              <w:rPr>
                <w:sz w:val="24"/>
                <w:rFonts w:ascii="Times New Roman" w:hAnsi="Times New Roman"/>
              </w:rPr>
            </w:pPr>
            <w:r>
              <w:rPr>
                <w:sz w:val="24"/>
                <w:rFonts w:ascii="Times New Roman" w:hAnsi="Times New Roman"/>
              </w:rPr>
              <w:t xml:space="preserve">Positions sur actions soumises au risque général [article 343 du règlement (UE) nº 575/2013] et exigences de fonds propres correspondantes conformément à la troisième partie, titre IV, chapitre 2, section 3, dudit règlement</w:t>
            </w:r>
            <w:r>
              <w:rPr>
                <w:sz w:val="24"/>
                <w:rFonts w:ascii="Times New Roman" w:hAnsi="Times New Roman"/>
              </w:rPr>
              <w:t xml:space="preserve"> </w:t>
            </w:r>
          </w:p>
          <w:p w14:paraId="729400AD" w14:textId="77777777" w:rsidR="001E0C80" w:rsidRPr="004B0EC7" w:rsidRDefault="000B0B09" w:rsidP="005F3BBE">
            <w:pPr>
              <w:autoSpaceDE w:val="0"/>
              <w:autoSpaceDN w:val="0"/>
              <w:adjustRightInd w:val="0"/>
              <w:spacing w:before="0"/>
              <w:rPr>
                <w:sz w:val="24"/>
                <w:rFonts w:ascii="Times New Roman" w:hAnsi="Times New Roman"/>
              </w:rPr>
            </w:pPr>
            <w:r>
              <w:rPr>
                <w:sz w:val="24"/>
                <w:rFonts w:ascii="Times New Roman" w:hAnsi="Times New Roman"/>
              </w:rPr>
              <w:t xml:space="preserve">Les deux ventilations (lignes 0021/0022 ainsi que lignes 0030/0040) couvrent l’ensemble des positions soumises au risque général.</w:t>
            </w:r>
          </w:p>
          <w:p w14:paraId="32EAD513" w14:textId="77777777" w:rsidR="004E2725" w:rsidRPr="004B0EC7" w:rsidRDefault="000B0B09">
            <w:pPr>
              <w:autoSpaceDE w:val="0"/>
              <w:autoSpaceDN w:val="0"/>
              <w:adjustRightInd w:val="0"/>
              <w:spacing w:before="0" w:after="0"/>
              <w:rPr>
                <w:sz w:val="24"/>
                <w:rFonts w:ascii="Times New Roman" w:hAnsi="Times New Roman"/>
              </w:rPr>
            </w:pPr>
            <w:r>
              <w:rPr>
                <w:sz w:val="24"/>
                <w:rFonts w:ascii="Times New Roman" w:hAnsi="Times New Roman"/>
              </w:rPr>
              <w:t xml:space="preserve">Les lignes 0021 et 0022 rassemblent des informations sur la répartition en fonction des instruments.</w:t>
            </w:r>
            <w:r>
              <w:rPr>
                <w:sz w:val="24"/>
                <w:rFonts w:ascii="Times New Roman" w:hAnsi="Times New Roman"/>
              </w:rPr>
              <w:t xml:space="preserve"> </w:t>
            </w:r>
          </w:p>
          <w:p w14:paraId="75FD06DA" w14:textId="77777777" w:rsidR="000B0B09" w:rsidRPr="004B0EC7" w:rsidRDefault="000B0B09" w:rsidP="00B828CC">
            <w:pPr>
              <w:tabs>
                <w:tab w:val="left" w:pos="1665"/>
              </w:tabs>
              <w:autoSpaceDE w:val="0"/>
              <w:autoSpaceDN w:val="0"/>
              <w:adjustRightInd w:val="0"/>
              <w:rPr>
                <w:sz w:val="24"/>
                <w:rFonts w:ascii="Times New Roman" w:hAnsi="Times New Roman"/>
              </w:rPr>
            </w:pPr>
            <w:r>
              <w:rPr>
                <w:sz w:val="24"/>
                <w:rFonts w:ascii="Times New Roman" w:hAnsi="Times New Roman"/>
              </w:rPr>
              <w:t xml:space="preserve">Seule la ventilation des lignes 0030 et 0040 doit être utilisée comme base de calcul des exigences de fonds propres.</w:t>
            </w:r>
          </w:p>
        </w:tc>
      </w:tr>
      <w:tr w:rsidR="000B0B09" w:rsidRPr="004B0EC7" w14:paraId="7E2E7066" w14:textId="77777777" w:rsidTr="00672D2A">
        <w:tc>
          <w:tcPr>
            <w:tcW w:w="1008" w:type="dxa"/>
          </w:tcPr>
          <w:p w14:paraId="2A8F2E03"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0021</w:t>
            </w:r>
          </w:p>
        </w:tc>
        <w:tc>
          <w:tcPr>
            <w:tcW w:w="8204" w:type="dxa"/>
          </w:tcPr>
          <w:p w14:paraId="51E4EB2D" w14:textId="77777777" w:rsidR="000B0B09" w:rsidRPr="004B0EC7" w:rsidRDefault="000B0B09" w:rsidP="000B0B09">
            <w:pPr>
              <w:autoSpaceDE w:val="0"/>
              <w:autoSpaceDN w:val="0"/>
              <w:adjustRightInd w:val="0"/>
              <w:spacing w:before="0" w:after="0"/>
              <w:rPr>
                <w:b/>
                <w:sz w:val="24"/>
                <w:u w:val="single"/>
                <w:rFonts w:ascii="Times New Roman" w:hAnsi="Times New Roman"/>
              </w:rPr>
            </w:pPr>
            <w:r>
              <w:rPr>
                <w:b/>
                <w:sz w:val="24"/>
                <w:u w:val="single"/>
                <w:rFonts w:ascii="Times New Roman" w:hAnsi="Times New Roman"/>
              </w:rPr>
              <w:t xml:space="preserve">Dérivés</w:t>
            </w:r>
          </w:p>
          <w:p w14:paraId="561EFF21" w14:textId="424FAD2D" w:rsidR="000B0B09" w:rsidRPr="004B0EC7" w:rsidRDefault="000B0B09" w:rsidP="005F3BBE">
            <w:pPr>
              <w:autoSpaceDE w:val="0"/>
              <w:autoSpaceDN w:val="0"/>
              <w:adjustRightInd w:val="0"/>
              <w:rPr>
                <w:b/>
                <w:bCs/>
                <w:sz w:val="24"/>
                <w:u w:val="single"/>
                <w:rFonts w:ascii="Times New Roman" w:hAnsi="Times New Roman"/>
              </w:rPr>
            </w:pPr>
            <w:r>
              <w:rPr>
                <w:sz w:val="24"/>
                <w:rFonts w:ascii="Times New Roman" w:hAnsi="Times New Roman"/>
              </w:rPr>
              <w:t xml:space="preserve">Dérivés inclus dans le calcul du risque lié aux actions des positions du portefeuille de négociation, compte tenu des articles 329 et 332 du règlement (UE) nº 575/2013, le cas échéant</w:t>
            </w:r>
          </w:p>
        </w:tc>
      </w:tr>
      <w:tr w:rsidR="000B0B09" w:rsidRPr="004B0EC7" w14:paraId="70CC2A6A" w14:textId="77777777" w:rsidTr="00672D2A">
        <w:tc>
          <w:tcPr>
            <w:tcW w:w="1008" w:type="dxa"/>
          </w:tcPr>
          <w:p w14:paraId="569AE9F8"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0022</w:t>
            </w:r>
          </w:p>
        </w:tc>
        <w:tc>
          <w:tcPr>
            <w:tcW w:w="8204" w:type="dxa"/>
          </w:tcPr>
          <w:p w14:paraId="100EC51C" w14:textId="77777777" w:rsidR="000B0B09" w:rsidRPr="004B0EC7" w:rsidRDefault="000B0B09" w:rsidP="000B0B09">
            <w:pPr>
              <w:autoSpaceDE w:val="0"/>
              <w:autoSpaceDN w:val="0"/>
              <w:adjustRightInd w:val="0"/>
              <w:spacing w:before="0" w:after="0"/>
              <w:rPr>
                <w:b/>
                <w:sz w:val="24"/>
                <w:u w:val="single"/>
                <w:rFonts w:ascii="Times New Roman" w:hAnsi="Times New Roman"/>
              </w:rPr>
            </w:pPr>
            <w:r>
              <w:rPr>
                <w:b/>
                <w:sz w:val="24"/>
                <w:u w:val="single"/>
                <w:rFonts w:ascii="Times New Roman" w:hAnsi="Times New Roman"/>
              </w:rPr>
              <w:t xml:space="preserve">Autres éléments d'actif et de passif</w:t>
            </w:r>
          </w:p>
          <w:p w14:paraId="21AC79DF" w14:textId="77777777" w:rsidR="000B0B09" w:rsidRPr="004B0EC7" w:rsidRDefault="000B0B09" w:rsidP="005F3BBE">
            <w:pPr>
              <w:autoSpaceDE w:val="0"/>
              <w:autoSpaceDN w:val="0"/>
              <w:adjustRightInd w:val="0"/>
              <w:rPr>
                <w:b/>
                <w:bCs/>
                <w:sz w:val="24"/>
                <w:u w:val="single"/>
                <w:rFonts w:ascii="Times New Roman" w:hAnsi="Times New Roman"/>
              </w:rPr>
            </w:pPr>
            <w:r>
              <w:rPr>
                <w:sz w:val="24"/>
                <w:rFonts w:ascii="Times New Roman" w:hAnsi="Times New Roman"/>
              </w:rPr>
              <w:t xml:space="preserve">Instruments autres que des dérivés inclus dans le calcul du risque lié aux actions des positions du portefeuille de négociation.</w:t>
            </w:r>
            <w:r>
              <w:rPr>
                <w:sz w:val="24"/>
                <w:rFonts w:ascii="Times New Roman" w:hAnsi="Times New Roman"/>
              </w:rPr>
              <w:t xml:space="preserve"> </w:t>
            </w:r>
          </w:p>
        </w:tc>
      </w:tr>
      <w:tr w:rsidR="000B0B09" w:rsidRPr="004B0EC7" w14:paraId="2ECBC519" w14:textId="77777777" w:rsidTr="00672D2A">
        <w:tc>
          <w:tcPr>
            <w:tcW w:w="1008" w:type="dxa"/>
          </w:tcPr>
          <w:p w14:paraId="63840C82"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8204" w:type="dxa"/>
          </w:tcPr>
          <w:p w14:paraId="5BE0B58F"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Contrats à terme sur indice boursier largement diversifiés, négociés en bourse, et faisant l'objet d'une approche spécifique</w:t>
            </w:r>
          </w:p>
          <w:p w14:paraId="56A22316" w14:textId="77777777" w:rsidR="005C14B0" w:rsidRPr="004B0EC7" w:rsidRDefault="000B0B09" w:rsidP="00B828CC">
            <w:pPr>
              <w:tabs>
                <w:tab w:val="left" w:pos="1665"/>
              </w:tabs>
              <w:autoSpaceDE w:val="0"/>
              <w:autoSpaceDN w:val="0"/>
              <w:adjustRightInd w:val="0"/>
              <w:rPr>
                <w:sz w:val="24"/>
                <w:rFonts w:ascii="Times New Roman" w:hAnsi="Times New Roman"/>
              </w:rPr>
            </w:pPr>
            <w:r>
              <w:rPr>
                <w:sz w:val="24"/>
                <w:rFonts w:ascii="Times New Roman" w:hAnsi="Times New Roman"/>
              </w:rPr>
              <w:t xml:space="preserve">Contrats à terme sur indice boursier négociés en bourse largement diversifiés et faisant l’objet d’une approche spécifique conformément au règlement d’exécution (UE) nº 945/2014 de la Commission</w:t>
            </w:r>
            <w:r w:rsidR="00A11C6E" w:rsidRPr="004B0EC7">
              <w:rPr>
                <w:rStyle w:val="FootnoteReference"/>
              </w:rPr>
              <w:footnoteReference w:id="3"/>
            </w:r>
          </w:p>
          <w:p w14:paraId="2528F1AA" w14:textId="77777777" w:rsidR="000B0B09" w:rsidRPr="004B0EC7" w:rsidRDefault="000B0B09" w:rsidP="00B828CC">
            <w:pPr>
              <w:tabs>
                <w:tab w:val="left" w:pos="1665"/>
              </w:tabs>
              <w:autoSpaceDE w:val="0"/>
              <w:autoSpaceDN w:val="0"/>
              <w:adjustRightInd w:val="0"/>
              <w:rPr>
                <w:b/>
                <w:bCs/>
                <w:sz w:val="24"/>
                <w:u w:val="single"/>
                <w:rFonts w:ascii="Times New Roman" w:hAnsi="Times New Roman"/>
              </w:rPr>
            </w:pPr>
            <w:r>
              <w:rPr>
                <w:sz w:val="24"/>
                <w:rFonts w:ascii="Times New Roman" w:hAnsi="Times New Roman"/>
              </w:rPr>
              <w:t xml:space="preserve">Ces positions sont soumises au seul risque général et ne doivent donc pas être déclarées à la ligne 0050.</w:t>
            </w:r>
          </w:p>
        </w:tc>
      </w:tr>
      <w:tr w:rsidR="000B0B09" w:rsidRPr="004B0EC7" w14:paraId="132F7A31" w14:textId="77777777" w:rsidTr="00672D2A">
        <w:tc>
          <w:tcPr>
            <w:tcW w:w="1008" w:type="dxa"/>
          </w:tcPr>
          <w:p w14:paraId="5A552EB7"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8204" w:type="dxa"/>
          </w:tcPr>
          <w:p w14:paraId="10EE0C22"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Actions différentes d'un contrat à terme sur indice boursier négocié en bourse largement diversifié</w:t>
            </w:r>
          </w:p>
          <w:p w14:paraId="17542C2D" w14:textId="0BABB084" w:rsidR="000B0B09" w:rsidRPr="004B0EC7" w:rsidRDefault="000B0B09" w:rsidP="007062FD">
            <w:pPr>
              <w:autoSpaceDE w:val="0"/>
              <w:autoSpaceDN w:val="0"/>
              <w:adjustRightInd w:val="0"/>
              <w:rPr>
                <w:sz w:val="24"/>
                <w:rFonts w:ascii="Times New Roman" w:hAnsi="Times New Roman"/>
              </w:rPr>
            </w:pPr>
            <w:r>
              <w:rPr>
                <w:sz w:val="24"/>
                <w:rFonts w:ascii="Times New Roman" w:hAnsi="Times New Roman"/>
              </w:rPr>
              <w:t xml:space="preserve">Autres positions sur actions soumises au risque spécifique ainsi que leurs exigences de fonds propres correspondantes conformément à l’article 343 du règlement (UE) nº 575/2013, y compris les positions sur des contrats à terme sur indice boursier traitées conformément à l’article 344, paragraphe 3, dudit règlement.</w:t>
            </w:r>
          </w:p>
        </w:tc>
      </w:tr>
      <w:tr w:rsidR="000B0B09" w:rsidRPr="004B0EC7" w14:paraId="10C7ACD9" w14:textId="77777777" w:rsidTr="00672D2A">
        <w:tc>
          <w:tcPr>
            <w:tcW w:w="1008" w:type="dxa"/>
          </w:tcPr>
          <w:p w14:paraId="1F6F53FD"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0050</w:t>
            </w:r>
            <w:r>
              <w:rPr>
                <w:sz w:val="24"/>
                <w:rFonts w:ascii="Times New Roman" w:hAnsi="Times New Roman"/>
              </w:rPr>
              <w:t xml:space="preserve"> </w:t>
            </w:r>
          </w:p>
        </w:tc>
        <w:tc>
          <w:tcPr>
            <w:tcW w:w="8204" w:type="dxa"/>
          </w:tcPr>
          <w:p w14:paraId="0CF5CE8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RISQUE SPÉCIFIQUE</w:t>
            </w:r>
          </w:p>
          <w:p w14:paraId="4CFFEA2D" w14:textId="05674FED" w:rsidR="000B0B09" w:rsidRPr="004B0EC7" w:rsidRDefault="000B0B09" w:rsidP="007062FD">
            <w:pPr>
              <w:autoSpaceDE w:val="0"/>
              <w:autoSpaceDN w:val="0"/>
              <w:adjustRightInd w:val="0"/>
              <w:rPr>
                <w:sz w:val="24"/>
                <w:rFonts w:ascii="Times New Roman" w:hAnsi="Times New Roman"/>
              </w:rPr>
            </w:pPr>
            <w:r>
              <w:rPr>
                <w:sz w:val="24"/>
                <w:rFonts w:ascii="Times New Roman" w:hAnsi="Times New Roman"/>
              </w:rPr>
              <w:t xml:space="preserve">Positions sur actions soumises au risque spécifique ainsi que leurs exigences de fonds propres correspondantes conformément à l’article 342 du règlement (UE) nº 575/2013, à l’exclusion des positions sur des contrats à terme sur indice boursier traitées conformément à l’article 344, paragraphe 4, deuxième phrase, dudit règlement.</w:t>
            </w:r>
            <w:r>
              <w:rPr>
                <w:sz w:val="24"/>
                <w:rFonts w:ascii="Times New Roman" w:hAnsi="Times New Roman"/>
              </w:rPr>
              <w:t xml:space="preserve"> </w:t>
            </w:r>
          </w:p>
        </w:tc>
      </w:tr>
      <w:tr w:rsidR="000B0B09" w:rsidRPr="004B0EC7" w14:paraId="63780725" w14:textId="77777777" w:rsidTr="00672D2A">
        <w:tc>
          <w:tcPr>
            <w:tcW w:w="1008" w:type="dxa"/>
          </w:tcPr>
          <w:p w14:paraId="573EB4E8"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0090 – 0130</w:t>
            </w:r>
          </w:p>
        </w:tc>
        <w:tc>
          <w:tcPr>
            <w:tcW w:w="8204" w:type="dxa"/>
          </w:tcPr>
          <w:p w14:paraId="1BAF0B57"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rStyle w:val="InstructionsTabelleberschrift"/>
                <w:sz w:val="24"/>
                <w:rFonts w:ascii="Times New Roman" w:hAnsi="Times New Roman"/>
              </w:rPr>
              <w:t xml:space="preserve">EXIGENCES SUPPLÉMENTAIRES POUR RISQUES SUR OPTIONS (RISQUES NON DELTA)</w:t>
            </w:r>
          </w:p>
          <w:p w14:paraId="2552C107" w14:textId="2AD28847" w:rsidR="000B0B09" w:rsidRPr="004B0EC7" w:rsidRDefault="00F2521E" w:rsidP="00F2521E">
            <w:pPr>
              <w:autoSpaceDE w:val="0"/>
              <w:autoSpaceDN w:val="0"/>
              <w:adjustRightInd w:val="0"/>
              <w:rPr>
                <w:sz w:val="24"/>
                <w:rFonts w:ascii="Times New Roman" w:hAnsi="Times New Roman"/>
              </w:rPr>
            </w:pPr>
            <w:r>
              <w:rPr>
                <w:sz w:val="24"/>
                <w:rFonts w:ascii="Times New Roman" w:hAnsi="Times New Roman"/>
              </w:rPr>
              <w:t xml:space="preserve">Article 329, paragraphes 2 et 3, du règlement (UE) nº 575/2013.</w:t>
            </w:r>
            <w:r>
              <w:rPr>
                <w:sz w:val="24"/>
                <w:rFonts w:ascii="Times New Roman" w:hAnsi="Times New Roman"/>
              </w:rPr>
              <w:t xml:space="preserve"> </w:t>
            </w:r>
          </w:p>
          <w:p w14:paraId="72C3FAC3" w14:textId="77777777" w:rsidR="000B0B09" w:rsidRPr="004B0EC7" w:rsidRDefault="000B0B09">
            <w:pPr>
              <w:autoSpaceDE w:val="0"/>
              <w:autoSpaceDN w:val="0"/>
              <w:adjustRightInd w:val="0"/>
              <w:spacing w:before="0" w:after="0"/>
              <w:rPr>
                <w:sz w:val="24"/>
                <w:rFonts w:ascii="Times New Roman" w:hAnsi="Times New Roman"/>
              </w:rPr>
            </w:pPr>
            <w:r>
              <w:rPr>
                <w:sz w:val="24"/>
                <w:rFonts w:ascii="Times New Roman" w:hAnsi="Times New Roman"/>
              </w:rPr>
              <w:t xml:space="preserve">Les exigences supplémentaires pour les options liées aux risques autres que le risque delta seront déclarées dans la méthode appliquée pour leur calcul.</w:t>
            </w:r>
          </w:p>
        </w:tc>
      </w:tr>
    </w:tbl>
    <w:p w14:paraId="0EB6FD79"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Pr>
          <w:sz w:val="24"/>
          <w:u w:val="none"/>
          <w:rFonts w:ascii="Times New Roman" w:hAnsi="Times New Roman"/>
        </w:rPr>
        <w:t xml:space="preserve">5.5.</w:t>
      </w:r>
      <w:r>
        <w:rPr>
          <w:sz w:val="24"/>
          <w:u w:val="none"/>
          <w:rFonts w:ascii="Times New Roman" w:hAnsi="Times New Roman"/>
        </w:rPr>
        <w:tab/>
      </w:r>
      <w:r>
        <w:rPr>
          <w:sz w:val="24"/>
          <w:rFonts w:ascii="Times New Roman" w:hAnsi="Times New Roman"/>
        </w:rPr>
        <w:t xml:space="preserve">C 22.01 – Risque de marché:</w:t>
      </w:r>
      <w:r>
        <w:rPr>
          <w:sz w:val="24"/>
          <w:rFonts w:ascii="Times New Roman" w:hAnsi="Times New Roman"/>
        </w:rPr>
        <w:t xml:space="preserve"> </w:t>
      </w:r>
      <w:r>
        <w:rPr>
          <w:sz w:val="24"/>
          <w:rFonts w:ascii="Times New Roman" w:hAnsi="Times New Roman"/>
        </w:rPr>
        <w:t xml:space="preserve">approche standard simplifiée du risque de change</w:t>
      </w:r>
      <w:bookmarkEnd w:id="103"/>
      <w:bookmarkEnd w:id="104"/>
      <w:bookmarkEnd w:id="105"/>
      <w:bookmarkEnd w:id="106"/>
      <w:bookmarkEnd w:id="107"/>
      <w:r>
        <w:rPr>
          <w:sz w:val="24"/>
          <w:rFonts w:ascii="Times New Roman" w:hAnsi="Times New Roman"/>
        </w:rPr>
        <w:t xml:space="preserve"> (MKR SSA FX)</w:t>
      </w:r>
      <w:bookmarkEnd w:id="108"/>
      <w:bookmarkEnd w:id="109"/>
    </w:p>
    <w:p w14:paraId="70FD2A29"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Pr>
          <w:sz w:val="24"/>
          <w:u w:val="none"/>
          <w:rFonts w:ascii="Times New Roman" w:hAnsi="Times New Roman"/>
        </w:rPr>
        <w:t xml:space="preserve">5.5.1.</w:t>
      </w:r>
      <w:r>
        <w:rPr>
          <w:sz w:val="24"/>
          <w:u w:val="none"/>
          <w:rFonts w:ascii="Times New Roman" w:hAnsi="Times New Roman"/>
        </w:rPr>
        <w:tab/>
      </w:r>
      <w:r>
        <w:rPr>
          <w:sz w:val="24"/>
          <w:rFonts w:ascii="Times New Roman" w:hAnsi="Times New Roman"/>
        </w:rPr>
        <w:t xml:space="preserve">Remarques générales</w:t>
      </w:r>
      <w:bookmarkEnd w:id="110"/>
      <w:bookmarkEnd w:id="111"/>
      <w:bookmarkEnd w:id="112"/>
      <w:bookmarkEnd w:id="113"/>
      <w:bookmarkEnd w:id="114"/>
      <w:bookmarkEnd w:id="115"/>
      <w:bookmarkEnd w:id="116"/>
    </w:p>
    <w:p w14:paraId="3B4750B2" w14:textId="251AD709" w:rsidR="00F71DF2"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171</w:t>
      </w:r>
      <w:r w:rsidRPr="004B0EC7">
        <w:fldChar w:fldCharType="end"/>
      </w:r>
      <w:r>
        <w:t xml:space="preserve">.</w:t>
      </w:r>
      <w:r>
        <w:t xml:space="preserve"> </w:t>
      </w:r>
      <w:r>
        <w:t xml:space="preserve">Les établissements déclareront des informations sur les positions dans chaque devise (y compris celle de la déclaration) et les exigences de fonds propres correspondantes pour risque de change selon l'approche standard.</w:t>
      </w:r>
      <w:r>
        <w:t xml:space="preserve"> </w:t>
      </w:r>
      <w:r>
        <w:t xml:space="preserve">La position doit être calculée pour chaque devise (y compris EUR), l'or et les positions sur OPC.</w:t>
      </w:r>
    </w:p>
    <w:p w14:paraId="39EF826C" w14:textId="3D244F2F" w:rsidR="000B0B09"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172</w:t>
      </w:r>
      <w:r w:rsidRPr="004B0EC7">
        <w:fldChar w:fldCharType="end"/>
      </w:r>
      <w:r>
        <w:t xml:space="preserve">.</w:t>
      </w:r>
      <w:r>
        <w:tab/>
      </w:r>
      <w:r>
        <w:t xml:space="preserve"> </w:t>
      </w:r>
      <w:r>
        <w:t xml:space="preserve">Les lignes 0100 à 0480 de ce modèle seront complétées même lorsque les établissements ne sont pas tenus de calculer les exigences de fonds propres pour risque de change conformément à l'article 351 du règlement (UE) nº 575/2013.</w:t>
      </w:r>
      <w:r>
        <w:t xml:space="preserve"> </w:t>
      </w:r>
      <w:r>
        <w:t xml:space="preserve">Dans ces postes pour mémoire, toutes les positions dans la devise de la déclaration sont incluses, qu’elles soient ou non prises en compte aux fins de l'article 354 du règlement (UE) nº 575/2013.</w:t>
      </w:r>
      <w:r>
        <w:t xml:space="preserve"> </w:t>
      </w:r>
      <w:r>
        <w:t xml:space="preserve">Les lignes 0130 à 0480 des postes pour mémoire du modèle seront remplies séparément pour toutes les devises des États membres de l’Union et pour les devises suivantes: GBP, USD, CHF, JPY, RUB, TRY, AUD, CAD, RSD, ALL, UAH, MKD, EGP, ARS, BRL, MXN, HKD, ICK, TWD, NZD, NOK, SGD, KRW, CNY et toutes les autres devises.</w:t>
      </w:r>
    </w:p>
    <w:p w14:paraId="346B4732" w14:textId="273354B2"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Pr>
          <w:sz w:val="24"/>
          <w:u w:val="none"/>
          <w:rFonts w:ascii="Times New Roman" w:hAnsi="Times New Roman"/>
        </w:rPr>
        <w:t xml:space="preserve">5.5.2.</w:t>
      </w:r>
      <w:r>
        <w:rPr>
          <w:sz w:val="24"/>
          <w:u w:val="none"/>
          <w:rFonts w:ascii="Times New Roman" w:hAnsi="Times New Roman"/>
        </w:rPr>
        <w:tab/>
      </w:r>
      <w:r>
        <w:rPr>
          <w:sz w:val="24"/>
          <w:rFonts w:ascii="Times New Roman" w:hAnsi="Times New Roman"/>
        </w:rPr>
        <w:t xml:space="preserve">Instructions concernant certaines positions</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672D2A">
        <w:trPr>
          <w:trHeight w:val="595"/>
        </w:trPr>
        <w:tc>
          <w:tcPr>
            <w:tcW w:w="8862" w:type="dxa"/>
            <w:gridSpan w:val="2"/>
            <w:shd w:val="clear" w:color="auto" w:fill="CCCCCC"/>
          </w:tcPr>
          <w:p w14:paraId="12971A77"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Colonnes</w:t>
            </w:r>
          </w:p>
        </w:tc>
      </w:tr>
      <w:tr w:rsidR="000B0B09" w:rsidRPr="004B0EC7" w14:paraId="159B4B41" w14:textId="77777777" w:rsidTr="00672D2A">
        <w:tc>
          <w:tcPr>
            <w:tcW w:w="988" w:type="dxa"/>
          </w:tcPr>
          <w:p w14:paraId="0ABA9E2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0020 – 0030</w:t>
            </w:r>
          </w:p>
        </w:tc>
        <w:tc>
          <w:tcPr>
            <w:tcW w:w="7874" w:type="dxa"/>
          </w:tcPr>
          <w:p w14:paraId="3450FB8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TOUTES LES POSITIONS (LONGUES ET COURTES)</w:t>
            </w:r>
          </w:p>
          <w:p w14:paraId="21CD6173" w14:textId="77777777" w:rsidR="000B0B09" w:rsidRPr="004B0EC7"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4B0EC7" w:rsidRDefault="000B0B09" w:rsidP="00F2521E">
            <w:pPr>
              <w:autoSpaceDE w:val="0"/>
              <w:autoSpaceDN w:val="0"/>
              <w:adjustRightInd w:val="0"/>
              <w:spacing w:before="0"/>
              <w:rPr>
                <w:sz w:val="24"/>
                <w:rFonts w:ascii="Times New Roman" w:hAnsi="Times New Roman"/>
              </w:rPr>
            </w:pPr>
            <w:r>
              <w:rPr>
                <w:sz w:val="24"/>
                <w:rFonts w:ascii="Times New Roman" w:hAnsi="Times New Roman"/>
              </w:rPr>
              <w:t xml:space="preserve">Positions brutes dues à des éléments d'actif, des montants à recevoir et des éléments similaires visés à l'article 352, paragraphe 1, du règlement (UE) nº 575/2013.</w:t>
            </w:r>
          </w:p>
          <w:p w14:paraId="754DB1BB" w14:textId="2FEAA29E" w:rsidR="000B0B09" w:rsidRPr="004B0EC7" w:rsidRDefault="00BB22D4" w:rsidP="00D1690D">
            <w:pPr>
              <w:autoSpaceDE w:val="0"/>
              <w:autoSpaceDN w:val="0"/>
              <w:adjustRightInd w:val="0"/>
              <w:spacing w:before="0" w:after="0"/>
              <w:rPr>
                <w:sz w:val="24"/>
                <w:rFonts w:ascii="Times New Roman" w:hAnsi="Times New Roman"/>
              </w:rPr>
            </w:pPr>
            <w:r>
              <w:rPr>
                <w:sz w:val="24"/>
                <w:rFonts w:ascii="Times New Roman" w:hAnsi="Times New Roman"/>
              </w:rPr>
              <w:t xml:space="preserve">Conformément à l'article 352, paragraphe 2, du règlement (UE) nº 575/2013 et sous réserve de l'autorisation des autorités compétentes, ne seront pas déclarées les positions prises en tant que couverture contre l'effet négatif des taux de change sur leurs ratios conformément à l'article 92, paragraphe 1, dudit règlement, et les positions liées à des éléments déjà déduits dans le calcul des fonds propres.</w:t>
            </w:r>
          </w:p>
          <w:p w14:paraId="40A85A4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0040 – 0050</w:t>
            </w:r>
          </w:p>
        </w:tc>
        <w:tc>
          <w:tcPr>
            <w:tcW w:w="7874" w:type="dxa"/>
          </w:tcPr>
          <w:p w14:paraId="5A21CA5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NETTES (LONGUES ET COURTES)</w:t>
            </w:r>
          </w:p>
          <w:p w14:paraId="5D5BCFBB"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4B0EC7" w:rsidRDefault="000B0B09" w:rsidP="00F2521E">
            <w:pPr>
              <w:autoSpaceDE w:val="0"/>
              <w:autoSpaceDN w:val="0"/>
              <w:adjustRightInd w:val="0"/>
              <w:spacing w:before="0"/>
              <w:rPr>
                <w:sz w:val="24"/>
                <w:rFonts w:ascii="Times New Roman" w:hAnsi="Times New Roman"/>
              </w:rPr>
            </w:pPr>
            <w:r>
              <w:rPr>
                <w:sz w:val="24"/>
                <w:rFonts w:ascii="Times New Roman" w:hAnsi="Times New Roman"/>
              </w:rPr>
              <w:t xml:space="preserve">Article 352, paragraphe 3, article 352, paragraphe 4, deux premières phrases et article 353 du règlement (UE) nº 575/2013.</w:t>
            </w:r>
          </w:p>
          <w:p w14:paraId="1436375E" w14:textId="100DFA36"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Les positions nettes sont calculées pour chaque devise, conformément à l'article 352, paragraphe 1, du règlement (UE) nº 575/2013.</w:t>
            </w:r>
            <w:r>
              <w:rPr>
                <w:sz w:val="24"/>
                <w:rFonts w:ascii="Times New Roman" w:hAnsi="Times New Roman"/>
              </w:rPr>
              <w:t xml:space="preserve"> </w:t>
            </w:r>
            <w:r>
              <w:rPr>
                <w:sz w:val="24"/>
                <w:rFonts w:ascii="Times New Roman" w:hAnsi="Times New Roman"/>
              </w:rPr>
              <w:t xml:space="preserve">Par conséquent, les positions longues comme les positions courtes peuvent être déclarées en même temps.</w:t>
            </w:r>
          </w:p>
          <w:p w14:paraId="7EF6C18C"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 – 0080</w:t>
            </w:r>
          </w:p>
        </w:tc>
        <w:tc>
          <w:tcPr>
            <w:tcW w:w="7874" w:type="dxa"/>
          </w:tcPr>
          <w:p w14:paraId="23461A4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SOUMISES AUX EXIGENCES DE FONDS PROPRES</w:t>
            </w:r>
          </w:p>
          <w:p w14:paraId="536B211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Article 352, paragraphe 4, troisième phrase et articles 353 et 354 du règlement (UE) nº 575/2013</w:t>
            </w:r>
            <w:r>
              <w:rPr>
                <w:sz w:val="24"/>
                <w:rFonts w:ascii="Times New Roman" w:hAnsi="Times New Roman"/>
              </w:rPr>
              <w:t xml:space="preserve"> </w:t>
            </w:r>
          </w:p>
          <w:p w14:paraId="091C4CE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 – 0070</w:t>
            </w:r>
          </w:p>
        </w:tc>
        <w:tc>
          <w:tcPr>
            <w:tcW w:w="7874" w:type="dxa"/>
          </w:tcPr>
          <w:p w14:paraId="4917443B" w14:textId="77777777"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POSITIONS SOUMISES AUX EXIGENCES DE FONDS PROPRES (LONGUES ET COURTES)</w:t>
            </w:r>
          </w:p>
          <w:p w14:paraId="1CA17503" w14:textId="77777777" w:rsidR="000B0B09" w:rsidRPr="004B0EC7" w:rsidRDefault="000B0B09" w:rsidP="00F2521E">
            <w:pPr>
              <w:autoSpaceDE w:val="0"/>
              <w:autoSpaceDN w:val="0"/>
              <w:adjustRightInd w:val="0"/>
              <w:spacing w:after="0"/>
              <w:rPr>
                <w:sz w:val="24"/>
                <w:rFonts w:ascii="Times New Roman" w:hAnsi="Times New Roman"/>
              </w:rPr>
            </w:pPr>
            <w:r>
              <w:rPr>
                <w:sz w:val="24"/>
                <w:rFonts w:ascii="Times New Roman" w:hAnsi="Times New Roman"/>
              </w:rPr>
              <w:t xml:space="preserve">On calcule les positions nettes courtes et longues pour chaque devise en déduisant le total des positions courtes du total des positions longues.</w:t>
            </w:r>
          </w:p>
          <w:p w14:paraId="7912A4F1" w14:textId="77777777" w:rsidR="000B0B09" w:rsidRPr="004B0EC7" w:rsidRDefault="000B0B09" w:rsidP="00F2521E">
            <w:pPr>
              <w:autoSpaceDE w:val="0"/>
              <w:autoSpaceDN w:val="0"/>
              <w:adjustRightInd w:val="0"/>
              <w:spacing w:after="0"/>
              <w:rPr>
                <w:sz w:val="24"/>
                <w:rFonts w:ascii="Times New Roman" w:hAnsi="Times New Roman"/>
              </w:rPr>
            </w:pPr>
            <w:r>
              <w:rPr>
                <w:sz w:val="24"/>
                <w:rFonts w:ascii="Times New Roman" w:hAnsi="Times New Roman"/>
              </w:rPr>
              <w:t xml:space="preserve">Les positions nettes longues pour chaque opération dans une devise sont additionnées pour obtenir la position nette longue dans cette devise.</w:t>
            </w:r>
          </w:p>
          <w:p w14:paraId="5B4E9BDF" w14:textId="77777777" w:rsidR="000B0B09" w:rsidRPr="004B0EC7" w:rsidRDefault="000B0B09" w:rsidP="00F2521E">
            <w:pPr>
              <w:autoSpaceDE w:val="0"/>
              <w:autoSpaceDN w:val="0"/>
              <w:adjustRightInd w:val="0"/>
              <w:spacing w:after="0"/>
              <w:rPr>
                <w:sz w:val="24"/>
                <w:rFonts w:ascii="Times New Roman" w:hAnsi="Times New Roman"/>
              </w:rPr>
            </w:pPr>
            <w:r>
              <w:rPr>
                <w:sz w:val="24"/>
                <w:rFonts w:ascii="Times New Roman" w:hAnsi="Times New Roman"/>
              </w:rPr>
              <w:t xml:space="preserve">Les positions nettes courtes pour chaque opération dans une devise sont additionnées pour obtenir la position nette courte dans cette devise.</w:t>
            </w:r>
          </w:p>
          <w:p w14:paraId="71BEB09F" w14:textId="77777777" w:rsidR="000B0B09" w:rsidRPr="004B0EC7" w:rsidRDefault="000B0B09" w:rsidP="00F2521E">
            <w:pPr>
              <w:autoSpaceDE w:val="0"/>
              <w:autoSpaceDN w:val="0"/>
              <w:adjustRightInd w:val="0"/>
              <w:spacing w:after="0"/>
              <w:rPr>
                <w:sz w:val="24"/>
                <w:rFonts w:ascii="Times New Roman" w:hAnsi="Times New Roman"/>
              </w:rPr>
            </w:pPr>
            <w:r>
              <w:rPr>
                <w:sz w:val="24"/>
                <w:rFonts w:ascii="Times New Roman" w:hAnsi="Times New Roman"/>
              </w:rPr>
              <w:t xml:space="preserve">Les positions non compensées dans des devises différentes de celle de la déclaration sont ajoutées aux positions soumises aux exigences de fonds propres pour les autres devises (ligne 030) dans la colonne 060 ou 070, selon qu'il s'agit de positions longues ou courtes.</w:t>
            </w:r>
          </w:p>
          <w:p w14:paraId="3B8AB235" w14:textId="77777777" w:rsidR="00DE48EF" w:rsidRPr="004B0EC7"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874" w:type="dxa"/>
          </w:tcPr>
          <w:p w14:paraId="50779B26"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SOUMISES AUX EXIGENCES DE FONDS PROPRES (COMPENSÉES)</w:t>
            </w:r>
          </w:p>
          <w:p w14:paraId="1787EA62"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Positions compensées pour des devises étroitement corrélées.</w:t>
            </w:r>
          </w:p>
          <w:p w14:paraId="6BC8E67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874" w:type="dxa"/>
          </w:tcPr>
          <w:p w14:paraId="4FC12DDA" w14:textId="7F464E56"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 AVANT APPLICATION DU FACTEUR DE MAJORATION</w:t>
            </w:r>
          </w:p>
          <w:p w14:paraId="4108E69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L’exigence de fonds propres pour toute position pertinente conformément à la troisième partie, titre IV, chapitre 3, du règlement (UE) nº 575/2013, avant application du facteur de majoration conformément à l’article 325, paragraphe 2, point b), dudit règlement.</w:t>
            </w:r>
            <w:r>
              <w:rPr>
                <w:sz w:val="24"/>
                <w:rFonts w:ascii="Times New Roman" w:hAnsi="Times New Roman"/>
              </w:rPr>
              <w:t xml:space="preserve"> </w:t>
            </w:r>
          </w:p>
          <w:p w14:paraId="62C9AE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w:t>
            </w:r>
          </w:p>
        </w:tc>
        <w:tc>
          <w:tcPr>
            <w:tcW w:w="7874" w:type="dxa"/>
          </w:tcPr>
          <w:p w14:paraId="0647EAC0" w14:textId="77777777"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MONTANT TOTAL D'EXPOSITION AU RISQUE</w:t>
            </w:r>
          </w:p>
          <w:p w14:paraId="1005789B"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F2521E">
            <w:pPr>
              <w:tabs>
                <w:tab w:val="left" w:pos="1665"/>
              </w:tabs>
              <w:autoSpaceDE w:val="0"/>
              <w:autoSpaceDN w:val="0"/>
              <w:adjustRightInd w:val="0"/>
              <w:spacing w:before="0"/>
              <w:rPr>
                <w:sz w:val="24"/>
                <w:rFonts w:ascii="Times New Roman" w:hAnsi="Times New Roman"/>
              </w:rPr>
            </w:pPr>
            <w:r>
              <w:rPr>
                <w:sz w:val="24"/>
                <w:rFonts w:ascii="Times New Roman" w:hAnsi="Times New Roman"/>
              </w:rPr>
              <w:t xml:space="preserve">Article 92, paragraphe 4, point c), du règlement (UE) nº 575/2013.</w:t>
            </w:r>
          </w:p>
          <w:p w14:paraId="74C1A53D" w14:textId="0F1B212C" w:rsidR="000B0B09" w:rsidRPr="004B0EC7" w:rsidRDefault="000B0B09" w:rsidP="000B0B09">
            <w:pPr>
              <w:tabs>
                <w:tab w:val="left" w:pos="1665"/>
              </w:tabs>
              <w:autoSpaceDE w:val="0"/>
              <w:autoSpaceDN w:val="0"/>
              <w:adjustRightInd w:val="0"/>
              <w:spacing w:before="0" w:after="0"/>
              <w:rPr>
                <w:sz w:val="24"/>
                <w:rFonts w:ascii="Times New Roman" w:hAnsi="Times New Roman"/>
              </w:rPr>
            </w:pPr>
            <w:r>
              <w:rPr>
                <w:sz w:val="24"/>
                <w:rFonts w:ascii="Times New Roman" w:hAnsi="Times New Roman"/>
              </w:rPr>
              <w:t xml:space="preserve">Résultat de la multiplication des exigences de fonds propres par 12,5 conformément à l’article 92, paragraphe 6, point b), du règlement (UE) nº 575/2013, et par le facteur de majoration conformément à l’article 325, paragraphe 2, point b), dudit règlement.</w:t>
            </w:r>
            <w:r>
              <w:rPr>
                <w:sz w:val="24"/>
                <w:rFonts w:ascii="Times New Roman" w:hAnsi="Times New Roman"/>
              </w:rPr>
              <w:t xml:space="preserve"> </w:t>
            </w:r>
          </w:p>
          <w:p w14:paraId="43ECFCA3" w14:textId="77777777" w:rsidR="00DE48EF" w:rsidRPr="004B0EC7"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Lignes</w:t>
            </w:r>
          </w:p>
        </w:tc>
      </w:tr>
      <w:tr w:rsidR="000B0B09" w:rsidRPr="004B0EC7" w14:paraId="7E8F93AD" w14:textId="77777777" w:rsidTr="00672D2A">
        <w:tc>
          <w:tcPr>
            <w:tcW w:w="991" w:type="dxa"/>
          </w:tcPr>
          <w:p w14:paraId="308DA05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871" w:type="dxa"/>
          </w:tcPr>
          <w:p w14:paraId="444D3E4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TOTAL DES POSITIONS</w:t>
            </w:r>
          </w:p>
          <w:p w14:paraId="625A8F9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4B0EC7" w:rsidRDefault="00491F4D"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Toutes les positions dans des devises autres que la devise de la déclaration et les positions dans la devise de la déclaration qui sont prises en compte aux fins de l’article 354 du règlement (UE) nº 575/2013 ainsi que les exigences de fonds propres correspondantes pour le risque de change visées à l’article 92, paragraphe 4, point c), compte tenu de l’article 352, paragraphes 2 et 4, du règlement (UE) nº 575/2013 (pour la conversion dans la devise de la déclaration).</w:t>
            </w:r>
          </w:p>
          <w:p w14:paraId="60C8486E"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0020</w:t>
            </w:r>
          </w:p>
        </w:tc>
        <w:tc>
          <w:tcPr>
            <w:tcW w:w="7871" w:type="dxa"/>
          </w:tcPr>
          <w:p w14:paraId="49A2740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DEVISES ÉTROITEMENT CORRÉLÉES</w:t>
            </w:r>
          </w:p>
          <w:p w14:paraId="784B138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Positions et exigences de fonds propres correspondantes pour les devises étroitement corrélées visées à l'article 354 du règlement (UE) nº 575/2013.</w:t>
            </w:r>
          </w:p>
          <w:p w14:paraId="1228E8F4"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0025</w:t>
            </w:r>
          </w:p>
        </w:tc>
        <w:tc>
          <w:tcPr>
            <w:tcW w:w="7871" w:type="dxa"/>
          </w:tcPr>
          <w:p w14:paraId="596531B8" w14:textId="77777777" w:rsidR="00491F4D" w:rsidRPr="004B0EC7" w:rsidRDefault="00491F4D"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Devises étroitement corrélées:</w:t>
            </w:r>
            <w:r>
              <w:rPr>
                <w:b/>
                <w:sz w:val="24"/>
                <w:u w:val="single"/>
                <w:rFonts w:ascii="Times New Roman" w:hAnsi="Times New Roman"/>
              </w:rPr>
              <w:t xml:space="preserve"> </w:t>
            </w:r>
            <w:r>
              <w:rPr>
                <w:b/>
                <w:sz w:val="24"/>
                <w:u w:val="single"/>
                <w:i/>
                <w:rFonts w:ascii="Times New Roman" w:hAnsi="Times New Roman"/>
              </w:rPr>
              <w:t xml:space="preserve">dont</w:t>
            </w:r>
            <w:r>
              <w:rPr>
                <w:b/>
                <w:sz w:val="24"/>
                <w:u w:val="single"/>
                <w:rFonts w:ascii="Times New Roman" w:hAnsi="Times New Roman"/>
              </w:rPr>
              <w:t xml:space="preserve">:</w:t>
            </w:r>
            <w:r>
              <w:rPr>
                <w:b/>
                <w:sz w:val="24"/>
                <w:u w:val="single"/>
                <w:rFonts w:ascii="Times New Roman" w:hAnsi="Times New Roman"/>
              </w:rPr>
              <w:t xml:space="preserve"> </w:t>
            </w:r>
            <w:r>
              <w:rPr>
                <w:b/>
                <w:sz w:val="24"/>
                <w:u w:val="single"/>
                <w:rFonts w:ascii="Times New Roman" w:hAnsi="Times New Roman"/>
              </w:rPr>
              <w:t xml:space="preserve">devise de la déclaration</w:t>
            </w:r>
          </w:p>
          <w:p w14:paraId="1A313604" w14:textId="77777777" w:rsidR="00491F4D" w:rsidRPr="004B0EC7" w:rsidRDefault="00491F4D" w:rsidP="000B0B09">
            <w:pPr>
              <w:autoSpaceDE w:val="0"/>
              <w:autoSpaceDN w:val="0"/>
              <w:adjustRightInd w:val="0"/>
              <w:spacing w:before="0" w:after="0"/>
              <w:rPr>
                <w:rFonts w:ascii="Times New Roman" w:hAnsi="Times New Roman"/>
                <w:sz w:val="24"/>
              </w:rPr>
            </w:pPr>
          </w:p>
          <w:p w14:paraId="6CF1E695" w14:textId="3B11B1C0" w:rsidR="00491F4D" w:rsidRPr="004B0EC7" w:rsidRDefault="00491F4D"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Les positions dans la devise de la déclaration qui contribuent au calcul des exigences de fonds propres conformément à l'article 354 du règlement (UE) nº 575/2013.</w:t>
            </w:r>
          </w:p>
          <w:p w14:paraId="1727C5A3"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7871" w:type="dxa"/>
          </w:tcPr>
          <w:p w14:paraId="0BAA11C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TOUTES LES AUTRES DEVISES (y compris les OPC traités comme des devises différentes)</w:t>
            </w:r>
          </w:p>
          <w:p w14:paraId="1677D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Positions et exigences de fonds propres correspondantes pour les devises soumises à la procédure générale visée à l'article 351 et à l'article 352, paragraphes 2 et 4, du règlement (UE) nº 575/2013.</w:t>
            </w:r>
          </w:p>
          <w:p w14:paraId="0D0C93F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4B0EC7" w:rsidRDefault="000B0B09" w:rsidP="000B0B09">
            <w:pPr>
              <w:autoSpaceDE w:val="0"/>
              <w:autoSpaceDN w:val="0"/>
              <w:adjustRightInd w:val="0"/>
              <w:spacing w:before="0" w:after="0"/>
              <w:rPr>
                <w:bCs/>
                <w:sz w:val="24"/>
                <w:u w:val="single"/>
                <w:rFonts w:ascii="Times New Roman" w:hAnsi="Times New Roman"/>
              </w:rPr>
            </w:pPr>
            <w:r>
              <w:rPr>
                <w:sz w:val="24"/>
                <w:u w:val="single"/>
                <w:rFonts w:ascii="Times New Roman" w:hAnsi="Times New Roman"/>
              </w:rPr>
              <w:t xml:space="preserve">Déclaration d'OPC traitées comme des devises distinctes conformément à l'article 353</w:t>
            </w:r>
            <w:r>
              <w:rPr>
                <w:sz w:val="24"/>
                <w:rFonts w:ascii="Times New Roman" w:hAnsi="Times New Roman"/>
              </w:rPr>
              <w:t xml:space="preserve"> du règlement (UE) nº 575/2013:</w:t>
            </w:r>
          </w:p>
          <w:p w14:paraId="77B7A43F" w14:textId="77777777" w:rsidR="000B0B09" w:rsidRPr="004B0EC7" w:rsidRDefault="000B0B09" w:rsidP="000B0B09">
            <w:pPr>
              <w:autoSpaceDE w:val="0"/>
              <w:autoSpaceDN w:val="0"/>
              <w:adjustRightInd w:val="0"/>
              <w:spacing w:before="0" w:after="0"/>
              <w:rPr>
                <w:bCs/>
                <w:sz w:val="24"/>
                <w:rFonts w:ascii="Times New Roman" w:hAnsi="Times New Roman"/>
              </w:rPr>
            </w:pPr>
            <w:r>
              <w:rPr>
                <w:sz w:val="24"/>
                <w:rFonts w:ascii="Times New Roman" w:hAnsi="Times New Roman"/>
              </w:rPr>
              <w:t xml:space="preserve">Il existe deux traitements différents des OPC traitées comme des devises distinctes pour le calcul des exigences de fonds propres:</w:t>
            </w:r>
          </w:p>
          <w:p w14:paraId="5B250982" w14:textId="77777777" w:rsidR="000B0B09" w:rsidRPr="004B0EC7" w:rsidRDefault="00125707" w:rsidP="0023700C">
            <w:pPr>
              <w:autoSpaceDE w:val="0"/>
              <w:autoSpaceDN w:val="0"/>
              <w:adjustRightInd w:val="0"/>
              <w:spacing w:before="0" w:after="0"/>
              <w:ind w:left="720" w:hanging="360"/>
              <w:rPr>
                <w:bCs/>
                <w:sz w:val="24"/>
                <w:rFonts w:ascii="Times New Roman"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La méthode relative à l'or modifiée, lorsque la direction des investissements de l’OPC est inconnue (ces OPC seront additionnées aux positions de change nettes globales de l'établissement);</w:t>
            </w:r>
          </w:p>
          <w:p w14:paraId="36EAAD8C" w14:textId="77777777" w:rsidR="000B0B09" w:rsidRPr="004B0EC7" w:rsidRDefault="00125707" w:rsidP="0023700C">
            <w:pPr>
              <w:autoSpaceDE w:val="0"/>
              <w:autoSpaceDN w:val="0"/>
              <w:adjustRightInd w:val="0"/>
              <w:spacing w:before="0" w:after="0"/>
              <w:ind w:left="720" w:hanging="360"/>
              <w:rPr>
                <w:bCs/>
                <w:sz w:val="24"/>
                <w:rFonts w:ascii="Times New Roman" w:hAnsi="Times New Roman"/>
              </w:rPr>
            </w:pPr>
            <w:r>
              <w:rPr>
                <w:sz w:val="24"/>
                <w:rFonts w:ascii="Times New Roman" w:hAnsi="Times New Roman"/>
              </w:rPr>
              <w:t xml:space="preserve">2.</w:t>
            </w:r>
            <w:r>
              <w:rPr>
                <w:sz w:val="24"/>
                <w:rFonts w:ascii="Times New Roman" w:hAnsi="Times New Roman"/>
              </w:rPr>
              <w:tab/>
            </w:r>
            <w:r>
              <w:rPr>
                <w:sz w:val="24"/>
                <w:rFonts w:ascii="Times New Roman" w:hAnsi="Times New Roman"/>
              </w:rPr>
              <w:t xml:space="preserve">Lorsque la direction des investissements de l'OPC est connue, ces OPC seront additionnées au total des positions de change ouvertes (longues ou courtes, en fonction de la direction de l'OPC).</w:t>
            </w:r>
          </w:p>
          <w:p w14:paraId="6410AE39" w14:textId="77777777" w:rsidR="000B0B09" w:rsidRPr="004B0EC7" w:rsidRDefault="000B0B09" w:rsidP="000B0B09">
            <w:pPr>
              <w:autoSpaceDE w:val="0"/>
              <w:autoSpaceDN w:val="0"/>
              <w:adjustRightInd w:val="0"/>
              <w:spacing w:before="0" w:after="0"/>
              <w:rPr>
                <w:bCs/>
                <w:sz w:val="24"/>
                <w:u w:val="single"/>
                <w:rFonts w:ascii="Times New Roman" w:hAnsi="Times New Roman"/>
              </w:rPr>
            </w:pPr>
            <w:r>
              <w:rPr>
                <w:sz w:val="24"/>
                <w:rFonts w:ascii="Times New Roman" w:hAnsi="Times New Roman"/>
              </w:rPr>
              <w:t xml:space="preserve">La déclaration de ces OPC suivra le calcul des exigences de fonds propres.</w:t>
            </w:r>
          </w:p>
          <w:p w14:paraId="6EF89CCB"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7871" w:type="dxa"/>
          </w:tcPr>
          <w:p w14:paraId="0E1B066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OR</w:t>
            </w:r>
          </w:p>
          <w:p w14:paraId="3DD20C3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Positions et exigences de fonds propres correspondantes pour les devises soumises à la procédure générale visée à l'article 351 et à l'article 352, paragraphes 2 et 4, du règlement (UE) nº 575/2013.</w:t>
            </w:r>
            <w:r>
              <w:rPr>
                <w:sz w:val="24"/>
                <w:rFonts w:ascii="Times New Roman" w:hAnsi="Times New Roman"/>
              </w:rPr>
              <w:t xml:space="preserve"> </w:t>
            </w:r>
          </w:p>
          <w:p w14:paraId="2363385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0050-0090</w:t>
            </w:r>
          </w:p>
        </w:tc>
        <w:tc>
          <w:tcPr>
            <w:tcW w:w="7871" w:type="dxa"/>
          </w:tcPr>
          <w:p w14:paraId="76D7671B"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rStyle w:val="InstructionsTabelleberschrift"/>
                <w:sz w:val="24"/>
                <w:rFonts w:ascii="Times New Roman" w:hAnsi="Times New Roman"/>
              </w:rPr>
              <w:t xml:space="preserve">EXIGENCES SUPPLÉMENTAIRES POUR RISQUES SUR OPTIONS (RISQUES NON DELTA)</w:t>
            </w:r>
          </w:p>
          <w:p w14:paraId="409B80C0" w14:textId="56A2BE80" w:rsidR="000B0B09" w:rsidRPr="004B0EC7" w:rsidRDefault="000B0B09" w:rsidP="001A0143">
            <w:pPr>
              <w:autoSpaceDE w:val="0"/>
              <w:autoSpaceDN w:val="0"/>
              <w:adjustRightInd w:val="0"/>
              <w:spacing w:after="0"/>
              <w:rPr>
                <w:sz w:val="24"/>
                <w:rFonts w:ascii="Times New Roman" w:hAnsi="Times New Roman"/>
              </w:rPr>
            </w:pPr>
            <w:r>
              <w:rPr>
                <w:sz w:val="24"/>
                <w:rFonts w:ascii="Times New Roman" w:hAnsi="Times New Roman"/>
              </w:rPr>
              <w:t xml:space="preserve">Article 352, paragraphes 5 et 6, du règlement (UE) nº 575/2013.</w:t>
            </w:r>
            <w:r>
              <w:rPr>
                <w:sz w:val="24"/>
                <w:rFonts w:ascii="Times New Roman" w:hAnsi="Times New Roman"/>
              </w:rPr>
              <w:t xml:space="preserve"> </w:t>
            </w:r>
          </w:p>
          <w:p w14:paraId="28A72F07"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Les exigences supplémentaires pour les options liées aux risques autres que le risque delta seront déclarées en les ventilant en fonction de la méthode appliquée pour leur calcul.</w:t>
            </w:r>
            <w:r>
              <w:rPr>
                <w:sz w:val="24"/>
                <w:rFonts w:ascii="Times New Roman" w:hAnsi="Times New Roman"/>
              </w:rPr>
              <w:t xml:space="preserve"> </w:t>
            </w:r>
          </w:p>
          <w:p w14:paraId="64B10AE8" w14:textId="77777777" w:rsidR="000B0B09" w:rsidRPr="004B0EC7"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 – 0120</w:t>
            </w:r>
          </w:p>
        </w:tc>
        <w:tc>
          <w:tcPr>
            <w:tcW w:w="7871" w:type="dxa"/>
          </w:tcPr>
          <w:p w14:paraId="4D32EE9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Répartition du total des positions (devise de la déclaration comprise) par catégorie d'exposition</w:t>
            </w:r>
          </w:p>
          <w:p w14:paraId="35F84DA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Le total des positions sera réparti entre dérivés, autres éléments d'actif et de passif, et éléments de hors bilan.</w:t>
            </w:r>
          </w:p>
          <w:p w14:paraId="645944F1"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w:t>
            </w:r>
          </w:p>
        </w:tc>
        <w:tc>
          <w:tcPr>
            <w:tcW w:w="7871" w:type="dxa"/>
          </w:tcPr>
          <w:p w14:paraId="2B5ED8B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Éléments d'actif et de passif autres que les éléments de hors bilan et les dérivés</w:t>
            </w:r>
          </w:p>
          <w:p w14:paraId="70ABA94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Les positions qui ne figurent pas dans les lignes 0110 ou 0120 seront déclarées ici.</w:t>
            </w:r>
            <w:r>
              <w:rPr>
                <w:sz w:val="24"/>
                <w:rFonts w:ascii="Times New Roman" w:hAnsi="Times New Roman"/>
              </w:rPr>
              <w:t xml:space="preserve"> </w:t>
            </w:r>
          </w:p>
          <w:p w14:paraId="68474F8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sz w:val="24"/>
                <w:rFonts w:ascii="Times New Roman" w:hAnsi="Times New Roman"/>
              </w:rPr>
              <w:t xml:space="preserve"> </w:t>
            </w:r>
          </w:p>
        </w:tc>
      </w:tr>
      <w:tr w:rsidR="000B0B09" w:rsidRPr="004B0EC7" w14:paraId="68F25686" w14:textId="77777777" w:rsidTr="00672D2A">
        <w:tc>
          <w:tcPr>
            <w:tcW w:w="991" w:type="dxa"/>
          </w:tcPr>
          <w:p w14:paraId="76AEDC5B"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7871" w:type="dxa"/>
          </w:tcPr>
          <w:p w14:paraId="2D48760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Éléments de hors bilan</w:t>
            </w:r>
          </w:p>
          <w:p w14:paraId="4FE41A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Éléments relevant de l’article 352 du règlement (UE) nº 575/2013, quelle que soit la devise dans laquelle ils sont libellés, qui sont inclus dans l'annexe I dudit règlement, à l'exception de ceux inclus en tant qu’opérations de financement sur titres et opérations à règlement différé ou issus d'une convention de compensation multiproduits.</w:t>
            </w:r>
          </w:p>
          <w:p w14:paraId="25D49F5C"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2F79EA">
            <w:pPr>
              <w:autoSpaceDE w:val="0"/>
              <w:autoSpaceDN w:val="0"/>
              <w:adjustRightInd w:val="0"/>
              <w:spacing w:before="0" w:after="0"/>
              <w:rPr>
                <w:sz w:val="24"/>
                <w:rFonts w:ascii="Times New Roman" w:hAnsi="Times New Roman"/>
              </w:rPr>
            </w:pPr>
            <w:r>
              <w:rPr>
                <w:sz w:val="24"/>
                <w:rFonts w:ascii="Times New Roman" w:hAnsi="Times New Roman"/>
              </w:rPr>
              <w:t xml:space="preserve">0120</w:t>
            </w:r>
          </w:p>
        </w:tc>
        <w:tc>
          <w:tcPr>
            <w:tcW w:w="7871" w:type="dxa"/>
          </w:tcPr>
          <w:p w14:paraId="56E0717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Dérivés</w:t>
            </w:r>
          </w:p>
          <w:p w14:paraId="7B6CC85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Positions calculées conformément à l’article 352 du règlement (UE) n° 575/2013:</w:t>
            </w:r>
          </w:p>
          <w:p w14:paraId="2984F2C2" w14:textId="77777777" w:rsidR="00902EFC" w:rsidRPr="004B0EC7"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2F79EA">
            <w:pPr>
              <w:autoSpaceDE w:val="0"/>
              <w:autoSpaceDN w:val="0"/>
              <w:adjustRightInd w:val="0"/>
              <w:spacing w:before="0" w:after="0"/>
              <w:rPr>
                <w:sz w:val="24"/>
                <w:rFonts w:ascii="Times New Roman" w:hAnsi="Times New Roman"/>
              </w:rPr>
            </w:pPr>
            <w:r>
              <w:rPr>
                <w:sz w:val="24"/>
                <w:rFonts w:ascii="Times New Roman" w:hAnsi="Times New Roman"/>
              </w:rPr>
              <w:t xml:space="preserve">0130 – 0480</w:t>
            </w:r>
          </w:p>
        </w:tc>
        <w:tc>
          <w:tcPr>
            <w:tcW w:w="7871" w:type="dxa"/>
          </w:tcPr>
          <w:p w14:paraId="26286B4C" w14:textId="38433819"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ÉLÉMENTS POUR MÉMOIRE:</w:t>
            </w:r>
            <w:r>
              <w:rPr>
                <w:b/>
                <w:sz w:val="24"/>
                <w:u w:val="single"/>
                <w:rFonts w:ascii="Times New Roman" w:hAnsi="Times New Roman"/>
              </w:rPr>
              <w:t xml:space="preserve"> </w:t>
            </w:r>
            <w:r>
              <w:rPr>
                <w:b/>
                <w:sz w:val="24"/>
                <w:u w:val="single"/>
                <w:rFonts w:ascii="Times New Roman" w:hAnsi="Times New Roman"/>
              </w:rPr>
              <w:t xml:space="preserve">POSITIONS EN DEVISES</w:t>
            </w:r>
          </w:p>
          <w:p w14:paraId="77A906DE" w14:textId="77777777" w:rsidR="000B0B09" w:rsidRPr="004B0EC7"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4B0EC7" w:rsidRDefault="000B0B09" w:rsidP="00A2757B">
            <w:pPr>
              <w:autoSpaceDE w:val="0"/>
              <w:autoSpaceDN w:val="0"/>
              <w:adjustRightInd w:val="0"/>
              <w:spacing w:before="0" w:after="0"/>
              <w:rPr>
                <w:sz w:val="24"/>
                <w:rFonts w:ascii="Times New Roman" w:hAnsi="Times New Roman"/>
              </w:rPr>
            </w:pPr>
            <w:r>
              <w:rPr>
                <w:sz w:val="24"/>
                <w:rFonts w:ascii="Times New Roman" w:hAnsi="Times New Roman"/>
              </w:rPr>
              <w:t xml:space="preserve">Les postes pour mémoire du modèle seront remplies séparément pour toutes les devises des États membres de l’Union, pour GBP, USD, CHF, JPY, RUB, TRY, AUD, CAD, RSD, ALL, UAH, MKD, EGP, ARS, BRL, MXN, HKD, ICK, TWD, NZD, NOK, SGD, KRW, CNY et pour toutes les autres devises.</w:t>
            </w:r>
            <w:r>
              <w:rPr>
                <w:sz w:val="24"/>
                <w:rFonts w:ascii="Times New Roman" w:hAnsi="Times New Roman"/>
              </w:rPr>
              <w:t xml:space="preserve"> </w:t>
            </w:r>
          </w:p>
          <w:p w14:paraId="2A795EB2" w14:textId="3FA18151" w:rsidR="0055144E" w:rsidRPr="004B0EC7"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E40F04">
            <w:pPr>
              <w:autoSpaceDE w:val="0"/>
              <w:autoSpaceDN w:val="0"/>
              <w:adjustRightInd w:val="0"/>
              <w:spacing w:before="0" w:after="0"/>
              <w:rPr>
                <w:sz w:val="24"/>
                <w:rFonts w:ascii="Times New Roman" w:hAnsi="Times New Roman"/>
              </w:rPr>
            </w:pPr>
            <w:r>
              <w:rPr>
                <w:sz w:val="24"/>
                <w:rFonts w:ascii="Times New Roman" w:hAnsi="Times New Roman"/>
              </w:rPr>
              <w:t xml:space="preserve">0470</w:t>
            </w:r>
          </w:p>
        </w:tc>
        <w:tc>
          <w:tcPr>
            <w:tcW w:w="7871" w:type="dxa"/>
          </w:tcPr>
          <w:p w14:paraId="323DC607" w14:textId="77777777" w:rsidR="00DB1114" w:rsidRPr="004B0EC7" w:rsidRDefault="00DB1114" w:rsidP="00E40F04">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Autres</w:t>
            </w:r>
          </w:p>
          <w:p w14:paraId="06E2CC4B"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4B0EC7" w:rsidRDefault="00DB1114" w:rsidP="00E40F04">
            <w:pPr>
              <w:autoSpaceDE w:val="0"/>
              <w:autoSpaceDN w:val="0"/>
              <w:adjustRightInd w:val="0"/>
              <w:spacing w:before="0" w:after="0"/>
              <w:rPr>
                <w:b/>
                <w:bCs/>
                <w:sz w:val="24"/>
                <w:u w:val="single"/>
                <w:rFonts w:ascii="Times New Roman" w:hAnsi="Times New Roman"/>
              </w:rPr>
            </w:pPr>
            <w:r>
              <w:rPr>
                <w:sz w:val="24"/>
                <w:rFonts w:ascii="Times New Roman" w:hAnsi="Times New Roman"/>
              </w:rPr>
              <w:t xml:space="preserve">Les positions en or et les positions en OPC traitées comme une monnaie distincte conformément à l’article 353, paragraphe 3, du règlement (UE) nº 575/2013) sont incluses dans cette ligne.</w:t>
            </w:r>
          </w:p>
        </w:tc>
      </w:tr>
    </w:tbl>
    <w:p w14:paraId="6BA92730" w14:textId="77777777" w:rsidR="000B0B09" w:rsidRPr="004B0EC7" w:rsidRDefault="000B0B09" w:rsidP="000B0B09">
      <w:pPr>
        <w:rPr>
          <w:rFonts w:ascii="Times New Roman" w:hAnsi="Times New Roman"/>
          <w:sz w:val="24"/>
        </w:rPr>
      </w:pPr>
    </w:p>
    <w:p w14:paraId="53515718" w14:textId="15BE5B2C"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Pr>
          <w:sz w:val="24"/>
          <w:u w:val="none"/>
          <w:rFonts w:ascii="Times New Roman" w:hAnsi="Times New Roman"/>
        </w:rPr>
        <w:t xml:space="preserve">5.6.</w:t>
      </w:r>
      <w:r>
        <w:rPr>
          <w:sz w:val="24"/>
          <w:u w:val="none"/>
          <w:rFonts w:ascii="Times New Roman" w:hAnsi="Times New Roman"/>
        </w:rPr>
        <w:tab/>
      </w:r>
      <w:r>
        <w:rPr>
          <w:sz w:val="24"/>
          <w:rFonts w:ascii="Times New Roman" w:hAnsi="Times New Roman"/>
        </w:rPr>
        <w:t xml:space="preserve">C 23.01 – Risque de marché:</w:t>
      </w:r>
      <w:r>
        <w:rPr>
          <w:sz w:val="24"/>
          <w:rFonts w:ascii="Times New Roman" w:hAnsi="Times New Roman"/>
        </w:rPr>
        <w:t xml:space="preserve"> </w:t>
      </w:r>
      <w:r>
        <w:rPr>
          <w:sz w:val="24"/>
          <w:rFonts w:ascii="Times New Roman" w:hAnsi="Times New Roman"/>
        </w:rPr>
        <w:t xml:space="preserve">approche standard simplifiée du risque sur matières premières</w:t>
      </w:r>
      <w:bookmarkEnd w:id="124"/>
      <w:bookmarkEnd w:id="125"/>
      <w:bookmarkEnd w:id="126"/>
      <w:bookmarkEnd w:id="127"/>
      <w:bookmarkEnd w:id="128"/>
      <w:r>
        <w:rPr>
          <w:sz w:val="24"/>
          <w:rFonts w:ascii="Times New Roman" w:hAnsi="Times New Roman"/>
        </w:rPr>
        <w:t xml:space="preserve"> (MKR SSA COM)</w:t>
      </w:r>
      <w:bookmarkEnd w:id="129"/>
      <w:bookmarkEnd w:id="130"/>
    </w:p>
    <w:p w14:paraId="72871AE4"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Pr>
          <w:sz w:val="24"/>
          <w:u w:val="none"/>
          <w:rFonts w:ascii="Times New Roman" w:hAnsi="Times New Roman"/>
        </w:rPr>
        <w:t xml:space="preserve">5.6.1.</w:t>
      </w:r>
      <w:r>
        <w:rPr>
          <w:sz w:val="24"/>
          <w:u w:val="none"/>
          <w:rFonts w:ascii="Times New Roman" w:hAnsi="Times New Roman"/>
        </w:rPr>
        <w:tab/>
      </w:r>
      <w:r>
        <w:rPr>
          <w:sz w:val="24"/>
          <w:rFonts w:ascii="Times New Roman" w:hAnsi="Times New Roman"/>
        </w:rPr>
        <w:t xml:space="preserve">Remarques générales</w:t>
      </w:r>
      <w:bookmarkEnd w:id="131"/>
      <w:bookmarkEnd w:id="132"/>
      <w:bookmarkEnd w:id="133"/>
      <w:bookmarkEnd w:id="134"/>
      <w:bookmarkEnd w:id="135"/>
      <w:bookmarkEnd w:id="136"/>
      <w:bookmarkEnd w:id="137"/>
    </w:p>
    <w:p w14:paraId="441FA19A" w14:textId="38802150" w:rsidR="000B0B09"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173</w:t>
      </w:r>
      <w:r w:rsidRPr="004B0EC7">
        <w:fldChar w:fldCharType="end"/>
      </w:r>
      <w:r>
        <w:t xml:space="preserve">.</w:t>
      </w:r>
      <w:r>
        <w:tab/>
      </w:r>
      <w:r>
        <w:t xml:space="preserve"> </w:t>
      </w:r>
      <w:r>
        <w:t xml:space="preserve">Ce modèle rassemble des informations sur les positions sur matières premières et les exigences de fonds propres correspondantes traitées selon l'approche standard.</w:t>
      </w:r>
    </w:p>
    <w:p w14:paraId="0C8765B1" w14:textId="16F4CE7F"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Pr>
          <w:sz w:val="24"/>
          <w:u w:val="none"/>
          <w:rFonts w:ascii="Times New Roman" w:hAnsi="Times New Roman"/>
        </w:rPr>
        <w:t xml:space="preserve">5.6.2.</w:t>
      </w:r>
      <w:r>
        <w:rPr>
          <w:sz w:val="24"/>
          <w:u w:val="none"/>
          <w:rFonts w:ascii="Times New Roman" w:hAnsi="Times New Roman"/>
        </w:rPr>
        <w:tab/>
      </w:r>
      <w:r>
        <w:rPr>
          <w:sz w:val="24"/>
          <w:rFonts w:ascii="Times New Roman" w:hAnsi="Times New Roman"/>
        </w:rPr>
        <w:t xml:space="preserve">Instructions concernant certaines positions</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Colonnes</w:t>
            </w:r>
          </w:p>
        </w:tc>
      </w:tr>
      <w:tr w:rsidR="000B0B09" w:rsidRPr="004B0EC7" w14:paraId="12CECACA" w14:textId="77777777" w:rsidTr="00672D2A">
        <w:tc>
          <w:tcPr>
            <w:tcW w:w="986" w:type="dxa"/>
          </w:tcPr>
          <w:p w14:paraId="6FA50BBC"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0010 – 0020</w:t>
            </w:r>
          </w:p>
        </w:tc>
        <w:tc>
          <w:tcPr>
            <w:tcW w:w="7876" w:type="dxa"/>
          </w:tcPr>
          <w:p w14:paraId="29C026B5"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TOUTES LES POSITIONS (LONGUES ET COURTES)</w:t>
            </w:r>
          </w:p>
          <w:p w14:paraId="4B99A78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Positions longues/courtes brutes considérées comme des positions sur la même matière première, conformément à l'article 357, paragraphe 4, du règlement (UE) nº 575/2013 (voir également l'article 359, paragraphe 1, du règlement (UE) nº 575/2013).</w:t>
            </w:r>
          </w:p>
          <w:p w14:paraId="3E9C7204"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 </w:t>
            </w:r>
          </w:p>
        </w:tc>
      </w:tr>
      <w:tr w:rsidR="000B0B09" w:rsidRPr="004B0EC7" w14:paraId="4AB4396B" w14:textId="77777777" w:rsidTr="00672D2A">
        <w:tc>
          <w:tcPr>
            <w:tcW w:w="986" w:type="dxa"/>
          </w:tcPr>
          <w:p w14:paraId="224657DD"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0030 – 0040</w:t>
            </w:r>
            <w:r>
              <w:rPr>
                <w:sz w:val="24"/>
                <w:rFonts w:ascii="Times New Roman" w:hAnsi="Times New Roman"/>
              </w:rPr>
              <w:t xml:space="preserve"> </w:t>
            </w:r>
          </w:p>
        </w:tc>
        <w:tc>
          <w:tcPr>
            <w:tcW w:w="7876" w:type="dxa"/>
          </w:tcPr>
          <w:p w14:paraId="7FA580C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NETTES (LONGUES ET COURTES)</w:t>
            </w:r>
          </w:p>
          <w:p w14:paraId="0B49C3F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4B0EC7" w:rsidRDefault="000B0B09" w:rsidP="001A0143">
            <w:pPr>
              <w:autoSpaceDE w:val="0"/>
              <w:autoSpaceDN w:val="0"/>
              <w:adjustRightInd w:val="0"/>
              <w:spacing w:before="0"/>
              <w:rPr>
                <w:sz w:val="24"/>
                <w:rFonts w:ascii="Times New Roman" w:hAnsi="Times New Roman"/>
              </w:rPr>
            </w:pPr>
            <w:r>
              <w:rPr>
                <w:sz w:val="24"/>
                <w:rFonts w:ascii="Times New Roman" w:hAnsi="Times New Roman"/>
              </w:rPr>
              <w:t xml:space="preserve">Au sens de l’article 357, paragraphe 3, du règlement (UE) nº 575/2013</w:t>
            </w:r>
            <w:r>
              <w:rPr>
                <w:sz w:val="24"/>
                <w:rFonts w:ascii="Times New Roman" w:hAnsi="Times New Roman"/>
              </w:rPr>
              <w:t xml:space="preserve"> </w:t>
            </w:r>
          </w:p>
        </w:tc>
      </w:tr>
      <w:tr w:rsidR="000B0B09" w:rsidRPr="004B0EC7" w14:paraId="0A46320C" w14:textId="77777777" w:rsidTr="00672D2A">
        <w:tc>
          <w:tcPr>
            <w:tcW w:w="986" w:type="dxa"/>
          </w:tcPr>
          <w:p w14:paraId="7F0B984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76" w:type="dxa"/>
          </w:tcPr>
          <w:p w14:paraId="7ADEF1C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SOUMISES AUX EXIGENCES DE FONDS PROPRES</w:t>
            </w:r>
          </w:p>
          <w:p w14:paraId="55ED580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Positions nettes qui, conformément aux différentes approches envisagées dans la troisième partie, titre IV, chapitre 4, du règlement (UE) nº 575/2013, sont soumises à une exigence de fonds propres.</w:t>
            </w:r>
          </w:p>
          <w:p w14:paraId="762BD2E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76" w:type="dxa"/>
          </w:tcPr>
          <w:p w14:paraId="4AA26DC6" w14:textId="579AC514"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 AVANT APPLICATION DU FACTEUR DE MAJORATION</w:t>
            </w:r>
          </w:p>
          <w:p w14:paraId="545A19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4B0EC7" w:rsidRDefault="000B0B09" w:rsidP="00A2757B">
            <w:pPr>
              <w:autoSpaceDE w:val="0"/>
              <w:autoSpaceDN w:val="0"/>
              <w:adjustRightInd w:val="0"/>
              <w:spacing w:before="0"/>
              <w:rPr>
                <w:b/>
                <w:bCs/>
                <w:sz w:val="24"/>
                <w:u w:val="single"/>
                <w:rFonts w:ascii="Times New Roman" w:hAnsi="Times New Roman"/>
              </w:rPr>
            </w:pPr>
            <w:r>
              <w:rPr>
                <w:sz w:val="24"/>
                <w:rFonts w:ascii="Times New Roman" w:hAnsi="Times New Roman"/>
              </w:rPr>
              <w:t xml:space="preserve">L’exigence de fonds propres calculée conformément à la troisième partie, titre IV, chapitre 4, du règlement (UE) nº 575/2013 pour toute position pertinente avant application du facteur de majoration conformément à l’article 325, paragraphe 2, dudit règlement.</w:t>
            </w:r>
          </w:p>
        </w:tc>
      </w:tr>
      <w:tr w:rsidR="000B0B09" w:rsidRPr="004B0EC7" w14:paraId="380AB4E0" w14:textId="77777777" w:rsidTr="00672D2A">
        <w:tc>
          <w:tcPr>
            <w:tcW w:w="986" w:type="dxa"/>
          </w:tcPr>
          <w:p w14:paraId="0EE22EDA" w14:textId="671C9C7F"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6" w:type="dxa"/>
          </w:tcPr>
          <w:p w14:paraId="162C1DF7" w14:textId="77777777"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MONTANT TOTAL D'EXPOSITION AU RISQUE</w:t>
            </w:r>
          </w:p>
          <w:p w14:paraId="35864C1F"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1A0143">
            <w:pPr>
              <w:tabs>
                <w:tab w:val="left" w:pos="1665"/>
              </w:tabs>
              <w:autoSpaceDE w:val="0"/>
              <w:autoSpaceDN w:val="0"/>
              <w:adjustRightInd w:val="0"/>
              <w:spacing w:before="0"/>
              <w:rPr>
                <w:sz w:val="24"/>
                <w:rFonts w:ascii="Times New Roman" w:hAnsi="Times New Roman"/>
              </w:rPr>
            </w:pPr>
            <w:r>
              <w:rPr>
                <w:sz w:val="24"/>
                <w:rFonts w:ascii="Times New Roman" w:hAnsi="Times New Roman"/>
              </w:rPr>
              <w:t xml:space="preserve">Article 92, paragraphe 4, point c), du règlement (UE) nº 575/2013.</w:t>
            </w:r>
            <w:r>
              <w:rPr>
                <w:sz w:val="24"/>
                <w:rFonts w:ascii="Times New Roman" w:hAnsi="Times New Roman"/>
              </w:rPr>
              <w:t xml:space="preserve"> </w:t>
            </w:r>
          </w:p>
          <w:p w14:paraId="67EADC1A" w14:textId="634950C6" w:rsidR="000B0B09" w:rsidRPr="004B0EC7" w:rsidRDefault="000B0B09" w:rsidP="001A0143">
            <w:pPr>
              <w:tabs>
                <w:tab w:val="left" w:pos="1665"/>
              </w:tabs>
              <w:autoSpaceDE w:val="0"/>
              <w:autoSpaceDN w:val="0"/>
              <w:adjustRightInd w:val="0"/>
              <w:spacing w:before="0"/>
              <w:rPr>
                <w:b/>
                <w:bCs/>
                <w:sz w:val="24"/>
                <w:u w:val="single"/>
                <w:rFonts w:ascii="Times New Roman" w:hAnsi="Times New Roman"/>
              </w:rPr>
            </w:pPr>
            <w:r>
              <w:rPr>
                <w:sz w:val="24"/>
                <w:rFonts w:ascii="Times New Roman" w:hAnsi="Times New Roman"/>
              </w:rPr>
              <w:t xml:space="preserve">Résultat de la multiplication des exigences de fonds propres par 12,5 conformément à l’article 92, paragraphe 6, point b), du règlement (UE) nº 575/2013, et par le facteur de majoration conformément à l’article 325, paragraphe 2, point c), dudit règlement.</w:t>
            </w:r>
          </w:p>
        </w:tc>
      </w:tr>
    </w:tbl>
    <w:p w14:paraId="0DC9D0A4"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Lignes</w:t>
            </w:r>
          </w:p>
        </w:tc>
      </w:tr>
      <w:tr w:rsidR="000B0B09" w:rsidRPr="004B0EC7" w14:paraId="3F19FB75" w14:textId="77777777" w:rsidTr="00672D2A">
        <w:tc>
          <w:tcPr>
            <w:tcW w:w="987" w:type="dxa"/>
          </w:tcPr>
          <w:p w14:paraId="62003386"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875" w:type="dxa"/>
          </w:tcPr>
          <w:p w14:paraId="3CC5979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TOTAL DES POSITIONS SUR MATIÈRES PREMIÈRES</w:t>
            </w:r>
          </w:p>
          <w:p w14:paraId="03562626" w14:textId="77777777" w:rsidR="000B0B09" w:rsidRPr="004B0EC7" w:rsidRDefault="000B0B09" w:rsidP="000B0B09">
            <w:pPr>
              <w:autoSpaceDE w:val="0"/>
              <w:autoSpaceDN w:val="0"/>
              <w:adjustRightInd w:val="0"/>
              <w:spacing w:before="0" w:after="0"/>
              <w:rPr>
                <w:rFonts w:ascii="Times New Roman" w:hAnsi="Times New Roman"/>
                <w:sz w:val="24"/>
              </w:rPr>
            </w:pPr>
          </w:p>
          <w:p w14:paraId="1B02378E" w14:textId="27789902" w:rsidR="000B0B09" w:rsidRPr="004B0EC7" w:rsidRDefault="000B0B09" w:rsidP="00070113">
            <w:pPr>
              <w:autoSpaceDE w:val="0"/>
              <w:autoSpaceDN w:val="0"/>
              <w:adjustRightInd w:val="0"/>
              <w:spacing w:before="0"/>
              <w:rPr>
                <w:sz w:val="24"/>
                <w:rFonts w:ascii="Times New Roman" w:hAnsi="Times New Roman"/>
              </w:rPr>
            </w:pPr>
            <w:r>
              <w:rPr>
                <w:sz w:val="24"/>
                <w:rFonts w:ascii="Times New Roman" w:hAnsi="Times New Roman"/>
              </w:rPr>
              <w:t xml:space="preserve">Positions sur matières premières et exigences de fonds propres correspondantes pour risque de marché calculées conformément à l’article 92, paragraphe 4, point c), du règlement (UE) nº 575/2013 et à la troisième partie, titre IV, chapitre 4, dudit.</w:t>
            </w:r>
            <w:r>
              <w:rPr>
                <w:sz w:val="24"/>
                <w:rFonts w:ascii="Times New Roman" w:hAnsi="Times New Roman"/>
              </w:rPr>
              <w:t xml:space="preserve"> </w:t>
            </w:r>
          </w:p>
        </w:tc>
      </w:tr>
      <w:tr w:rsidR="000B0B09" w:rsidRPr="004B0EC7" w14:paraId="216F1AEE" w14:textId="77777777" w:rsidTr="00672D2A">
        <w:tc>
          <w:tcPr>
            <w:tcW w:w="987" w:type="dxa"/>
          </w:tcPr>
          <w:p w14:paraId="62D08C2C"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0020 – 0060</w:t>
            </w:r>
          </w:p>
        </w:tc>
        <w:tc>
          <w:tcPr>
            <w:tcW w:w="7875" w:type="dxa"/>
          </w:tcPr>
          <w:p w14:paraId="759E579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POSITIONS EN FONCTION DES CATÉGORIES DE MATIÈRES PREMIÈRES</w:t>
            </w:r>
          </w:p>
          <w:p w14:paraId="5692188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Aux fins de la déclaration, les matières premières sont regroupées selon les quatre catégories visées dans le tableau 2 de l'article 361 du règlement (UE) nº 575/2013.</w:t>
            </w:r>
          </w:p>
          <w:p w14:paraId="04BB5316"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 </w:t>
            </w:r>
          </w:p>
        </w:tc>
      </w:tr>
      <w:tr w:rsidR="000B0B09" w:rsidRPr="004B0EC7" w14:paraId="50CBB22D" w14:textId="77777777" w:rsidTr="00672D2A">
        <w:tc>
          <w:tcPr>
            <w:tcW w:w="987" w:type="dxa"/>
          </w:tcPr>
          <w:p w14:paraId="3E68EF2F"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5" w:type="dxa"/>
          </w:tcPr>
          <w:p w14:paraId="5AACA5E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APPROCHE DU TABLEAU D'ÉCHÉANCES</w:t>
            </w:r>
          </w:p>
          <w:p w14:paraId="2C667CB8"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Positions sur matières premières soumises à l'approche du tableau d'échéances visée à l'article 359 du règlement (UE) nº 575/2013</w:t>
            </w:r>
          </w:p>
          <w:p w14:paraId="018E7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875" w:type="dxa"/>
          </w:tcPr>
          <w:p w14:paraId="7D3D047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APPROCHE DU TABLEAU D'ÉCHÉANCES ÉLARGIE</w:t>
            </w:r>
          </w:p>
          <w:p w14:paraId="28E2284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Positions sur matières premières soumises à l'approche du tableau d'échéances élargie visée à l'article 361 du règlement (UE) nº 575/2013</w:t>
            </w:r>
          </w:p>
          <w:p w14:paraId="4CC42EB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875" w:type="dxa"/>
          </w:tcPr>
          <w:p w14:paraId="5AEA8FE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APPROCHE SIMPLIFIÉE</w:t>
            </w:r>
          </w:p>
          <w:p w14:paraId="739EF26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Positions sur matières premières soumises à l'approche simplifiée visée à l'article 360 du règlement (UE) nº 575/2013</w:t>
            </w:r>
            <w:r>
              <w:rPr>
                <w:sz w:val="24"/>
                <w:rFonts w:ascii="Times New Roman" w:hAnsi="Times New Roman"/>
              </w:rPr>
              <w:t xml:space="preserve"> </w:t>
            </w:r>
          </w:p>
          <w:p w14:paraId="72D24C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 – 0140</w:t>
            </w:r>
          </w:p>
        </w:tc>
        <w:tc>
          <w:tcPr>
            <w:tcW w:w="7875" w:type="dxa"/>
          </w:tcPr>
          <w:p w14:paraId="1AB2469B"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rStyle w:val="InstructionsTabelleberschrift"/>
                <w:sz w:val="24"/>
                <w:rFonts w:ascii="Times New Roman" w:hAnsi="Times New Roman"/>
              </w:rPr>
              <w:t xml:space="preserve">EXIGENCES SUPPLÉMENTAIRES POUR RISQUES SUR OPTIONS (RISQUES NON DELTA)</w:t>
            </w:r>
          </w:p>
          <w:p w14:paraId="444B7110" w14:textId="08585130" w:rsidR="000B0B09" w:rsidRPr="004B0EC7" w:rsidRDefault="000B0B09" w:rsidP="001A0143">
            <w:pPr>
              <w:autoSpaceDE w:val="0"/>
              <w:autoSpaceDN w:val="0"/>
              <w:adjustRightInd w:val="0"/>
              <w:rPr>
                <w:sz w:val="24"/>
                <w:rFonts w:ascii="Times New Roman" w:hAnsi="Times New Roman"/>
              </w:rPr>
            </w:pPr>
            <w:r>
              <w:rPr>
                <w:sz w:val="24"/>
                <w:rFonts w:ascii="Times New Roman" w:hAnsi="Times New Roman"/>
              </w:rPr>
              <w:t xml:space="preserve">Article 358, paragraphe 4, du règlement (UE) nº 575/2013.</w:t>
            </w:r>
            <w:r>
              <w:rPr>
                <w:sz w:val="24"/>
                <w:rFonts w:ascii="Times New Roman" w:hAnsi="Times New Roman"/>
              </w:rPr>
              <w:t xml:space="preserve"> </w:t>
            </w:r>
          </w:p>
          <w:p w14:paraId="1D3D5AF7"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Les exigences supplémentaires pour les options liées aux risques autres que le risque delta seront déclarées dans la méthode appliquée pour leur calcul.</w:t>
            </w:r>
          </w:p>
          <w:p w14:paraId="55D77BA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0B0B09">
      <w:pPr>
        <w:rPr>
          <w:rFonts w:ascii="Times New Roman" w:hAnsi="Times New Roman"/>
          <w:sz w:val="24"/>
        </w:rPr>
      </w:pPr>
    </w:p>
    <w:p w14:paraId="2B97C384" w14:textId="77777777" w:rsidR="000B0B09" w:rsidRPr="004B0EC7" w:rsidRDefault="00125707" w:rsidP="0023700C">
      <w:pPr>
        <w:pStyle w:val="Instructionsberschrift2"/>
        <w:numPr>
          <w:ilvl w:val="0"/>
          <w:numId w:val="0"/>
        </w:numPr>
        <w:ind w:left="357" w:hanging="357"/>
        <w:rPr>
          <w:sz w:val="24"/>
          <w:rFonts w:ascii="Times New Roman" w:hAnsi="Times New Roman"/>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Pr>
          <w:sz w:val="24"/>
          <w:u w:val="none"/>
          <w:rFonts w:ascii="Times New Roman" w:hAnsi="Times New Roman"/>
        </w:rPr>
        <w:t xml:space="preserve">5.7.</w:t>
      </w:r>
      <w:r>
        <w:rPr>
          <w:sz w:val="24"/>
          <w:u w:val="none"/>
          <w:rFonts w:ascii="Times New Roman" w:hAnsi="Times New Roman"/>
        </w:rPr>
        <w:tab/>
      </w:r>
      <w:r>
        <w:rPr>
          <w:sz w:val="24"/>
          <w:rFonts w:ascii="Times New Roman" w:hAnsi="Times New Roman"/>
        </w:rPr>
        <w:t xml:space="preserve">C 24.00 - Risque de marché selon l’approche fondée sur les modèles internes</w:t>
      </w:r>
      <w:bookmarkEnd w:id="145"/>
      <w:bookmarkEnd w:id="146"/>
      <w:bookmarkEnd w:id="147"/>
      <w:bookmarkEnd w:id="148"/>
      <w:bookmarkEnd w:id="149"/>
      <w:r>
        <w:rPr>
          <w:sz w:val="24"/>
          <w:rFonts w:ascii="Times New Roman" w:hAnsi="Times New Roman"/>
        </w:rPr>
        <w:t xml:space="preserve"> (MKR IM)</w:t>
      </w:r>
      <w:bookmarkEnd w:id="150"/>
      <w:bookmarkEnd w:id="151"/>
    </w:p>
    <w:p w14:paraId="78347ABD"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Pr>
          <w:sz w:val="24"/>
          <w:u w:val="none"/>
          <w:rFonts w:ascii="Times New Roman" w:hAnsi="Times New Roman"/>
        </w:rPr>
        <w:t xml:space="preserve">5.7.1.</w:t>
      </w:r>
      <w:r>
        <w:rPr>
          <w:sz w:val="24"/>
          <w:u w:val="none"/>
          <w:rFonts w:ascii="Times New Roman" w:hAnsi="Times New Roman"/>
        </w:rPr>
        <w:tab/>
      </w:r>
      <w:r>
        <w:rPr>
          <w:sz w:val="24"/>
          <w:rFonts w:ascii="Times New Roman" w:hAnsi="Times New Roman"/>
        </w:rPr>
        <w:t xml:space="preserve">Remarques générales</w:t>
      </w:r>
      <w:bookmarkEnd w:id="152"/>
      <w:bookmarkEnd w:id="153"/>
      <w:bookmarkEnd w:id="154"/>
      <w:bookmarkEnd w:id="155"/>
      <w:bookmarkEnd w:id="156"/>
      <w:bookmarkEnd w:id="157"/>
      <w:bookmarkEnd w:id="158"/>
    </w:p>
    <w:p w14:paraId="1055920F" w14:textId="5CFE289B" w:rsidR="000B0B09" w:rsidRPr="004B0EC7" w:rsidRDefault="00CE7221" w:rsidP="00660845">
      <w:pPr>
        <w:pStyle w:val="InstructionsText2"/>
        <w:numPr>
          <w:ilvl w:val="0"/>
          <w:numId w:val="0"/>
        </w:numPr>
        <w:ind w:left="993"/>
      </w:pPr>
      <w:r w:rsidRPr="004B0EC7">
        <w:fldChar w:fldCharType="begin" w:dirty="true"/>
      </w:r>
      <w:r w:rsidRPr="004B0EC7">
        <w:instrText xml:space="preserve"> seq paragraphs </w:instrText>
      </w:r>
      <w:r w:rsidRPr="004B0EC7">
        <w:fldChar w:fldCharType="separate"/>
      </w:r>
      <w:r w:rsidR="00771068" w:rsidRPr="004B0EC7">
        <w:t>174</w:t>
      </w:r>
      <w:r w:rsidRPr="004B0EC7">
        <w:fldChar w:fldCharType="end"/>
      </w:r>
      <w:r>
        <w:t xml:space="preserve">.</w:t>
      </w:r>
      <w:r>
        <w:tab/>
      </w:r>
      <w:r>
        <w:t xml:space="preserve"> </w:t>
      </w:r>
      <w:r>
        <w:t xml:space="preserve">Ce modèle fournit une ventilation des valeurs en risque (VaR) et des valeurs en risque en situation de tensions (sVaR), en fonction des différents risques de marché (dette, actions, change, matières premières), ainsi que d'autres informations pertinentes pour le calcul des exigences de fonds propres.</w:t>
      </w:r>
    </w:p>
    <w:p w14:paraId="3DD1046B" w14:textId="4AD05ACF" w:rsidR="000B0B09" w:rsidRPr="004B0EC7" w:rsidRDefault="00CE7221" w:rsidP="00660845">
      <w:pPr>
        <w:pStyle w:val="InstructionsText2"/>
        <w:numPr>
          <w:ilvl w:val="0"/>
          <w:numId w:val="0"/>
        </w:numPr>
        <w:ind w:left="993"/>
      </w:pPr>
      <w:r w:rsidRPr="004B0EC7">
        <w:fldChar w:fldCharType="begin" w:dirty="true"/>
      </w:r>
      <w:r w:rsidRPr="004B0EC7">
        <w:instrText xml:space="preserve"> seq paragraphs </w:instrText>
      </w:r>
      <w:r w:rsidRPr="004B0EC7">
        <w:fldChar w:fldCharType="separate"/>
      </w:r>
      <w:r w:rsidR="00771068" w:rsidRPr="004B0EC7">
        <w:t>175</w:t>
      </w:r>
      <w:r w:rsidRPr="004B0EC7">
        <w:fldChar w:fldCharType="end"/>
      </w:r>
      <w:r>
        <w:t xml:space="preserve">.</w:t>
      </w:r>
      <w:r>
        <w:tab/>
      </w:r>
      <w:r>
        <w:t xml:space="preserve"> </w:t>
      </w:r>
      <w:r>
        <w:t xml:space="preserve">En règle générale, le fait que les chiffres pour le risque général et pour le risque spécifique peuvent être déterminés et déclarés séparément ou bien uniquement sous la forme d’un total dépend de la structure du modèle des établissements.</w:t>
      </w:r>
      <w:r>
        <w:t xml:space="preserve"> </w:t>
      </w:r>
      <w:r>
        <w:t xml:space="preserve">Il en va de même pour la décomposition des VaR/sVaR selon les catégories de risques (risque de taux d'intérêt, risque lié aux actions, risque sur matières premières et risque de change).</w:t>
      </w:r>
      <w:r>
        <w:t xml:space="preserve"> </w:t>
      </w:r>
      <w:r>
        <w:t xml:space="preserve">Un établissement peut s'abstenir de déclarer ces décompositions s'il démontre que déclarer ces chiffres représenterait une contrainte excessive.</w:t>
      </w:r>
      <w:r>
        <w:t xml:space="preserve"> </w:t>
      </w:r>
    </w:p>
    <w:p w14:paraId="16A354D7" w14:textId="38B85B55"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Pr>
          <w:sz w:val="24"/>
          <w:u w:val="none"/>
          <w:rFonts w:ascii="Times New Roman" w:hAnsi="Times New Roman"/>
        </w:rPr>
        <w:t xml:space="preserve">5.7.2.</w:t>
      </w:r>
      <w:r>
        <w:rPr>
          <w:sz w:val="24"/>
          <w:u w:val="none"/>
          <w:rFonts w:ascii="Times New Roman" w:hAnsi="Times New Roman"/>
        </w:rPr>
        <w:tab/>
      </w:r>
      <w:r>
        <w:rPr>
          <w:sz w:val="24"/>
          <w:rFonts w:ascii="Times New Roman" w:hAnsi="Times New Roman"/>
        </w:rPr>
        <w:t xml:space="preserve">Instructions concernant certaines positions</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Colonnes</w:t>
            </w:r>
          </w:p>
        </w:tc>
      </w:tr>
      <w:tr w:rsidR="000B0B09" w:rsidRPr="004B0EC7" w14:paraId="27C19C3C" w14:textId="77777777" w:rsidTr="00672D2A">
        <w:tc>
          <w:tcPr>
            <w:tcW w:w="993" w:type="dxa"/>
          </w:tcPr>
          <w:p w14:paraId="10AA4817"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 – 0040</w:t>
            </w:r>
          </w:p>
        </w:tc>
        <w:tc>
          <w:tcPr>
            <w:tcW w:w="7869" w:type="dxa"/>
          </w:tcPr>
          <w:p w14:paraId="6F9C4B0E" w14:textId="77777777" w:rsidR="000B0B09" w:rsidRPr="004B0EC7" w:rsidRDefault="0016282F"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Valeur en risque (VaR)</w:t>
            </w:r>
          </w:p>
          <w:p w14:paraId="59F85AD6" w14:textId="77777777" w:rsidR="000B0B09" w:rsidRPr="004B0EC7" w:rsidRDefault="0016282F" w:rsidP="002300C6">
            <w:pPr>
              <w:autoSpaceDE w:val="0"/>
              <w:autoSpaceDN w:val="0"/>
              <w:adjustRightInd w:val="0"/>
              <w:rPr>
                <w:b/>
                <w:bCs/>
                <w:sz w:val="24"/>
                <w:u w:val="single"/>
                <w:rFonts w:ascii="Times New Roman" w:hAnsi="Times New Roman"/>
              </w:rPr>
            </w:pPr>
            <w:r>
              <w:rPr>
                <w:sz w:val="24"/>
                <w:rFonts w:ascii="Times New Roman" w:hAnsi="Times New Roman"/>
              </w:rPr>
              <w:t xml:space="preserve">La valeur en risque (VaR) désigne la perte potentielle maximale qui résulterait d'une variation du prix selon une probabilité donnée et dans un délai spécifique.</w:t>
            </w:r>
          </w:p>
        </w:tc>
      </w:tr>
      <w:tr w:rsidR="000B0B09" w:rsidRPr="004B0EC7" w14:paraId="50B81018" w14:textId="77777777" w:rsidTr="00672D2A">
        <w:tc>
          <w:tcPr>
            <w:tcW w:w="993" w:type="dxa"/>
          </w:tcPr>
          <w:p w14:paraId="4993712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7869" w:type="dxa"/>
          </w:tcPr>
          <w:p w14:paraId="3867D5D5"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Facteur de multiplication (mc) x moyenne de la VaR sur les 60 derniers jours ouvrés (VaRavg)</w:t>
            </w:r>
          </w:p>
          <w:p w14:paraId="028313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4B0EC7" w:rsidRDefault="00705025" w:rsidP="005F1095">
            <w:pPr>
              <w:autoSpaceDE w:val="0"/>
              <w:autoSpaceDN w:val="0"/>
              <w:adjustRightInd w:val="0"/>
              <w:spacing w:before="0" w:after="0"/>
              <w:rPr>
                <w:sz w:val="24"/>
                <w:rFonts w:ascii="Times New Roman" w:hAnsi="Times New Roman"/>
              </w:rPr>
            </w:pPr>
            <w:r>
              <w:rPr>
                <w:sz w:val="24"/>
                <w:rFonts w:ascii="Times New Roman" w:hAnsi="Times New Roman"/>
              </w:rPr>
              <w:t xml:space="preserve"> </w:t>
            </w:r>
            <w:r>
              <w:rPr>
                <w:sz w:val="24"/>
                <w:rFonts w:ascii="Times New Roman" w:hAnsi="Times New Roman"/>
              </w:rPr>
              <w:t xml:space="preserve">Article 364, paragraphe 1, point a), ii), et article 365, paragraphe 1, du règlement (UE) nº 575/2013</w:t>
            </w:r>
            <w:r>
              <w:rPr>
                <w:sz w:val="24"/>
                <w:rFonts w:ascii="Times New Roman" w:hAnsi="Times New Roman"/>
              </w:rPr>
              <w:t xml:space="preserve"> </w:t>
            </w:r>
          </w:p>
          <w:p w14:paraId="34698FA2"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7869" w:type="dxa"/>
          </w:tcPr>
          <w:p w14:paraId="15C0D51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VaR de la veille (VaRt-1)</w:t>
            </w:r>
          </w:p>
          <w:p w14:paraId="21BBDC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Article 364, paragraphe 1, point a), i), et article 365, paragraphe 1, du règlement (UE) nº 575/2013</w:t>
            </w:r>
            <w:r>
              <w:rPr>
                <w:sz w:val="24"/>
                <w:rFonts w:ascii="Times New Roman" w:hAnsi="Times New Roman"/>
              </w:rPr>
              <w:t xml:space="preserve"> </w:t>
            </w:r>
          </w:p>
          <w:p w14:paraId="065DA05D"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 – 0060</w:t>
            </w:r>
          </w:p>
        </w:tc>
        <w:tc>
          <w:tcPr>
            <w:tcW w:w="7869" w:type="dxa"/>
          </w:tcPr>
          <w:p w14:paraId="388A6872"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sVaR</w:t>
            </w:r>
          </w:p>
          <w:p w14:paraId="30D5B34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4B0EC7" w:rsidRDefault="0016282F" w:rsidP="002300C6">
            <w:pPr>
              <w:autoSpaceDE w:val="0"/>
              <w:autoSpaceDN w:val="0"/>
              <w:adjustRightInd w:val="0"/>
              <w:spacing w:before="0"/>
              <w:rPr>
                <w:sz w:val="24"/>
                <w:rFonts w:ascii="Times New Roman" w:hAnsi="Times New Roman"/>
              </w:rPr>
            </w:pPr>
            <w:r>
              <w:rPr>
                <w:sz w:val="24"/>
                <w:rFonts w:ascii="Times New Roman" w:hAnsi="Times New Roman"/>
              </w:rPr>
              <w:t xml:space="preserve">La valeur en risque en situation de tensions (sVaR) désigne la perte potentielle maximale qui résulterait d'une variation du prix selon une probabilité donnée et dans un délai spécifique, déterminée sur la base des données d'entrée calibrées par rapport aux données historiques afférentes à une période de tensions financières d'une durée continue de douze mois pertinentes pour le portefeuille de l'établissement.</w:t>
            </w:r>
          </w:p>
        </w:tc>
      </w:tr>
      <w:tr w:rsidR="000B0B09" w:rsidRPr="004B0EC7" w14:paraId="006F4906" w14:textId="77777777" w:rsidTr="00672D2A">
        <w:tc>
          <w:tcPr>
            <w:tcW w:w="993" w:type="dxa"/>
          </w:tcPr>
          <w:p w14:paraId="294AFD20"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69" w:type="dxa"/>
          </w:tcPr>
          <w:p w14:paraId="3CDD7B35"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Facteur de multiplication (ms) x moyenne des 60 derniers jours ouvrés (SVaRavg)</w:t>
            </w:r>
          </w:p>
          <w:p w14:paraId="17CC7E24"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0B0B09">
            <w:pPr>
              <w:autoSpaceDE w:val="0"/>
              <w:autoSpaceDN w:val="0"/>
              <w:adjustRightInd w:val="0"/>
              <w:spacing w:before="0" w:after="0"/>
              <w:rPr>
                <w:rStyle w:val="InstructionsTabelleberschrift"/>
                <w:b w:val="0"/>
                <w:bCs w:val="0"/>
                <w:sz w:val="24"/>
                <w:rFonts w:ascii="Times New Roman" w:hAnsi="Times New Roman"/>
              </w:rPr>
            </w:pPr>
            <w:r>
              <w:rPr>
                <w:sz w:val="24"/>
                <w:rFonts w:ascii="Times New Roman" w:hAnsi="Times New Roman"/>
              </w:rPr>
              <w:t xml:space="preserve">Article 364, paragraphe 1, point b), ii), et article 365, paragraphe 1, du règlement (UE) nº 575/2013</w:t>
            </w:r>
            <w:r>
              <w:rPr>
                <w:sz w:val="24"/>
                <w:rStyle w:val="InstructionsTabelleberschrift"/>
                <w:rFonts w:ascii="Times New Roman" w:hAnsi="Times New Roman"/>
              </w:rPr>
              <w:t xml:space="preserve"> </w:t>
            </w:r>
          </w:p>
          <w:p w14:paraId="4E4677D0"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69" w:type="dxa"/>
          </w:tcPr>
          <w:p w14:paraId="6934BA2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Dernière mesure disponible (SVaRt-1)</w:t>
            </w:r>
          </w:p>
          <w:p w14:paraId="26D70865" w14:textId="77777777" w:rsidR="000B0B09" w:rsidRPr="004B0EC7" w:rsidRDefault="000B0B09" w:rsidP="000B0B09">
            <w:pPr>
              <w:autoSpaceDE w:val="0"/>
              <w:autoSpaceDN w:val="0"/>
              <w:adjustRightInd w:val="0"/>
              <w:spacing w:before="0" w:after="0"/>
              <w:rPr>
                <w:rFonts w:ascii="Times New Roman" w:hAnsi="Times New Roman"/>
                <w:sz w:val="24"/>
              </w:rPr>
            </w:pPr>
          </w:p>
          <w:p w14:paraId="2269DF70" w14:textId="67B7CAF8" w:rsidR="000B0B09" w:rsidRPr="004B0EC7" w:rsidRDefault="001B17E6"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Article 364, paragraphe 1, point b), i), et article 365, paragraphe 1, du règlement (UE) nº 575/2013</w:t>
            </w:r>
            <w:r>
              <w:rPr>
                <w:sz w:val="24"/>
                <w:rFonts w:ascii="Times New Roman" w:hAnsi="Times New Roman"/>
              </w:rPr>
              <w:t xml:space="preserve"> </w:t>
            </w:r>
          </w:p>
          <w:p w14:paraId="52AD8FD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 – 0080</w:t>
            </w:r>
          </w:p>
        </w:tc>
        <w:tc>
          <w:tcPr>
            <w:tcW w:w="7869" w:type="dxa"/>
          </w:tcPr>
          <w:p w14:paraId="260164A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 POUR RISQUES SUPPLÉMENTAIRES DE DÉFAUT ET DE MIGRATION</w:t>
            </w:r>
          </w:p>
          <w:p w14:paraId="1E7EA146" w14:textId="62573725" w:rsidR="000B0B09" w:rsidRPr="004B0EC7" w:rsidRDefault="0016282F" w:rsidP="001B17E6">
            <w:pPr>
              <w:rPr>
                <w:b/>
                <w:bCs/>
                <w:sz w:val="24"/>
                <w:u w:val="single"/>
                <w:rFonts w:ascii="Times New Roman" w:hAnsi="Times New Roman"/>
              </w:rPr>
            </w:pPr>
            <w:r>
              <w:rPr>
                <w:sz w:val="24"/>
                <w:rFonts w:ascii="Times New Roman" w:hAnsi="Times New Roman"/>
              </w:rPr>
              <w:t xml:space="preserve">Les exigences de fonds propres pour risques supplémentaires de défaut et de migration désignent la perte potentielle maximale qui résulterait d'une variation de prix liée à des risques de défaut et de migration, calculée conformément à l'article 364, paragraphe 2, point b), en lien avec la troisième partie, titre IV, chapitre 5, section 4, du règlement (UE) nº 575/2013.</w:t>
            </w:r>
            <w:r>
              <w:rPr>
                <w:sz w:val="24"/>
                <w:rFonts w:ascii="Times New Roman" w:hAnsi="Times New Roman"/>
              </w:rPr>
              <w:t xml:space="preserve"> </w:t>
            </w:r>
          </w:p>
        </w:tc>
      </w:tr>
      <w:tr w:rsidR="000B0B09" w:rsidRPr="004B0EC7" w14:paraId="0A8D9874" w14:textId="77777777" w:rsidTr="00672D2A">
        <w:tc>
          <w:tcPr>
            <w:tcW w:w="993" w:type="dxa"/>
          </w:tcPr>
          <w:p w14:paraId="75FBF5CA"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69" w:type="dxa"/>
          </w:tcPr>
          <w:p w14:paraId="5E1133B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Mesure moyenne sur 12 semaines</w:t>
            </w:r>
          </w:p>
          <w:p w14:paraId="54F95AD4" w14:textId="77777777" w:rsidR="005C14B0" w:rsidRPr="004B0EC7" w:rsidRDefault="005C14B0">
            <w:pPr>
              <w:autoSpaceDE w:val="0"/>
              <w:autoSpaceDN w:val="0"/>
              <w:adjustRightInd w:val="0"/>
              <w:spacing w:before="0" w:after="0"/>
              <w:rPr>
                <w:rFonts w:ascii="Times New Roman" w:hAnsi="Times New Roman"/>
                <w:sz w:val="24"/>
              </w:rPr>
            </w:pPr>
          </w:p>
          <w:p w14:paraId="7D1E5A11" w14:textId="2D0D518D" w:rsidR="005C14B0" w:rsidRPr="004B0EC7" w:rsidRDefault="000B0B09">
            <w:pPr>
              <w:autoSpaceDE w:val="0"/>
              <w:autoSpaceDN w:val="0"/>
              <w:adjustRightInd w:val="0"/>
              <w:spacing w:before="0" w:after="0"/>
              <w:rPr>
                <w:sz w:val="24"/>
                <w:rFonts w:ascii="Times New Roman" w:hAnsi="Times New Roman"/>
              </w:rPr>
            </w:pPr>
            <w:r>
              <w:rPr>
                <w:sz w:val="24"/>
                <w:rFonts w:ascii="Times New Roman" w:hAnsi="Times New Roman"/>
              </w:rPr>
              <w:t xml:space="preserve">Article 364, paragraphe 2, point b), ii), en lien avec la troisième partie, titre IV, chapitre 5, section 4, du règlement (UE) nº 575/2013.</w:t>
            </w:r>
          </w:p>
          <w:p w14:paraId="10724354" w14:textId="77777777" w:rsidR="000B0B09" w:rsidRPr="004B0EC7" w:rsidRDefault="000B0B09">
            <w:pPr>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869" w:type="dxa"/>
          </w:tcPr>
          <w:p w14:paraId="270A52C5"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Dernière mesure</w:t>
            </w:r>
          </w:p>
          <w:p w14:paraId="5216198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Article 364, paragraphe 2, point b), i), en lien avec la troisième partie, titre IV, chapitre 5, section 4, du règlement (UE) nº 575/2013.</w:t>
            </w:r>
          </w:p>
          <w:p w14:paraId="401526B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 – 0110</w:t>
            </w:r>
          </w:p>
        </w:tc>
        <w:tc>
          <w:tcPr>
            <w:tcW w:w="7869" w:type="dxa"/>
          </w:tcPr>
          <w:p w14:paraId="3A49421F"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 TOUS RISQUES DE PRIX POUR LE PORTEFEUILLE DE NÉGOCIATION EN CORRÉLATION</w:t>
            </w:r>
          </w:p>
          <w:p w14:paraId="277A72A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869" w:type="dxa"/>
          </w:tcPr>
          <w:p w14:paraId="36F8F7A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PLANCHER</w:t>
            </w:r>
          </w:p>
          <w:p w14:paraId="08424932" w14:textId="6F00A60B" w:rsidR="000B0B09" w:rsidRPr="004B0EC7" w:rsidRDefault="000B0B09" w:rsidP="000B0B09">
            <w:pPr>
              <w:rPr>
                <w:sz w:val="24"/>
                <w:rFonts w:ascii="Times New Roman" w:hAnsi="Times New Roman"/>
              </w:rPr>
            </w:pPr>
            <w:r>
              <w:rPr>
                <w:sz w:val="24"/>
                <w:rFonts w:ascii="Times New Roman" w:hAnsi="Times New Roman"/>
              </w:rPr>
              <w:t xml:space="preserve">Article 364, paragraphe 3, point c), du règlement (UE) nº 575/2013.</w:t>
            </w:r>
          </w:p>
          <w:p w14:paraId="71FEB01E" w14:textId="7D0B9236" w:rsidR="000B0B09" w:rsidRPr="004B0EC7" w:rsidRDefault="000B0B09" w:rsidP="000B0B09">
            <w:pPr>
              <w:autoSpaceDE w:val="0"/>
              <w:autoSpaceDN w:val="0"/>
              <w:adjustRightInd w:val="0"/>
              <w:spacing w:before="0" w:after="0"/>
              <w:rPr>
                <w:b/>
                <w:bCs/>
                <w:sz w:val="24"/>
                <w:u w:val="single"/>
                <w:rFonts w:ascii="Times New Roman" w:hAnsi="Times New Roman"/>
              </w:rPr>
            </w:pPr>
            <w:r>
              <w:rPr>
                <w:sz w:val="24"/>
                <w:rFonts w:ascii="Times New Roman" w:hAnsi="Times New Roman"/>
              </w:rPr>
              <w:t xml:space="preserve">8 % de l'exigence de fonds propres qui serait calculée conformément à l'article 338, paragraphe 1, du règlement (UE) nº 575/2013, pour toutes les positions prises en compte dans les exigences de fonds propres «tous risques de prix».</w:t>
            </w:r>
            <w:r>
              <w:rPr>
                <w:sz w:val="24"/>
                <w:b/>
                <w:u w:val="single"/>
                <w:rFonts w:ascii="Times New Roman" w:hAnsi="Times New Roman"/>
              </w:rPr>
              <w:t xml:space="preserve"> </w:t>
            </w:r>
          </w:p>
          <w:p w14:paraId="52B76E8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 – 0110</w:t>
            </w:r>
          </w:p>
        </w:tc>
        <w:tc>
          <w:tcPr>
            <w:tcW w:w="7869" w:type="dxa"/>
          </w:tcPr>
          <w:p w14:paraId="60E09F6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MESURE MOYENNE SUR 12 SEMAINES ET DERNIÈRE MESURE</w:t>
            </w:r>
          </w:p>
          <w:p w14:paraId="244F0E2D" w14:textId="75367C4C" w:rsidR="000B0B09" w:rsidRPr="004B0EC7" w:rsidRDefault="00587E96" w:rsidP="0016282F">
            <w:pPr>
              <w:autoSpaceDE w:val="0"/>
              <w:autoSpaceDN w:val="0"/>
              <w:adjustRightInd w:val="0"/>
              <w:spacing w:after="0"/>
              <w:rPr>
                <w:bCs/>
                <w:sz w:val="24"/>
                <w:rFonts w:ascii="Times New Roman" w:hAnsi="Times New Roman"/>
              </w:rPr>
            </w:pPr>
            <w:r>
              <w:rPr>
                <w:sz w:val="24"/>
                <w:rFonts w:ascii="Times New Roman" w:hAnsi="Times New Roman"/>
              </w:rPr>
              <w:t xml:space="preserve">Article 364, paragraphe 3, point b), du règlement (UE) nº 575/2013.</w:t>
            </w:r>
          </w:p>
          <w:p w14:paraId="07DFA832" w14:textId="4544A338" w:rsidR="000B0B09" w:rsidRPr="004B0EC7"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7869" w:type="dxa"/>
          </w:tcPr>
          <w:p w14:paraId="07581252" w14:textId="77777777" w:rsidR="000B0B09" w:rsidRPr="004B0EC7" w:rsidRDefault="000B0B09" w:rsidP="0016282F">
            <w:pPr>
              <w:autoSpaceDE w:val="0"/>
              <w:autoSpaceDN w:val="0"/>
              <w:adjustRightInd w:val="0"/>
              <w:spacing w:before="0"/>
              <w:rPr>
                <w:b/>
                <w:bCs/>
                <w:sz w:val="24"/>
                <w:u w:val="single"/>
                <w:rFonts w:ascii="Times New Roman" w:hAnsi="Times New Roman"/>
              </w:rPr>
            </w:pPr>
            <w:r>
              <w:rPr>
                <w:b/>
                <w:sz w:val="24"/>
                <w:u w:val="single"/>
                <w:rFonts w:ascii="Times New Roman" w:hAnsi="Times New Roman"/>
              </w:rPr>
              <w:t xml:space="preserve">DERNIÈRE MESURE</w:t>
            </w:r>
          </w:p>
          <w:p w14:paraId="58C3865D" w14:textId="7EBBD50E" w:rsidR="005C14B0" w:rsidRPr="004B0EC7" w:rsidRDefault="00587E96" w:rsidP="000B0B09">
            <w:pPr>
              <w:autoSpaceDE w:val="0"/>
              <w:autoSpaceDN w:val="0"/>
              <w:adjustRightInd w:val="0"/>
              <w:spacing w:before="0" w:after="0"/>
              <w:rPr>
                <w:bCs/>
                <w:sz w:val="24"/>
                <w:rFonts w:ascii="Times New Roman" w:hAnsi="Times New Roman"/>
              </w:rPr>
            </w:pPr>
            <w:r>
              <w:rPr>
                <w:sz w:val="24"/>
                <w:rFonts w:ascii="Times New Roman" w:hAnsi="Times New Roman"/>
              </w:rPr>
              <w:t xml:space="preserve">Article 364, paragraphe 3, point a), du règlement (UE) nº 575/2013.</w:t>
            </w:r>
          </w:p>
          <w:p w14:paraId="60068EE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0120</w:t>
            </w:r>
          </w:p>
        </w:tc>
        <w:tc>
          <w:tcPr>
            <w:tcW w:w="7869" w:type="dxa"/>
          </w:tcPr>
          <w:p w14:paraId="5E5800C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EXIGENCES DE FONDS PROPRES</w:t>
            </w:r>
          </w:p>
          <w:p w14:paraId="7122FC14" w14:textId="52CC637D" w:rsidR="000B0B09" w:rsidRPr="004B0EC7" w:rsidRDefault="00BE0363" w:rsidP="0016282F">
            <w:pPr>
              <w:autoSpaceDE w:val="0"/>
              <w:autoSpaceDN w:val="0"/>
              <w:adjustRightInd w:val="0"/>
              <w:rPr>
                <w:b/>
                <w:bCs/>
                <w:sz w:val="24"/>
                <w:u w:val="single"/>
                <w:rFonts w:ascii="Times New Roman" w:hAnsi="Times New Roman"/>
              </w:rPr>
            </w:pPr>
            <w:r>
              <w:rPr>
                <w:sz w:val="24"/>
                <w:rFonts w:ascii="Times New Roman" w:hAnsi="Times New Roman"/>
              </w:rPr>
              <w:t xml:space="preserve">Exigences de fonds propres visées à l'article 364 du règlement (UE) nº 575/2013 pour tous les facteurs de risque, compte tenu des effets de corrélation, le cas échéant, ainsi que des risques supplémentaires de défaut et de migration et de tous les risques de prix pour le CTP, à l'exclusion toutefois des exigences de fonds propres pour les titrisations et les dérivés de crédit au nième défaut conformément à l'article 364, paragraphe 2, du règlement (UE) nº 575/2013.</w:t>
            </w:r>
            <w:r>
              <w:rPr>
                <w:sz w:val="24"/>
                <w:rFonts w:ascii="Times New Roman" w:hAnsi="Times New Roman"/>
              </w:rPr>
              <w:t xml:space="preserve"> </w:t>
            </w:r>
          </w:p>
        </w:tc>
      </w:tr>
      <w:tr w:rsidR="000B0B09" w:rsidRPr="004B0EC7" w14:paraId="52312031" w14:textId="77777777" w:rsidTr="00672D2A">
        <w:tc>
          <w:tcPr>
            <w:tcW w:w="993" w:type="dxa"/>
          </w:tcPr>
          <w:p w14:paraId="79FC26FA"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0130</w:t>
            </w:r>
          </w:p>
        </w:tc>
        <w:tc>
          <w:tcPr>
            <w:tcW w:w="7869" w:type="dxa"/>
          </w:tcPr>
          <w:p w14:paraId="5970507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MONTANT TOTAL D'EXPOSITION AU RISQUE</w:t>
            </w:r>
          </w:p>
          <w:p w14:paraId="44CC951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Article 92, paragraphe 7, point b), du règlement (UE) nº 575/2013.</w:t>
            </w:r>
            <w:r>
              <w:rPr>
                <w:sz w:val="24"/>
                <w:rFonts w:ascii="Times New Roman" w:hAnsi="Times New Roman"/>
              </w:rPr>
              <w:t xml:space="preserve"> </w:t>
            </w:r>
          </w:p>
          <w:p w14:paraId="6FD933BD"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Résultat de la multiplication par 12,5 des exigences de fonds propres</w:t>
            </w:r>
          </w:p>
          <w:p w14:paraId="7AA2CA2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0140</w:t>
            </w:r>
          </w:p>
        </w:tc>
        <w:tc>
          <w:tcPr>
            <w:tcW w:w="7869" w:type="dxa"/>
          </w:tcPr>
          <w:p w14:paraId="1C66A419" w14:textId="77777777" w:rsidR="000B0B09" w:rsidRPr="004B0EC7" w:rsidRDefault="000B0B09" w:rsidP="0016282F">
            <w:pPr>
              <w:autoSpaceDE w:val="0"/>
              <w:autoSpaceDN w:val="0"/>
              <w:adjustRightInd w:val="0"/>
              <w:spacing w:before="0"/>
              <w:rPr>
                <w:b/>
                <w:bCs/>
                <w:sz w:val="24"/>
                <w:u w:val="single"/>
                <w:rFonts w:ascii="Times New Roman" w:hAnsi="Times New Roman"/>
              </w:rPr>
            </w:pPr>
            <w:r>
              <w:rPr>
                <w:b/>
                <w:sz w:val="24"/>
                <w:u w:val="single"/>
                <w:rFonts w:ascii="Times New Roman" w:hAnsi="Times New Roman"/>
              </w:rPr>
              <w:t xml:space="preserve">Nombre de dépassements (au cours des 250 derniers jours ouvrés)</w:t>
            </w:r>
          </w:p>
          <w:p w14:paraId="28B225BB" w14:textId="3D65F9F7" w:rsidR="00A92CFF" w:rsidRPr="004B0EC7" w:rsidRDefault="000B0B09" w:rsidP="0016282F">
            <w:pPr>
              <w:autoSpaceDE w:val="0"/>
              <w:autoSpaceDN w:val="0"/>
              <w:adjustRightInd w:val="0"/>
              <w:spacing w:before="0"/>
              <w:rPr>
                <w:sz w:val="24"/>
                <w:rFonts w:ascii="Times New Roman" w:hAnsi="Times New Roman"/>
              </w:rPr>
            </w:pPr>
            <w:r>
              <w:rPr>
                <w:sz w:val="24"/>
                <w:rFonts w:ascii="Times New Roman" w:hAnsi="Times New Roman"/>
              </w:rPr>
              <w:t xml:space="preserve">Visés à l’article 366 du règlement (UE) nº 575/2013.</w:t>
            </w:r>
          </w:p>
          <w:p w14:paraId="555E37D2" w14:textId="0C3340E4" w:rsidR="000B0B09" w:rsidRPr="004B0EC7" w:rsidRDefault="00A92CFF" w:rsidP="0016282F">
            <w:pPr>
              <w:autoSpaceDE w:val="0"/>
              <w:autoSpaceDN w:val="0"/>
              <w:adjustRightInd w:val="0"/>
              <w:spacing w:before="0"/>
              <w:rPr>
                <w:b/>
                <w:bCs/>
                <w:sz w:val="24"/>
                <w:u w:val="single"/>
                <w:rFonts w:ascii="Times New Roman" w:hAnsi="Times New Roman"/>
              </w:rPr>
            </w:pPr>
            <w:r>
              <w:rPr>
                <w:sz w:val="24"/>
                <w:rFonts w:ascii="Times New Roman" w:hAnsi="Times New Roman"/>
              </w:rPr>
              <w:t xml:space="preserve">L’établissement indique ici le nombre de dépassements sur la base duquel le cumulateur est déterminé.</w:t>
            </w:r>
            <w:r>
              <w:rPr>
                <w:sz w:val="24"/>
                <w:rFonts w:ascii="Times New Roman" w:hAnsi="Times New Roman"/>
              </w:rPr>
              <w:t xml:space="preserve"> </w:t>
            </w:r>
            <w:r>
              <w:rPr>
                <w:sz w:val="24"/>
                <w:rFonts w:ascii="Times New Roman" w:hAnsi="Times New Roman"/>
              </w:rPr>
              <w:t xml:space="preserve">Si l’établissement est autorisé, en vertu de l’article 500 </w:t>
            </w:r>
            <w:r>
              <w:rPr>
                <w:sz w:val="24"/>
                <w:i/>
                <w:iCs/>
                <w:rFonts w:ascii="Times New Roman" w:hAnsi="Times New Roman"/>
              </w:rPr>
              <w:t xml:space="preserve">quater</w:t>
            </w:r>
            <w:r>
              <w:rPr>
                <w:sz w:val="24"/>
                <w:rFonts w:ascii="Times New Roman" w:hAnsi="Times New Roman"/>
              </w:rPr>
              <w:t xml:space="preserve"> du règlement (UE) nº 575/2013, à exclure certains dépassements du calcul du cumulateur, le nombre de dépassements déclaré dans cette colonne doit être net de ces dépassements exclus.</w:t>
            </w:r>
          </w:p>
        </w:tc>
      </w:tr>
      <w:tr w:rsidR="000B0B09" w:rsidRPr="004B0EC7" w14:paraId="6B35F841" w14:textId="77777777" w:rsidTr="00672D2A">
        <w:tc>
          <w:tcPr>
            <w:tcW w:w="993" w:type="dxa"/>
          </w:tcPr>
          <w:p w14:paraId="2EA668BF"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0150 – 0160</w:t>
            </w:r>
          </w:p>
        </w:tc>
        <w:tc>
          <w:tcPr>
            <w:tcW w:w="7869" w:type="dxa"/>
          </w:tcPr>
          <w:p w14:paraId="410D2BF2" w14:textId="77777777" w:rsidR="000B0B09" w:rsidRPr="004B0EC7" w:rsidRDefault="000B0B09" w:rsidP="0016282F">
            <w:pPr>
              <w:autoSpaceDE w:val="0"/>
              <w:autoSpaceDN w:val="0"/>
              <w:adjustRightInd w:val="0"/>
              <w:spacing w:before="0"/>
              <w:rPr>
                <w:b/>
                <w:bCs/>
                <w:sz w:val="24"/>
                <w:u w:val="single"/>
                <w:rFonts w:ascii="Times New Roman" w:hAnsi="Times New Roman"/>
              </w:rPr>
            </w:pPr>
            <w:r>
              <w:rPr>
                <w:b/>
                <w:sz w:val="24"/>
                <w:u w:val="single"/>
                <w:rFonts w:ascii="Times New Roman" w:hAnsi="Times New Roman"/>
              </w:rPr>
              <w:t xml:space="preserve">Facteur de multiplication de la valeur en risque (mc) et facteur de multiplication de la valeur en risque en situation de tensions (ms)</w:t>
            </w:r>
          </w:p>
          <w:p w14:paraId="315BC479" w14:textId="254D1B3C" w:rsidR="005C14B0" w:rsidRPr="004B0EC7" w:rsidRDefault="000B0B09" w:rsidP="006418A0">
            <w:pPr>
              <w:autoSpaceDE w:val="0"/>
              <w:autoSpaceDN w:val="0"/>
              <w:adjustRightInd w:val="0"/>
              <w:spacing w:before="0"/>
              <w:rPr>
                <w:sz w:val="24"/>
                <w:rFonts w:ascii="Times New Roman" w:hAnsi="Times New Roman"/>
              </w:rPr>
            </w:pPr>
            <w:r>
              <w:rPr>
                <w:sz w:val="24"/>
                <w:rFonts w:ascii="Times New Roman" w:hAnsi="Times New Roman"/>
              </w:rPr>
              <w:t xml:space="preserve">Comme indiqué à l’article 366 du règlement (UE) nº 575/2013.</w:t>
            </w:r>
          </w:p>
          <w:p w14:paraId="288D1C77" w14:textId="1A1A8D50" w:rsidR="00011AFA" w:rsidRPr="004B0EC7" w:rsidRDefault="00011AFA">
            <w:pPr>
              <w:autoSpaceDE w:val="0"/>
              <w:autoSpaceDN w:val="0"/>
              <w:adjustRightInd w:val="0"/>
              <w:spacing w:before="0" w:after="0"/>
              <w:rPr>
                <w:rStyle w:val="InstructionsTabelleberschrift"/>
              </w:rPr>
            </w:pPr>
            <w:r>
              <w:rPr>
                <w:sz w:val="24"/>
                <w:rFonts w:ascii="Times New Roman" w:hAnsi="Times New Roman"/>
              </w:rPr>
              <w:t xml:space="preserve">Les facteurs de multiplication effectivement applicables pour le calcul des exigences de fonds propres sont déclarés;</w:t>
            </w:r>
            <w:r>
              <w:rPr>
                <w:sz w:val="24"/>
                <w:rFonts w:ascii="Times New Roman" w:hAnsi="Times New Roman"/>
              </w:rPr>
              <w:t xml:space="preserve"> </w:t>
            </w:r>
            <w:r>
              <w:rPr>
                <w:sz w:val="24"/>
                <w:rFonts w:ascii="Times New Roman" w:hAnsi="Times New Roman"/>
              </w:rPr>
              <w:t xml:space="preserve">le cas échéant, après application de l’article 500 </w:t>
            </w:r>
            <w:r>
              <w:rPr>
                <w:sz w:val="24"/>
                <w:i/>
                <w:iCs/>
                <w:rFonts w:ascii="Times New Roman" w:hAnsi="Times New Roman"/>
              </w:rPr>
              <w:t xml:space="preserve">quater</w:t>
            </w:r>
            <w:r>
              <w:rPr>
                <w:sz w:val="24"/>
                <w:rFonts w:ascii="Times New Roman" w:hAnsi="Times New Roman"/>
              </w:rPr>
              <w:t xml:space="preserve"> du règlement (UE) nº 575/2013.</w:t>
            </w:r>
          </w:p>
          <w:p w14:paraId="4889D826" w14:textId="77777777" w:rsidR="000B0B09" w:rsidRPr="004B0EC7" w:rsidRDefault="000B0B09">
            <w:pPr>
              <w:autoSpaceDE w:val="0"/>
              <w:autoSpaceDN w:val="0"/>
              <w:adjustRightInd w:val="0"/>
              <w:spacing w:before="0" w:after="0"/>
              <w:rPr>
                <w:rFonts w:ascii="Times New Roman" w:hAnsi="Times New Roman"/>
                <w:b/>
                <w:bCs/>
                <w:sz w:val="24"/>
                <w:u w:val="single"/>
                <w:lang w:eastAsia="fr-FR"/>
              </w:rPr>
            </w:pPr>
          </w:p>
        </w:tc>
      </w:tr>
      <w:tr w:rsidR="000B0B09" w:rsidRPr="004B0EC7" w14:paraId="0F119F1A" w14:textId="77777777" w:rsidTr="00672D2A">
        <w:tc>
          <w:tcPr>
            <w:tcW w:w="993" w:type="dxa"/>
          </w:tcPr>
          <w:p w14:paraId="1081B646"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0170 – 0180</w:t>
            </w:r>
          </w:p>
        </w:tc>
        <w:tc>
          <w:tcPr>
            <w:tcW w:w="7869" w:type="dxa"/>
          </w:tcPr>
          <w:p w14:paraId="5B3A5B3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EXIGENCE PRÉSUMÉE POUR LE PLANCHER DU PORTEFEUILLE DE NÉGOCIATION EN CORRÉLATION - POSITIONS LONGUES/COURTES NETTES PONDÉRÉES APRÈS APPLICATION DU PLAFOND</w:t>
            </w:r>
          </w:p>
          <w:p w14:paraId="68C956BE" w14:textId="3FF52305" w:rsidR="00902EFC" w:rsidRPr="004B0EC7" w:rsidRDefault="000B0B09" w:rsidP="00587E96">
            <w:pPr>
              <w:autoSpaceDE w:val="0"/>
              <w:autoSpaceDN w:val="0"/>
              <w:adjustRightInd w:val="0"/>
              <w:rPr>
                <w:rStyle w:val="InstructionsTabelleberschrift"/>
                <w:sz w:val="24"/>
                <w:rFonts w:ascii="Times New Roman" w:hAnsi="Times New Roman"/>
              </w:rPr>
            </w:pPr>
            <w:r>
              <w:rPr>
                <w:sz w:val="24"/>
                <w:rFonts w:ascii="Times New Roman" w:hAnsi="Times New Roman"/>
              </w:rPr>
              <w:t xml:space="preserve">Le montant déclaré, qui sert de base au calcul de l'exigence plancher de fonds propres pour tous les risques de prix, conformément à l'article 364, paragraphe 3, point c), du règlement (UE) nº 575/2013, compte tenu de la marge d'appréciation de l'article 335 dudit règlement, qui dispose qu'un établissement peut plafonner le produit de la pondération et de la position nette à la perte maximale possible liée à un défaut.</w:t>
            </w:r>
            <w:r>
              <w:rPr>
                <w:sz w:val="24"/>
                <w:rFonts w:ascii="Times New Roman" w:hAnsi="Times New Roman"/>
              </w:rPr>
              <w:t xml:space="preserve"> </w:t>
            </w:r>
          </w:p>
        </w:tc>
      </w:tr>
    </w:tbl>
    <w:p w14:paraId="32116763" w14:textId="77777777" w:rsidR="000B0B09" w:rsidRPr="004B0EC7"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672D2A">
        <w:trPr>
          <w:trHeight w:val="566"/>
        </w:trPr>
        <w:tc>
          <w:tcPr>
            <w:tcW w:w="8896" w:type="dxa"/>
            <w:gridSpan w:val="2"/>
            <w:shd w:val="clear" w:color="auto" w:fill="CCCCCC"/>
          </w:tcPr>
          <w:p w14:paraId="60B80A9E"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Lignes</w:t>
            </w:r>
          </w:p>
        </w:tc>
      </w:tr>
      <w:tr w:rsidR="00E9314A" w:rsidRPr="004B0EC7" w14:paraId="4DAD8BA6" w14:textId="77777777" w:rsidTr="00672D2A">
        <w:tc>
          <w:tcPr>
            <w:tcW w:w="993" w:type="dxa"/>
          </w:tcPr>
          <w:p w14:paraId="2C74563C"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903" w:type="dxa"/>
          </w:tcPr>
          <w:p w14:paraId="061D05D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TOTAL DES POSITIONS</w:t>
            </w:r>
          </w:p>
          <w:p w14:paraId="22755B2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4B0EC7" w:rsidRDefault="000B0B09" w:rsidP="0016282F">
            <w:pPr>
              <w:autoSpaceDE w:val="0"/>
              <w:autoSpaceDN w:val="0"/>
              <w:adjustRightInd w:val="0"/>
              <w:spacing w:before="0"/>
              <w:rPr>
                <w:sz w:val="24"/>
                <w:rFonts w:ascii="Times New Roman" w:hAnsi="Times New Roman"/>
              </w:rPr>
            </w:pPr>
            <w:r>
              <w:rPr>
                <w:sz w:val="24"/>
                <w:rFonts w:ascii="Times New Roman" w:hAnsi="Times New Roman"/>
              </w:rPr>
              <w:t xml:space="preserve">Correspond à la portion du risque de position, du risque de change et du risque sur matières premières, visés à l'article 363, paragraphe 1, du règlement (UE) nº 575/2013, liée aux facteurs de risque énoncés à l'article 367, paragraphe 2, dudit règlement.</w:t>
            </w:r>
          </w:p>
          <w:p w14:paraId="6F18E4FF" w14:textId="77777777" w:rsidR="005C14B0" w:rsidRPr="004B0EC7" w:rsidRDefault="000B0B09">
            <w:pPr>
              <w:autoSpaceDE w:val="0"/>
              <w:autoSpaceDN w:val="0"/>
              <w:adjustRightInd w:val="0"/>
              <w:spacing w:before="0" w:after="0"/>
              <w:rPr>
                <w:sz w:val="24"/>
                <w:rFonts w:ascii="Times New Roman" w:hAnsi="Times New Roman"/>
              </w:rPr>
            </w:pPr>
            <w:r>
              <w:rPr>
                <w:sz w:val="24"/>
                <w:rFonts w:ascii="Times New Roman" w:hAnsi="Times New Roman"/>
              </w:rPr>
              <w:t xml:space="preserve">En ce qui concerne les colonnes 0030 à 0060 (VaR et sVaR), les chiffres de la ligne du total ne sont pas égaux à la décomposition des chiffres pour la VaR/sVaR des composantes de risque pertinentes.</w:t>
            </w:r>
          </w:p>
          <w:p w14:paraId="29160AEA" w14:textId="77777777" w:rsidR="000B0B09" w:rsidRPr="004B0EC7" w:rsidRDefault="000B0B09">
            <w:pPr>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0020</w:t>
            </w:r>
          </w:p>
        </w:tc>
        <w:tc>
          <w:tcPr>
            <w:tcW w:w="7903" w:type="dxa"/>
          </w:tcPr>
          <w:p w14:paraId="6294BA0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TITRES DE CRÉANCE NÉGOCIÉS</w:t>
            </w:r>
          </w:p>
          <w:p w14:paraId="7EB08097" w14:textId="464B7176" w:rsidR="000B0B09" w:rsidRPr="004B0EC7" w:rsidRDefault="000B0B09" w:rsidP="00587E96">
            <w:pPr>
              <w:autoSpaceDE w:val="0"/>
              <w:autoSpaceDN w:val="0"/>
              <w:adjustRightInd w:val="0"/>
              <w:rPr>
                <w:sz w:val="24"/>
                <w:rFonts w:ascii="Times New Roman" w:hAnsi="Times New Roman"/>
              </w:rPr>
            </w:pPr>
            <w:r>
              <w:rPr>
                <w:sz w:val="24"/>
                <w:rFonts w:ascii="Times New Roman" w:hAnsi="Times New Roman"/>
              </w:rPr>
              <w:t xml:space="preserve">Correspond à la portion du risque de position visé à l'article 363, paragraphe 1, du règlement (UE) nº 575/2013 qui est liée aux facteurs de risque de taux d'intérêt précisés à l'article 367, paragraphe 2, point a), dudit règlement.</w:t>
            </w:r>
          </w:p>
        </w:tc>
      </w:tr>
      <w:tr w:rsidR="00E9314A" w:rsidRPr="004B0EC7" w14:paraId="72F66455" w14:textId="77777777" w:rsidTr="00672D2A">
        <w:tc>
          <w:tcPr>
            <w:tcW w:w="993" w:type="dxa"/>
          </w:tcPr>
          <w:p w14:paraId="0890877A"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7903" w:type="dxa"/>
          </w:tcPr>
          <w:p w14:paraId="2BA9F6D7"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TITRES DE CRÉANCE NÉGOCIÉS – RISQUE GÉNÉRAL</w:t>
            </w:r>
          </w:p>
          <w:p w14:paraId="326F4D54" w14:textId="3D6EBE1B" w:rsidR="000B0B09" w:rsidRPr="004B0EC7" w:rsidRDefault="000B0B09" w:rsidP="0016282F">
            <w:pPr>
              <w:autoSpaceDE w:val="0"/>
              <w:autoSpaceDN w:val="0"/>
              <w:adjustRightInd w:val="0"/>
              <w:rPr>
                <w:sz w:val="24"/>
                <w:rFonts w:ascii="Times New Roman" w:hAnsi="Times New Roman"/>
              </w:rPr>
            </w:pPr>
            <w:r>
              <w:rPr>
                <w:sz w:val="24"/>
                <w:rFonts w:ascii="Times New Roman" w:hAnsi="Times New Roman"/>
              </w:rPr>
              <w:t xml:space="preserve">Composante «risque général» visée à l’article 362 du règlement (UE) nº 575/2013.</w:t>
            </w:r>
            <w:r>
              <w:rPr>
                <w:sz w:val="24"/>
                <w:rFonts w:ascii="Times New Roman" w:hAnsi="Times New Roman"/>
              </w:rPr>
              <w:t xml:space="preserve"> </w:t>
            </w:r>
          </w:p>
        </w:tc>
      </w:tr>
      <w:tr w:rsidR="00E9314A" w:rsidRPr="004B0EC7" w14:paraId="7683899C" w14:textId="77777777" w:rsidTr="00672D2A">
        <w:tc>
          <w:tcPr>
            <w:tcW w:w="993" w:type="dxa"/>
          </w:tcPr>
          <w:p w14:paraId="71740265"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7903" w:type="dxa"/>
          </w:tcPr>
          <w:p w14:paraId="0A8CBDBA"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TITRES DE CRÉANCE NÉGOCIÉS – RISQUE SPÉCIFIQUE</w:t>
            </w:r>
          </w:p>
          <w:p w14:paraId="545744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4B0EC7" w:rsidRDefault="000B0B09" w:rsidP="0016282F">
            <w:pPr>
              <w:autoSpaceDE w:val="0"/>
              <w:autoSpaceDN w:val="0"/>
              <w:adjustRightInd w:val="0"/>
              <w:rPr>
                <w:b/>
                <w:bCs/>
                <w:sz w:val="24"/>
                <w:u w:val="single"/>
                <w:rFonts w:ascii="Times New Roman" w:hAnsi="Times New Roman"/>
              </w:rPr>
            </w:pPr>
            <w:r>
              <w:rPr>
                <w:sz w:val="24"/>
                <w:rFonts w:ascii="Times New Roman" w:hAnsi="Times New Roman"/>
              </w:rPr>
              <w:t xml:space="preserve">Composante «risque spécifique» visée à l’article 362 du règlement (UE) nº 575/2013.</w:t>
            </w:r>
            <w:r>
              <w:rPr>
                <w:sz w:val="24"/>
                <w:rFonts w:ascii="Times New Roman" w:hAnsi="Times New Roman"/>
              </w:rPr>
              <w:t xml:space="preserve"> </w:t>
            </w:r>
          </w:p>
        </w:tc>
      </w:tr>
      <w:tr w:rsidR="00E9314A" w:rsidRPr="004B0EC7" w14:paraId="71D5C884" w14:textId="77777777" w:rsidTr="00672D2A">
        <w:tc>
          <w:tcPr>
            <w:tcW w:w="993" w:type="dxa"/>
          </w:tcPr>
          <w:p w14:paraId="2F431F5B"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903" w:type="dxa"/>
          </w:tcPr>
          <w:p w14:paraId="3D16BF4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ACTIONS</w:t>
            </w:r>
          </w:p>
          <w:p w14:paraId="2CB5AD4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Correspond à la portion du risque de position visé à l'article 363, paragraphe 1, du règlement (UE) nº 575/2013 qui est liée aux facteurs de risque sur actions précisés à l'article 367, paragraphe 2, point c), dudit règlement.</w:t>
            </w:r>
            <w:r>
              <w:rPr>
                <w:sz w:val="24"/>
                <w:rFonts w:ascii="Times New Roman" w:hAnsi="Times New Roman"/>
              </w:rPr>
              <w:t xml:space="preserve"> </w:t>
            </w:r>
          </w:p>
          <w:p w14:paraId="25BA29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903" w:type="dxa"/>
          </w:tcPr>
          <w:p w14:paraId="40CEA49F"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ACTIONS – RISQUE GÉNÉRAL</w:t>
            </w:r>
          </w:p>
          <w:p w14:paraId="528E3DA1" w14:textId="2D4BA326" w:rsidR="000B0B09" w:rsidRPr="004B0EC7" w:rsidRDefault="000B0B09" w:rsidP="00BE0363">
            <w:pPr>
              <w:autoSpaceDE w:val="0"/>
              <w:autoSpaceDN w:val="0"/>
              <w:adjustRightInd w:val="0"/>
              <w:rPr>
                <w:b/>
                <w:bCs/>
                <w:sz w:val="24"/>
                <w:u w:val="single"/>
                <w:rFonts w:ascii="Times New Roman" w:hAnsi="Times New Roman"/>
              </w:rPr>
            </w:pPr>
            <w:r>
              <w:rPr>
                <w:sz w:val="24"/>
                <w:rFonts w:ascii="Times New Roman" w:hAnsi="Times New Roman"/>
              </w:rPr>
              <w:t xml:space="preserve">Composante «risque général» visée à l’article 362 du règlement (UE) nº 575/2013.</w:t>
            </w:r>
          </w:p>
        </w:tc>
      </w:tr>
      <w:tr w:rsidR="00E9314A" w:rsidRPr="004B0EC7" w14:paraId="76BBEE88" w14:textId="77777777" w:rsidTr="00672D2A">
        <w:tc>
          <w:tcPr>
            <w:tcW w:w="993" w:type="dxa"/>
          </w:tcPr>
          <w:p w14:paraId="4D46D495"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903" w:type="dxa"/>
          </w:tcPr>
          <w:p w14:paraId="315638D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ACTIONS – RISQUE SPÉCIFIQUE</w:t>
            </w:r>
          </w:p>
          <w:p w14:paraId="53D03CDE" w14:textId="49BEAF03" w:rsidR="000B0B09" w:rsidRPr="004B0EC7" w:rsidRDefault="000B0B09" w:rsidP="0016282F">
            <w:pPr>
              <w:autoSpaceDE w:val="0"/>
              <w:autoSpaceDN w:val="0"/>
              <w:adjustRightInd w:val="0"/>
              <w:rPr>
                <w:b/>
                <w:bCs/>
                <w:sz w:val="24"/>
                <w:u w:val="single"/>
                <w:rFonts w:ascii="Times New Roman" w:hAnsi="Times New Roman"/>
              </w:rPr>
            </w:pPr>
            <w:r>
              <w:rPr>
                <w:sz w:val="24"/>
                <w:rFonts w:ascii="Times New Roman" w:hAnsi="Times New Roman"/>
              </w:rPr>
              <w:t xml:space="preserve">Composante «risque spécifique» visée à l’article 362 du règlement (UE) nº 575/2013.</w:t>
            </w:r>
            <w:r>
              <w:rPr>
                <w:sz w:val="24"/>
                <w:rFonts w:ascii="Times New Roman" w:hAnsi="Times New Roman"/>
              </w:rPr>
              <w:t xml:space="preserve"> </w:t>
            </w:r>
          </w:p>
        </w:tc>
      </w:tr>
      <w:tr w:rsidR="00E9314A" w:rsidRPr="004B0EC7" w14:paraId="572477D3" w14:textId="77777777" w:rsidTr="00672D2A">
        <w:tc>
          <w:tcPr>
            <w:tcW w:w="993" w:type="dxa"/>
          </w:tcPr>
          <w:p w14:paraId="22BAC81A"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903" w:type="dxa"/>
          </w:tcPr>
          <w:p w14:paraId="729B481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RISQUE DE CHANGE</w:t>
            </w:r>
          </w:p>
          <w:p w14:paraId="4A2A62FE" w14:textId="098C8392" w:rsidR="000B0B09" w:rsidRPr="004B0EC7" w:rsidRDefault="000B0B09" w:rsidP="00587E96">
            <w:pPr>
              <w:autoSpaceDE w:val="0"/>
              <w:autoSpaceDN w:val="0"/>
              <w:adjustRightInd w:val="0"/>
              <w:rPr>
                <w:b/>
                <w:bCs/>
                <w:sz w:val="24"/>
                <w:u w:val="single"/>
                <w:rFonts w:ascii="Times New Roman" w:hAnsi="Times New Roman"/>
              </w:rPr>
            </w:pPr>
            <w:r>
              <w:rPr>
                <w:sz w:val="24"/>
                <w:rFonts w:ascii="Times New Roman" w:hAnsi="Times New Roman"/>
              </w:rPr>
              <w:t xml:space="preserve">Article 363, paragraphe 1, et article 367, paragraphe 2, point b), du règlement (UE) nº 575/2013.</w:t>
            </w:r>
          </w:p>
        </w:tc>
      </w:tr>
      <w:tr w:rsidR="00E9314A" w:rsidRPr="004B0EC7" w14:paraId="0161DCDD" w14:textId="77777777" w:rsidTr="00672D2A">
        <w:tc>
          <w:tcPr>
            <w:tcW w:w="993" w:type="dxa"/>
          </w:tcPr>
          <w:p w14:paraId="2D15B36B"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903" w:type="dxa"/>
          </w:tcPr>
          <w:p w14:paraId="3490DA9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RISQUE SUR MATIÈRES PREMIÈRES</w:t>
            </w:r>
          </w:p>
          <w:p w14:paraId="341E16EA" w14:textId="56B929B0" w:rsidR="000B0B09" w:rsidRPr="004B0EC7" w:rsidRDefault="000B0B09" w:rsidP="00BE0363">
            <w:pPr>
              <w:autoSpaceDE w:val="0"/>
              <w:autoSpaceDN w:val="0"/>
              <w:adjustRightInd w:val="0"/>
              <w:rPr>
                <w:b/>
                <w:bCs/>
                <w:sz w:val="24"/>
                <w:u w:val="single"/>
                <w:rFonts w:ascii="Times New Roman" w:hAnsi="Times New Roman"/>
              </w:rPr>
            </w:pPr>
            <w:r>
              <w:rPr>
                <w:sz w:val="24"/>
                <w:rFonts w:ascii="Times New Roman" w:hAnsi="Times New Roman"/>
              </w:rPr>
              <w:t xml:space="preserve">Article 363, paragraphe 1, et article 367, paragraphe 2, point d), du règlement (UE) nº 575/2013.</w:t>
            </w:r>
            <w:r>
              <w:rPr>
                <w:sz w:val="24"/>
                <w:rFonts w:ascii="Times New Roman" w:hAnsi="Times New Roman"/>
              </w:rPr>
              <w:t xml:space="preserve"> </w:t>
            </w:r>
          </w:p>
        </w:tc>
      </w:tr>
      <w:tr w:rsidR="00E9314A" w:rsidRPr="004B0EC7" w14:paraId="5676DEE7" w14:textId="77777777" w:rsidTr="00672D2A">
        <w:tc>
          <w:tcPr>
            <w:tcW w:w="993" w:type="dxa"/>
          </w:tcPr>
          <w:p w14:paraId="2262B333"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w:t>
            </w:r>
          </w:p>
        </w:tc>
        <w:tc>
          <w:tcPr>
            <w:tcW w:w="7903" w:type="dxa"/>
          </w:tcPr>
          <w:p w14:paraId="3F8165C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MONTANT TOTAL RISQUE GÉNÉRAL</w:t>
            </w:r>
          </w:p>
          <w:p w14:paraId="62293AE5" w14:textId="77777777" w:rsidR="005C14B0" w:rsidRPr="004B0EC7"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pPr>
              <w:autoSpaceDE w:val="0"/>
              <w:autoSpaceDN w:val="0"/>
              <w:adjustRightInd w:val="0"/>
              <w:spacing w:before="0" w:after="0"/>
              <w:rPr>
                <w:b/>
                <w:bCs/>
                <w:sz w:val="24"/>
                <w:u w:val="single"/>
                <w:rFonts w:ascii="Times New Roman" w:hAnsi="Times New Roman"/>
              </w:rPr>
            </w:pPr>
            <w:r>
              <w:rPr>
                <w:rStyle w:val="InstructionsTabelleText"/>
                <w:sz w:val="24"/>
                <w:rFonts w:ascii="Times New Roman" w:hAnsi="Times New Roman"/>
              </w:rPr>
              <w:t xml:space="preserve">Risque de marché provoqué par des mouvements généraux des marchés des titres de créance négociés, des actions, des changes et des matières premières.</w:t>
            </w:r>
            <w:r>
              <w:rPr>
                <w:rStyle w:val="InstructionsTabelleText"/>
                <w:sz w:val="24"/>
                <w:rFonts w:ascii="Times New Roman" w:hAnsi="Times New Roman"/>
              </w:rPr>
              <w:t xml:space="preserve"> </w:t>
            </w:r>
            <w:r>
              <w:rPr>
                <w:rStyle w:val="InstructionsTabelleText"/>
                <w:sz w:val="24"/>
                <w:rFonts w:ascii="Times New Roman" w:hAnsi="Times New Roman"/>
              </w:rPr>
              <w:t xml:space="preserve">VaR pour risque général de tous les facteurs de risque (compte tenu des effets de corrélation, le cas échéant).</w:t>
            </w:r>
            <w:r>
              <w:rPr>
                <w:rStyle w:val="InstructionsTabelleText"/>
                <w:sz w:val="24"/>
                <w:rFonts w:ascii="Times New Roman" w:hAnsi="Times New Roman"/>
              </w:rPr>
              <w:t xml:space="preserve"> </w:t>
            </w:r>
          </w:p>
          <w:p w14:paraId="47CB1F26" w14:textId="77777777" w:rsidR="005C14B0" w:rsidRPr="004B0EC7"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0911FE">
            <w:pPr>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7903" w:type="dxa"/>
          </w:tcPr>
          <w:p w14:paraId="4F775FB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MONTANT TOTAL RISQUE SPÉCIFIQUE</w:t>
            </w:r>
          </w:p>
          <w:p w14:paraId="319F28D3" w14:textId="77777777" w:rsidR="000B0B09" w:rsidRPr="002A677E" w:rsidRDefault="000B0B09" w:rsidP="0016282F">
            <w:pPr>
              <w:autoSpaceDE w:val="0"/>
              <w:autoSpaceDN w:val="0"/>
              <w:adjustRightInd w:val="0"/>
              <w:rPr>
                <w:b/>
                <w:bCs/>
                <w:sz w:val="24"/>
                <w:u w:val="single"/>
                <w:rFonts w:ascii="Times New Roman" w:hAnsi="Times New Roman"/>
              </w:rPr>
            </w:pPr>
            <w:r>
              <w:rPr>
                <w:rStyle w:val="InstructionsTabelleText"/>
                <w:sz w:val="24"/>
                <w:rFonts w:ascii="Times New Roman" w:hAnsi="Times New Roman"/>
              </w:rPr>
              <w:t xml:space="preserve">Composante de risque spécifique des titres de créance négociés et des actions.</w:t>
            </w:r>
            <w:r>
              <w:rPr>
                <w:rStyle w:val="InstructionsTabelleText"/>
                <w:sz w:val="24"/>
                <w:rFonts w:ascii="Times New Roman" w:hAnsi="Times New Roman"/>
              </w:rPr>
              <w:t xml:space="preserve"> </w:t>
            </w:r>
            <w:r>
              <w:rPr>
                <w:rStyle w:val="InstructionsTabelleText"/>
                <w:sz w:val="24"/>
                <w:rFonts w:ascii="Times New Roman" w:hAnsi="Times New Roman"/>
              </w:rPr>
              <w:t xml:space="preserve">VaR pour risque spécifique lié aux actions et aux titres de créance négociés du portefeuille de négociation (compte tenu des effets de corrélation, le cas échéant).</w:t>
            </w:r>
          </w:p>
        </w:tc>
      </w:tr>
    </w:tbl>
    <w:p w14:paraId="23397501" w14:textId="77777777" w:rsidR="00724589" w:rsidRPr="002A677E" w:rsidRDefault="00724589">
      <w:pPr>
        <w:spacing w:before="0" w:after="0"/>
        <w:jc w:val="left"/>
        <w:rPr>
          <w:rStyle w:val="InstructionsTabelleText"/>
          <w:rFonts w:ascii="Times New Roman" w:hAnsi="Times New Roman"/>
          <w:sz w:val="24"/>
        </w:rPr>
      </w:pPr>
    </w:p>
    <w:sectPr w:rsidR="00724589" w:rsidRPr="002A677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65885" w14:textId="71A1082C" w:rsidR="00C3070C" w:rsidRPr="00ED1956" w:rsidRDefault="00C3070C">
    <w:pPr>
      <w:pStyle w:val="Footer"/>
      <w:jc w:val="right"/>
      <w:rPr>
        <w:sz w:val="20"/>
        <w:szCs w:val="20"/>
        <w:rFonts w:ascii="Times New Roman" w:hAnsi="Times New Roman"/>
      </w:rPr>
    </w:pPr>
    <w:r w:rsidRPr="00ED1956">
      <w:rPr>
        <w:sz w:val="20"/>
        <w:rFonts w:ascii="Times New Roman" w:hAnsi="Times New Roman"/>
      </w:rPr>
      <w:fldChar w:fldCharType="begin"/>
    </w:r>
    <w:r w:rsidRPr="00ED1956">
      <w:rPr>
        <w:sz w:val="20"/>
        <w:rFonts w:ascii="Times New Roman" w:hAnsi="Times New Roman"/>
      </w:rPr>
      <w:instrText xml:space="preserve"> PAGE   \* MERGEFORMAT </w:instrText>
    </w:r>
    <w:r w:rsidRPr="00ED1956">
      <w:rPr>
        <w:sz w:val="20"/>
        <w:rFonts w:ascii="Times New Roman" w:hAnsi="Times New Roman"/>
      </w:rPr>
      <w:fldChar w:fldCharType="separate"/>
    </w:r>
    <w:r w:rsidR="008F3052">
      <w:rPr>
        <w:sz w:val="20"/>
        <w:rFonts w:ascii="Times New Roman" w:hAnsi="Times New Roman"/>
      </w:rPr>
      <w:t>42</w:t>
    </w:r>
    <w:r w:rsidRPr="00ED1956">
      <w:rPr>
        <w:sz w:val="20"/>
        <w:rFonts w:ascii="Times New Roman" w:hAnsi="Times New Roman"/>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78897E61" w:rsidR="00C3070C" w:rsidRPr="00B828CC" w:rsidRDefault="00C3070C">
      <w:pPr>
        <w:pStyle w:val="FootnoteText"/>
      </w:pPr>
      <w:r>
        <w:rPr>
          <w:rStyle w:val="FootnoteReference"/>
        </w:rPr>
        <w:footnoteRef/>
      </w:r>
      <w:r>
        <w:t xml:space="preserve"> </w:t>
      </w:r>
      <w:r>
        <w:rPr>
          <w:sz w:val="20"/>
          <w:rFonts w:ascii="Times New Roman" w:hAnsi="Times New Roman"/>
        </w:rPr>
        <w:t xml:space="preserve">Règlement délégué (UE) nº 525/2014 de la Commission du 12 mars 2014 complétant le règlement (UE) nº 575/2013 du Parlement européen et du Conseil en ce qui concerne les normes techniques de réglementation portant définition du terme «marché» ( JO L 148 du 20.5.2014, p. 15)</w:t>
      </w:r>
      <w:r>
        <w:rPr>
          <w:sz w:val="20"/>
          <w:i/>
          <w:rFonts w:ascii="Times New Roman" w:hAnsi="Times New Roman"/>
        </w:rPr>
        <w:t xml:space="preserve">.</w:t>
      </w:r>
    </w:p>
  </w:footnote>
  <w:footnote w:id="3">
    <w:p w14:paraId="018474C7" w14:textId="77777777" w:rsidR="00C3070C" w:rsidRPr="00A11C6E" w:rsidRDefault="00C3070C">
      <w:pPr>
        <w:pStyle w:val="FootnoteText"/>
      </w:pPr>
      <w:r>
        <w:rPr>
          <w:rStyle w:val="FootnoteReference"/>
        </w:rPr>
        <w:footnoteRef/>
      </w:r>
      <w:r>
        <w:t xml:space="preserve"> Règlement d’exécution (UE) nº 945/2014 de la Commission du 4 septembre 2014 définissant des normes techniques d’exécution en ce qui concerne le recours à des indices pertinents dûment diversifiés, conformément au règlement (UE) nº 575/2013 du Parlement européen et du Conseil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A98C1" w14:textId="7C971337" w:rsidR="00C3070C" w:rsidRDefault="00C3070C">
    <w:pPr>
      <w:pStyle w:val="Header"/>
    </w:pPr>
    <w: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À l’usage ordinaire de 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Title:  - Description: À l’usage ordinaire de l’A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À l’usage ordinaire de l’ABE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BBC0" w14:textId="5C594065" w:rsidR="00C3070C" w:rsidRDefault="00C3070C">
    <w:pPr>
      <w:pStyle w:val="Header"/>
    </w:pPr>
    <w: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À l’usage ordinaire de 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Title:  - Description: À l’usage ordinaire de l’AB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À l’usage ordinaire de l’ABE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9755F" w14:textId="0211D059" w:rsidR="00C3070C" w:rsidRDefault="00C3070C">
    <w:pPr>
      <w:rPr>
        <w:rFonts w:ascii="Arial" w:hAnsi="Arial" w:cs="Arial"/>
      </w:rPr>
    </w:pPr>
    <w:r>
      <w:rPr>
        <w:rFonts w:ascii="Arial" w:hAnsi="Arial"/>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À l’usage ordinaire de 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Title:  - Description: À l’usage ordinaire de l’A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À l’usage ordinaire de l’ABE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fr-F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fr-FR"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fr-FR"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fr-FR"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fr-FR"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fr-FR"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fr-FR"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fr-FR"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fr-FR"/>
    </w:rPr>
  </w:style>
  <w:style w:type="character" w:customStyle="1" w:styleId="Heading2Char">
    <w:name w:val="Heading 2 Char"/>
    <w:link w:val="Heading2"/>
    <w:uiPriority w:val="99"/>
    <w:locked/>
    <w:rsid w:val="00EC5046"/>
    <w:rPr>
      <w:rFonts w:ascii="Verdana" w:hAnsi="Verdana" w:cs="Times New Roman"/>
      <w:b/>
      <w:sz w:val="24"/>
      <w:szCs w:val="24"/>
      <w:u w:val="single"/>
      <w:lang w:val="fr-FR"/>
    </w:rPr>
  </w:style>
  <w:style w:type="character" w:customStyle="1" w:styleId="Heading3Char">
    <w:name w:val="Heading 3 Char"/>
    <w:aliases w:val="Title 2 Char"/>
    <w:uiPriority w:val="99"/>
    <w:locked/>
    <w:rsid w:val="00884FEB"/>
    <w:rPr>
      <w:rFonts w:cs="Times New Roman"/>
      <w:sz w:val="24"/>
      <w:szCs w:val="24"/>
      <w:lang w:val="fr-F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fr-FR"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fr-FR"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fr-FR"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fr-FR"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fr-FR"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fr-FR" w:eastAsia="x-none"/>
    </w:rPr>
  </w:style>
  <w:style w:type="character" w:customStyle="1" w:styleId="CommentTextChar">
    <w:name w:val="Comment Text Char"/>
    <w:link w:val="CommentText"/>
    <w:uiPriority w:val="99"/>
    <w:locked/>
    <w:rsid w:val="00884FEB"/>
    <w:rPr>
      <w:rFonts w:ascii="Verdana"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fr-FR" w:eastAsia="x-none"/>
    </w:rPr>
  </w:style>
  <w:style w:type="character" w:customStyle="1" w:styleId="BalloonTextChar">
    <w:name w:val="Balloon Text Char"/>
    <w:link w:val="BalloonText"/>
    <w:uiPriority w:val="99"/>
    <w:locked/>
    <w:rsid w:val="00884FEB"/>
    <w:rPr>
      <w:rFonts w:ascii="Tahoma"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fr-FR"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fr-FR" w:eastAsia="es-ES_tradnl"/>
    </w:rPr>
  </w:style>
  <w:style w:type="character" w:customStyle="1" w:styleId="PlainTextChar">
    <w:name w:val="Plain Text Char"/>
    <w:link w:val="PlainText"/>
    <w:uiPriority w:val="99"/>
    <w:locked/>
    <w:rsid w:val="00884FEB"/>
    <w:rPr>
      <w:rFonts w:ascii="Verdana" w:hAnsi="Verdana" w:cs="Times New Roman"/>
      <w:sz w:val="20"/>
      <w:szCs w:val="20"/>
      <w:lang w:val="fr-F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fr-FR"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r-F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fr-FR"/>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fr-FR"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r-F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r-F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r-F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r-F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fr-FR"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fr-FR"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fr-FR"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fr-FR"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fr-FR"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fr-FR"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fr-FR"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fr-FR"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fr-FR"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fr-FR"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fr-FR"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fr-FR"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fr-FR"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fr-FR"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fr-FR"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fr-FR"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fr-FR"/>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fr-F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fr-FR"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fr-FR"/>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fr-FR"/>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val="fr-FR"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fr-FR"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val="fr-FR"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73558C32-A3A4-4A15-BBAF-5B535DE4C5B3}"/>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C9D8732D-68BE-4618-AF70-8C6846EB9E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20</Pages>
  <Words>6250</Words>
  <Characters>35626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3</cp:revision>
  <dcterms:created xsi:type="dcterms:W3CDTF">2024-06-19T18:18:00Z</dcterms:created>
  <dcterms:modified xsi:type="dcterms:W3CDTF">2024-06-21T12:25:00Z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