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RO</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ANEXA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INSTRUCȚIUNI PENTRU RAPORTAREA PRIVIND EFECTUL DE LEVIER</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89AA0DB" w14:textId="619062B6" w:rsidR="00895A39"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609499" w:history="1">
        <w:r w:rsidR="00895A39" w:rsidRPr="00D3105E">
          <w:rPr>
            <w:rStyle w:val="Hyperlink"/>
            <w:rFonts w:ascii="Times New Roman" w:hAnsi="Times New Roman"/>
            <w:b/>
          </w:rPr>
          <w:t>PARTEA I: INSTRUCȚIUNI GENERALE</w:t>
        </w:r>
        <w:r w:rsidR="00895A39">
          <w:rPr>
            <w:webHidden/>
          </w:rPr>
          <w:tab/>
        </w:r>
        <w:r w:rsidR="00895A39">
          <w:rPr>
            <w:webHidden/>
          </w:rPr>
          <w:fldChar w:fldCharType="begin"/>
        </w:r>
        <w:r w:rsidR="00895A39">
          <w:rPr>
            <w:webHidden/>
          </w:rPr>
          <w:instrText xml:space="preserve"> PAGEREF _Toc188609499 \h </w:instrText>
        </w:r>
        <w:r w:rsidR="00895A39">
          <w:rPr>
            <w:webHidden/>
          </w:rPr>
        </w:r>
        <w:r w:rsidR="00895A39">
          <w:rPr>
            <w:webHidden/>
          </w:rPr>
          <w:fldChar w:fldCharType="separate"/>
        </w:r>
        <w:r w:rsidR="00F657AF">
          <w:rPr>
            <w:webHidden/>
          </w:rPr>
          <w:t>2</w:t>
        </w:r>
        <w:r w:rsidR="00895A39">
          <w:rPr>
            <w:webHidden/>
          </w:rPr>
          <w:fldChar w:fldCharType="end"/>
        </w:r>
      </w:hyperlink>
    </w:p>
    <w:p w14:paraId="4F19B60B" w14:textId="456B70A1"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00" w:history="1">
        <w:r w:rsidR="00895A39" w:rsidRPr="00D3105E">
          <w:rPr>
            <w:rStyle w:val="Hyperlink"/>
            <w:rFonts w:ascii="Times New Roman" w:hAnsi="Times New Roman"/>
          </w:rPr>
          <w:t>1.</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Structură și alte convenții</w:t>
        </w:r>
        <w:r w:rsidR="00895A39">
          <w:rPr>
            <w:webHidden/>
          </w:rPr>
          <w:tab/>
        </w:r>
        <w:r w:rsidR="00895A39">
          <w:rPr>
            <w:webHidden/>
          </w:rPr>
          <w:fldChar w:fldCharType="begin"/>
        </w:r>
        <w:r w:rsidR="00895A39">
          <w:rPr>
            <w:webHidden/>
          </w:rPr>
          <w:instrText xml:space="preserve"> PAGEREF _Toc188609500 \h </w:instrText>
        </w:r>
        <w:r w:rsidR="00895A39">
          <w:rPr>
            <w:webHidden/>
          </w:rPr>
        </w:r>
        <w:r w:rsidR="00895A39">
          <w:rPr>
            <w:webHidden/>
          </w:rPr>
          <w:fldChar w:fldCharType="separate"/>
        </w:r>
        <w:r w:rsidR="00F657AF">
          <w:rPr>
            <w:webHidden/>
          </w:rPr>
          <w:t>2</w:t>
        </w:r>
        <w:r w:rsidR="00895A39">
          <w:rPr>
            <w:webHidden/>
          </w:rPr>
          <w:fldChar w:fldCharType="end"/>
        </w:r>
      </w:hyperlink>
    </w:p>
    <w:p w14:paraId="28699E96" w14:textId="4BBF7D07" w:rsidR="00895A39" w:rsidRDefault="003F7B60">
      <w:pPr>
        <w:pStyle w:val="TOC3"/>
        <w:rPr>
          <w:rFonts w:asciiTheme="minorHAnsi" w:eastAsiaTheme="minorEastAsia" w:hAnsiTheme="minorHAnsi" w:cstheme="minorBidi"/>
          <w:smallCaps w:val="0"/>
          <w:kern w:val="2"/>
          <w:sz w:val="24"/>
          <w:lang w:val="en-IE" w:eastAsia="en-IE"/>
          <w14:ligatures w14:val="standardContextual"/>
        </w:rPr>
      </w:pPr>
      <w:hyperlink w:anchor="_Toc188609501" w:history="1">
        <w:r w:rsidR="00895A39" w:rsidRPr="00D3105E">
          <w:rPr>
            <w:rStyle w:val="Hyperlink"/>
            <w:rFonts w:ascii="Times New Roman" w:hAnsi="Times New Roman"/>
            <w:b/>
          </w:rPr>
          <w:t>1.1.</w:t>
        </w:r>
        <w:r w:rsidR="00895A39">
          <w:rPr>
            <w:rFonts w:asciiTheme="minorHAnsi" w:eastAsiaTheme="minorEastAsia" w:hAnsiTheme="minorHAnsi" w:cstheme="minorBidi"/>
            <w:smallCaps w:val="0"/>
            <w:kern w:val="2"/>
            <w:sz w:val="24"/>
            <w:lang w:val="en-IE" w:eastAsia="en-IE"/>
            <w14:ligatures w14:val="standardContextual"/>
          </w:rPr>
          <w:tab/>
        </w:r>
        <w:r w:rsidR="00895A39" w:rsidRPr="00D3105E">
          <w:rPr>
            <w:rStyle w:val="Hyperlink"/>
            <w:rFonts w:ascii="Times New Roman" w:hAnsi="Times New Roman"/>
            <w:b/>
          </w:rPr>
          <w:t>Structură</w:t>
        </w:r>
        <w:r w:rsidR="00895A39">
          <w:rPr>
            <w:webHidden/>
          </w:rPr>
          <w:tab/>
        </w:r>
        <w:r w:rsidR="00895A39">
          <w:rPr>
            <w:webHidden/>
          </w:rPr>
          <w:fldChar w:fldCharType="begin"/>
        </w:r>
        <w:r w:rsidR="00895A39">
          <w:rPr>
            <w:webHidden/>
          </w:rPr>
          <w:instrText xml:space="preserve"> PAGEREF _Toc188609501 \h </w:instrText>
        </w:r>
        <w:r w:rsidR="00895A39">
          <w:rPr>
            <w:webHidden/>
          </w:rPr>
        </w:r>
        <w:r w:rsidR="00895A39">
          <w:rPr>
            <w:webHidden/>
          </w:rPr>
          <w:fldChar w:fldCharType="separate"/>
        </w:r>
        <w:r w:rsidR="00F657AF">
          <w:rPr>
            <w:webHidden/>
          </w:rPr>
          <w:t>2</w:t>
        </w:r>
        <w:r w:rsidR="00895A39">
          <w:rPr>
            <w:webHidden/>
          </w:rPr>
          <w:fldChar w:fldCharType="end"/>
        </w:r>
      </w:hyperlink>
    </w:p>
    <w:p w14:paraId="76F5AB1E" w14:textId="4A740111" w:rsidR="00895A39" w:rsidRDefault="003F7B60">
      <w:pPr>
        <w:pStyle w:val="TOC3"/>
        <w:rPr>
          <w:rFonts w:asciiTheme="minorHAnsi" w:eastAsiaTheme="minorEastAsia" w:hAnsiTheme="minorHAnsi" w:cstheme="minorBidi"/>
          <w:smallCaps w:val="0"/>
          <w:kern w:val="2"/>
          <w:sz w:val="24"/>
          <w:lang w:val="en-IE" w:eastAsia="en-IE"/>
          <w14:ligatures w14:val="standardContextual"/>
        </w:rPr>
      </w:pPr>
      <w:hyperlink w:anchor="_Toc188609502" w:history="1">
        <w:r w:rsidR="00895A39" w:rsidRPr="00D3105E">
          <w:rPr>
            <w:rStyle w:val="Hyperlink"/>
            <w:rFonts w:ascii="Times New Roman" w:hAnsi="Times New Roman"/>
            <w:b/>
          </w:rPr>
          <w:t>1.2.</w:t>
        </w:r>
        <w:r w:rsidR="00895A39">
          <w:rPr>
            <w:rFonts w:asciiTheme="minorHAnsi" w:eastAsiaTheme="minorEastAsia" w:hAnsiTheme="minorHAnsi" w:cstheme="minorBidi"/>
            <w:smallCaps w:val="0"/>
            <w:kern w:val="2"/>
            <w:sz w:val="24"/>
            <w:lang w:val="en-IE" w:eastAsia="en-IE"/>
            <w14:ligatures w14:val="standardContextual"/>
          </w:rPr>
          <w:tab/>
        </w:r>
        <w:r w:rsidR="00895A39" w:rsidRPr="00D3105E">
          <w:rPr>
            <w:rStyle w:val="Hyperlink"/>
            <w:rFonts w:ascii="Times New Roman" w:hAnsi="Times New Roman"/>
            <w:b/>
          </w:rPr>
          <w:t>Convenția de numerotare</w:t>
        </w:r>
        <w:r w:rsidR="00895A39">
          <w:rPr>
            <w:webHidden/>
          </w:rPr>
          <w:tab/>
        </w:r>
        <w:r w:rsidR="00895A39">
          <w:rPr>
            <w:webHidden/>
          </w:rPr>
          <w:fldChar w:fldCharType="begin"/>
        </w:r>
        <w:r w:rsidR="00895A39">
          <w:rPr>
            <w:webHidden/>
          </w:rPr>
          <w:instrText xml:space="preserve"> PAGEREF _Toc188609502 \h </w:instrText>
        </w:r>
        <w:r w:rsidR="00895A39">
          <w:rPr>
            <w:webHidden/>
          </w:rPr>
        </w:r>
        <w:r w:rsidR="00895A39">
          <w:rPr>
            <w:webHidden/>
          </w:rPr>
          <w:fldChar w:fldCharType="separate"/>
        </w:r>
        <w:r w:rsidR="00F657AF">
          <w:rPr>
            <w:webHidden/>
          </w:rPr>
          <w:t>2</w:t>
        </w:r>
        <w:r w:rsidR="00895A39">
          <w:rPr>
            <w:webHidden/>
          </w:rPr>
          <w:fldChar w:fldCharType="end"/>
        </w:r>
      </w:hyperlink>
    </w:p>
    <w:p w14:paraId="49B29ACE" w14:textId="0D510712" w:rsidR="00895A39" w:rsidRDefault="003F7B60">
      <w:pPr>
        <w:pStyle w:val="TOC3"/>
        <w:rPr>
          <w:rFonts w:asciiTheme="minorHAnsi" w:eastAsiaTheme="minorEastAsia" w:hAnsiTheme="minorHAnsi" w:cstheme="minorBidi"/>
          <w:smallCaps w:val="0"/>
          <w:kern w:val="2"/>
          <w:sz w:val="24"/>
          <w:lang w:val="en-IE" w:eastAsia="en-IE"/>
          <w14:ligatures w14:val="standardContextual"/>
        </w:rPr>
      </w:pPr>
      <w:hyperlink w:anchor="_Toc188609503" w:history="1">
        <w:r w:rsidR="00895A39" w:rsidRPr="00D3105E">
          <w:rPr>
            <w:rStyle w:val="Hyperlink"/>
            <w:rFonts w:ascii="Times New Roman" w:hAnsi="Times New Roman"/>
            <w:b/>
          </w:rPr>
          <w:t>1.3.</w:t>
        </w:r>
        <w:r w:rsidR="00895A39">
          <w:rPr>
            <w:rFonts w:asciiTheme="minorHAnsi" w:eastAsiaTheme="minorEastAsia" w:hAnsiTheme="minorHAnsi" w:cstheme="minorBidi"/>
            <w:smallCaps w:val="0"/>
            <w:kern w:val="2"/>
            <w:sz w:val="24"/>
            <w:lang w:val="en-IE" w:eastAsia="en-IE"/>
            <w14:ligatures w14:val="standardContextual"/>
          </w:rPr>
          <w:tab/>
        </w:r>
        <w:r w:rsidR="00895A39" w:rsidRPr="00D3105E">
          <w:rPr>
            <w:rStyle w:val="Hyperlink"/>
            <w:rFonts w:ascii="Times New Roman" w:hAnsi="Times New Roman"/>
            <w:b/>
          </w:rPr>
          <w:t>Abrevieri</w:t>
        </w:r>
        <w:r w:rsidR="00895A39">
          <w:rPr>
            <w:webHidden/>
          </w:rPr>
          <w:tab/>
        </w:r>
        <w:r w:rsidR="00895A39">
          <w:rPr>
            <w:webHidden/>
          </w:rPr>
          <w:fldChar w:fldCharType="begin"/>
        </w:r>
        <w:r w:rsidR="00895A39">
          <w:rPr>
            <w:webHidden/>
          </w:rPr>
          <w:instrText xml:space="preserve"> PAGEREF _Toc188609503 \h </w:instrText>
        </w:r>
        <w:r w:rsidR="00895A39">
          <w:rPr>
            <w:webHidden/>
          </w:rPr>
        </w:r>
        <w:r w:rsidR="00895A39">
          <w:rPr>
            <w:webHidden/>
          </w:rPr>
          <w:fldChar w:fldCharType="separate"/>
        </w:r>
        <w:r w:rsidR="00F657AF">
          <w:rPr>
            <w:webHidden/>
          </w:rPr>
          <w:t>2</w:t>
        </w:r>
        <w:r w:rsidR="00895A39">
          <w:rPr>
            <w:webHidden/>
          </w:rPr>
          <w:fldChar w:fldCharType="end"/>
        </w:r>
      </w:hyperlink>
    </w:p>
    <w:p w14:paraId="63E9A2E1" w14:textId="1213B9B7" w:rsidR="00895A39" w:rsidRDefault="003F7B60">
      <w:pPr>
        <w:pStyle w:val="TOC3"/>
        <w:rPr>
          <w:rFonts w:asciiTheme="minorHAnsi" w:eastAsiaTheme="minorEastAsia" w:hAnsiTheme="minorHAnsi" w:cstheme="minorBidi"/>
          <w:smallCaps w:val="0"/>
          <w:kern w:val="2"/>
          <w:sz w:val="24"/>
          <w:lang w:val="en-IE" w:eastAsia="en-IE"/>
          <w14:ligatures w14:val="standardContextual"/>
        </w:rPr>
      </w:pPr>
      <w:hyperlink w:anchor="_Toc188609504" w:history="1">
        <w:r w:rsidR="00895A39" w:rsidRPr="00D3105E">
          <w:rPr>
            <w:rStyle w:val="Hyperlink"/>
            <w:rFonts w:ascii="Times New Roman" w:hAnsi="Times New Roman"/>
            <w:b/>
          </w:rPr>
          <w:t>1.4.</w:t>
        </w:r>
        <w:r w:rsidR="00895A39">
          <w:rPr>
            <w:rFonts w:asciiTheme="minorHAnsi" w:eastAsiaTheme="minorEastAsia" w:hAnsiTheme="minorHAnsi" w:cstheme="minorBidi"/>
            <w:smallCaps w:val="0"/>
            <w:kern w:val="2"/>
            <w:sz w:val="24"/>
            <w:lang w:val="en-IE" w:eastAsia="en-IE"/>
            <w14:ligatures w14:val="standardContextual"/>
          </w:rPr>
          <w:tab/>
        </w:r>
        <w:r w:rsidR="00895A39" w:rsidRPr="00D3105E">
          <w:rPr>
            <w:rStyle w:val="Hyperlink"/>
            <w:rFonts w:ascii="Times New Roman" w:hAnsi="Times New Roman"/>
            <w:b/>
          </w:rPr>
          <w:t>Convenția privind semnul</w:t>
        </w:r>
        <w:r w:rsidR="00895A39">
          <w:rPr>
            <w:webHidden/>
          </w:rPr>
          <w:tab/>
        </w:r>
        <w:r w:rsidR="00895A39">
          <w:rPr>
            <w:webHidden/>
          </w:rPr>
          <w:fldChar w:fldCharType="begin"/>
        </w:r>
        <w:r w:rsidR="00895A39">
          <w:rPr>
            <w:webHidden/>
          </w:rPr>
          <w:instrText xml:space="preserve"> PAGEREF _Toc188609504 \h </w:instrText>
        </w:r>
        <w:r w:rsidR="00895A39">
          <w:rPr>
            <w:webHidden/>
          </w:rPr>
        </w:r>
        <w:r w:rsidR="00895A39">
          <w:rPr>
            <w:webHidden/>
          </w:rPr>
          <w:fldChar w:fldCharType="separate"/>
        </w:r>
        <w:r w:rsidR="00F657AF">
          <w:rPr>
            <w:webHidden/>
          </w:rPr>
          <w:t>3</w:t>
        </w:r>
        <w:r w:rsidR="00895A39">
          <w:rPr>
            <w:webHidden/>
          </w:rPr>
          <w:fldChar w:fldCharType="end"/>
        </w:r>
      </w:hyperlink>
    </w:p>
    <w:p w14:paraId="151A8DF9" w14:textId="5F7D0D28" w:rsidR="00895A39" w:rsidRDefault="003F7B60">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609505" w:history="1">
        <w:r w:rsidR="00895A39" w:rsidRPr="00D3105E">
          <w:rPr>
            <w:rStyle w:val="Hyperlink"/>
            <w:rFonts w:ascii="Times New Roman" w:hAnsi="Times New Roman"/>
            <w:b/>
          </w:rPr>
          <w:t>PARTEA II: INSTRUCȚIUNI AFERENTE FORMULARULUI</w:t>
        </w:r>
        <w:r w:rsidR="00895A39">
          <w:rPr>
            <w:webHidden/>
          </w:rPr>
          <w:tab/>
        </w:r>
        <w:r w:rsidR="00895A39">
          <w:rPr>
            <w:webHidden/>
          </w:rPr>
          <w:fldChar w:fldCharType="begin"/>
        </w:r>
        <w:r w:rsidR="00895A39">
          <w:rPr>
            <w:webHidden/>
          </w:rPr>
          <w:instrText xml:space="preserve"> PAGEREF _Toc188609505 \h </w:instrText>
        </w:r>
        <w:r w:rsidR="00895A39">
          <w:rPr>
            <w:webHidden/>
          </w:rPr>
        </w:r>
        <w:r w:rsidR="00895A39">
          <w:rPr>
            <w:webHidden/>
          </w:rPr>
          <w:fldChar w:fldCharType="separate"/>
        </w:r>
        <w:r w:rsidR="00F657AF">
          <w:rPr>
            <w:webHidden/>
          </w:rPr>
          <w:t>4</w:t>
        </w:r>
        <w:r w:rsidR="00895A39">
          <w:rPr>
            <w:webHidden/>
          </w:rPr>
          <w:fldChar w:fldCharType="end"/>
        </w:r>
      </w:hyperlink>
    </w:p>
    <w:p w14:paraId="36C54314" w14:textId="59A8BA58"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06" w:history="1">
        <w:r w:rsidR="00895A39" w:rsidRPr="00D3105E">
          <w:rPr>
            <w:rStyle w:val="Hyperlink"/>
            <w:rFonts w:ascii="Times New Roman" w:hAnsi="Times New Roman"/>
          </w:rPr>
          <w:t>1.</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Formule pentru calculul indicatorului efectului de levier</w:t>
        </w:r>
        <w:r w:rsidR="00895A39">
          <w:rPr>
            <w:webHidden/>
          </w:rPr>
          <w:tab/>
        </w:r>
        <w:r w:rsidR="00895A39">
          <w:rPr>
            <w:webHidden/>
          </w:rPr>
          <w:fldChar w:fldCharType="begin"/>
        </w:r>
        <w:r w:rsidR="00895A39">
          <w:rPr>
            <w:webHidden/>
          </w:rPr>
          <w:instrText xml:space="preserve"> PAGEREF _Toc188609506 \h </w:instrText>
        </w:r>
        <w:r w:rsidR="00895A39">
          <w:rPr>
            <w:webHidden/>
          </w:rPr>
        </w:r>
        <w:r w:rsidR="00895A39">
          <w:rPr>
            <w:webHidden/>
          </w:rPr>
          <w:fldChar w:fldCharType="separate"/>
        </w:r>
        <w:r w:rsidR="00F657AF">
          <w:rPr>
            <w:webHidden/>
          </w:rPr>
          <w:t>4</w:t>
        </w:r>
        <w:r w:rsidR="00895A39">
          <w:rPr>
            <w:webHidden/>
          </w:rPr>
          <w:fldChar w:fldCharType="end"/>
        </w:r>
      </w:hyperlink>
    </w:p>
    <w:p w14:paraId="48AB23E4" w14:textId="657E8EE6"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07" w:history="1">
        <w:r w:rsidR="00895A39" w:rsidRPr="00D3105E">
          <w:rPr>
            <w:rStyle w:val="Hyperlink"/>
            <w:rFonts w:ascii="Times New Roman" w:hAnsi="Times New Roman"/>
          </w:rPr>
          <w:t>2.</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Praguri de semnificație pentru instrumentele financiare derivate</w:t>
        </w:r>
        <w:r w:rsidR="00895A39">
          <w:rPr>
            <w:webHidden/>
          </w:rPr>
          <w:tab/>
        </w:r>
        <w:r w:rsidR="00895A39">
          <w:rPr>
            <w:webHidden/>
          </w:rPr>
          <w:fldChar w:fldCharType="begin"/>
        </w:r>
        <w:r w:rsidR="00895A39">
          <w:rPr>
            <w:webHidden/>
          </w:rPr>
          <w:instrText xml:space="preserve"> PAGEREF _Toc188609507 \h </w:instrText>
        </w:r>
        <w:r w:rsidR="00895A39">
          <w:rPr>
            <w:webHidden/>
          </w:rPr>
        </w:r>
        <w:r w:rsidR="00895A39">
          <w:rPr>
            <w:webHidden/>
          </w:rPr>
          <w:fldChar w:fldCharType="separate"/>
        </w:r>
        <w:r w:rsidR="00F657AF">
          <w:rPr>
            <w:webHidden/>
          </w:rPr>
          <w:t>4</w:t>
        </w:r>
        <w:r w:rsidR="00895A39">
          <w:rPr>
            <w:webHidden/>
          </w:rPr>
          <w:fldChar w:fldCharType="end"/>
        </w:r>
      </w:hyperlink>
    </w:p>
    <w:p w14:paraId="688CC28F" w14:textId="5D399A15"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08" w:history="1">
        <w:r w:rsidR="00895A39" w:rsidRPr="00D3105E">
          <w:rPr>
            <w:rStyle w:val="Hyperlink"/>
            <w:rFonts w:ascii="Times New Roman" w:hAnsi="Times New Roman"/>
          </w:rPr>
          <w:t>3.</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47.00 – Calculul indicatorului efectului de levier</w:t>
        </w:r>
        <w:r w:rsidR="00895A39" w:rsidRPr="00D3105E">
          <w:rPr>
            <w:rStyle w:val="Hyperlink"/>
          </w:rPr>
          <w:t xml:space="preserve"> </w:t>
        </w:r>
        <w:r w:rsidR="00895A39" w:rsidRPr="00D3105E">
          <w:rPr>
            <w:rStyle w:val="Hyperlink"/>
            <w:rFonts w:ascii="Times New Roman" w:hAnsi="Times New Roman"/>
          </w:rPr>
          <w:t>(LRCalc)</w:t>
        </w:r>
        <w:r w:rsidR="00895A39">
          <w:rPr>
            <w:webHidden/>
          </w:rPr>
          <w:tab/>
        </w:r>
        <w:r w:rsidR="00895A39">
          <w:rPr>
            <w:webHidden/>
          </w:rPr>
          <w:fldChar w:fldCharType="begin"/>
        </w:r>
        <w:r w:rsidR="00895A39">
          <w:rPr>
            <w:webHidden/>
          </w:rPr>
          <w:instrText xml:space="preserve"> PAGEREF _Toc188609508 \h </w:instrText>
        </w:r>
        <w:r w:rsidR="00895A39">
          <w:rPr>
            <w:webHidden/>
          </w:rPr>
        </w:r>
        <w:r w:rsidR="00895A39">
          <w:rPr>
            <w:webHidden/>
          </w:rPr>
          <w:fldChar w:fldCharType="separate"/>
        </w:r>
        <w:r w:rsidR="00F657AF">
          <w:rPr>
            <w:webHidden/>
          </w:rPr>
          <w:t>5</w:t>
        </w:r>
        <w:r w:rsidR="00895A39">
          <w:rPr>
            <w:webHidden/>
          </w:rPr>
          <w:fldChar w:fldCharType="end"/>
        </w:r>
      </w:hyperlink>
    </w:p>
    <w:p w14:paraId="7B10D4E4" w14:textId="6774DEDA"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09" w:history="1">
        <w:r w:rsidR="00895A39" w:rsidRPr="00D3105E">
          <w:rPr>
            <w:rStyle w:val="Hyperlink"/>
            <w:rFonts w:ascii="Times New Roman" w:hAnsi="Times New Roman"/>
          </w:rPr>
          <w:t>4.</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40.00 – Tratamentul alternativ al indicatorului de măsurare a expunerii</w:t>
        </w:r>
        <w:r w:rsidR="00895A39" w:rsidRPr="00D3105E">
          <w:rPr>
            <w:rStyle w:val="Hyperlink"/>
          </w:rPr>
          <w:t xml:space="preserve"> </w:t>
        </w:r>
        <w:r w:rsidR="00895A39" w:rsidRPr="00D3105E">
          <w:rPr>
            <w:rStyle w:val="Hyperlink"/>
            <w:rFonts w:ascii="Times New Roman" w:hAnsi="Times New Roman"/>
          </w:rPr>
          <w:t>(LR1)</w:t>
        </w:r>
        <w:r w:rsidR="00895A39">
          <w:rPr>
            <w:webHidden/>
          </w:rPr>
          <w:tab/>
        </w:r>
        <w:r w:rsidR="00895A39">
          <w:rPr>
            <w:webHidden/>
          </w:rPr>
          <w:fldChar w:fldCharType="begin"/>
        </w:r>
        <w:r w:rsidR="00895A39">
          <w:rPr>
            <w:webHidden/>
          </w:rPr>
          <w:instrText xml:space="preserve"> PAGEREF _Toc188609509 \h </w:instrText>
        </w:r>
        <w:r w:rsidR="00895A39">
          <w:rPr>
            <w:webHidden/>
          </w:rPr>
        </w:r>
        <w:r w:rsidR="00895A39">
          <w:rPr>
            <w:webHidden/>
          </w:rPr>
          <w:fldChar w:fldCharType="separate"/>
        </w:r>
        <w:r w:rsidR="00F657AF">
          <w:rPr>
            <w:webHidden/>
          </w:rPr>
          <w:t>34</w:t>
        </w:r>
        <w:r w:rsidR="00895A39">
          <w:rPr>
            <w:webHidden/>
          </w:rPr>
          <w:fldChar w:fldCharType="end"/>
        </w:r>
      </w:hyperlink>
    </w:p>
    <w:p w14:paraId="4FC43313" w14:textId="6AC77CDB"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10" w:history="1">
        <w:r w:rsidR="00895A39" w:rsidRPr="00D3105E">
          <w:rPr>
            <w:rStyle w:val="Hyperlink"/>
            <w:rFonts w:ascii="Times New Roman" w:hAnsi="Times New Roman"/>
          </w:rPr>
          <w:t>5.</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43.00 – Defalcarea alternativă a componentelor indicatorului de măsurare a expunerii utilizat pentru calcularea indicatorului efectului de levier</w:t>
        </w:r>
        <w:r w:rsidR="00895A39" w:rsidRPr="00D3105E">
          <w:rPr>
            <w:rStyle w:val="Hyperlink"/>
          </w:rPr>
          <w:t xml:space="preserve"> </w:t>
        </w:r>
        <w:r w:rsidR="00895A39" w:rsidRPr="00D3105E">
          <w:rPr>
            <w:rStyle w:val="Hyperlink"/>
            <w:rFonts w:ascii="Times New Roman" w:hAnsi="Times New Roman"/>
          </w:rPr>
          <w:t>(LR4)</w:t>
        </w:r>
        <w:r w:rsidR="00895A39">
          <w:rPr>
            <w:webHidden/>
          </w:rPr>
          <w:tab/>
        </w:r>
        <w:r w:rsidR="00895A39">
          <w:rPr>
            <w:webHidden/>
          </w:rPr>
          <w:fldChar w:fldCharType="begin"/>
        </w:r>
        <w:r w:rsidR="00895A39">
          <w:rPr>
            <w:webHidden/>
          </w:rPr>
          <w:instrText xml:space="preserve"> PAGEREF _Toc188609510 \h </w:instrText>
        </w:r>
        <w:r w:rsidR="00895A39">
          <w:rPr>
            <w:webHidden/>
          </w:rPr>
        </w:r>
        <w:r w:rsidR="00895A39">
          <w:rPr>
            <w:webHidden/>
          </w:rPr>
          <w:fldChar w:fldCharType="separate"/>
        </w:r>
        <w:r w:rsidR="00F657AF">
          <w:rPr>
            <w:webHidden/>
          </w:rPr>
          <w:t>47</w:t>
        </w:r>
        <w:r w:rsidR="00895A39">
          <w:rPr>
            <w:webHidden/>
          </w:rPr>
          <w:fldChar w:fldCharType="end"/>
        </w:r>
      </w:hyperlink>
    </w:p>
    <w:p w14:paraId="34E850AC" w14:textId="38B63EF0"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11" w:history="1">
        <w:r w:rsidR="00895A39" w:rsidRPr="00D3105E">
          <w:rPr>
            <w:rStyle w:val="Hyperlink"/>
            <w:rFonts w:ascii="Times New Roman" w:hAnsi="Times New Roman"/>
          </w:rPr>
          <w:t>6.</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44.00 – Informații generale</w:t>
        </w:r>
        <w:r w:rsidR="00895A39" w:rsidRPr="00D3105E">
          <w:rPr>
            <w:rStyle w:val="Hyperlink"/>
          </w:rPr>
          <w:t xml:space="preserve"> </w:t>
        </w:r>
        <w:r w:rsidR="00895A39" w:rsidRPr="00D3105E">
          <w:rPr>
            <w:rStyle w:val="Hyperlink"/>
            <w:rFonts w:ascii="Times New Roman" w:hAnsi="Times New Roman"/>
          </w:rPr>
          <w:t>(LR5)</w:t>
        </w:r>
        <w:r w:rsidR="00895A39">
          <w:rPr>
            <w:webHidden/>
          </w:rPr>
          <w:tab/>
        </w:r>
        <w:r w:rsidR="00895A39">
          <w:rPr>
            <w:webHidden/>
          </w:rPr>
          <w:fldChar w:fldCharType="begin"/>
        </w:r>
        <w:r w:rsidR="00895A39">
          <w:rPr>
            <w:webHidden/>
          </w:rPr>
          <w:instrText xml:space="preserve"> PAGEREF _Toc188609511 \h </w:instrText>
        </w:r>
        <w:r w:rsidR="00895A39">
          <w:rPr>
            <w:webHidden/>
          </w:rPr>
        </w:r>
        <w:r w:rsidR="00895A39">
          <w:rPr>
            <w:webHidden/>
          </w:rPr>
          <w:fldChar w:fldCharType="separate"/>
        </w:r>
        <w:r w:rsidR="00F657AF">
          <w:rPr>
            <w:webHidden/>
          </w:rPr>
          <w:t>78</w:t>
        </w:r>
        <w:r w:rsidR="00895A39">
          <w:rPr>
            <w:webHidden/>
          </w:rPr>
          <w:fldChar w:fldCharType="end"/>
        </w:r>
      </w:hyperlink>
    </w:p>
    <w:p w14:paraId="4F6B981F" w14:textId="29C5229C"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12" w:history="1">
        <w:r w:rsidR="00895A39" w:rsidRPr="00D3105E">
          <w:rPr>
            <w:rStyle w:val="Hyperlink"/>
            <w:rFonts w:ascii="Times New Roman" w:hAnsi="Times New Roman"/>
          </w:rPr>
          <w:t>7.</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48.00 Volatilitatea indicatorului efectului de levier (LR6)</w:t>
        </w:r>
        <w:r w:rsidR="00895A39">
          <w:rPr>
            <w:webHidden/>
          </w:rPr>
          <w:tab/>
        </w:r>
        <w:r w:rsidR="00895A39">
          <w:rPr>
            <w:webHidden/>
          </w:rPr>
          <w:fldChar w:fldCharType="begin"/>
        </w:r>
        <w:r w:rsidR="00895A39">
          <w:rPr>
            <w:webHidden/>
          </w:rPr>
          <w:instrText xml:space="preserve"> PAGEREF _Toc188609512 \h </w:instrText>
        </w:r>
        <w:r w:rsidR="00895A39">
          <w:rPr>
            <w:webHidden/>
          </w:rPr>
        </w:r>
        <w:r w:rsidR="00895A39">
          <w:rPr>
            <w:webHidden/>
          </w:rPr>
          <w:fldChar w:fldCharType="separate"/>
        </w:r>
        <w:r w:rsidR="00F657AF">
          <w:rPr>
            <w:webHidden/>
          </w:rPr>
          <w:t>80</w:t>
        </w:r>
        <w:r w:rsidR="00895A39">
          <w:rPr>
            <w:webHidden/>
          </w:rPr>
          <w:fldChar w:fldCharType="end"/>
        </w:r>
      </w:hyperlink>
    </w:p>
    <w:p w14:paraId="6DB7BB98" w14:textId="404C83D1"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13" w:history="1">
        <w:r w:rsidR="00895A39" w:rsidRPr="00D3105E">
          <w:rPr>
            <w:rStyle w:val="Hyperlink"/>
            <w:rFonts w:ascii="Times New Roman" w:hAnsi="Times New Roman"/>
          </w:rPr>
          <w:t>8.</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48.01 Volatilitatea indicatorului efectului de levier: valoarea medie pentru perioada de raportare</w:t>
        </w:r>
        <w:r w:rsidR="00895A39">
          <w:rPr>
            <w:webHidden/>
          </w:rPr>
          <w:tab/>
        </w:r>
        <w:r w:rsidR="00895A39">
          <w:rPr>
            <w:webHidden/>
          </w:rPr>
          <w:fldChar w:fldCharType="begin"/>
        </w:r>
        <w:r w:rsidR="00895A39">
          <w:rPr>
            <w:webHidden/>
          </w:rPr>
          <w:instrText xml:space="preserve"> PAGEREF _Toc188609513 \h </w:instrText>
        </w:r>
        <w:r w:rsidR="00895A39">
          <w:rPr>
            <w:webHidden/>
          </w:rPr>
        </w:r>
        <w:r w:rsidR="00895A39">
          <w:rPr>
            <w:webHidden/>
          </w:rPr>
          <w:fldChar w:fldCharType="separate"/>
        </w:r>
        <w:r w:rsidR="00F657AF">
          <w:rPr>
            <w:webHidden/>
          </w:rPr>
          <w:t>80</w:t>
        </w:r>
        <w:r w:rsidR="00895A39">
          <w:rPr>
            <w:webHidden/>
          </w:rPr>
          <w:fldChar w:fldCharType="end"/>
        </w:r>
      </w:hyperlink>
    </w:p>
    <w:p w14:paraId="3CA4AA5C" w14:textId="1429BE32" w:rsidR="00895A39" w:rsidRDefault="003F7B6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609514" w:history="1">
        <w:r w:rsidR="00895A39" w:rsidRPr="00D3105E">
          <w:rPr>
            <w:rStyle w:val="Hyperlink"/>
            <w:rFonts w:ascii="Times New Roman" w:hAnsi="Times New Roman"/>
          </w:rPr>
          <w:t>9.</w:t>
        </w:r>
        <w:r w:rsidR="00895A39">
          <w:rPr>
            <w:rFonts w:asciiTheme="minorHAnsi" w:eastAsiaTheme="minorEastAsia" w:hAnsiTheme="minorHAnsi" w:cstheme="minorBidi"/>
            <w:b w:val="0"/>
            <w:smallCaps w:val="0"/>
            <w:kern w:val="2"/>
            <w:sz w:val="24"/>
            <w:szCs w:val="24"/>
            <w:lang w:val="en-IE" w:eastAsia="en-IE"/>
            <w14:ligatures w14:val="standardContextual"/>
          </w:rPr>
          <w:tab/>
        </w:r>
        <w:r w:rsidR="00895A39" w:rsidRPr="00D3105E">
          <w:rPr>
            <w:rStyle w:val="Hyperlink"/>
            <w:rFonts w:ascii="Times New Roman" w:hAnsi="Times New Roman"/>
          </w:rPr>
          <w:t>C 48.02 Volatilitatea indicatorului efectului de levier: valorile zilnice pentru perioada de raportare</w:t>
        </w:r>
        <w:r w:rsidR="00895A39">
          <w:rPr>
            <w:webHidden/>
          </w:rPr>
          <w:tab/>
        </w:r>
        <w:r w:rsidR="00895A39">
          <w:rPr>
            <w:webHidden/>
          </w:rPr>
          <w:fldChar w:fldCharType="begin"/>
        </w:r>
        <w:r w:rsidR="00895A39">
          <w:rPr>
            <w:webHidden/>
          </w:rPr>
          <w:instrText xml:space="preserve"> PAGEREF _Toc188609514 \h </w:instrText>
        </w:r>
        <w:r w:rsidR="00895A39">
          <w:rPr>
            <w:webHidden/>
          </w:rPr>
        </w:r>
        <w:r w:rsidR="00895A39">
          <w:rPr>
            <w:webHidden/>
          </w:rPr>
          <w:fldChar w:fldCharType="separate"/>
        </w:r>
        <w:r w:rsidR="00F657AF">
          <w:rPr>
            <w:webHidden/>
          </w:rPr>
          <w:t>81</w:t>
        </w:r>
        <w:r w:rsidR="00895A39">
          <w:rPr>
            <w:webHidden/>
          </w:rPr>
          <w:fldChar w:fldCharType="end"/>
        </w:r>
      </w:hyperlink>
    </w:p>
    <w:p w14:paraId="43D747E1" w14:textId="142853E1"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09499"/>
      <w:r>
        <w:rPr>
          <w:rFonts w:ascii="Times New Roman" w:hAnsi="Times New Roman"/>
          <w:b/>
          <w:sz w:val="24"/>
        </w:rPr>
        <w:t>PARTEA I:</w:t>
      </w:r>
      <w:bookmarkEnd w:id="0"/>
      <w:r>
        <w:rPr>
          <w:rFonts w:ascii="Times New Roman" w:hAnsi="Times New Roman"/>
          <w:b/>
          <w:sz w:val="24"/>
        </w:rPr>
        <w:t xml:space="preserve"> INSTRUCȚIUNI GENERALE</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09500"/>
      <w:r>
        <w:rPr>
          <w:rFonts w:ascii="Times New Roman" w:hAnsi="Times New Roman"/>
          <w:b/>
          <w:sz w:val="24"/>
        </w:rPr>
        <w:t>1.</w:t>
      </w:r>
      <w:r>
        <w:tab/>
      </w:r>
      <w:r>
        <w:rPr>
          <w:rFonts w:ascii="Times New Roman" w:hAnsi="Times New Roman"/>
          <w:b/>
          <w:sz w:val="24"/>
        </w:rPr>
        <w:t>Structură și alte convenții</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609501"/>
      <w:bookmarkStart w:id="15" w:name="_Toc264038399"/>
      <w:bookmarkStart w:id="16" w:name="_Toc294018834"/>
      <w:r>
        <w:rPr>
          <w:rFonts w:ascii="Times New Roman" w:hAnsi="Times New Roman"/>
          <w:b/>
          <w:sz w:val="24"/>
        </w:rPr>
        <w:t>1.1.</w:t>
      </w:r>
      <w:r>
        <w:tab/>
      </w:r>
      <w:bookmarkEnd w:id="11"/>
      <w:bookmarkEnd w:id="12"/>
      <w:bookmarkEnd w:id="13"/>
      <w:r>
        <w:rPr>
          <w:rFonts w:ascii="Times New Roman" w:hAnsi="Times New Roman"/>
          <w:b/>
          <w:sz w:val="24"/>
        </w:rPr>
        <w:t>Structură</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Prezenta anexă conține instrucțiuni suplimentare privind formularele (denumite în continuare „LR”) incluse în anexa X la prezentul regulament.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În total, cadrul este constituit din cinci formulare:</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Calculul indicatorului efectului de levier (LRCalc): Calculul indicatorului efectului de levier;</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Indicatorul efectului de levier – Formularul 1 (LR1): Tratamentul alternativ al indicatorului de măsurare a expunerii;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Indicatorul efectului de levier – Formularul 4 (LR4): Defalcarea alternativă a componentelor indicatorului de măsurare a expunerii utilizat pentru calcularea indicatorului efectului de levier;</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Indicatorul efectului de levier – Formularul 5 (LR5): Informații generale;</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Volatilitatea indicatorului efectului de levier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Pentru fiecare formular sunt furnizate referințe juridice, precum și informații suplimentare detaliate cu privire la aspectele mai generale ale raportării.</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09502"/>
      <w:bookmarkEnd w:id="17"/>
      <w:r>
        <w:rPr>
          <w:rFonts w:ascii="Times New Roman" w:hAnsi="Times New Roman"/>
          <w:b/>
          <w:sz w:val="24"/>
        </w:rPr>
        <w:t>1.2.</w:t>
      </w:r>
      <w:r>
        <w:tab/>
      </w:r>
      <w:r>
        <w:rPr>
          <w:rFonts w:ascii="Times New Roman" w:hAnsi="Times New Roman"/>
          <w:b/>
          <w:sz w:val="24"/>
        </w:rPr>
        <w:t>Convenția de numerotare</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În ceea ce privește referințele la coloanele, rândurile și celulele formularelor, documentul respectă convenția stabilită în următoarele paragrafe. Aceste coduri numerice sunt utilizate pe scară largă în normele de validare.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În instrucțiuni se utilizează următoarea notație generală: {Formular;Rând;Coloană}. Pentru a indica faptul că se face trimitere la întregul rând sau întreaga coloană se va utiliza un asterisc.</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În cazul validărilor din cadrul unui formular în care sunt utilizate numai punctele de date din formularul respectiv, notațiile nu se vor referi la un formular: {Rând;Coloană}.</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În raportarea privind efectul de levier, „din care” se referă la un element care constituie un subset al unei categorii de expuneri de nivel mai ridicat, în timp ce „element memorandum” se referă la un element separat care nu este un subset al unei clase de expuneri. Este obligatoriu să se completeze ambele tipuri de celule, dacă nu se specifică altfel.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09503"/>
      <w:r>
        <w:rPr>
          <w:rFonts w:ascii="Times New Roman" w:hAnsi="Times New Roman"/>
          <w:b/>
          <w:sz w:val="24"/>
        </w:rPr>
        <w:t>1.3.</w:t>
      </w:r>
      <w:r>
        <w:tab/>
      </w:r>
      <w:r>
        <w:rPr>
          <w:rFonts w:ascii="Times New Roman" w:hAnsi="Times New Roman"/>
          <w:b/>
          <w:sz w:val="24"/>
        </w:rPr>
        <w:t>Abrevieri</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lastRenderedPageBreak/>
        <w:t>8.</w:t>
      </w:r>
      <w:r>
        <w:tab/>
      </w:r>
      <w:r>
        <w:rPr>
          <w:sz w:val="24"/>
        </w:rPr>
        <w:t>În sensul prezentei anexe și al formularelor aferente se utilizează următoarele abrevieri:</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tab/>
      </w:r>
      <w:r>
        <w:rPr>
          <w:sz w:val="24"/>
        </w:rPr>
        <w:t>SFT, care este abrevierea operațiunii de finanțare prin instrumente financiare (</w:t>
      </w:r>
      <w:r>
        <w:rPr>
          <w:i/>
          <w:iCs/>
          <w:sz w:val="24"/>
        </w:rPr>
        <w:t>Securities Financing Transaction</w:t>
      </w:r>
      <w:r>
        <w:rPr>
          <w:sz w:val="24"/>
        </w:rPr>
        <w:t>) și înseamnă „o tranzacție de răscumpărare, o tranzacție de dare sau luare cu împrumut de titluri de valoare sau mărfuri sau o tranzacție de creditare în marjă”, astfel cum se menționează la articolul 4 alineatul (1) punctul 139 din Regulamentul (UE)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tab/>
      </w:r>
      <w:r>
        <w:rPr>
          <w:sz w:val="24"/>
        </w:rPr>
        <w:t>CRM, care este abrevierea diminuării riscului de credit (</w:t>
      </w:r>
      <w:r>
        <w:rPr>
          <w:i/>
          <w:iCs/>
          <w:sz w:val="24"/>
        </w:rPr>
        <w:t>Credit Risk Mitigation</w:t>
      </w:r>
      <w:r>
        <w:rPr>
          <w:sz w:val="24"/>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tab/>
      </w:r>
      <w:r>
        <w:rPr>
          <w:sz w:val="24"/>
        </w:rPr>
        <w:t>CSD, care este abrevierea depozitarului central de titluri de valoare (</w:t>
      </w:r>
      <w:r>
        <w:rPr>
          <w:i/>
          <w:iCs/>
          <w:sz w:val="24"/>
        </w:rPr>
        <w:t>Central Securities Depository</w:t>
      </w:r>
      <w:r>
        <w:rPr>
          <w:sz w:val="24"/>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tab/>
      </w:r>
      <w:r>
        <w:rPr>
          <w:sz w:val="24"/>
        </w:rPr>
        <w:t>QCCP, care este abrevierea contrapărții centrale calificate (</w:t>
      </w:r>
      <w:r>
        <w:rPr>
          <w:i/>
          <w:iCs/>
          <w:sz w:val="24"/>
        </w:rPr>
        <w:t>Qualifying Central Counterparty</w:t>
      </w:r>
      <w:r>
        <w:rPr>
          <w:sz w:val="24"/>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tab/>
      </w:r>
      <w:r>
        <w:rPr>
          <w:sz w:val="24"/>
        </w:rPr>
        <w:t>PFE, care este abrevierea expunerii viitoare potențiale (</w:t>
      </w:r>
      <w:r>
        <w:rPr>
          <w:i/>
          <w:iCs/>
          <w:sz w:val="24"/>
        </w:rPr>
        <w:t>Potential Future Exposure</w:t>
      </w:r>
      <w:r>
        <w:rPr>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09504"/>
      <w:r>
        <w:rPr>
          <w:rFonts w:ascii="Times New Roman" w:hAnsi="Times New Roman"/>
          <w:b/>
          <w:sz w:val="24"/>
        </w:rPr>
        <w:t>1.4.</w:t>
      </w:r>
      <w:r>
        <w:tab/>
      </w:r>
      <w:r>
        <w:rPr>
          <w:rFonts w:ascii="Times New Roman" w:hAnsi="Times New Roman"/>
          <w:b/>
          <w:sz w:val="24"/>
        </w:rPr>
        <w:t>Convenția privind semnul</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Toate cuantumurile se raportează ca valori pozitive.</w:t>
      </w:r>
      <w:bookmarkStart w:id="32" w:name="_Toc264033192"/>
      <w:bookmarkEnd w:id="32"/>
      <w:r>
        <w:rPr>
          <w:sz w:val="24"/>
        </w:rPr>
        <w:t xml:space="preserve"> Fac excepție:</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elementele a căror denumire este precedată de un semn negativ (-), în cazul cărora se presupune că nu se va raporta nicio valoare pozitivă;</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care în mod normal conțin valori pozitive, dar care, în anumite cazuri extreme, ar putea conține valori negative.</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609505"/>
      <w:r>
        <w:rPr>
          <w:rFonts w:ascii="Times New Roman" w:hAnsi="Times New Roman"/>
          <w:b/>
          <w:sz w:val="24"/>
        </w:rPr>
        <w:lastRenderedPageBreak/>
        <w:t>PARTEA II: INSTRUCȚIUNI AFERENTE FORMULARULUI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609506"/>
      <w:bookmarkStart w:id="40" w:name="_Toc322533849"/>
      <w:r>
        <w:rPr>
          <w:rFonts w:ascii="Times New Roman" w:hAnsi="Times New Roman"/>
          <w:b/>
          <w:sz w:val="24"/>
        </w:rPr>
        <w:t>1.</w:t>
      </w:r>
      <w:r>
        <w:tab/>
      </w:r>
      <w:r>
        <w:rPr>
          <w:rFonts w:ascii="Times New Roman" w:hAnsi="Times New Roman"/>
          <w:b/>
          <w:sz w:val="24"/>
        </w:rPr>
        <w:t>Formule pentru calculul indicatorului efectului de levier</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Indicatorul efectului de levier se bazează pe un indicator de măsurare a capitalului și pe un indicator de măsurare a expunerii totale, care pot fi calculați cu ajutorul celulelor din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Indicatorul efectului de levier – conform definiției introduse integral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Indicatorul efectului de levier – conform definiției tranzitorii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609507"/>
      <w:bookmarkStart w:id="44" w:name="_Toc322533852"/>
      <w:bookmarkEnd w:id="40"/>
      <w:r>
        <w:rPr>
          <w:rFonts w:ascii="Times New Roman" w:hAnsi="Times New Roman"/>
          <w:b/>
          <w:sz w:val="24"/>
        </w:rPr>
        <w:t>2.</w:t>
      </w:r>
      <w:r>
        <w:tab/>
      </w:r>
      <w:r>
        <w:rPr>
          <w:rFonts w:ascii="Times New Roman" w:hAnsi="Times New Roman"/>
          <w:b/>
          <w:sz w:val="24"/>
        </w:rPr>
        <w:t>Praguri de semnificație pentru instrumentele financiare derivate</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Pentru a reduce sarcina de raportare a instituțiilor cu expuneri limitate pe instrumente financiare derivate, la evaluarea importanței relative a expunerilor pe instrumente financiare derivate față de expunerea totală corespunzătoare indicatorului efectului de levier se utilizează următorii indicatori de măsurare. Instituțiile calculează acești indicatori de măsurare după cum urmează</w:t>
      </w:r>
      <w:bookmarkStart w:id="45" w:name="_Toc322533853"/>
      <w:bookmarkEnd w:id="44"/>
      <w:r>
        <w:rPr>
          <w:rFonts w:ascii="Times New Roman" w:hAnsi="Times New Roman"/>
          <w:sz w:val="24"/>
        </w:rPr>
        <w:t>:</w:t>
      </w:r>
    </w:p>
    <w:p w14:paraId="1388E099" w14:textId="6C12B231"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Cota instrumentelor financiare derivate =</w:t>
      </w:r>
      <w:r w:rsidR="003F7B60">
        <w:rPr>
          <w:rFonts w:ascii="Times New Roman" w:hAnsi="Times New Roman"/>
          <w:sz w:val="24"/>
        </w:rPr>
        <w:tab/>
      </w:r>
      <w:r>
        <w:t xml:space="preserve"> </w:t>
      </w:r>
      <m:oMath>
        <m:f>
          <m:fPr>
            <m:ctrlPr>
              <w:rPr>
                <w:rFonts w:ascii="Cambria Math" w:hAnsi="Times New Roman"/>
                <w:iCs/>
                <w:sz w:val="24"/>
                <w:szCs w:val="24"/>
              </w:rPr>
            </m:ctrlPr>
          </m:fPr>
          <m:num>
            <m:r>
              <m:rPr>
                <m:sty m:val="p"/>
              </m:rPr>
              <w:rPr>
                <w:rFonts w:ascii="Cambria Math" w:hAnsi="Times New Roman"/>
                <w:sz w:val="24"/>
                <w:szCs w:val="24"/>
                <w:lang w:val="it-IT"/>
              </w:rPr>
              <m:t>Indicatorul de m</m:t>
            </m:r>
            <m:r>
              <m:rPr>
                <m:sty m:val="p"/>
              </m:rPr>
              <w:rPr>
                <w:rFonts w:ascii="Cambria Math" w:hAnsi="Times New Roman"/>
                <w:sz w:val="24"/>
                <w:szCs w:val="24"/>
                <w:lang w:val="it-IT"/>
              </w:rPr>
              <m:t>ă</m:t>
            </m:r>
            <m:r>
              <m:rPr>
                <m:sty m:val="p"/>
              </m:rPr>
              <w:rPr>
                <w:rFonts w:ascii="Cambria Math" w:hAnsi="Times New Roman"/>
                <w:sz w:val="24"/>
                <w:szCs w:val="24"/>
                <w:lang w:val="it-IT"/>
              </w:rPr>
              <m:t>surare a expunerii din instrumente financiare derivate</m:t>
            </m:r>
          </m:num>
          <m:den>
            <m:r>
              <m:rPr>
                <m:sty m:val="p"/>
              </m:rPr>
              <w:rPr>
                <w:rFonts w:ascii="Cambria Math" w:hAnsi="Times New Roman"/>
                <w:sz w:val="24"/>
                <w:szCs w:val="24"/>
              </w:rPr>
              <m:t>Indicatorul de m</m:t>
            </m:r>
            <m:r>
              <m:rPr>
                <m:sty m:val="p"/>
              </m:rPr>
              <w:rPr>
                <w:rFonts w:ascii="Cambria Math" w:hAnsi="Times New Roman"/>
                <w:sz w:val="24"/>
                <w:szCs w:val="24"/>
              </w:rPr>
              <m:t>ă</m:t>
            </m:r>
            <m:r>
              <m:rPr>
                <m:sty m:val="p"/>
              </m:rPr>
              <w:rPr>
                <w:rFonts w:ascii="Cambria Math" w:hAnsi="Times New Roman"/>
                <w:sz w:val="24"/>
                <w:szCs w:val="24"/>
              </w:rPr>
              <m:t>surare a expunerii totale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În care indicatorul de măsurare a expunerii din instrumente financiare derivate este egal cu: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În care indicatorul de măsurare a expunerii totale este egal cu: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Cuantumul noțional total folosit ca referință de instrumentele financiare derivate = {LR1; 0010;0070}. Instituțiile completează întotdeauna această celulă.</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Volumul instrumentelor financiare derivate de credit = {LR1;0020;0070} + {LR1;0050;0070}. Instituțiile completează întotdeauna aceste celule.</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Instituțiile au obligația de a completa celulele menționate la punctul 13 dacă este îndeplinită oricare dintre următoarele condiții:</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cota instrumentelor financiare derivate, menționată la punctul 5, depășește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cota instrumentelor financiare derivate, menționată la punctul 5, depășește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lastRenderedPageBreak/>
        <w:t>Se aplică criteriile de intrare și de ieșire prevăzute la articolul 4 din prezentul regulament, cu excepția cazului menționat la litera (b), caz în care instituțiile încep raportarea informațiilor de la următoarea dată de referință a raportării dacă au depășit pragul la o singură dată de referință a raportării.</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11.</w:t>
      </w:r>
      <w:r>
        <w:tab/>
      </w:r>
      <w:r>
        <w:rPr>
          <w:rFonts w:ascii="Times New Roman" w:hAnsi="Times New Roman"/>
          <w:sz w:val="24"/>
        </w:rPr>
        <w:t>Instituțiile în cazul cărora cuantumul noțional total folosit ca referință de instrumentele financiare derivate, astfel cum este definit la punctul 8, depășește 10 miliarde EUR completează celulele menționate la punctul 13, chiar dacă cota lor de instrumente financiare derivate nu îndeplinește condițiile descrise la punctul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rPr>
        <w:t>Criteriile de intrare prevăzute la articolul 4</w:t>
      </w:r>
      <w:r>
        <w:rPr>
          <w:sz w:val="24"/>
        </w:rPr>
        <w:t xml:space="preserve"> </w:t>
      </w:r>
      <w:r>
        <w:rPr>
          <w:rFonts w:ascii="Times New Roman" w:hAnsi="Times New Roman"/>
          <w:sz w:val="24"/>
        </w:rPr>
        <w:t>din prezentul regulament nu se aplică. Instituțiile încep să raporteze informațiile de la următoarea dată de referință a raportării în cazul în care acestea au depășit pragul la o singură dată de referință a raportării.</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Instituțiile au obligația de a completa celulele menționate la punctul 14 dacă este îndeplinită oricare dintre următoarele condiții:</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volumul instrumentelor financiare derivate de credit, menționat la punctul 9, depășește 300 de milioane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volumul instrumentelor financiare derivate de credit, menționat la punctul 9, depășește 500 de milioane EUR.</w:t>
      </w:r>
    </w:p>
    <w:p w14:paraId="3B88084F" w14:textId="34241752" w:rsidR="00F4754B" w:rsidRPr="000B66BC" w:rsidRDefault="00242493" w:rsidP="000B66BC">
      <w:pPr>
        <w:pStyle w:val="InstructionsText2"/>
        <w:numPr>
          <w:ilvl w:val="0"/>
          <w:numId w:val="0"/>
        </w:numPr>
        <w:ind w:left="709" w:firstLine="11"/>
        <w:rPr>
          <w:sz w:val="24"/>
        </w:rPr>
      </w:pPr>
      <w:r>
        <w:rPr>
          <w:sz w:val="24"/>
        </w:rPr>
        <w:t>Se aplică criteriile de intrare și de ieșire prevăzute la articolul 4 din prezentul regulament, cu excepția cazului menționat la litera (b), caz în care instituțiile încep raportarea de la următoarea dată de referință a raportării dacă au depășit pragul cu ocazia unei singure date de referință a raportării.</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Celulele pe care instituțiile au obligația de a le completa în conformitate cu punctele 10 și 11 sunt următoarele: {LR1;0010;0010}, {LR1;0010;0020}, {LR1;0020;0010}, {LR1;0020;0020}, {LR1;0030;0070}, {LR1;0040;0070}, {LR1;0050;0010}, {LR1;0050;0020}, {LR1;0060;0010}, {LR1;0060;0020} și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Celulele pe care instituțiile au obligația de a le completa în conformitate cu punctul 12 sunt următoarele: {LR1;0020;0075}, {LR1;0050;0075} și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609508"/>
      <w:bookmarkStart w:id="51" w:name="_Toc322687879"/>
      <w:bookmarkStart w:id="52" w:name="_Toc315961853"/>
      <w:bookmarkEnd w:id="46"/>
      <w:r>
        <w:rPr>
          <w:rFonts w:ascii="Times New Roman" w:hAnsi="Times New Roman"/>
          <w:b/>
          <w:sz w:val="24"/>
        </w:rPr>
        <w:t>3.</w:t>
      </w:r>
      <w:r>
        <w:tab/>
      </w:r>
      <w:r>
        <w:rPr>
          <w:rFonts w:ascii="Times New Roman" w:hAnsi="Times New Roman"/>
          <w:b/>
          <w:sz w:val="24"/>
        </w:rPr>
        <w:t>C 47.00 – Calculul indicatorului efectului de levier</w:t>
      </w:r>
      <w:bookmarkEnd w:id="47"/>
      <w:bookmarkEnd w:id="48"/>
      <w:r>
        <w:t xml:space="preserve"> </w:t>
      </w:r>
      <w:r>
        <w:rPr>
          <w:rFonts w:ascii="Times New Roman" w:hAnsi="Times New Roman"/>
          <w:b/>
          <w:sz w:val="24"/>
        </w:rPr>
        <w:t>(LRCalc)</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Prezentul formular colectează datele necesare pentru a calcula indicatorul efectului de levier definit în partea a șaptea din Regulamentul (UE) nr.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Instituțiile raportează trimestrial indicatorul efectului de levier. În fiecare trimestru, valoarea „la data de referință a raportării” este valoarea din ultima zi calendaristică a celei de a treia luni a trimestrului respectiv.</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 xml:space="preserve">Instituțiile raportează elementele din secțiunea „Valori ale expunerii” cu semn pozitiv, în conformitate cu convenția privind semnele din partea I punctul 9 din prezenta anexă (cu excepția elementelor {LRCalc;0270;0010} și {LRCalc;0280;0010}), ca și cum elementele raportate cu semn negativ (de exemplu exceptările/deducerile) în </w:t>
      </w:r>
      <w:r>
        <w:rPr>
          <w:rFonts w:ascii="Times New Roman" w:hAnsi="Times New Roman"/>
          <w:sz w:val="24"/>
        </w:rPr>
        <w:lastRenderedPageBreak/>
        <w:t>conformitate cu convenția privind semnele din partea I punctul 9 din prezenta anexă nu s-ar aplica.</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Orice cuantum cu care se majorează fondurile proprii sau expunerea pentru calcularea indicatorului efectului de levier se raportează ca valoare pozitivă. În schimb, orice cuantum cu care se reduce totalul fondurilor proprii sau expunerea pentru calcularea indicatorului efectului de levier se raportează ca valoare negativă. În cazul în care există un semn negativ (-) în fața denumirii unui element, se presupune că pentru elementul respectiv nu se va raporta nicio valoare pozitivă.</w:t>
      </w:r>
    </w:p>
    <w:p w14:paraId="69E62B50" w14:textId="0E030492" w:rsidR="00EC3422" w:rsidRPr="000B66BC" w:rsidRDefault="006A4991" w:rsidP="009339D1">
      <w:pPr>
        <w:pStyle w:val="InstructionsText2"/>
        <w:numPr>
          <w:ilvl w:val="0"/>
          <w:numId w:val="0"/>
        </w:numPr>
        <w:ind w:left="720" w:hanging="360"/>
        <w:rPr>
          <w:sz w:val="24"/>
        </w:rPr>
      </w:pPr>
      <w:r>
        <w:rPr>
          <w:sz w:val="24"/>
        </w:rPr>
        <w:t>19. În cazul în care un cuantum s-ar califica pentru deducere pe baza mai multor motive, cuantumul respectiv se scade din expunere doar pe un singur rând din formularul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Referințe juridice și instrucțiuni</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Rând și coloană</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Valori ale expunerii</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SFT-uri: valoarea expunerii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Articolul 429b alineatul (1) litera (b) și alineatele (4) și (5) din Regulamentul (UE) nr.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Expunerea pentru SFT-uri, calculată în conformitate cu articolul 429b alineatul (1) litera (b) și alineatele (4) și (5) din Regulamentul (UE) nr.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iau în considerare în această celulă tranzacțiile prevăzute la articolul 429e alineatul (7) litera (c) din Regulamentul (UE) nr.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nu includ în această celulă numerarul primit sau titlurile care sunt furnizate unei contrapărți prin intermediul tranzacțiilor sus-menționate și care sunt reținute în bilanț (și anume, pentru care criteriile contabile privind derecunoașterea nu sunt îndeplinite). Instituțiile includ însă elementele respective în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Instituțiile nu includ în această celulă SFT-urile încheiate în calitate de agent atunci când instituția furnizează unui client sau unei contrapărți o indemnizație sau o garanție limitată la orice diferență între valoarea titlului de valoare sau a sumei în numerar pe care clientul a împrumutat-o și valoarea garanției reale pe care debitorul a furnizat-o în conformitate cu articolul 429e alineatul (7) litera (a) din Regulamentul (UE) nr.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SFT-uri: majorare pentru riscul de contraparte</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Articolul 429e alineatul (1) din Regulamentul (UE) nr.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Majorarea pentru riscul de contraparte în cazul SFT-urilor, inclusiv extrabilanțiere, determinată în conformitate cu articolul 429e alineatul (2) sau (3) și alineatul (4) din Regulamentul (UE) nr. 575/2013, după caz.</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iau în considerare în această celulă tranzacțiile prevăzute la articolul 429e alineatul (7) litera (c) din Regulamentul (UE) nr.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nu includ în această celulă SFT-urile încheiate în calitate de agent atunci când instituția furnizează unui client sau unei contrapărți o indemnizație sau o garanție limitată la orice diferență între valoarea titlului de valoare sau a sumei în numerar pe care clientul a împrumutat-o și valoarea garanției reale pe care debitorul a furnizat-o în conformitate cu articolul 429e alineatul (7) litera (a) din Regulamentul (UE) nr. 575/2013. Instituțiile includ însă elementele respective în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Derogare pentru SFT-uri: majorare conform articolului 429e alineatul (5) și articolului 222 din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Articolul 429e alineatul (5) și articolul 222 din Regulamentul (UE) nr.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expunerii în cazul SFT-urilor, inclusiv extrabilanțiere, calculată în conformitate cu articolul 222 din Regulamentul (UE) nr. 575/2013, sub rezerva unui prag de 20 % pentru ponderea de risc aplicabilă.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iau în considerare în această celulă tranzacțiile prevăzute la articolul 429e alineatul (7) litera (c) din Regulamentul (UE) nr.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Instituțiile nu iau în considerare în această celulă tranzacțiile pentru care partea de majorare din valoarea expunerii pentru calcularea indicatorului efectului de levier este determinată în conformitate cu metoda menționată la articolul 429e alineatul (1) din Regulamentul (UE) nr.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Riscul de contraparte pentru SFT-uri încheiate în calitate de agent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Articolul 429e alineatul (7) litera (a) și alineatele (2) și (3) din Regulamentul (UE) nr.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Valoarea expunerii în cazul SFT-urilor încheiate în calitate de agent, atunci când instituția furnizează unui client sau unei contrapărți o indemnizație sau o garanție limitată la orice diferență între valoarea titlului de valoare sau a sumei în numerar pe care clientul a împrumutat-o și valoarea garanției reale pe care debitorul a furnizat-o în conformitate cu articolul 429e alineatul (7) litera (a) din Regulamentul (UE) nr. 575/2013, constă numai în majorarea determinată în conformitate cu articolul 429e alineatul (2) sau (3) din Regulamentul (UE) nr. 575/2013, după caz.</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Instituțiile nu includ în această celulă tranzacțiile prevăzute la articolul 429e alineatul (7) litera (c). Instituțiile includ însă elementele respective în {0010;0010} și {0020;0010 sau {0010;0010} și {0030;0010}, după caz.</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Segmentul CPC exclus din expunerile aferente SFT-urilor compensate pentru clienți</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și articolul 306 alineatul (1) litera (c) din Regulamentul (UE) nr.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Segmentul CPC exclus din expunerile aferente SFT-urilor compensate pentru clienți, dacă respectivele elemente îndeplinesc condițiile prevăzute la articolul 306 alineatul (1) litera (c) din Regulamentul (UE) nr.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Atunci când este un titlu de valoare, segmentul CPC exclus nu se raportează în această celulă decât dacă este un titlu de valoare regajat care, în temeiul cadrului contabil aplicabil [și anume, în conformitate cu articolul 111 alineatul (1) prima teză din Regulamentul (UE) nr. 575/2013], este inclus la valoarea sa totală.</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Instituțiile includ cuantumul raportat în această celulă, ca și cum nu s-ar aplica nicio excludere, și în {0010;0010}, {0020;0010} și {0030;0010} și, dacă este un titlu de valoare regajat care, în temeiul cadrului contabil aplicabil, este inclus la valoarea sa totală, în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Atunci când pentru un segment exclus al unui SFT a furnizat o marjă inițială care este raportată în {0190;0010} și neraportată în {0020;0010} sau {0030;0010}, instituția poate raporta marja respectivă în această celulă.</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Instrumente financiare derivate: contribuția la costul de înlocuire în cadrul abordării standardizate pentru riscul de credit al contrapărții (SA-CCR) [fără efectul garanției reale asupra sumei independente nete a garanțiilor reale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(1) din Regulamentul (UE) nr.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Costul de înlocuire conform articolului 275 din Regulamentul (UE) nr. 575/2013, fără efectul garanției reale asupra NICA și fără efectul niciunei marje de variație. În scopul completării prezentei celule, instituțiile nu aplică derogările prevăzute la articolul 429c alineatele (3) și (4) și la articolul 429a alineatul (1) litera (g) din Regulamentul (UE) nr. 575/2013. Cuantumul se raportează după aplicarea factorului α 1,4, astfel cum se precizează la articolul 274 alineatul (2) din Regulamentul (UE) nr.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Astfel cum este stabilit la articolul 429c alineatul (1) din Regulamentul (UE) nr. 575/2013, instituțiile pot să ia în considerare efectele contractelor de novație și ale altor acorduri de compensare bilaterală (</w:t>
            </w:r>
            <w:r>
              <w:rPr>
                <w:rFonts w:ascii="Times New Roman" w:hAnsi="Times New Roman"/>
                <w:i/>
                <w:iCs/>
                <w:sz w:val="24"/>
              </w:rPr>
              <w:t>netting</w:t>
            </w:r>
            <w:r>
              <w:rPr>
                <w:rFonts w:ascii="Times New Roman" w:hAnsi="Times New Roman"/>
                <w:sz w:val="24"/>
              </w:rPr>
              <w:t xml:space="preserve">) în conformitate cu articolul 295 din Regulamentul (UE) nr. 575/2013. Compensarea între produse diferite nu se aplică. Cu toate acestea, instituțiile pot să compenseze în cadrul categoriei de produse menționate la articolul 272 punctul 25 litera </w:t>
            </w:r>
            <w:r>
              <w:rPr>
                <w:rFonts w:ascii="Times New Roman" w:hAnsi="Times New Roman"/>
                <w:sz w:val="24"/>
              </w:rPr>
              <w:lastRenderedPageBreak/>
              <w:t>(c) din Regulamentul (UE) nr. 575/2013 și instrumente financiare derivate de credit, în cazul în care acestea fac obiectul unui acord de compensare contractuală între produse diferite, menționat la articolul 295 litera (c) din Regulamentul (UE) nr.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Instituțiile includ toate instrumentele financiare derivate de credit, nu numai pe cele din portofoliul de tranzacționare.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Instituțiile nu includ în această celulă contractele măsurate prin aplicarea abordării standardizate simplificate sau a metodei expunerii inițiale.</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Efectul recunoașterii garanției reale asupra NICA în cazul tranzacțiilor încheiate cu clienți care sunt compensate de o CPCC (costul de înlocuire în cadrul SA-CCR)</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alineatele (4) și (4a) din Regulamentul (UE) nr.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Aplicarea derogării prevăzute la articolul 429c alineatul (4) din Regulamentul (UE) nr. 575/2013 și la articolul 429c alineatul (4a) asupra calculării costului de înlocuire în cazul contractelor derivate încheiate cu clienți care sunt compensate de o CPCC. Cuantumul se raportează după aplicarea factorului α 1,4, astfel cum se precizează la articolul 274 alineatul (2) din Regulamentul (UE) nr.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Instituțiile includ cuantumul raportat în această celulă și în {0061;0010}, ca și cum nu s-ar aplica nicio derogare.</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Efectul deducerii marjei eligibile de variație în numerar primite din valoarea de piață a instrumentelor financiare derivate (costul de înlocuire în cadrul SA-CCR)</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(3) din Regulamentul (UE) nr.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Marja de variație primită în numerar de la contraparte și eligibilă pentru deducere din partea reprezentată de costul de înlocuire din expunerea instrumentelor financiare derivate, în conformitate cu articolul 429c alineatul (3) din Regulamentul (UE) nr. 575/2013. Cuantumul se raportează după aplicarea factorului α 1,4, astfel cum se precizează la articolul 274 alineatul (2) din Regulamentul (UE) nr.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Nu se raportează eventuala marjă de variație în numerar primită pentru un segment CPC exclus, în conformitate cu articolul 429a alineatul (1) litera (g) din Regulamentul (UE) nr. 575/2013.</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Instituțiile includ cuantumul raportat în această celulă și în {0061;0010}, ca și cum nu s-ar aplica nicio deducere a marjei de variație în numerar.</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Efectul segmentului CPC exclus din expunerile aferente tranzacțiilor compensate pentru clienți (costul de înlocuire în cadrul SA-CCR)</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Articolul 429a alineatul (1) litera (g) din Regulamentul (UE) nr.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Partea reprezentată de costul de înlocuire din expunerile față de o CPCC excluse din tranzacțiile cu instrumente financiare derivate compensate pentru clienți, dacă respectivele elemente îndeplinesc condițiile prevăzute la articolul 306 alineatul (1) litera (c) din Regulamentul (UE) nr. 575/2013. Acest cuantum se raportează la valoarea brută, respectiv fără deducerea marjei de variație în numerar primite în cadrul acestui segment. Cuantumul se raportează după aplicarea factorului α 1,4, astfel cum se precizează la articolul 274 alineatul (2) din Regulamentul (UE) nr.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Instituțiile includ valoarea raportată în această celulă și în {0061;0010}, ca și cum nu s-ar aplica nicio excludere.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Instrumente financiare derivate: contribuția la expunerea viitoare potențială în cadrul SA-CCR (multiplicatorul este egal cu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(5) din Regulamentul (UE) nr.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Expunerea viitoare potențială conform articolului 278 din Regulamentul (UE) nr. 575/2013, presupunând că multiplicatorul este egal cu 1, fără aplicarea derogării prevăzute la articolul 429c alineatul (5) din Regulamentul (UE) nr. 575/2013 referitoare la contractele încheiate cu clienți care sunt compensate de o CPCC. Cuantumul se raportează după aplicarea factorului α 1,4, astfel cum se precizează la articolul 274 alineatul (2) din Regulamentul (UE) nr.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Efectul unui multiplicator mai scăzut în cazul tranzacțiilor încheiate cu clienți care sunt compensate de o CPCC asupra contribuției la expunerea viitoare potențială (expunerea viitoare potențială în cadrul SA-CCR)</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(5) din Regulamentul (UE) nr.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Aplicarea derogării prevăzute la articolul 429c alineatul (5) din Regulamentul (UE) nr. 575/2013 asupra calculării expunerii viitoare potențiale în cazul contractelor derivate încheiate cu clienți care sunt compensate de o CPCC. Cuantumul se raportează după aplicarea factorului α 1,4, astfel cum se precizează la articolul 274 alineatul (2) din Regulamentul (UE) nr.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Instituțiile includ cuantumul raportat în această celulă și în {0091;0010}, ca și cum nu s-ar aplica nicio derogare.</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Efectul segmentului CPC exclus din expunerile aferente tranzacțiilor compensate pentru clienți (expunerea viitoare potențială în cadrul SA-CCR)</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din Regulamentul (UE) nr.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Expunerea viitoare potențială a expunerilor față de o CPCC excluse din tranzacțiile cu instrumente financiare derivate compensate pentru clienți, dacă respectivele elemente îndeplinesc condițiile prevăzute la articolul 306 alineatul (1) litera (c) din Regulamentul (UE) nr. 575/2013. Cuantumul se raportează după aplicarea factorului α 1,4, astfel cum se precizează la articolul 274 alineatul (2) din Regulamentul (UE) nr.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Instituțiile includ valoarea raportată în această celulă și în {0091;0010}, ca și cum nu s-ar aplica nicio excludere.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Derogare pentru instrumente financiare derivate: contribuția la costurile de înlocuire în cadrul abordării standardizate simplificate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(6) și articolul 281 din Regulamentul (UE) nr.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Această celulă conține indicatorul de măsurare a expunerii în cazul contractelor enumerate la punctele 1 și 2 din anexa II la Regulamentul (UE) nr. 575/2013, calculat în conformitate cu abordarea standardizată simplificată prevăzută la articolul 281 din Regulamentul (UE) nr. 575/2013. Cuantumul se raportează după aplicarea factorului α 1,4, astfel cum se precizează la articolul 274 alineatul (2) din Regulamentul (UE) nr. 575/2013.</w:t>
            </w:r>
          </w:p>
          <w:p w14:paraId="6AF43C3C" w14:textId="24701CE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Instituțiile care aplică abordarea standardizată simplificată nu scad din indicatorul de măsurare a expunerii totale cuantumul marjei primite în conformitate cu articolul 429c alineatul (6) din Regulamentul (UE) nr.</w:t>
            </w:r>
            <w:r w:rsidR="00F657AF">
              <w:rPr>
                <w:rFonts w:ascii="Times New Roman" w:hAnsi="Times New Roman"/>
                <w:sz w:val="24"/>
              </w:rPr>
              <w:t> </w:t>
            </w:r>
            <w:r>
              <w:rPr>
                <w:rFonts w:ascii="Times New Roman" w:hAnsi="Times New Roman"/>
                <w:sz w:val="24"/>
              </w:rPr>
              <w:t>575/2013. Prin urmare, nu se aplică excepția prevăzută la articolul 429c alineatul (4) din Regulamentul (UE) nr. 575/2013 referitoare la contractele derivate încheiate cu clienți care sunt compensate de o CPCC.</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Instituțiile nu iau în considerare în această celulă contractele măsurate prin aplicarea SA-CCR sau a metodei expunerii inițiale.</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Efectul segmentului CPC exclus din expunerile aferente tranzacțiilor compensate pentru clienți (costurile de înlocuire în cadrul abordării standardizate simplificate)</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din Regulamentul (UE) nr.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Partea reprezentată de costul de înlocuire din expunerile față de o CPCC excluse din tranzacțiile cu instrumente financiare derivate compensate pentru clienți, dacă respectivele elemente îndeplinesc condițiile prevăzute la articolul 306 alineatul (1) litera (c) din Regulamentul (UE) nr. 575/2013. Acest cuantum se raportează la valoarea brută, respectiv fără deducerea marjei de variație în numerar primite în cadrul acestui segment. Cuantumul se raportează după aplicarea factorului α 1,4, astfel cum se precizează la articolul 274 alineatul (2) din Regulamentul (UE) nr.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Instituțiile includ valoarea raportată în această celulă și în {0101;0010}, ca și cum nu s-ar fi aplicat nicio excludere.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Derogare pentru instrumente financiare derivate: contribuția la expunerea viitoare potențială în cadrul abordării standardizate simplificate (multiplicatorul este egal cu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Articolul 281 alineatul (2) litera (f) și articolul 429c alineatul (6) din Regulamentul (UE) nr. 575/2013. Expunerea viitoare potențială în conformitate cu abordarea standardizată simplificată prevăzută la articolul 281 din Regulamentul (UE) nr. 575/2013, presupunând că multiplicatorul este egal cu 1. Cuantumul se raportează după aplicarea factorului α 1,4, astfel cum se precizează la articolul 274 alineatul (2) din Regulamentul (UE) nr. 575/2013.</w:t>
            </w:r>
          </w:p>
          <w:p w14:paraId="3AE17E54" w14:textId="487CC0E9"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Instituțiile care aplică abordarea standardizată simplificată nu scad din indicatorul de măsurare a expunerii totale cuantumul marjei primite în conformitate cu articolul 429c alineatul (6) din Regulamentul (UE) nr.</w:t>
            </w:r>
            <w:r w:rsidR="00F657AF">
              <w:rPr>
                <w:rFonts w:ascii="Times New Roman" w:hAnsi="Times New Roman"/>
                <w:sz w:val="24"/>
              </w:rPr>
              <w:t> </w:t>
            </w:r>
            <w:r>
              <w:rPr>
                <w:rFonts w:ascii="Times New Roman" w:hAnsi="Times New Roman"/>
                <w:sz w:val="24"/>
              </w:rPr>
              <w:t>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Efectul segmentului CPC exclus din expunerile aferente tranzacțiilor compensate pentru clienți (expunerea viitoare potențială în cadrul abordării standardizate simplificate)</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din Regulamentul (UE) nr.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Expunerea viitoare potențială a expunerilor față de o CPCC excluse din tranzacțiile cu instrumente financiare derivate compensate pentru clienți, dacă respectivele elemente îndeplinesc condițiile prevăzute la articolul 306 alineatul (1) litera (c) din Regulamentul (UE) nr. 575/2013. Cuantumul se raportează după aplicarea factorului α 1,4, astfel cum se precizează la articolul 274 alineatul (2) din Regulamentul (UE) nr.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Instituțiile includ valoarea raportată în această celulă și în {0103;0010}, ca și cum nu s-ar fi aplicat nicio excludere.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Derogare pentru instrumente financiare derivate: metoda expunerii inițiale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(6) și articolul 282 din Regulamentul (UE) nr.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Această celulă conține indicatorul de măsurare a expunerii în cazul contractelor enumerate la punctele 1 și 2 din anexa II la Regulamentul (UE) nr. 575/2013, calculat în conformitate cu metoda expunerii inițiale prevăzută la articolul 282 din Regulamentul (UE) nr.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Instituțiile care aplică metoda expunerii inițiale nu scad din indicatorul de măsurare a expunerii totale cuantumul marjei primite în conformitate cu articolul 429c alineatul (6) din Regulamentul (UE) nr.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Instituțiile care nu utilizează metoda expunerii inițiale nu raportează nimic în această celulă.</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Instituțiile nu iau în considerare în această celulă contractele măsurate prin aplicarea SA-CCR sau a abordării standardizate simplificate.</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Segmentul CPC exclus din expunerile aferente tranzacțiilor compensate pentru clienți (metoda expunerii inițiale)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din Regulamentul (UE) nr.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Segmentul CPC exclus din expunerile aferente tranzacțiilor compensate pentru clienți, atunci când se aplică metoda expunerii inițiale prevăzută la articolul 282 din Regulamentul (UE) nr. 575/2013, dacă respectivele elemente îndeplinesc condițiile prevăzute la articolul 306 alineatul (1) litera (c) din Regulamentul (UE) nr.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Instituțiile includ valoarea raportată în această celulă și în {0110;0010}, ca și cum nu s-ar fi aplicat nicio excludere.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Cuantumul noțional plafonat al instrumentelor financiare derivate de credit vândute</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429d din Regulamentul (UE) nr. 575/2013.</w:t>
            </w:r>
          </w:p>
          <w:p w14:paraId="7435D499" w14:textId="585542EC"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Instituțiile determină cuantumul noțional plafonat al instrumentelor financiare derivate de credit scrise, astfel cum sunt definite la articolul 429d alineatul (1), în conformitate cu articolul 429d din Regulamentul (UE) nr.</w:t>
            </w:r>
            <w:r w:rsidR="00F657AF">
              <w:rPr>
                <w:rFonts w:ascii="Times New Roman" w:hAnsi="Times New Roman"/>
                <w:sz w:val="24"/>
              </w:rPr>
              <w:t> </w:t>
            </w:r>
            <w:r>
              <w:rPr>
                <w:rFonts w:ascii="Times New Roman" w:hAnsi="Times New Roman"/>
                <w:sz w:val="24"/>
              </w:rPr>
              <w:t>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Deducerea instrumentelor financiare derivate de credit cumpărate eligibile din instrumentele financiare derivate de credit vândute</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429d din Regulamentul (UE) nr.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noțional plafonat al instrumentelor financiare derivate de credit cumpărate (și anume, atunci când instituția cumpără protecție de credit de la o contraparte) pentru aceleași nume de referință ca instrumentele financiare derivate de credit vândute de instituție, în cazul în care scadența rămasă a protecției cumpărate este mai mare sau egală cu scadența rămasă a protecției vândute. Prin urmare, valoarea nu poate fi mai mare decât valoarea introdusă în {0130;0010} pentru fiecare nume de referință.</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Elemente extrabilanțiere cu un factor de conversie a creditului de 10 % în conformitate cu articolul 429f din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Valoarea expunerii, în conformitate cu articolul 429f litera (e) și cu articolul 111 alineatele (2) și (3) din Regulamentul (UE) nr.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Regulamentul (UE)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Se reamintește că din valoarea nominală nu se pot scădea ajustările specifice pentru riscul de credit înainte de aplicarea factorului de conversie a creditului.</w:t>
            </w:r>
            <w:r>
              <w:rPr>
                <w:sz w:val="24"/>
              </w:rPr>
              <w:t xml:space="preserve"> </w:t>
            </w:r>
            <w:r>
              <w:rPr>
                <w:rFonts w:ascii="Times New Roman" w:hAnsi="Times New Roman"/>
                <w:sz w:val="24"/>
              </w:rPr>
              <w:t>În conformitate cu articolul 429f alineatul (2), instituțiile pot reduce cuantumul echivalent expunerii din credite al unui element extrabilanțier cu suma corespunzătoare a ajustărilor specifice pentru riscul de credit. Calculul este supus unui prag egal cu zero.</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 cazul în care un angajament se referă la prelungirea unui alt element extrabilanțier, se utilizează cel mai mic dintre cei doi factori de conversie (aferenți elementului în baza căruia este asumat angajamentul sau tipului de angajament asumat) în conformitate cu articolul 111 alineatul (3) din Regulamentul (UE) nr.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Instituțiile nu iau în considerare în această celulă contractele enumerate în anexa II la Regulamentul (UE) nr. 575/2013, instrumentele financiare derivate de credit, SFT-urile și pozițiile menționate la articolul 429d în conformitate cu articolul 429f din Regulamentul (UE) nr.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Instituțiile aplică un factor de conversie a creditului de 10 % pentru angajamentele care pot fi revocate necondiționat, în conformitate cu articolul 429f alineatul (3).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Elemente extrabilanțiere cu un factor de conversie a creditului de 20 % în conformitate cu articolul 429f din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Valoarea expunerii, în conformitate cu articolul 429f litera (d) și cu articolul 111 alineatele (2) și (3) din Regulamentul (UE) nr.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Regulamentul (UE) nr. 575/2013. Se reamintește că din valoarea nominală nu se pot scădea ajustările specifice pentru riscul de credit înainte de aplicarea factorului de conversie a creditului. În conformitate cu articolul 429f alineatul (2), instituțiile pot reduce cuantumul echivalent expunerii din credite al unui element extrabilanțier cu suma corespunzătoare a ajustărilor specifice pentru riscul de credit. Calculul este supus unui prag egal cu zero.</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 cazul în care un angajament se referă la prelungirea unui alt element extrabilanțier, se utilizează cel mai mic dintre cei doi factori de conversie (aferenți elementului în baza căruia este asumat angajamentul sau tipului de angajament asumat) în conformitate cu articolul 111 alineatul (3) din Regulamentul (UE) nr.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Instituțiile nu iau în considerare în această celulă contractele enumerate în anexa II la Regulamentul (UE) nr. 575/2013, instrumentele financiare </w:t>
            </w:r>
            <w:r>
              <w:rPr>
                <w:rFonts w:ascii="Times New Roman" w:hAnsi="Times New Roman"/>
                <w:sz w:val="24"/>
              </w:rPr>
              <w:lastRenderedPageBreak/>
              <w:t>derivate de credit, SFT-urile și pozițiile menționate la articolul 429d în conformitate cu articolul 429f din Regulamentul (UE) nr.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Elemente extrabilanțiere cu un factor de conversie a creditului de 40 % în conformitate cu articolul 429f din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Valoarea expunerii, în conformitate cu articolul 429f litera (c) și cu articolul 111 alineatele (2) și (3) din Regulamentul (UE) nr.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Se reamintește că din valoarea nominală nu se pot scădea ajustările specifice pentru riscul de credit înainte de aplicarea factorului de conversie a creditului. În conformitate cu articolul 429f alineatul (2), instituțiile pot reduce cuantumul echivalent expunerii din credite al unui element extrabilanțier cu suma corespunzătoare a ajustărilor specifice pentru riscul de credit. Calculul este supus unui prag egal cu zero.</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În cazul în care un angajament se referă la prelungirea unui alt element extrabilanțier, se utilizează cel mai mic dintre cei doi factori de conversie (aferenți elementului în baza căruia este asumat angajamentul sau tipului de angajament asumat) în conformitate cu articolul 111 alineatul (3) din Regulamentul (UE) nr.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Instituțiile nu iau în considerare în această celulă contractele enumerate în anexa II la Regulamentul (UE) nr. 575/2013, instrumentele financiare derivate de credit, SFT-urile și pozițiile menționate la articolul 429d în conformitate cu articolul 429f din Regulamentul (UE) nr.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Elemente extrabilanțiere cu un factor de conversie a creditului de 50 % în conformitate cu articolul 429f din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Valoarea expunerii, în conformitate cu articolul 429f litera (b) și cu articolul 111 alineatele (2) și (3) din Regulamentul (UE) nr.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Regulamentul (UE) nr. 575/2013. Se reamintește că din valoarea nominală nu se pot scădea ajustările specifice pentru riscul de credit înainte de aplicarea factorului de conversie a creditului. În conformitate cu articolul 429f alineatul (2), instituțiile pot reduce cuantumul echivalent expunerii din credite al unui element extrabilanțier cu suma corespunzătoare a ajustărilor specifice pentru riscul de credit. Calculul este supus unui prag egal cu zero.</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 această celulă se iau în considerare facilitățile de lichiditate și alte angajamente pentru securitizări. Cu alte cuvinte, factorul de conversie a creditului este, în conformitate cu articolul 255 din Regulamentul (UE) nr. 575/2013, de 50 % pentru toate facilitățile de lichiditate, indiferent de scadență.</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În cazul în care un angajament se referă la prelungirea unui alt element extrabilanțier, se utilizează cel mai mic dintre cei doi factori de conversie (aferenți elementului în baza căruia este asumat angajamentul sau tipului de </w:t>
            </w:r>
            <w:r>
              <w:rPr>
                <w:rFonts w:ascii="Times New Roman" w:hAnsi="Times New Roman"/>
                <w:sz w:val="24"/>
              </w:rPr>
              <w:lastRenderedPageBreak/>
              <w:t>angajament asumat) în conformitate cu articolul 111 alineatul (3) din Regulamentul (UE) nr.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Instituțiile nu iau în considerare în această celulă contractele enumerate în anexa II la Regulamentul (UE) nr. 575/2013, instrumentele financiare derivate de credit, SFT-urile și pozițiile menționate la articolul 429d în conformitate cu articolul 429f din Regulamentul (UE) nr.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Elemente extrabilanțiere cu un factor de conversie a creditului de 100 % în conformitate cu articolul 429f din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Valoarea expunerii, în conformitate cu articolul 429f litera (a) și cu articolul 111 alineatele (2) și (3) din Regulamentul (UE) nr.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Regulamentul (UE) nr. 575/2013. Se reamintește că din valoarea nominală nu se pot scădea ajustările specifice pentru riscul de credit înainte de aplicarea factorului de conversie a creditului. În conformitate cu articolul 429f alineatul (2), instituțiile pot reduce cuantumul echivalent expunerii din credite al unui element extrabilanțier cu suma corespunzătoare a ajustărilor specifice pentru riscul de credit. Calculul este supus unui prag egal cu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 această celulă se iau în considerare facilitățile de lichiditate și alte angajamente pentru securitizări.</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 cazul în care un angajament se referă la prelungirea unui alt element extrabilanțier, se utilizează cel mai mic dintre cei doi factori de conversie (aferenți elementului în baza căruia este asumat angajamentul sau tipului de angajament asumat) în conformitate cu articolul 111 alineatul (3) din Regulamentul (UE) nr.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Instituțiile nu iau în considerare în această celulă contractele enumerate în anexa II la Regulamentul (UE) nr. 575/2013, instrumentele financiare derivate de credit, SFT-urile și pozițiile menționate la articolul 429d în conformitate cu articolul 429f din Regulamentul (UE) nr.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Ajustări generale pentru riscul de credit aferente elementelor extrabilanțiere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Articolul 429 alineatul (4) din Regulamentul (UE) nr.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Cuantumul ajustărilor generale pentru riscul de credit corespunzătoare elementelor extrabilanțiere menționate la articolul 429 alineatul (4) litera (d), pe care instituțiile îl deduc în conformitate cu articolul 429 alineatul (4) ultimul paragraf din Regulamentul (UE) nr.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Cuantumul raportat nu se ia în considerare ca reducere la calcularea elementelor extrabilanțiere raportate pe rândurile {0150;0010}-{0180;0010}.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Achizițiile și vânzările standard care urmează a fi decontate: valoarea contabilă conform principiului contabilizării la data tranzacționării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Articolul 429g alineatul (1) din Regulamentul (UE) nr.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Suma dintre:</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sumele în numerar aferente achizițiilor standard care rămân ca active în bilanțul contabil până la data decontării, în conformitate cu articolul 429 alineatul (4) litera (a)</w:t>
            </w:r>
            <w:r>
              <w:rPr>
                <w:rFonts w:ascii="Times New Roman" w:hAnsi="Times New Roman"/>
                <w:sz w:val="24"/>
              </w:rPr>
              <w:t xml:space="preserve"> din </w:t>
            </w:r>
            <w:r>
              <w:rPr>
                <w:rFonts w:ascii="Times New Roman" w:hAnsi="Times New Roman"/>
                <w:color w:val="auto"/>
                <w:sz w:val="24"/>
              </w:rPr>
              <w:t>Regulamentul (UE) nr. 575/2013</w:t>
            </w:r>
            <w:r>
              <w:rPr>
                <w:rFonts w:ascii="Times New Roman" w:hAnsi="Times New Roman"/>
                <w:sz w:val="24"/>
              </w:rPr>
              <w:t>;</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sumele de încasat aferente vânzărilor standard care rămân ca active în bilanțul contabil până la data decontării, în conformitate cu articolul 429 alineatul (4) litera (a) din Regulamentul (UE) nr. 575/2013.</w:t>
            </w:r>
            <w:r>
              <w:rPr>
                <w:rFonts w:ascii="Times New Roman" w:hAnsi="Times New Roman"/>
                <w:color w:val="auto"/>
                <w:sz w:val="24"/>
              </w:rPr>
              <w:t xml:space="preserve"> Acest cuantum este cel rezultat după compensarea, în măsura în care este permisă de cadrul contabil aplicabil, între sumele de încasat în numerar pentru vânzările standard care urmează a fi decontate și sumele de plătit în numerar pentru achizițiile standard care urmează a fi decontate.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Instituțiile care aplică principiul contabilizării la data tranzacționării raportează suma menționată mai sus în această celulă, și nu pe rândul 0190 – „Alte active” – dar raportează titlurile de valoare aferente achizițiilor standard pe rândul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Vânzările standard care urmează a fi decontate: reluarea compensării contabile conform principiului contabilizării la data tranzacționării</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Articolul 429g alineatul (2) din Regulamentul (UE) nr.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Cuantumul compensat între sumele de încasat în numerar pentru vânzările standard care urmează a fi decontate și sumele de plătit în numerar pentru achizițiile standard care urmează a fi decontate, permis de cadrul contabil.</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Vânzările standard care urmează a fi decontate: compensarea în conformitate cu articolul 429g alineatul (2) din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Articolul 429g alineatul (2) din Regulamentul (UE) nr. 575/2013.</w:t>
            </w:r>
          </w:p>
          <w:p w14:paraId="057F1FAB" w14:textId="2FC91713"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Cuantumul compensat între sumele de încasat în numerar și sumele de plătit în numerar în cazul cărora atât vânzările standard, cât și achizițiile standard aferente sunt decontate pe baza principiului „livrare contra plată”, în conformitate cu articolul 429g alineatul (2) din Regulamentul (UE) nr.</w:t>
            </w:r>
            <w:r w:rsidR="00F657AF">
              <w:rPr>
                <w:rFonts w:ascii="Times New Roman" w:hAnsi="Times New Roman"/>
                <w:sz w:val="24"/>
              </w:rPr>
              <w:t> </w:t>
            </w:r>
            <w:r>
              <w:rPr>
                <w:rFonts w:ascii="Times New Roman" w:hAnsi="Times New Roman"/>
                <w:sz w:val="24"/>
              </w:rPr>
              <w:t>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Achizițiile standard care urmează a fi decontate: recunoașterea totală a angajamentelor de plată conform principiului contabilizării la data decontării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Articolul 429g alineatul (3) din Regulamentul (UE) nr.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Valoarea nominală totală a angajamentelor de plată legate de achizițiile standard, pentru instituțiile care, în conformitate cu cadrul contabil aplicabil, aplică principiul contabilizării la data decontării în cazul achizițiilor și vânzărilor standard.</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Titlurile de valoare aferente vânzărilor standard se raportează pe rândul 0190 – „Alte active”.</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Achizițiile standard care urmează a fi decontate: compensarea cu angajamentele de plată conform principiului contabilizării la data decontării în conformitate cu articolul 429g alineatul (3) din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Articolul 429g alineatul (3) din Regulamentul (UE) nr.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Partea din cuantumul raportat pe rândul 0188 compensată cu valoarea nominală totală a sumelor de încasat în numerar aferente vânzărilor standard care urmează a fi decontate, în conformitate cu articolul 429g alineatul (3) din Regulamentul (UE) nr.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Alte active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(4) litera (a) din Regulamentul (UE) nr. 575/2013.</w:t>
            </w:r>
          </w:p>
          <w:p w14:paraId="412FDEE7" w14:textId="656F6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Toate activele, cu excepția contractelor derivate enumerate în anexa II la Regulamentul (UE) nr. 575/2013, a instrumentelor financiare derivate de credit și a SFT-urilor (de exemplu, printre activele care se raportează în această celulă se numără creanțele furnizate pentru marja de variație în numerar atunci când sunt recunoscute în temeiul cadrului contabil curent, activele lichide, astfel cum sunt definite în temeiul indicatorului de acoperire a necesarului de lichiditate, tranzacțiile nereușite și nedecontate). Evaluarea efectuată de instituții trebuie să se bazeze pe principiile stabilite la articolul 429b alineatul (1) și la articolul 429 alineatul (7) din Regulamentul (UE) nr.</w:t>
            </w:r>
            <w:r w:rsidR="00F657AF">
              <w:rPr>
                <w:rFonts w:ascii="Times New Roman" w:hAnsi="Times New Roman"/>
                <w:sz w:val="24"/>
              </w:rPr>
              <w:t> </w:t>
            </w:r>
            <w:r>
              <w:rPr>
                <w:rFonts w:ascii="Times New Roman" w:hAnsi="Times New Roman"/>
                <w:sz w:val="24"/>
              </w:rPr>
              <w:t>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Instituțiile includ în această celulă numerarul primit sau titlurile care sunt furnizate unei contrapărți prin intermediul SFT-urilor și care sunt reținute în bilanț (și anume, pentru care criteriile contabile privind derecunoașterea nu sunt îndeplinite). În plus, instituțiile recunosc în această celulă elementele deduse din fondurile proprii de nivel 1 și elementele de fonduri proprii de nivel 1 suplimentar (de exemplu, imobilizările necorporale, creanțele privind impozitul amânat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raportat pe rândul {0191;0010} nu se ia în considerare ca reducere la calcularea acestui rând.</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lastRenderedPageBreak/>
              <w:t>Acordurile de tipul „cash pooling” nu se raportează aici, ci pe rândurile {0193;0010}, {0194;0010}, {0195;0010}, {0196;0010}, {0197;0010} și {0198;0010}.</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Ajustări generale pentru riscul de credit aferente elementelor bilanțiere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Articolul 429 alineatul (4) din Regulamentul (UE) nr.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Cuantumul ajustărilor generale pentru riscul de credit corespunzătoare elementelor bilanțiere menționate la articolul 429 alineatul (4) litera (a) din Regulamentul (UE) nr. 575/2013, pe care instituțiile îl deduc în conformitate cu articolul 429 alineatul (4) ultimul paragraf din Regulamentul (UE) nr.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Cuantumul raportat nu se ia în considerare ca reducere la calcularea altor active raportate pe rândul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Acordurile de tipul „cash pooling” care nu pot fi compensate prudențial: valoarea conform cadrului contabil</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429b alineatele (2) și (3) din</w:t>
            </w:r>
            <w:r>
              <w:rPr>
                <w:rFonts w:ascii="Times New Roman" w:hAnsi="Times New Roman"/>
                <w:sz w:val="24"/>
              </w:rPr>
              <w:t xml:space="preserve"> </w:t>
            </w:r>
            <w:r>
              <w:rPr>
                <w:rFonts w:ascii="Times New Roman" w:hAnsi="Times New Roman"/>
                <w:color w:val="auto"/>
                <w:sz w:val="24"/>
              </w:rPr>
              <w:t>Regulamentul (UE) nr.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Valoarea contabilă a acordurilor de tipul „cash pooling”, respectiv a acordurilor prin care soldurile creditoare sau soldurile debitoare ale mai multor conturi individuale sunt combinate în scopul gestionării numerarului sau a lichidităților, care nu pot fi compensate în conformitate cu articolul 429b</w:t>
            </w:r>
            <w:r>
              <w:rPr>
                <w:rFonts w:ascii="Times New Roman" w:hAnsi="Times New Roman"/>
                <w:sz w:val="24"/>
              </w:rPr>
              <w:t xml:space="preserve"> </w:t>
            </w:r>
            <w:r>
              <w:rPr>
                <w:rFonts w:ascii="Times New Roman" w:hAnsi="Times New Roman"/>
                <w:color w:val="auto"/>
                <w:sz w:val="24"/>
              </w:rPr>
              <w:t>alineatele (2) și (3) din Regulamentul (UE) nr.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Acordurile de tipul „cash pooling” care nu pot fi compensate prudențial: efectul transformării în valoare brută a compensării aplicate în cadrul contabil</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429 alineatul (7) litera (b) și articolul 429b alineatele (2) și (3)</w:t>
            </w:r>
            <w:r>
              <w:rPr>
                <w:rFonts w:ascii="Times New Roman" w:hAnsi="Times New Roman"/>
                <w:sz w:val="24"/>
              </w:rPr>
              <w:t xml:space="preserve"> </w:t>
            </w:r>
            <w:r>
              <w:rPr>
                <w:rFonts w:ascii="Times New Roman" w:hAnsi="Times New Roman"/>
                <w:color w:val="auto"/>
                <w:sz w:val="24"/>
              </w:rPr>
              <w:t>din Regulamentul (UE) nr.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Cuantumul compensat conform cadrului contabil aplicabil în cazul acordurilor de tipul „cash pooling” care nu pot fi compensate prudențial raportat în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Acordurile de tipul „cash pooling” care pot fi compensate prudențial: valoarea conform cadrului contabil</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429b alineatele (2) și (3) din</w:t>
            </w:r>
            <w:r>
              <w:rPr>
                <w:rFonts w:ascii="Times New Roman" w:hAnsi="Times New Roman"/>
                <w:sz w:val="24"/>
              </w:rPr>
              <w:t xml:space="preserve"> </w:t>
            </w:r>
            <w:r>
              <w:rPr>
                <w:rFonts w:ascii="Times New Roman" w:hAnsi="Times New Roman"/>
                <w:color w:val="auto"/>
                <w:sz w:val="24"/>
              </w:rPr>
              <w:t>Regulamentul (UE) nr.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Valoarea contabilă a acordurilor de tipul „cash pooling”, respectiv a acordurilor prin care soldurile creditoare sau soldurile debitoare ale mai multor conturi individuale sunt combinate în scopul gestionării numerarului </w:t>
            </w:r>
            <w:r>
              <w:rPr>
                <w:rFonts w:ascii="Times New Roman" w:hAnsi="Times New Roman"/>
                <w:color w:val="auto"/>
                <w:sz w:val="24"/>
              </w:rPr>
              <w:lastRenderedPageBreak/>
              <w:t>sau a lichidităților, care pot fi compensate în conformitate cu articolul 429b alineatele (2) și (3) din</w:t>
            </w:r>
            <w:r>
              <w:rPr>
                <w:rFonts w:ascii="Times New Roman" w:hAnsi="Times New Roman"/>
                <w:sz w:val="24"/>
              </w:rPr>
              <w:t xml:space="preserve"> </w:t>
            </w:r>
            <w:r>
              <w:rPr>
                <w:rFonts w:ascii="Times New Roman" w:hAnsi="Times New Roman"/>
                <w:color w:val="auto"/>
                <w:sz w:val="24"/>
              </w:rPr>
              <w:t>Regulamentul (UE) nr.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Acordurile de tipul „cash pooling” care pot fi compensate prudențial: efectul transformării în valoare brută a compensării aplicate în cadrul contabil</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429b alineatele (2) și (3) din</w:t>
            </w:r>
            <w:r>
              <w:rPr>
                <w:rFonts w:ascii="Times New Roman" w:hAnsi="Times New Roman"/>
                <w:sz w:val="24"/>
              </w:rPr>
              <w:t xml:space="preserve"> </w:t>
            </w:r>
            <w:r>
              <w:rPr>
                <w:rFonts w:ascii="Times New Roman" w:hAnsi="Times New Roman"/>
                <w:color w:val="auto"/>
                <w:sz w:val="24"/>
              </w:rPr>
              <w:t>Regulamentul (UE) nr.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Cuantumul compensat conform cadrului contabil aplicabil în cazul acordurilor de tipul „cash pooling” care pot fi compensate prudențial, raportat în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Atunci când instituțiile îndeplinesc condițiile prevăzute la articolul 429b alineatul (2) litera (b), acestea nu aplică transformarea în valoare brută raportată pe acest rând soldurilor stinse pe baza procesului prevăzut la articolul 429b alineatul (2) litera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Acordurile de tipul „cash pooling” care pot fi compensate prudențial: recunoașterea compensării în conformitate cu articolul 429b alineatul (2) din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Articolul 429b alineatul (2) din Regulamentul (UE) nr.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Cuantumul compensat din expunerea brută aferent acordurilor de tipul „cash pooling” (suma rândurilor 0195 și 0196) în conformitate cu articolul 429b alineatul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Acordurile de tipul „cash pooling” care pot fi compensate prudențial: recunoașterea compensării în conformitate cu articolul 429b alineatul (3) din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Articolul 429b alineatul (3) din Regulamentul (UE) nr. 575/2013. </w:t>
            </w:r>
            <w:r>
              <w:rPr>
                <w:rFonts w:ascii="Times New Roman" w:hAnsi="Times New Roman"/>
                <w:color w:val="auto"/>
                <w:sz w:val="24"/>
              </w:rPr>
              <w:t>Cuantumul compensat din expunerea brută aferent acordurilor de tipul „cash pooling” (suma rândurilor 0195 și 0196) în conformitate cu articolul 429b alineatul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Transformarea în valoare brută pentru garanțiile reale oferite pentru instrumentele financiare derivate</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(2) din Regulamentul (UE) nr.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oricărei garanții reale oferite pentru instrumente financiare derivate, atunci când oferirea respectivei garanții reduce cuantumul activelor din cadrul contabil aplicabil, astfel cum este stabilit la articolul 429c alineatul (2) din Regulamentul (UE) nr.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Instituțiile nu includ în această celulă marja inițială pentru tranzacțiile cu instrumente financiare derivate compensate pentru clienți care au fost încheiate cu o contraparte centrală calificată (CPCC) și nici marja de variație </w:t>
            </w:r>
            <w:r>
              <w:rPr>
                <w:rFonts w:ascii="Times New Roman" w:hAnsi="Times New Roman"/>
                <w:sz w:val="24"/>
              </w:rPr>
              <w:lastRenderedPageBreak/>
              <w:t>în numerar eligibilă, astfel cum este definită la articolul 429c alineatul (3) din Regulamentul (UE) nr.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Creanțe pentru marja de variație în numerar furnizate în tranzacțiile cu instrumente financiare derivate</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Articolul 429c alineatul (3) litera (c) din Regulamentul (UE) nr.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Creanțele pentru marja de variație plătită în numerar contrapărții în tranzacțiile cu instrumente financiare derivate, în cazul în care instituția are obligația, în temeiul cadrului contabil aplicabil, să recunoască respectivele creanțe ca active, dacă sunt îndeplinite condițiile de la articolul 429c alineatul (3) literele (a)-(e) din Regulamentul (UE) nr. 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raportat se include, de asemenea, în celelalte active raportate în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Segmentul CPC exclus din expunerile aferente tranzacțiilor compensate pentru clienți (marjă inițială)</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(g) din Regulamentul (UE) nr.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Partea aferentă marjei inițiale (furnizate) din expunerile față de o CPCC excluse din tranzacțiile cu instrumente financiare derivate compensate pentru clienți, dacă respectivele elemente îndeplinesc condițiile prevăzute la articolul 306 alineatul (1) litera (c) din Regulamentul (UE) nr.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raportat se include, de asemenea, în celelalte active raportate în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Ajustări pentru tranzacțiile contabilizate ca vânzări de SFT-uri</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429e alineatul (6) din Regulamentul (UE) nr.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Valoarea titlurilor date cu împrumut în cadrul unei tranzacții de răscumpărare care sunt derecunoscute ca urmare a unei tranzacții contabilizate ca vânzare în temeiul cadrului contabil aplicabil.</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Reducerea valorii expunerii împrumuturilor de prefinanțare sau a împrumuturilor intermediare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(8) din Regulamentul (UE) nr.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Cuantumul redus din valoarea expunerii unui împrumut de prefinanțare sau a unui împrumut intermediar, în conformitate cu articolul 429 alineatul (8) din Regulamentul (UE) nr.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Cuantumul raportat se include, de asemenea, în celelalte active raportate în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Active fiduciare</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(i) din Regulamentul (UE) nr.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Valoarea activelor fiduciare care sunt recunoscute în bilanțul instituției în concordanță cu principiile contabile naționale general acceptate îndeplinesc criteriile pentru nerecunoaștere din IFRS 9 și, când este cazul, criteriile pentru neconsolidare din IFRS 10, în conformitate cu articolul 429a alineatul (1) litera (i) din Regulamentul (UE) nr. 575/2013, presupunând că nu există efecte ale compensării contabile sau alte efecte ale CRM (cu alte cuvinte, se reiau eventualele efecte ale compensării contabile sau ale CRM care s-au răsfrânt asupra valorii contabile).</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raportat se include, de asemenea, în celelalte active raportate în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Expuneri intragrup (pe bază individuală) excluse în conformitate cu articolul 429a alineatul (1) litera (c) din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(c) și articolul 113 alineatul (6) din Regulamentul (UE) nr.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Expuneri care nu au fost consolidate la nivelul aplicabil de consolidare și care pot beneficia de tratamentul prevăzut la articolul 113 alineatul (6) din Regulamentul (UE) nr. 575/2013, dacă sunt îndeplinite toate condițiile prevăzute la articolul 113 alineatul (6) literele (a)-(e) din Regulamentul (UE) nr. 575/2013 și dacă autoritățile competente și-au dat aprobarea.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Expuneri aferente unui sistem instituțional de protecție excluse în conformitate cu articolul 429a alineatul (1) litera (c) din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(c) și articolul 113 alineatul (7) din Regulamentul (UE) nr.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Expuneri care pot beneficia de tratamentul prevăzut la articolul 113 alineatul (7) din Regulamentul (UE) nr. 575/2013, dacă sunt îndeplinite toate condițiile prevăzute la articolul 113 alineatul (7) literele (a)-(i) din Regulamentul (UE) nr. 575/2013 și dacă autoritățile competente și-au dat aprobarea.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Cuantumul raportat se include și în celulele aplicabile de mai sus, ca și cum nu s-ar fi aplicat nicio excludere.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Expuneri aferente unui sistem instituțional de protecție excluse în conformitate cu articolul 429a alineatul (1) litera (ca) din Regulamentul (UE) nr. 575/2013</w:t>
            </w:r>
          </w:p>
          <w:p w14:paraId="6CE8CCB5" w14:textId="09031F3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lastRenderedPageBreak/>
              <w:t>Articolul 429a alineatul (1) litera (ca), articolul 113 alineatul (7), articolul 114 din Regulamentul (UE) nr. 575/2013. Expuneri care pot beneficia de tratamentul prevăzut la articolul 113 alineatul (7) și la articolul 114 din Regulamentul (UE) nr. 575/2013, dacă sunt îndeplinite toate condițiile prevăzute la articolul 429a alineatul (1) litera (ca) din Regulamentul (UE) nr.</w:t>
            </w:r>
            <w:r w:rsidR="00F657AF">
              <w:rPr>
                <w:rFonts w:ascii="Times New Roman" w:hAnsi="Times New Roman"/>
                <w:sz w:val="24"/>
              </w:rPr>
              <w:t> </w:t>
            </w:r>
            <w:r>
              <w:rPr>
                <w:rFonts w:ascii="Times New Roman" w:hAnsi="Times New Roman"/>
                <w:sz w:val="24"/>
              </w:rPr>
              <w:t xml:space="preserve">575/2013. </w:t>
            </w:r>
          </w:p>
          <w:p w14:paraId="679257E0" w14:textId="1D0F3ECC" w:rsidR="0093277B" w:rsidRPr="000B66BC" w:rsidRDefault="00B96F9D" w:rsidP="00D31203">
            <w:pPr>
              <w:pStyle w:val="BodyText1"/>
              <w:spacing w:after="240" w:line="240" w:lineRule="auto"/>
            </w:pPr>
            <w:r>
              <w:rPr>
                <w:rFonts w:ascii="Times New Roman" w:hAnsi="Times New Roman"/>
                <w:sz w:val="24"/>
              </w:rPr>
              <w:t>Cuantumul raportat se include și în celulele aplicabile de mai sus, ca și cum nu s-ar fi aplicat nicio excludere.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Părțile garantate excluse ale expunerilor care decurg din credite de export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(f) din Regulamentul (UE) nr.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Părțile garantate ale expunerilor care decurg din credite de export care pot fi excluse atunci când sunt îndeplinite condițiile</w:t>
            </w:r>
            <w:r>
              <w:rPr>
                <w:rFonts w:ascii="Times New Roman" w:hAnsi="Times New Roman"/>
                <w:sz w:val="24"/>
              </w:rPr>
              <w:t xml:space="preserve"> prevăzute la</w:t>
            </w:r>
            <w:r>
              <w:rPr>
                <w:rFonts w:ascii="Times New Roman" w:hAnsi="Times New Roman"/>
                <w:color w:val="auto"/>
                <w:sz w:val="24"/>
              </w:rPr>
              <w:t xml:space="preserve"> articolul 429a alineatul (1)</w:t>
            </w:r>
            <w:r>
              <w:rPr>
                <w:rFonts w:ascii="Times New Roman" w:hAnsi="Times New Roman"/>
                <w:sz w:val="24"/>
              </w:rPr>
              <w:t xml:space="preserve"> litera (f) din </w:t>
            </w:r>
            <w:r>
              <w:rPr>
                <w:rFonts w:ascii="Times New Roman" w:hAnsi="Times New Roman"/>
                <w:color w:val="auto"/>
                <w:sz w:val="24"/>
              </w:rPr>
              <w:t>Regulamentul (UE) nr. 575/2013</w:t>
            </w:r>
            <w:r>
              <w:rPr>
                <w:rFonts w:ascii="Times New Roman" w:hAnsi="Times New Roman"/>
                <w:sz w:val="24"/>
              </w:rPr>
              <w: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Garanțiile reale excedentare depuse la agenți tripartiți excluse</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(k) din Regulamentul (UE) nr.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Garanțiile reale excedentare depuse la agenți tripartiți care nu au fost date cu împrumut, care pot fi excluse în conformitate cu articolul 429a alineatul (1) litera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Expuneri securitizate care reprezintă un transfer semnificativ al riscului excluse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(m) din Regulamentul (UE) nr.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Expunerile securitizate din securitizări tradiționale care îndeplinesc condițiile pentru a se considera că a fost transferat un nivel semnificativ al riscului prevăzute la articolul 244 alineatul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Expuneri față de banca centrală excluse în conformitate cu articolul 429a alineatul (1) litera (n) din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(n) din Regulamentul (UE) nr.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Cuantumul raportat se include și în celulele aplicabile de mai sus, ca și cum nu s-ar fi aplicat nicio excludere.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Servicii auxiliare de tip bancar ale CSD/instituțiilor, excluse în conformitate cu articolul 429a alineatul (1) litera (o) din</w:t>
            </w:r>
            <w:r>
              <w:rPr>
                <w:rFonts w:ascii="Times New Roman" w:hAnsi="Times New Roman"/>
                <w:sz w:val="24"/>
              </w:rPr>
              <w:t xml:space="preserve"> </w:t>
            </w:r>
            <w:r>
              <w:rPr>
                <w:rFonts w:ascii="Times New Roman" w:hAnsi="Times New Roman"/>
                <w:b/>
                <w:color w:val="auto"/>
                <w:sz w:val="24"/>
              </w:rPr>
              <w:t>Regulamentul (UE) nr.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(o) din Regulamentul (UE) nr.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Servicii auxiliare de tip bancar ale instituțiilor desemnate, excluse în conformitate cu articolul 429a alineatul (1) litera (p) din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Articolul 429a alineatul (1) litera (p) din Regulamentul (UE) nr.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Expuneri excluse în conformitate cu articolul 429a alineatul (1) litera (j) din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(j) din Regulamentul (UE) nr.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Expunerile excluse în conformitate cu articolul 429a alineatul (1) litera (j) din Regulamentul (UE) nr. 575/2013, dacă sunt îndeplinite condițiile prevăzute la articolul menționat.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Expuneri excluse ale instituțiilor de credit pentru dezvoltare publică – investiții în sectorul public</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(d) și alineatul (2) din Regulamentul (UE) nr.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Expunerile care decurg din active care constituie creanțe asupra administrațiilor centrale, administrațiilor regionale, autorităților locale sau entităților din sectorul public în ceea ce privește investițiile în sectorul public, care pot fi excluse în conformitate cu articolul 429a alineatul (1) litera (d) din</w:t>
            </w:r>
            <w:r>
              <w:rPr>
                <w:rFonts w:ascii="Times New Roman" w:hAnsi="Times New Roman"/>
                <w:sz w:val="24"/>
              </w:rPr>
              <w:t xml:space="preserve"> </w:t>
            </w:r>
            <w:r>
              <w:rPr>
                <w:rFonts w:ascii="Times New Roman" w:hAnsi="Times New Roman"/>
                <w:color w:val="auto"/>
                <w:sz w:val="24"/>
              </w:rPr>
              <w:t>Regulamentul (UE) nr.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În cazul în care se califică drept credit promoțional în conformitate cu articolul 429a alineatul (3), creanța nu se raportează în această celulă, ci pe rândurile 0262-0264, după caz.</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ale instituțiilor de credit pentru dezvoltare publică – Credite promoționale acordate de o instituție de credit pentru dezvoltare publică</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(d) și alineatele (2) și (3) din Regulamentul (UE) nr.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Expunerile care decurg din creditele promoționale, inclusiv din creditele promoționale de tipul „pass through”, acordate de o instituție de credit pentru dezvoltare publică, ce pot fi excluse în conformitate cu articolul 429a</w:t>
            </w:r>
            <w:r>
              <w:rPr>
                <w:rFonts w:ascii="Times New Roman" w:hAnsi="Times New Roman"/>
                <w:sz w:val="24"/>
              </w:rPr>
              <w:t xml:space="preserve"> </w:t>
            </w:r>
            <w:r>
              <w:rPr>
                <w:rFonts w:ascii="Times New Roman" w:hAnsi="Times New Roman"/>
                <w:color w:val="auto"/>
                <w:sz w:val="24"/>
              </w:rPr>
              <w:t xml:space="preserve">alineatul (1) litera (d) din Regulamentul (UE) nr. 575/2013. </w:t>
            </w:r>
            <w:r>
              <w:rPr>
                <w:rFonts w:ascii="Times New Roman" w:hAnsi="Times New Roman"/>
                <w:sz w:val="24"/>
              </w:rPr>
              <w:t>Se iau în considerare și expunerile unității unei instituții care este tratată, de către o autoritate competentă, ca o instituție de credit pentru dezvoltare publică, în conformitate cu articolul 429a alineatul (2) ultimul paragraf din Regulamentul (UE) nr. 575/2013.</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ale instituțiilor de credit pentru dezvoltare publică – Credite promoționale acordate de o entitate creată direct de administrația centrală, de administrațiile regionale sau de autoritățile locale ale unui stat membru</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Articolul 429a alineatul (1) litera (d) și</w:t>
            </w:r>
            <w:r>
              <w:rPr>
                <w:rFonts w:ascii="Times New Roman" w:hAnsi="Times New Roman"/>
                <w:sz w:val="24"/>
              </w:rPr>
              <w:t xml:space="preserve"> alineatele (2) și (3) din Regulamentul (UE) nr.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Expunerile care decurg din creditele promoționale, inclusiv din creditele promoționale de tipul „pass through”, acordate de o entitate creată direct de administrația centrală, de administrațiile regionale sau de autoritățile locale ale unui stat membru, care pot fi excluse în conformitate cu articolul 429a alineatul (1) litera (d). Se iau în considerare și expunerile unității unei instituții care este tratată, de către o autoritate competentă, ca o instituție de credit pentru dezvoltare publică, în conformitate cu articolul 429a alineatul (2) ultimul paragraf.</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ale instituțiilor de credit pentru dezvoltare publică – Credite promoționale acordate de o entitate creată de administrația centrală, de administrațiile regionale sau de autoritățile locale ale unui stat membru printr-o instituție de credit intermediară</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Articolul 429a alineatul (1) litera (d) și</w:t>
            </w:r>
            <w:r>
              <w:rPr>
                <w:rFonts w:ascii="Times New Roman" w:hAnsi="Times New Roman"/>
                <w:sz w:val="24"/>
              </w:rPr>
              <w:t xml:space="preserve"> alineatele (2) și (3) din Regulamentul (UE) nr.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Expunerile care decurg din creditele promoționale, inclusiv din creditele promoționale de tipul „pass through”, acordate de o entitate creată de administrația centrală, de administrațiile regionale sau de autoritățile locale </w:t>
            </w:r>
            <w:r>
              <w:rPr>
                <w:rFonts w:ascii="Times New Roman" w:hAnsi="Times New Roman"/>
                <w:color w:val="auto"/>
                <w:sz w:val="24"/>
              </w:rPr>
              <w:lastRenderedPageBreak/>
              <w:t>ale unui stat membru printr-o instituție de credit intermediară, care pot fi excluse în conformitate cu articolul 429a alineatul (1) litera (d)</w:t>
            </w:r>
            <w:r>
              <w:rPr>
                <w:rFonts w:ascii="Times New Roman" w:hAnsi="Times New Roman"/>
                <w:sz w:val="24"/>
              </w:rPr>
              <w:t>. Se iau în considerare și expunerile unității unei instituții care este tratată, de către o autoritate competentă, ca o instituție de credit pentru dezvoltare publică, în conformitate cu articolul 429a alineatul (2) ultimul paragraf.</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față de acționari, excluse în conformitate cu articolul 429a alineatul (1) litera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(da) din Regulamentul (UE) nr.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Expunerile instituției față de acționarii care sunt instituții de credit, cu condiția ca aceste expuneri să fie garantate și să fie îndeplinite toate condițiile de la litera (da).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care decurg din creditele promoționale de tipul „pass through” acordate de instituții (sau unități) care nu sunt instituții de credit pentru dezvoltare publică – Credite promoționale acordate de o instituție de credit pentru dezvoltare publică</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Articolul 429a alineatul (1) litera (e) și</w:t>
            </w:r>
            <w:r>
              <w:rPr>
                <w:rFonts w:ascii="Times New Roman" w:hAnsi="Times New Roman"/>
                <w:sz w:val="24"/>
              </w:rPr>
              <w:t xml:space="preserve"> alineatele (2) și (3) din Regulamentul (UE) nr.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Părțile din expuneri care decurg din creditele promoționale de tipul „pass through” acordate altor instituții de credit, în cazul în care creditele promoționale au fost acordate de o instituție de credit pentru dezvoltare publică. </w:t>
            </w:r>
            <w:r>
              <w:rPr>
                <w:rFonts w:ascii="Times New Roman" w:hAnsi="Times New Roman"/>
                <w:sz w:val="24"/>
              </w:rPr>
              <w:t>Se iau în considerare și părțile din expunerile unităților unei instituții care nu sunt tratate, de către o autoritate competentă, ca o instituție de credit pentru dezvoltare publică, în conformitate cu articolul 429a alineatul (2) ultimul paragraf.</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care decurg din creditele promoționale de tipul „pass through” acordate de instituții (sau unități) care nu sunt instituții de credit pentru dezvoltare publică - Credite promoționale acordate de o entitate creată direct de administrația centrală, de administrațiile regionale sau de autoritățile locale ale unui stat membru</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Articolul 429a alineatul (1) litera (e) și</w:t>
            </w:r>
            <w:r>
              <w:rPr>
                <w:rFonts w:ascii="Times New Roman" w:hAnsi="Times New Roman"/>
                <w:sz w:val="24"/>
              </w:rPr>
              <w:t xml:space="preserve"> alineatele (2) și (3) din Regulamentul (UE) nr.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 xml:space="preserve">Părțile din expuneri care decurg din creditele promoționale de tipul „pass through” acordate altor instituții de credit, în cazul în care creditele promoționale au fost acordate de o entitate creată direct de administrația centrală, de administrațiile regionale sau de autoritățile locale ale unui stat membru. </w:t>
            </w:r>
            <w:r>
              <w:rPr>
                <w:rFonts w:ascii="Times New Roman" w:hAnsi="Times New Roman"/>
                <w:sz w:val="24"/>
              </w:rPr>
              <w:t>Se iau în considerare și părțile din expunerile unităților unei instituții care nu sunt tratate, de către o autoritate competentă, ca o instituție de credit pentru dezvoltare publică, în conformitate cu articolul 429a alineatul (2) ultimul paragraf.</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Expuneri excluse care decurg din creditele promoționale de tipul „pass through” acordate de instituții (sau unități) care nu sunt instituții de credit pentru dezvoltare publică – Credite promoționale acordate de o entitate creată de administrația centrală, de administrațiile regionale sau de autoritățile locale ale unui stat membru printr-o instituție de credit intermediară</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rPr>
              <w:t>Articolul 429a alineatul (1) litera (e) și</w:t>
            </w:r>
            <w:r>
              <w:rPr>
                <w:rFonts w:ascii="Times New Roman" w:hAnsi="Times New Roman"/>
                <w:sz w:val="24"/>
              </w:rPr>
              <w:t xml:space="preserve"> alineatele (2) și (3) din Regulamentul (UE) nr.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Părțile din expuneri care decurg din creditele promoționale de tipul „pass through” acordate altor instituții de credit, în cazul în care creditele promoționale au fost acordate de o entitate creată de administrația centrală, de administrațiile regionale sau de autoritățile locale ale unui stat membru printr-o instituție de credit intermediară. </w:t>
            </w:r>
            <w:r>
              <w:rPr>
                <w:rFonts w:ascii="Times New Roman" w:hAnsi="Times New Roman"/>
                <w:sz w:val="24"/>
              </w:rPr>
              <w:t>Se iau în considerare și părțile din expunerile unităților unei instituții care nu sunt tratate, de către o autoritate competentă, ca o instituție de credit pentru dezvoltare publică, în conformitate cu articolul 429a alineatul (2) ultimul paragraf.</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Cuantumul raportat se include și în celulele aplicabile de mai sus, ca și cum nu s-ar fi aplicat nicio excludere.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Expuneri deduse în conformitate cu articolul 429a alineatul (1) litera (q) din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Articolul 429a alineatul (1) litera (q).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Expunerile care fac obiectul tratamentului prevăzut la articolul 72e alineatul (5) primul paragraf din</w:t>
            </w:r>
            <w:r>
              <w:rPr>
                <w:rFonts w:ascii="Times New Roman" w:hAnsi="Times New Roman"/>
                <w:sz w:val="24"/>
              </w:rPr>
              <w:t xml:space="preserve"> </w:t>
            </w:r>
            <w:r>
              <w:rPr>
                <w:rFonts w:ascii="Times New Roman" w:hAnsi="Times New Roman"/>
                <w:color w:val="auto"/>
                <w:sz w:val="24"/>
              </w:rPr>
              <w:t>Regulamentul (UE) nr. 575/2013</w:t>
            </w:r>
            <w:r>
              <w:rPr>
                <w:rFonts w:ascii="Times New Roman" w:hAnsi="Times New Roman"/>
                <w:sz w:val="24"/>
              </w:rPr>
              <w:t>.</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Cuantumul raportat se include și în celulele aplicabile de mai sus, ca și cum nu s-ar fi aplicat nicio excludere.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Cuantumul suplimentar al expunerii pentru calcularea indicatorului efectului de levier în conformitate cu articolul 3 din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3 din Regulamentul (UE) nr.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Se raportează cuantumul suplimentar al expunerii pentru calcularea indicatorului efectului de levier. Se includ numai sumele suplimentare.</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Cuantumul activelor scăzut din fonduri proprii de nivel 1 - conform definiției introduse integral</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Articolul 429a alineatul (1) litera (b) și articolul 499 alineatul (1) litera (a) din Regulamentul (UE) nr.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Cuprinde toate ajustările care vizează valoarea unui activ și care sunt prevăzute la:</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articolele 32-35 din Regulamentul (UE) nr. 575/2013 sau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articolele 36-47 din Regulamentul (UE) nr. 575/2013 sau</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articolele 56-60 din Regulamentul (UE) nr.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după caz.</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Instituțiile țin seama de exceptările, alternativele și derogările de la astfel de deduceri prevăzute la articolele 48, 49 și 79 din Regulamentul (UE) nr. 575/2013, fără luarea în considerare a derogării prevăzute în partea a zecea titlul I capitolele 1, 2 și 4 din Regulamentul (UE) nr. 575/2013. Pentru a evita dubla contabilizare, instituțiile nu raportează ajustările deja aplicate în temeiul articolului 111 din Regulamentul (UE) nr. 575/2013 atunci când calculează valoarea expunerii în {0010;0010}-{0269;0010}</w:t>
            </w:r>
            <w:r>
              <w:rPr>
                <w:sz w:val="24"/>
              </w:rPr>
              <w:t xml:space="preserve"> </w:t>
            </w:r>
            <w:r>
              <w:rPr>
                <w:rFonts w:ascii="Times New Roman" w:hAnsi="Times New Roman"/>
                <w:sz w:val="24"/>
              </w:rPr>
              <w:t>și nici ajustările care nu se scad din valoarea unui anumit activ.</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Întrucât sunt deja deduse din indicatorul de măsurare a capitalului, aceste cuantumuri reduc expunerea pentru calcularea indicatorului efectului de levier și se raportează ca valoare negativă.</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Cuantumul activelor scăzut din fonduri proprii de nivel 1 – conform definiției tranzitorii</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t>Articolul 429a alineatul (1) litera (b) și articolul 499 alineatul (1) litera (a) din Regulamentul (UE) nr.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Cuprinde toate ajustările care vizează valoarea unui activ și care sunt prevăzute la:</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articolele 32-35 din Regulamentul (UE) nr. 575/2013 sau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articolele 36-47 din Regulamentul (UE) nr. 575/2013 sau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articolele 56-60 din Regulamentul (UE) nr.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după caz.</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Instituțiile țin seama de exceptările, alternativele și derogările de la astfel de deduceri prevăzute la articolele 48, 49 și 79 din Regulamentul (UE) nr. 575/2013, pe lângă derogările prevăzute în partea a zecea titlul I capitolele 1, 2 și 4 din Regulamentul (UE) nr. 575/2013. Pentru a evita dubla contabilizare, instituțiile nu raportează ajustările deja aplicate în temeiul articolului 111 din Regulamentul (UE) nr. 575/2013 atunci când calculează valoarea expunerii în {0010;0010}-{0269;0010} și nici ajustările care nu se scad din valoarea unui anumit activ.</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Întrucât sunt deja deduse din indicatorul de măsurare a capitalului, aceste cuantumuri reduc expunerea pentru calcularea indicatorului efectului de levier și se raportează ca valoare negativă.</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Totalul indicatorului de măsurare a expunerii utilizat pentru calcularea indicatorului efectului de levier – utilizând o definiție introdusă integral a fondurilor proprii de nivel 1</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suma rândurilor 0010-0269 și a rândului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Totalul indicatorului de măsurare a expunerii utilizat pentru calcularea indicatorului efectului de levier – utilizând o definiție tranzitorie a fondurilor proprii de nivel 1</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Instituțiile raportează suma tuturor rândurilor de la 0010 la 0269 și a rândului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Rând și coloană</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Fonduri proprii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Fondurile proprii de nivel 1 – conform definiției introduse integral</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(3) și articolul 499 alineatul (1) litera (a) din Regulamentul (UE) nr.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Cuantumul fondurilor proprii de nivel 1, calculat în conformitate cu articolul 25 din Regulamentul (UE) nr. 575/2013, fără luarea în considerare a derogării prevăzute în partea a zecea titlul I capitolele 1, 2 și 4 din Regulamentul (UE) nr.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Fondurile proprii de nivel 1 - conform definiției tranzitorii</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(3) și articolul 499 alineatul (1) litera (b) din Regulamentul (UE) nr.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 xml:space="preserve">Cuantumul fondurilor proprii de nivel 1, calculat în conformitate cu articolul 25 din Regulamentul (UE) nr. 575/2013, după luarea în considerare a </w:t>
            </w:r>
            <w:r>
              <w:rPr>
                <w:rFonts w:ascii="Times New Roman" w:hAnsi="Times New Roman"/>
                <w:sz w:val="24"/>
              </w:rPr>
              <w:lastRenderedPageBreak/>
              <w:t>derogării prevăzute în partea a zecea titlul I capitolele 1, 2 și 4 din Regulamentul (UE) nr.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lastRenderedPageBreak/>
              <w:t>Rând și coloană</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Indicatorul efectului de levier</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Indicatorul efectului de levier – utilizând o definiție introdusă integral a fondurilor proprii de nivel 1</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(2) și articolul 499 alineatul (1) din Regulamentul (UE) nr.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Indicatorul efectului de levier, calculat conform punctului 2 din partea II a prezentei anexe.</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Indicatorul efectului de levier – utilizând o definiție tranzitorie a fondurilor proprii de nivel 1</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Articolul 429 alineatul (2) și articolul 499 alineatul (1) din Regulamentul (UE) nr.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Indicatorul efectului de levier, calculat conform punctului 3 din partea II a prezentei anexe.</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Rând și coloană</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Cerințe: cuantumuri</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Cerința din cadrul pilonului 2 (P2R) pentru a aborda riscurile asociate folosirii excesive a efectului de levier</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Articolele 104 și 104a din Directiva 2013/36/UE; fondurile proprii suplimentare impuse de autoritatea competentă pentru a aborda riscurile asociate folosirii excesive a efectului de levier, astfel cum se menționează la articolul 104 din Directiva 2013/36/UE.</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Din care: vor consta în fonduri proprii de nivel 1 de bază</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Partea din P2R, menționată pe rândul 0350, în privința căreia autoritatea competentă impune să fie deținută sub formă de fonduri proprii de nivel 1 de bază.</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Amortizorul pentru indicatorul efectului de levier în cazul G-SII</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Articolul 92 alineatul (1a) din Regulamentul (UE) nr.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G-SII raportează valoarea majorării aplicate de G-SII pentru indicatorul efectului de levier, determinată în conformitate cu articolul 92 alineatul (1a) din Regulamentul (UE) nr.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lastRenderedPageBreak/>
              <w:t>G-SII raportează acest cuantum începând de la data aplicării amortizorului, în conformitate cu Regulamentul (UE) nr.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Orientări în materie de capital pentru pilonul 2 (P2G) pentru a aborda riscurile asociate folosirii excesive a efectului de levier</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Articolul 104b din Directiva 2013/36/UE; fondurile proprii suplimentare comunicate de autoritatea competentă pentru a aborda riscurile asociate folosirii excesive a efectului de levier, astfel cum se menționează la articolul 104b din Directiva 2013/36/UE.</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Din care: vor consta în fonduri proprii de nivel 1 de bază</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Partea din P2G, menționată pe rândul 0380, în privința căreia autoritatea competentă impune să fie deținută sub formă de fonduri proprii de nivel 1 de bază.</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Din care: vor consta în fonduri proprii de nivel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partea din P2G, menționată pe rândul 0380, în privința căreia autoritatea competentă impune să fie deținută sub formă de fonduri proprii de nivel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Rând și coloană</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Cerințe: indicatori</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Cerința privind indicatorul efectului de levier din pilonul 1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Articolul 92 alineatul (1) litera (d), articolul 429a alineatul (7) și articolul 429a alineatul (1) litera (n) din Regulamentul (UE) nr. 575/2013; indicatorul efectului de levier impus pentru a aborda riscurile asociate folosirii excesive a efectului de levier, astfel cum este menționat la articolul 92 alineatul (1) litera (d) din Regulamentul (UE) nr.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Instituțiile care exclud expunerile față de banca centrală a instituției, astfel cum se menționează la articolul 429a alineatul (1) litera (n), raportează cerința privind indicatorul efectului de levier ajustat prevăzută la articolul 429a alineatul (7) din Regulamentul (UE) nr.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Cerința totală privind indicatorul efectului de levier din cadrul SREP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Articolele 104 și 104a din Directiva 2013/36/UE.</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Suma dintre (i) și (ii), după cum urmează:</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cerința privind indicatorul efectului de levier din pilonul 1, raportată pe rândul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 xml:space="preserve">rata fondurilor proprii suplimentare impuse de autoritatea competentă (P2R) pentru a aborda riscurile asociate folosirii </w:t>
            </w:r>
            <w:r>
              <w:rPr>
                <w:rFonts w:ascii="Times New Roman" w:hAnsi="Times New Roman"/>
                <w:sz w:val="24"/>
              </w:rPr>
              <w:lastRenderedPageBreak/>
              <w:t>excesive a efectului de levier, astfel cum se menționează la articolul 104 din Directiva 2013/36/UE.</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Instituțiile calculează valoarea de la punctul (ii) împărțind valoarea din {0350;0010} la cea din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Dacă autoritatea competentă nu a comunicat nicio cerință de fonduri proprii suplimentare, se raportează doar punctul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vor consta în fonduri proprii de nivel 1 de bază</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Partea din rata fondurilor proprii suplimentare, menționată la punctul (ii) de pe rândul 0420, în privința căreia autoritatea competentă impune să fie deținută sub formă de fonduri proprii de nivel 1 de bază.</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Instituțiile calculează această valoare împărțind valoarea din {0360;0010} la cea din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Cerința globală privind indicatorul efectului de levier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Articolul 92 alineatul (1a) din Regulamentul (UE) nr.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Suma dintre (i) și (ii), după cum urmează:</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TSLRR menționată pe rândul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amortizorul pentru indicatorul efectului de levier al G-SII în conformitate cu articolul 92 alineatul (1a) din Regulamentul (UE) nr. 575/2013, exprimat ca procentaj din expunerea totală pentru calcularea indicatorului efectului de levier.</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Instituțiile calculează valoarea de la punctul (ii) împărțind valoarea din {0370;0010} la cea din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G-SII țin cont de punctul (ii)</w:t>
            </w:r>
            <w:r>
              <w:rPr>
                <w:sz w:val="24"/>
              </w:rPr>
              <w:t xml:space="preserve"> </w:t>
            </w:r>
            <w:r>
              <w:rPr>
                <w:rFonts w:ascii="Times New Roman" w:hAnsi="Times New Roman"/>
                <w:sz w:val="24"/>
              </w:rPr>
              <w:t>numai de la data de aplicare a amortizorului în conformitate cu Regulamentul (UE) nr.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Dacă nu se aplică nicio majorare pentru G-SII, se raportează numai punctul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Cerința globală privind indicatorul efectului de levier (OLRR) și rata prevăzută în orientările din cadrul pilonului 2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Articolul 104b din Directiva 2013/36/UE.</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Suma dintre (i) și (ii), după cum urmează:</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menționată pe rândul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lastRenderedPageBreak/>
              <w:t>fondurile proprii suplimentare comunicate de autoritatea competentă pentru a aborda riscurile asociate folosirii excesive a efectului de levier, astfel cum se menționează la articolul 104b din Directiva 2013/36/UE, exprimate ca procentaj din expunerea totală pentru calcularea indicatorului efectului de levier.</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Instituțiile calculează valoarea de la punctul (ii) împărțind valoarea din {0380;0010} la cea din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În cazul în care autoritatea competentă nu a comunicat P2G, se raportează doar punctul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și P2G: vor consta în fonduri proprii de nivel 1 de bază</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Suma dintre (i) și (ii), după cum urmează:</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partea din rata fondurilor proprii suplimentare, menționată pe rândul 0430, în privința căreia autoritatea competentă impune să fie deținută sub formă de fonduri proprii de nivel 1 de bază;</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partea din rata P2G, menționată la punctul (ii) de pe rândul 0450, în privința căreia autoritatea competentă comunică să fie deținută sub formă de fonduri proprii de nivel 1 de bază.</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Instituțiile calculează valoarea de la punctul (ii) împărțind valoarea din {0390;0010} la cea din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În cazul în care autoritatea competentă nu a comunicat P2G, se raportează doar punctul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și P2G: vor consta în fonduri proprii de nivel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Suma dintre (i), (ii) și (iii), după cum urmează:</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cerința totală privind indicatorul efectului de levier din cadrul SREP, menționată pe rândul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amortizorul pentru indicatorul efectului de levier al G-SII în conformitate cu articolul 92 alineatul (1a) din Regulamentul (UE) nr. 575/2013, exprimat ca procentaj din expunerea totală pentru calcularea indicatorului efectului de levier;</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partea din rata P2G, menționată la punctul (ii) de pe rândul 0450, în privința căreia autoritatea competentă impune să fie deținută sub formă de fonduri proprii de nivel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Instituțiile calculează valoarea de la punctul (ii) împărțind valoarea din {0370;0010} la cea din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lastRenderedPageBreak/>
              <w:t>Instituțiile calculează valoarea de la punctul (iii) împărțind valoarea din {0400;0010} la cea din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Dacă nu se aplică nicio majorare pentru G-SII, se raportează numai punctele (i) și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În cazul în care autoritatea competentă nu a comunicat P2G, se raportează doar punctele (i) și (ii).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lastRenderedPageBreak/>
              <w:t>Rând și coloană</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Elemente memorandum</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Regulamentul (UE) nr.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Indicatorul efectului de levier ca și cum nu s-ar fi aplicat tratamentul temporar al câștigurilor și al pierderilor nerealizate evaluate la valoarea justă prin alte elemente ale rezultatului global</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Articolul 468 alineatul (5)</w:t>
            </w:r>
            <w:r>
              <w:rPr>
                <w:rFonts w:ascii="Times New Roman" w:hAnsi="Times New Roman"/>
                <w:sz w:val="24"/>
              </w:rPr>
              <w:t xml:space="preserve"> </w:t>
            </w:r>
            <w:r>
              <w:rPr>
                <w:rFonts w:ascii="Times New Roman" w:hAnsi="Times New Roman"/>
                <w:color w:val="auto"/>
                <w:sz w:val="24"/>
              </w:rPr>
              <w:t>din Regulamentul (UE) nr.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Instituțiile care au decis să aplice tratamentul temporar prevăzut la articolul 468 alineatul (1)</w:t>
            </w:r>
            <w:r>
              <w:rPr>
                <w:rFonts w:ascii="Times New Roman" w:hAnsi="Times New Roman"/>
                <w:sz w:val="24"/>
              </w:rPr>
              <w:t xml:space="preserve"> </w:t>
            </w:r>
            <w:r>
              <w:rPr>
                <w:rFonts w:ascii="Times New Roman" w:hAnsi="Times New Roman"/>
                <w:color w:val="auto"/>
                <w:sz w:val="24"/>
              </w:rPr>
              <w:t>din Regulamentul (UE) nr. 575/2013 raportează indicatorul efectului de levier pe care l-ar avea dacă nu ar aplica tratamentul respectiv.</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09509"/>
      <w:r>
        <w:rPr>
          <w:rFonts w:ascii="Times New Roman" w:hAnsi="Times New Roman"/>
          <w:b/>
          <w:sz w:val="24"/>
        </w:rPr>
        <w:t>4.</w:t>
      </w:r>
      <w:r>
        <w:tab/>
      </w:r>
      <w:r>
        <w:rPr>
          <w:rFonts w:ascii="Times New Roman" w:hAnsi="Times New Roman"/>
          <w:b/>
          <w:sz w:val="24"/>
        </w:rPr>
        <w:t>C 40.00 – Tratamentul alternativ al indicatorului de măsurare a expunerii</w:t>
      </w:r>
      <w:r>
        <w:t xml:space="preserve"> </w:t>
      </w:r>
      <w:bookmarkEnd w:id="51"/>
      <w:bookmarkEnd w:id="53"/>
      <w:bookmarkEnd w:id="54"/>
      <w:r>
        <w:rPr>
          <w:rFonts w:ascii="Times New Roman" w:hAnsi="Times New Roman"/>
          <w:b/>
          <w:sz w:val="24"/>
        </w:rPr>
        <w:t>(LR1)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În acest formular se colectează date privind tratamentul alternativ al instrumentelor financiare derivate, al SFT-urilor, al elementelor extrabilanțiere, al investițiilor în sectorul public excluse și al expunerilor excluse la credite promoționale.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Instituțiile determină „valorile contabile din bilanț” introduse în LR1 pe baza cadrului contabil aplicabil, definit la articolul 4 alineatul (1) punctul 77 din Regulamentul (UE) nr. 575/2013. „Valoarea contabilă presupunând că nu se recurge la compensare sau la altă tehnică CRM” se referă la valoarea contabilă din bilanț care nu ia în considerare efectele compensării sau ale diminuării riscului.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Instituțiile raportează elementele din LR1 ca și cum elementele care au semn negativ în formularul LRCalc (de exemplu exceptările/deducerile) în conformitate cu convenția privind semnele din partea I punctul 9 din prezenta anexă, cu excepția rândurilor {0270;0010} {0280;0010}, nu s-ar aplica.</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Total active ({r0410;c0010}) din formularul 40.00 se raportează numai de către:</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instituțiile mari care fie sunt G-SII, fie au emis titluri de valoare admise la tranzacționare pe o piață reglementată, cu frecvență semestrială;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instituțiile mari, altele decât G-SII, care sunt instituții necotate, cu frecvență anuală;</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lastRenderedPageBreak/>
        <w:t xml:space="preserve">alte instituții decât instituțiile mari și instituțiile mici și cu grad redus de complexitate, care au emis titluri de valoare admise la tranzacționare pe o piață reglementată, cu frecvență anuală.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F657AF">
            <w:pPr>
              <w:pStyle w:val="BodyText1"/>
              <w:pageBreakBefore/>
              <w:spacing w:after="240"/>
              <w:rPr>
                <w:rFonts w:ascii="Times New Roman" w:hAnsi="Times New Roman"/>
                <w:b/>
                <w:sz w:val="24"/>
                <w:szCs w:val="24"/>
              </w:rPr>
            </w:pPr>
            <w:r>
              <w:rPr>
                <w:rFonts w:ascii="Times New Roman" w:hAnsi="Times New Roman"/>
                <w:b/>
                <w:sz w:val="24"/>
              </w:rPr>
              <w:lastRenderedPageBreak/>
              <w:t>Rând și coloană</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Referințe juridice și instrucțiuni</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Instrumente derivate – Valoarea contabilă din bilanț</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Suma celulelor {0020;010}, {0050;0010} și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derivate – Valoarea contabilă presupunând că nu se recurge la compensare sau la altă tehnică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Suma celulelor {0020;0020}, {0050;0020} și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derivate – Cuantumul noțional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Suma celulelor {0020;0070}, {0050;0070} și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vândută) – Valoarea contabilă din bilanț</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Articolul 4 alineatul (1) punctul 77 din Regulamentul (UE) nr. 575/2013; valoarea contabilă din bilanț, conform cadrului contabil aplicabil, a instrumentelor financiare derivate de credit, în cazul în care instituția vinde protecție de credit unei contrapărți și contractul este recunoscut în bilanț ca activ.</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Instrumente financiare derivate de credit (protecție vândută) – Valoarea contabilă presupunând că nu se recurge la compensare sau la altă tehnică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Articolul 4 alineatul (1) punctul 77 din Regulamentul (UE) nr. 575/2013; valoarea contabilă din bilanț, conform cadrului contabil aplicabil, a instrumentelor financiare derivate de credit, în cazul în care instituția vinde protecție de credit unei contrapărți și contractul este recunoscut în bilanț ca activ, presupunând că nu există efecte ale compensării prudențiale sau contabile ori alte efecte ale CRM (cu alte cuvinte, se reiau eventualele efecte ale compensării contabile sau ale CRM care s-au răsfrânt asupra valorii contabile).</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vândută) – Cuantumul noțional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Suma celulelor {0030;0070} și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vândută) – Cuantumul noțional plafonat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Instituțiile raportează cuantumul noțional folosit ca referință de instrumentele financiare derivate de credit (protecție vândută) ca în {0020; 0070} după scăderea eventualelor modificări ale valorii juste negative care au fost </w:t>
            </w:r>
            <w:r>
              <w:rPr>
                <w:rFonts w:ascii="Times New Roman" w:hAnsi="Times New Roman"/>
                <w:sz w:val="24"/>
              </w:rPr>
              <w:lastRenderedPageBreak/>
              <w:t>încorporate în fondurile proprii de nivel 1 în privința instrumentului financiar derivat de credit subscris.</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vândută) supuse unei clauze de lichidare – Cuantumul noțional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cuantumul noțional folosit ca referință de instrumentele financiare derivate de credit în cazul în care instituția vinde unei contrapărți protecție de credit supusă unei clauze de lichidare.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O clauză de lichidare este o clauză ce dă părții care și-a îndeplinit obligațiile dreptul de a rezilia și a lichida rapid toate tranzacțiile vizate de acord, în caz de nerespectare a obligațiilor contractuale, inclusiv în cazul insolvenței sau al falimentului contrapărții.</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Instituțiile iau în considerare toate instrumentele financiare derivate de credit, nu numai pe cele atribuite portofoliului de tranzacționare.</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vândută) nesupuse unei clauze de lichidare – Cuantumul noțional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Instituțiile raportează cuantumul noțional folosit ca referință de instrumentele financiare derivate de credit în cazul în care instituția vinde unei contrapărți protecție de credit care nu este supusă unei clauze de lichidare.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O clauză de lichidare este o clauză ce dă părții care și-a îndeplinit obligațiile dreptul de a rezilia și a lichida rapid toate tranzacțiile vizate de acord, în caz de nerespectare a obligațiilor contractuale, inclusiv în cazul insolvenței sau al falimentului contrapărții.</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iau în considerare toate instrumentele financiare derivate de credit, nu numai pe cele atribuite portofoliului de tranzacționare.</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cumpărată) – Valoarea contabilă din bilanț</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Articolul 4 alineatul (1) punctul 77 din Regulamentul (UE) nr. 575/2013; valoarea contabilă din bilanț, conform cadrului contabil aplicabil, a instrumentelor financiare derivate de credit în cazul în care instituția cumpără protecție de credit de la o contraparte și contractul este recunoscut în bilanț ca activ.</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iau în considerare toate instrumentele financiare derivate de credit, nu numai pe cele atribuite portofoliului de tranzacționare.</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cumpărată) – Valoarea contabilă presupunând că nu se recurge la compensare sau la altă tehnică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Articolul 4 alineatul (1) punctul 77 din Regulamentul (UE) nr. 575/2013; valoarea contabilă din bilanț, conform cadrului contabil aplicabil, a </w:t>
            </w:r>
            <w:r>
              <w:rPr>
                <w:rFonts w:ascii="Times New Roman" w:hAnsi="Times New Roman"/>
                <w:sz w:val="24"/>
              </w:rPr>
              <w:lastRenderedPageBreak/>
              <w:t>instrumentelor financiare derivate de credit în cazul în care instituția cumpără protecție de credit de la o contraparte și contractul este recunoscut în bilanț ca activ, presupunând că nu există efecte ale compensării prudențiale sau contabile ori ale CRM (cu alte cuvinte, se reiau eventualele efecte ale compensării contabile sau ale CRM care s-au răsfrânt asupra valorii contabile).</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iau în considerare toate instrumentele financiare derivate de credit, nu numai pe cele atribuite portofoliului de tranzacționare.</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cumpărată) – Cuantumul noțional</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Instituțiile raportează cuantumul noțional folosit ca referință de instrumentele financiare derivate de credit în cazul în care instituția cumpără protecție de credit de la o contraparte.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iau în considerare toate instrumentele financiare derivate de credit, nu numai pe cele atribuite portofoliului de tranzacționare.</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cumpărată) – Cuantumul noțional plafonat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cuantumul noțional folosit ca referință de instrumentele financiare derivate de credit (protecție cumpărată) ca în {0050;0070}, după scăderea eventualelor modificări ale valorii juste pozitive care au fost încorporate în fondurile proprii de nivel 1 în privința instrumentului financiar derivat de credit cumpărat.</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de credit (protecție cumpărată) – Cuantumul noțional plafonat (același nume de referință)</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cuantumul noțional folosit ca referință de instrumentele financiare derivate de credit în cazul în care instituția cumpără protecție de credit pentru același nume de referință suport ca al instrumentelor financiare derivate de credit vândute de instituția raportoare.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Pentru completarea acestei celule, numele de referință suport sunt considerate a fi aceleași dacă se referă la aceeași entitate juridică și la același rang.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Protecția de credit cumpărată pentru un grup de entități de referință este considerată a fi aceeași dacă această protecție este echivalentă din punct de vedere economic cu cumpărarea protecției separat, pentru fiecare nume din grup.</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Dacă o instituție cumpără protecție de credit pentru un grup de nume de referință, această protecție de credit este considerată a fi aceeași numai dacă protecția de credit cumpărată acoperă totalitatea subgrupurilor grupului pentru care protecția de credit a fost vândută. Cu alte cuvinte, compensarea poate fi </w:t>
            </w:r>
            <w:r>
              <w:rPr>
                <w:rFonts w:ascii="Times New Roman" w:hAnsi="Times New Roman"/>
                <w:sz w:val="24"/>
              </w:rPr>
              <w:lastRenderedPageBreak/>
              <w:t xml:space="preserve">recunoscută numai atunci când grupul de entități de referință și nivelul de subordonare sunt identice în ambele tranzacții.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Pentru fiecare nume de referință, cuantumurile noționale ale protecției de credit care sunt luate în considerare în scopul raportării în această celulă nu pot depăși cuantumurile raportate în {0020;0075} și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 Valoarea contabilă din bilanț</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Articolul 4 alineatul (1) punctul 77 din Regulamentul (UE) nr.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contabilă din bilanț, conform cadrului contabil aplicabil, a contractelor enumerate în anexa II la Regulamentul (UE) nr. 575/2013 în cazul în care contractele sunt recunoscute în bilanț ca active.</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 Valoarea contabilă presupunând că nu se recurge la compensare sau la altă tehnică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Articolul 4 alineatul (1) punctul 77 din Regulamentul (UE) nr. 575/2013; valoarea contabilă din bilanț, conform cadrului contabil aplicabil, a contractelor enumerate în anexa II la Regulamentul (UE) nr. 575/2013 în cazul în care contractele sunt recunoscute în bilanț ca active, presupunând că nu există efecte ale compensării prudențiale sau contabile ori alte efecte ale CRM (cu alte cuvinte, se reiau eventualele efecte ale compensării contabile sau ale CRM care s-au răsfrânt asupra valorii contabile).</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 Cuantumul noțional</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Această celulă conține cuantumul noțional folosit ca referință de contractele enumerate în anexa II la Regulamentul (UE) nr.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Operațiuni de finanțare prin instrumente financiare – Valoarea contabilă din bilanț</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Articolul 4 alineatul (1) punctul 77 din Regulamentul (UE) nr. 575/2013; valoarea contabilă din bilanț a SFT conform cadrului contabil aplicabil, în cazul în care contractele sunt recunoscute în bilanț ca active.</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Instituțiile nu includ în această celulă numerarul primit sau titlurile care sunt furnizate unei contrapărți prin intermediul tranzacțiilor sus-menționate și care sunt reținute în bilanț (și anume, pentru care criteriile contabile privind derecunoașterea nu sunt îndeplinite). Instituțiile le includ în schimb în celula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Operațiuni de finanțare prin instrumente financiare – Valoarea contabilă presupunând că nu se recurge la compensare sau la altă tehnică CRM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Articolul 4 alineatul (1) punctul 77 din Regulamentul (UE) nr. 575/2013; valoarea contabilă din bilanț, conform cadrului contabil aplicabil, în cazul în care contractele sunt recunoscute în bilanț ca active, presupunând că nu există </w:t>
            </w:r>
            <w:r>
              <w:rPr>
                <w:rFonts w:ascii="Times New Roman" w:hAnsi="Times New Roman"/>
                <w:sz w:val="24"/>
              </w:rPr>
              <w:lastRenderedPageBreak/>
              <w:t xml:space="preserve">efecte ale compensării prudențiale sau contabile ori alte efecte ale CRM (cu alte cuvinte, se reiau eventualele efecte ale compensării contabile sau ale CRM care s-au răsfrânt asupra valorii contabile).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Atunci când, conform cadrului contabil aplicabil, SFT-ul se înregistrează în contabilitate ca vânzare, instituțiile reiau toate înregistrările contabile legate de vânzare.</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Instituțiile nu includ în această celulă numerarul primit sau titlurile care sunt furnizate unei contrapărți prin intermediul tranzacțiilor sus-menționate și care sunt reținute în bilanț (și anume, pentru care criteriile contabile privind derecunoașterea nu sunt îndeplinite). Instituțiile le includ în schimb în celula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Alte active – Valoarea contabilă din bilanț</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Articolul 4 alineatul (1) punctul 77 din Regulamentul (UE) nr. 575/2013; valoarea contabilă din bilanț, conform cadrului contabil aplicabil, a tuturor activelor, cu excepția contractelor enumerate în anexa II la Regulamentul (UE) nr. 575/2013, a instrumentelor financiare derivate de credit și a SFT-urilor.</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Alte active – Valoarea contabilă presupunând că nu se recurge la compensare sau la altă tehnică CRM</w:t>
            </w:r>
          </w:p>
          <w:p w14:paraId="6FFD3E4A" w14:textId="0556240F"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Articolul 4 alineatul (1) punctul 77 din Regulamentul (UE) nr. 575/2013; valoarea contabilă din bilanț, conform cadrului contabil aplicabil, a tuturor activelor, cu excepția contractelor enumerate în anexa II la Regulamentul (UE) nr. 575/2013, a instrumentelor financiare derivate de credit și a SFT</w:t>
            </w:r>
            <w:r w:rsidR="00F657AF">
              <w:rPr>
                <w:rFonts w:ascii="Times New Roman" w:hAnsi="Times New Roman"/>
                <w:sz w:val="24"/>
              </w:rPr>
              <w:t>­</w:t>
            </w:r>
            <w:r>
              <w:rPr>
                <w:rFonts w:ascii="Times New Roman" w:hAnsi="Times New Roman"/>
                <w:sz w:val="24"/>
              </w:rPr>
              <w:t>urilor, presupunând că nu există efecte ale compensării contabile ori alte efecte ale CRM (cu alte cuvinte, se reiau eventualele efecte ale compensării contabile sau ale CRM care s-au răsfrânt asupra valorii contabile).</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Elemente extrabilanțiere</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valoarea nominală a elementelor extrabilanțiere. Instituțiile nu iau în considerare în această celulă contractele enumerate în anexa II la Regulamentul (UE) nr. 575/2013, instrumentele financiare derivate de credit și SFT-urile în conformitate cu articolul 429f alineatul (1) din Regulamentul (UE) nr. 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Garanții reale sub formă de numerar primite în operațiuni cu instrumente financiare derivate – Valoarea contabilă, presupunând că nu se recurge la compensare sau la altă tehnică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contabilă din bilanț, conform cadrului contabil aplicabil, a garanțiilor reale sub formă de numerar primite în operațiuni cu instrumente financiare derivate, presupunând că nu există efecte ale compensării contabile </w:t>
            </w:r>
            <w:r>
              <w:rPr>
                <w:rFonts w:ascii="Times New Roman" w:hAnsi="Times New Roman"/>
                <w:sz w:val="24"/>
              </w:rPr>
              <w:lastRenderedPageBreak/>
              <w:t>ori alte efecte ale CRM (cu alte cuvinte, se reiau eventualele efecte ale compensării contabile sau ale CRM care s-au răsfrânt asupra valorii contabile).</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Pentru această celulă, numerar înseamnă cuantumul total al numerarului, inclusiv monede și bancnote/valută. Cuantumul total al depozitelor deținute la băncile centrale este luat în considerare în măsura în care depozitele respective pot fi retrase în situații de criză. Instituțiile nu înscriu în această celulă numerarul sub formă de depozit deținut la alte instituții.</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Creanțe pentru garanții reale sub formă de numerar furnizate în operațiunile cu instrumente financiare derivate – Valoarea contabilă, presupunând că nu se recurge la compensare sau la altă tehnică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Valoarea contabilă din bilanț, conform cadrului contabil aplicabil, a creanțelor pentru garanții reale sub formă de numerar furnizate în operațiunile cu instrumente financiare derivate, presupunând că nu există efecte ale compensării contabile ori alte efecte ale CRM (cu alte cuvinte, se reiau eventualele efecte ale compensării contabile sau ale CRM care s-au răsfrânt asupra valorii contabile).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Instituțiile care sunt autorizate, conform cadrului contabil aplicabil, să compenseze creanța pentru garanția reală sub formă de numerar furnizată cu datoria rezultată din instrumentul financiar derivat respectiv (valoare justă negativă) și care decid să procedeze astfel anulează compensarea și raportează creanța în numerar netă.</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Titluri primite în cadrul unui SFT și recunoscute ca active – Valoarea contabilă, presupunând că nu se recurge la compensare sau la altă tehnică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Valoarea contabilă din bilanț, conform cadrului contabil aplicabil, a titlurilor primite în cadrul unui SFT și recunoscute ca active în cadrul contabil aplicabil, presupunând că nu există efecte ale compensării contabile ori alte efecte ale CRM (cu alte cuvinte, se reiau eventualele efecte ale compensării contabile sau ale CRM care s-au răsfrânt asupra valorii contabile).</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Numerar dat cu împrumut, prin intermediere, în cadrul SFT-urilor (creanțe în numerar) – Valoarea contabilă, presupunând că nu se recurge la compensare sau la altă tehnică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Valoarea contabilă din bilanț, conform cadrului contabil aplicabil, a creanței în numerar pentru numerarul dat cu împrumut, prin intermediere, proprietarului titlurilor în cadrul unei tranzacții eligibile de dare cu împrumut de numerar prin intermediere (</w:t>
            </w:r>
            <w:r>
              <w:rPr>
                <w:rFonts w:ascii="Times New Roman" w:hAnsi="Times New Roman"/>
                <w:i/>
                <w:iCs/>
                <w:sz w:val="24"/>
              </w:rPr>
              <w:t>cash conduit lending transaction</w:t>
            </w:r>
            <w:r>
              <w:rPr>
                <w:rFonts w:ascii="Times New Roman" w:hAnsi="Times New Roman"/>
                <w:sz w:val="24"/>
              </w:rPr>
              <w:t>, CCLT), presupunând că nu există efecte ale compensării contabile ori alte efecte ale CRM (cu alte cuvinte, se reiau eventualele efecte ale compensării contabile sau ale CRM care s-au răsfrânt asupra valorii contabile).</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lastRenderedPageBreak/>
              <w:t>Pentru această celulă, numerar înseamnă cuantumul total al numerarului, inclusiv monede și bancnote/valută. Cuantumul total al depozitelor deținute la băncile centrale este luat în considerare în măsura în care depozitele respective pot fi retrase în situații de criză. Instituțiile nu raportează în această celulă numerarul sub formă de depozit deținut la alte instituții.</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CCLT reprezintă o combinație de două tranzacții, în care o instituție ia cu împrumut titluri de la proprietarul titlurilor și le dă cu împrumut împrumutătorului titlurilor. În același timp, instituția primește garanții reale sub formă de numerar de la împrumutătorul titlurilor și dă cu împrumut numerarul primit proprietarului titlurilor. Un CCLT eligibil îndeplinește următoarele condiții:</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tab/>
            </w:r>
            <w:r>
              <w:rPr>
                <w:rFonts w:ascii="Times New Roman" w:hAnsi="Times New Roman"/>
                <w:color w:val="000000"/>
                <w:sz w:val="24"/>
              </w:rPr>
              <w:t>ambele tranzacții care compun CCLT-ul eligibil se efectuează la aceeași dată de tranzacționare sau, în cazul tranzacțiilor internaționale, în zile lucrătoare consecutive;</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tab/>
            </w:r>
            <w:r>
              <w:rPr>
                <w:rFonts w:ascii="Times New Roman" w:hAnsi="Times New Roman"/>
                <w:color w:val="000000"/>
                <w:sz w:val="24"/>
              </w:rPr>
              <w:t>dacă pentru tranzacțiile care compun CCLT-ul nu se precizează o scadență, instituția are dreptul legal să lichideze oricare dintre părțile CCLT-ului, respectiv ambele tranzacții componente, în orice moment și fără notificare prealabilă;</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tab/>
            </w:r>
            <w:r>
              <w:rPr>
                <w:rFonts w:ascii="Times New Roman" w:hAnsi="Times New Roman"/>
                <w:color w:val="000000"/>
                <w:sz w:val="24"/>
              </w:rPr>
              <w:t>dacă pentru tranzacțiile componente se precizează o scadență, CCLT-ul nu creează neconcordanțe de scadențe pentru instituție; instituția are dreptul legal să lichideze oricare dintre părțile CCLT-ului, respectiv ambele tranzacții componente, în orice moment și fără notificare prealabilă;</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tab/>
            </w:r>
            <w:r>
              <w:rPr>
                <w:rFonts w:ascii="Times New Roman" w:hAnsi="Times New Roman"/>
                <w:sz w:val="24"/>
              </w:rPr>
              <w:t>CCLT-ul nu creează alte expuneri suplimentare.</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Investiții în sectorul public – Creanțe asupra administrațiilor centrale – Valoarea contabilă din bilanț</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În cazul în care instituția este o instituție de credit pentru dezvoltare publică, valoarea contabilă din bilanț, conform cadrului contabil aplicabil, a activelor care constituie creanțe asupra administrațiilor centrale în ceea ce privește investițiile în sectorul public.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unei instituții care este tratată, de către o autoritate competentă, ca o instituție de credit pentru dezvoltare publică, în conformitate cu articolul 429a alineatul (2) ultimul paragraf.</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Investiții în sectorul public – Creanțe asupra administrațiilor regionale – Valoarea contabilă din bilanț</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În cazul în care instituția este o instituție de credit pentru dezvoltare publică, valoarea contabilă din bilanț, conform cadrului contabil aplicabil, a activelor </w:t>
            </w:r>
            <w:r>
              <w:rPr>
                <w:rFonts w:ascii="Times New Roman" w:hAnsi="Times New Roman"/>
                <w:sz w:val="24"/>
              </w:rPr>
              <w:lastRenderedPageBreak/>
              <w:t xml:space="preserve">care constituie creanțe asupra administrațiilor regionale în ceea ce privește investițiile în sectorul public.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unei instituții care este tratată, de către o autoritate competentă, ca o instituție de credit pentru dezvoltare publică, în conformitate cu articolul 429a alineatul (2) ultimul paragraf.</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Investiții în sectorul public – Creanțe asupra autorităților locale – Valoarea contabilă din bilanț</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autorităților locale în ceea ce privește investițiile în sectorul public.</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unei instituții care este tratată, de către o autoritate competentă, ca o instituție de credit pentru dezvoltare publică, în conformitate cu articolul 429a alineatul (2) ultimul paragraf.</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Investiții în sectorul public – Creanțe asupra entităților din sectorul public – Valoarea contabilă din bilanț</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entităților din sectorul public în ceea ce privește investițiile în sectorul public.</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Creanțe asupra administrațiilor centrale – Valoarea contabilă din bilanț</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În cazul în care instituția este o instituție de credit pentru dezvoltare publică, valoarea contabilă din bilanț, conform cadrului contabil aplicabil, a activelor care constituie creanțe asupra administrațiilor centrale în ceea ce privește creditele promoționale.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administrațiilor centrale – Cuantumul noțional/valoarea nominală</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În cazul în care instituția este o instituție de credit pentru dezvoltare publică, valoarea nominală a elementelor extrabilanțiere în ceea ce privește partea neutilizată a creditelor promoționale acordate administrațiilor centrale.</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Creanțe asupra administrațiilor regionale – Valoarea contabilă din bilanț</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administrațiilor regionale în ceea ce privește creditele promoționale.</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administrațiilor regionale – Cuantumul noțional/valoarea nominală</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nominală a elementelor extrabilanțiere în ceea ce privește partea neutilizată a creditelor promoționale acordate</w:t>
            </w:r>
            <w:r>
              <w:rPr>
                <w:sz w:val="24"/>
              </w:rPr>
              <w:t xml:space="preserve"> </w:t>
            </w:r>
            <w:r>
              <w:rPr>
                <w:rFonts w:ascii="Times New Roman" w:hAnsi="Times New Roman"/>
                <w:sz w:val="24"/>
              </w:rPr>
              <w:t>administrațiilor regionale.</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Creanțe asupra autorităților locale – Valoarea contabilă din bilanț</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autorităților locale în ceea ce privește creditele promoționale.</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autorităților locale – Cuantumul noțional/valoarea nominală</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În cazul în care instituția este o instituție de credit pentru dezvoltare publică, valoarea nominală a elementelor extrabilanțiere în ceea ce privește partea neutilizată a creditelor promoționale acordate</w:t>
            </w:r>
            <w:r>
              <w:rPr>
                <w:sz w:val="24"/>
              </w:rPr>
              <w:t xml:space="preserve"> </w:t>
            </w:r>
            <w:r>
              <w:rPr>
                <w:rFonts w:ascii="Times New Roman" w:hAnsi="Times New Roman"/>
                <w:sz w:val="24"/>
              </w:rPr>
              <w:t>autorităților locale.</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Creanțe asupra entităților din sectorul public – Valoarea contabilă din bilanț</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entităților din sectorul public în ceea ce privește creditele promoționale.</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entităților din sectorul public – Cuantumul noțional/valoarea nominală</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nominală a elementelor extrabilanțiere în ceea ce privește partea neutilizată a creditelor promoționale acordate</w:t>
            </w:r>
            <w:r>
              <w:rPr>
                <w:sz w:val="24"/>
              </w:rPr>
              <w:t xml:space="preserve"> </w:t>
            </w:r>
            <w:r>
              <w:rPr>
                <w:rFonts w:ascii="Times New Roman" w:hAnsi="Times New Roman"/>
                <w:sz w:val="24"/>
              </w:rPr>
              <w:t>entităților din sectorul public.</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societăților nefinanciare – Valoarea contabilă din bilanț</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societăților nefinanciare în ceea ce privește creditele promoționale.</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societăților nefinanciare – Cuantumul noțional/valoarea nominală</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În cazul în care instituția este o instituție de credit pentru dezvoltare publică, valoarea nominală a elementelor extrabilanțiere în ceea ce privește partea neutilizată a creditelor promoționale acordate</w:t>
            </w:r>
            <w:r>
              <w:rPr>
                <w:sz w:val="24"/>
              </w:rPr>
              <w:t xml:space="preserve"> </w:t>
            </w:r>
            <w:r>
              <w:rPr>
                <w:rFonts w:ascii="Times New Roman" w:hAnsi="Times New Roman"/>
                <w:sz w:val="24"/>
              </w:rPr>
              <w:t>societăților nefinanciare.</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gospodăriilor – Valoarea contabilă din bilanț</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contabilă din bilanț, conform cadrului contabil aplicabil, a activelor care constituie creanțe asupra gospodăriilor în ceea ce privește creditele promoționale.</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Credite promoționale – Creanțe asupra gospodăriilor – Cuantumul noțional/valoarea nominală</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În cazul în care instituția este o instituție de credit pentru dezvoltare publică, valoarea nominală a elementelor extrabilanțiere în ceea ce privește partea neutilizată a creditelor promoționale acordate</w:t>
            </w:r>
            <w:r>
              <w:rPr>
                <w:sz w:val="24"/>
              </w:rPr>
              <w:t xml:space="preserve"> </w:t>
            </w:r>
            <w:r>
              <w:rPr>
                <w:rFonts w:ascii="Times New Roman" w:hAnsi="Times New Roman"/>
                <w:sz w:val="24"/>
              </w:rPr>
              <w:t>gospodăriilor.</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„Pass through” –</w:t>
            </w:r>
            <w:r>
              <w:rPr>
                <w:sz w:val="24"/>
              </w:rPr>
              <w:t xml:space="preserve"> </w:t>
            </w:r>
            <w:r>
              <w:rPr>
                <w:rFonts w:ascii="Times New Roman" w:hAnsi="Times New Roman"/>
                <w:b/>
                <w:sz w:val="24"/>
              </w:rPr>
              <w:t>Valoarea contabilă din bilanț</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În cazul în care instituția este o instituție de credit pentru dezvoltare publică, valoarea contabilă din bilanț, conform cadrului contabil aplicabil, a creditelor promoționale de tipul „pass through”, atunci când creditele promoționale nu au fost acordate de instituția însăși.</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contabile din bilanț ale unității unei instituții care este tratată, de către o autoritate competentă, ca o instituție de credit pentru dezvoltare publică, în conformitate cu articolul 429a alineatul (2) ultimul paragraf.</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Credite promoționale – „Pass through” –</w:t>
            </w:r>
            <w:r>
              <w:rPr>
                <w:sz w:val="24"/>
              </w:rPr>
              <w:t xml:space="preserve"> </w:t>
            </w:r>
            <w:r>
              <w:rPr>
                <w:rFonts w:ascii="Times New Roman" w:hAnsi="Times New Roman"/>
                <w:b/>
                <w:sz w:val="24"/>
              </w:rPr>
              <w:t>Cuantumul noțional/valoarea nominală</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lastRenderedPageBreak/>
              <w:t>În cazul în care instituția este o instituție de credit pentru dezvoltare publică, valoarea nominală a elementelor extrabilanțiere în ceea ce privește partea neutilizată a creditelor promoționale de tipul „pass through”, atunci când creditele promoționale nu au fost acordate de instituția însăși.</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Se iau în considerare și valorile nominale ale unității unei instituții care este tratată, de către o autoritate competentă, ca o instituție de credit pentru dezvoltare publică, în conformitate cu articolul 429a alineatul (2) ultimul paragraf.</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Expuneri față de banca centrală –</w:t>
            </w:r>
            <w:r>
              <w:rPr>
                <w:sz w:val="24"/>
              </w:rPr>
              <w:t xml:space="preserve"> </w:t>
            </w:r>
            <w:r>
              <w:rPr>
                <w:rFonts w:ascii="Times New Roman" w:hAnsi="Times New Roman"/>
                <w:b/>
                <w:sz w:val="24"/>
              </w:rPr>
              <w:t>Valoarea contabilă din bilanț</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Instituțiile raportează, în conformitate cu cadrul contabil aplicabil, valoarea următoarelor expuneri față de banca centrală a instituției: (i) monede și bancnote care constituie moneda legală în jurisdicția băncii centrale; (ii) active care reprezintă creanțe față de banca centrală, inclusiv rezerve deținute la banca centrală.</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Instituțiile includ numai expunerile care îndeplinesc, cumulativ, următoarele două condiții: (a) sunt exprimate în aceeași monedă ca depozitele atrase de instituție; (b) scadența lor medie nu depășește în mod semnificativ scadența medie a depozitelor atrase de instituție.</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aceste expuneri indiferent dacă ele sunt excluse din indicatorul de măsurare a expunerii totale în conformitate cu articolul 429a alineatele (5) și (6) din Regulamentul (UE) nr.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Valoarea expunerilor față de banca centrală utilizată pentru calcularea cerinței privind indicatorul efectului de levier ajustat prevăzute la articolul 429a alineatul (7) din CRR – Cuantumul expunerii pentru calcularea indicatorului efectului de levier</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Valoarea totală medie zilnică a expunerilor instituției față de banca sa centrală,</w:t>
            </w:r>
            <w:r>
              <w:rPr>
                <w:sz w:val="24"/>
              </w:rPr>
              <w:t xml:space="preserve"> </w:t>
            </w:r>
            <w:r>
              <w:rPr>
                <w:rFonts w:ascii="Times New Roman" w:hAnsi="Times New Roman"/>
                <w:sz w:val="24"/>
              </w:rPr>
              <w:t>calculată pentru întreaga perioadă de aplicare a rezervelor a băncii centrale imediat anterioară datei menționate la articolul 429a alineatul (5) litera (c) din Regulamentul (UE) nr. 575/2013, care sunt eligibile pentru a fi excluse în conformitate cu articolul 429a alineatul (1) litera (n) din Regulamentul (UE) nr.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Indicatorul de măsurare a expunerii utilizat pentru calcularea indicatorului efectului de levier, utilizat pentru calcularea cerinței privind indicatorul efectului de levier ajustat prevăzute la articolul 429a alineatul (7) din CRR – Cuantumul expunerii pentru calcularea indicatorului efectului de levier</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Indicatorul de măsurare a expunerii totale a instituției, astfel cum este definit la articolul 429 alineatul (4) din Regulamentul (UE) nr. 575/2013, inclusiv eventualele expuneri excluse în conformitate cu articolul 429 alineatul (1) </w:t>
            </w:r>
            <w:r>
              <w:rPr>
                <w:rFonts w:ascii="Times New Roman" w:hAnsi="Times New Roman"/>
                <w:sz w:val="24"/>
              </w:rPr>
              <w:lastRenderedPageBreak/>
              <w:t>litera (n) din Regulamentul (UE) nr. 575/2013, la data menționată la articolul 429a alineatul (5) litera (c) din Regulamentul (UE) nr.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lastRenderedPageBreak/>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Total active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La acest element, instituțiile raportează totalul activelor în conformitate cu sfera de aplicare utilizată în situațiile financiare publicate.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609510"/>
      <w:bookmarkStart w:id="73" w:name="_Toc322533879"/>
      <w:bookmarkEnd w:id="57"/>
      <w:bookmarkEnd w:id="65"/>
      <w:bookmarkEnd w:id="66"/>
      <w:bookmarkEnd w:id="67"/>
      <w:r>
        <w:rPr>
          <w:rFonts w:ascii="Times New Roman" w:hAnsi="Times New Roman"/>
          <w:b/>
          <w:sz w:val="24"/>
        </w:rPr>
        <w:t>5.</w:t>
      </w:r>
      <w:r>
        <w:tab/>
      </w:r>
      <w:r>
        <w:rPr>
          <w:rFonts w:ascii="Times New Roman" w:hAnsi="Times New Roman"/>
          <w:b/>
          <w:sz w:val="24"/>
        </w:rPr>
        <w:t>C 43.00 – Defalcarea alternativă a componentelor indicatorului de măsurare a expunerii utilizat pentru calcularea indicatorului efectului de levier</w:t>
      </w:r>
      <w:bookmarkEnd w:id="68"/>
      <w:bookmarkEnd w:id="69"/>
      <w:bookmarkEnd w:id="70"/>
      <w:r>
        <w:t xml:space="preserve"> </w:t>
      </w:r>
      <w:r>
        <w:rPr>
          <w:rFonts w:ascii="Times New Roman" w:hAnsi="Times New Roman"/>
          <w:b/>
          <w:sz w:val="24"/>
        </w:rPr>
        <w:t>(LR4)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În LR4, instituțiile raportează valorile expunerii pentru calcularea indicatorului efectului de levier după aplicarea exceptărilor și a deducerilor din formularul LRCalc, respectiv a elementelor cu semn negativ în conformitate cu convenția privind semnele din partea I punctul 9 din prezenta anexă, cu excepția rândurilor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tab/>
      </w:r>
      <w:r>
        <w:rPr>
          <w:rFonts w:ascii="Times New Roman" w:hAnsi="Times New Roman"/>
          <w:sz w:val="24"/>
        </w:rPr>
        <w:t>Pentru a evita dubla contabilizare, instituțiile respectă următoarea ecuație:</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r>
        <w:rPr>
          <w:rFonts w:ascii="Times New Roman" w:hAnsi="Times New Roman"/>
          <w:sz w:val="24"/>
        </w:rPr>
        <w:t>Suma rândurilor {0010; 0010}-{0269;0010} din formularul LRCalc este egală cu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Pentru consecvență cu valorile expunerii pentru calcularea indicatorului efectului de levier, cuantumurile ponderate la risc ale expunerilor se raportează, de asemenea, aplicate integral. Ajustările pragului minim privind cerințele de capital nu vor fi luate în considerare în sensul prezentului formular.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Instituțiile raportează contrapartea în ceea ce privește cuantumurile ponderate la risc ale expunerilor după aplicarea tehnicilor de diminuare a riscului de credit (CRM) și a efectelor lor de substituție. Instituțiile raportează contrapartea în ceea ce privește LRE în conformitate cu contrapartea originală, adică fără a ține seama de eventualele tehnici CRM sau efecte de substituție aplicabile cuantumurilor ponderate la risc ale expunerilor.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Rând și coloană</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Referințe juridice și instrucțiuni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Elemente extrabilanțiere – Valoarea expunerii pentru calcularea indicatorului efectului de levier</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expunerii pentru calcularea indicatorului efectului de levier calculată ca suma celulelor {LRCalc;0150;0010}, {LRCalc;0160;0010}, {LRCalc;0165;0010} {LRCalc;0170;0010} și {LRCalc;0180;0010}, mai </w:t>
            </w:r>
            <w:r>
              <w:rPr>
                <w:rFonts w:ascii="Times New Roman" w:hAnsi="Times New Roman"/>
                <w:sz w:val="24"/>
              </w:rPr>
              <w:lastRenderedPageBreak/>
              <w:t>puțin expunerile intragrup respective (pe bază individuală) excluse în conformitate cu articolul 429a alineatul (1) literele (c) și (ca) din Regulamentul (UE) nr.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Elemente extrabilanțiere – Cuantumul ponderat la risc al expunerilor</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Cuantumul ponderat la risc al expunerii elementelor extrabilanțiere – fără SFT-uri și instrumente financiare derivate – conform abordării standardizate și abordării bazate pe modele interne de rating. Pentru expunerile din cadrul abordării standardizate, instituțiile determină cuantumul ponderat la risc al expunerii în conformitate cu partea a treia titlul II capitolul 2 din Regulamentul (UE) nr. 575/2013. Pentru expunerile din cadrul abordării bazate pe modele interne de rating, instituțiile determină cuantumul ponderat la risc al expunerii în conformitate cu partea a treia titlul II capitolul 3 din Regulamentul (UE) nr.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Din care: Finanțarea comerțului – Valoarea expunerii pentru calcularea indicatorului efectului de levier</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elementelor extrabilanțiere legate de finanțarea comerțului.</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Pentru completarea formularului LR4, elementele extrabilanțiere legate de finanțarea comerțului se referă la scrisorile de credit pentru importuri și exporturi, emise și confirmate, pe termen scurt și cu autolichidare, și la tranzacții similare.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Din care: Finanțarea comerțului – Cuantumul ponderat la risc al expunerilor</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Valoarea ponderată la risc a expunerii elementelor extrabilanțiere – fără SFT-uri și instrumente financiare derivate – care se referă la finanțarea comerțului.</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Pentru completarea formularului LR4, elementele extrabilanțiere legate de finanțarea comerțului se referă la scrisorile de credit pentru importuri și exporturi, emise și confirmate, pe termen scurt și cu autolichidare, și la tranzacții similare.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Valoarea expunerii pentru calcularea indicatorului efectului de levier</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Valoarea expunerii pentru calcularea indicatorului efectului de levier al elementelor extrabilanțiere legate de finanțarea comerțului în cadrul unei scheme oficiale de asigurare a creditelor de export.</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w:t>
            </w:r>
            <w:r>
              <w:rPr>
                <w:rFonts w:ascii="Times New Roman" w:hAnsi="Times New Roman"/>
                <w:sz w:val="24"/>
              </w:rPr>
              <w:lastRenderedPageBreak/>
              <w:t>dobânzii (în cazul în care se garantează o rată fixă a dobânzii pe toată durata creditului), finanțare a ajutoarelor (credite și granturi), asigurare a creditelor de export și garanții.</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Cuantumul ponderat la risc al expunerilor</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Valoarea ponderată la risc a expunerii elementelor extrabilanțiere – fără SFT-uri și instrumente financiare derivate – legate de finanțarea comerțului în cadrul unei scheme oficiale de asigurare a creditelor de export.</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și SFT-uri care fac obiectul unui acord de compensare între produse diferite – Valoarea expunerii pentru calcularea indicatorului efectului de levier</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Valoarea expunerii pentru calcularea indicatorului efectului de levier al instrumentelor financiare derivate și al SFT-urilor, în cazul în care acestea fac obiectul unui acord de compensare între produse diferite, astfel cum este definit la articolul 272 punctul 25 din Regulamentul (UE) nr.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și SFT-uri care fac obiectul unui acord de compensare între produse diferite – Cuantumul ponderat la risc al expunerilor</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Cuantumurile ponderate la risc ale expunerilor în ceea ce privește riscul de credit și riscul de contraparte, astfel cum sunt calculate în temeiul părții a treia titlul II din Regulamentul (UE) nr. 575/2013, pentru instrumente financiare derivate și SFT-uri, inclusiv extrabilanțiere, în cazul în care aceste tranzacții fac obiectul unui acord de compensare între produse diferite, astfel cum este definit la articolul 272 punctul 25 din Regulamentul (UE) nr.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care nu fac obiectul unui acord de compensare între produse diferite – Valoarea expunerii pentru calcularea indicatorului efectului de levier</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Valoarea expunerii pentru calcularea indicatorului efectului de levier al instrumentelor financiare derivate, în cazul în care acestea nu fac obiectul unui acord de compensare între produse diferite, astfel cum este definit la articolul 272 punctul 25 din Regulamentul (UE) nr.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Instrumente financiare derivate care nu fac obiectul unui acord de compensare între produse diferite – Cuantumul ponderat la risc al expunerilor</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Cuantumurile ponderate la risc ale expunerilor în ceea ce privește riscul de credit și riscul de contraparte pentru instrumente financiare derivate, astfel cum sunt calculate în temeiul părții a treia titlul II din Regulamentul (UE) nr. 575/2013, inclusiv extrabilanțiere, în cazul în care aceste tranzacții nu fac obiectul unui acord de compensare între produse diferite, astfel cum este definit la articolul 272 punctul 25 din Regulamentul (UE) nr.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SFT-uri care nu fac obiectul unui acord de compensare între produse diferite – Valoarea expunerii pentru calcularea indicatorului efectului de levier</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Valoarea expunerii pentru calcularea indicatorului efectului de levier al expunerilor aferente SFT-urilor, în cazul în care acestea nu fac obiectul unui acord de compensare între produse diferite, astfel cum este definit la articolul 272 punctul 25 din Regulamentul (UE) nr.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SFT-uri care nu fac obiectul unui acord de compensare între produse diferite – Cuantumul ponderat la risc al expunerilor</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Cuantumurile ponderate la risc ale expunerilor în ceea ce privește riscul de credit și riscul de contraparte pentru SFT-uri, astfel cum sunt calculate în temeiul părții a treia titlul II din Regulamentul (UE) nr. 575/2013, inclusiv extrabilanțiere, în cazul în care aceste operațiuni nu fac obiectul unui acord de compensare între produse diferite, astfel cum este definit la articolul 272 punctul 25 din Regulamentul (UE) nr.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Cuantumurile expunerilor rezultate din tratamentul suplimentar al instrumentele financiare derivate de credit – Valoarea expunerii pentru calcularea indicatorului efectului de levier</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Această celulă corespunde diferenței dintre {LRCalc;0130;0010} și {LRCalc;0140;0010}, mai puțin expunerile intragrup respective (pe bază individuală) excluse în conformitate cu articolul 429a alineatul (1) litera (c) din Regulamentul (UE) nr.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Alte active din portofoliul de tranzacționare – Valoarea expunerii pentru calcularea indicatorului efectului de levier</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elementelor raportate în {LRCalc;0190;0010}, fără elementele din afara portofoliului de tranzacționare.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Alte active din portofoliul de tranzacționare – Cuantumul ponderat la risc al expunerilor</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Cerințele de fonduri proprii înmulțite cu 12,5 pentru elementele care intră sub incidența părții a treia titlul IV din Regulamentul (UE) nr.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Obligațiuni garantate – Valoarea expunerii pentru calcularea indicatorului efectului de levier – Expuneri în cadrul abordării standardizate</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sub formă de obligațiuni garantate în cadrul abordării standardizate, astfel cum sunt prevăzute la articolul 129 din Regulamentul (UE) nr.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Obligațiuni garantate – Valoarea expunerii pentru calcularea indicatorului efectului de levier – Expuneri în cadrul abordării bazate pe modele interne de rating</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sub formă de obligațiuni garantate în cadrul abordării bazate pe modele interne de rating, astfel cum sunt prevăzute la articolul 161 alineatul (1) litera (d) din Regulamentul (UE) nr.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Obligațiuni garantate – Cuantumul ponderat la risc al expunerilor – Expuneri în cadrul abordării standardizate</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sub formă de obligațiuni garantate în cadrul abordării standardizate, astfel cum sunt prevăzute la articolul 129 din Regulamentul (UE) nr.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Obligațiuni garantate – Cuantumul ponderat la risc al expunerilor – Expuneri în cadrul abordării bazate pe modele interne de rating</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sub formă de obligațiuni garantate în cadrul abordării bazate pe modele interne de rating, astfel cum sunt prevăzute la articolul 161 alineatul (1) litera (d) din Regulamentul (UE) nr.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tratate ca suverane – Valoarea expunerii pentru calcularea indicatorului efectului de levier – Expuneri în cadrul abordării standardizate</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{0100,0010} până la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tratate ca suverane – Valoarea expunerii pentru calcularea indicatorului efectului de levier – Expuneri în cadrul abordării bazate pe modele interne de rating</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{0100,0020} până la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tratate ca suverane – Cuantumul ponderat la risc al expunerilor – Expuneri în cadrul abordării standardizate</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{0100,0030} până la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tratate ca suverane – Cuantumul ponderat la risc al expunerilor – Expuneri în cadrul abordării bazate pe modele interne de rating</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{0100,0040} până la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Administrații centrale și bănci centrale</w:t>
            </w:r>
            <w:r>
              <w:rPr>
                <w:rFonts w:ascii="Times New Roman" w:hAnsi="Times New Roman"/>
                <w:sz w:val="24"/>
              </w:rPr>
              <w:t xml:space="preserve"> </w:t>
            </w:r>
            <w:r>
              <w:rPr>
                <w:rFonts w:ascii="Times New Roman" w:hAnsi="Times New Roman"/>
                <w:b/>
                <w:sz w:val="24"/>
              </w:rPr>
              <w:t>– Valoarea expunerii pentru calcularea indicatorului efectului de levier – Expuneri în cadrul abordării standardizate</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administrații centrale sau bănci centrale în cadrul abordării standardizate, astfel cum sunt prevăzute la articolul 114 din Regulamentul (UE) nr.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Administrații centrale și bănci centrale</w:t>
            </w:r>
            <w:r>
              <w:rPr>
                <w:rFonts w:ascii="Times New Roman" w:hAnsi="Times New Roman"/>
                <w:sz w:val="24"/>
              </w:rPr>
              <w:t xml:space="preserve"> </w:t>
            </w:r>
            <w:r>
              <w:rPr>
                <w:rFonts w:ascii="Times New Roman" w:hAnsi="Times New Roman"/>
                <w:b/>
                <w:sz w:val="24"/>
              </w:rPr>
              <w:t>– Valoarea expunerii pentru calcularea indicatorului efectului de levier – Expuneri în cadrul abordării bazate pe modele interne de rating</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administrații centrale sau bănci centrale în cadrul abordării bazate pe modele interne de rating, astfel cum sunt prevăzute la articolul 147 alineatul (2) litera (a) din Regulamentul (UE) nr.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Administrații centrale și bănci centrale</w:t>
            </w:r>
            <w:r>
              <w:rPr>
                <w:rFonts w:ascii="Times New Roman" w:hAnsi="Times New Roman"/>
                <w:sz w:val="24"/>
              </w:rPr>
              <w:t xml:space="preserve"> </w:t>
            </w:r>
            <w:r>
              <w:rPr>
                <w:rFonts w:ascii="Times New Roman" w:hAnsi="Times New Roman"/>
                <w:b/>
                <w:sz w:val="24"/>
              </w:rPr>
              <w:t>– Cuantumul ponderat la risc al expunerilor – Expuneri în cadrul abordării standardizate</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administrații centrale sau bănci centrale în cadrul abordării standardizate, astfel cum sunt prevăzute la articolul 114 din Regulamentul (UE) nr.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Administrații centrale și bănci centrale – Cuantumul ponderat la risc al expunerilor – Expuneri în cadrul abordării bazate pe modele interne de rating</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administrații centrale sau bănci centrale în cadrul abordării bazate pe modele interne de rating, astfel cum sunt prevăzute la articolul 147 alineatul (2) litera (a) din Regulamentul (UE) nr.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tratate ca entități suverane – Valoarea expunerii pentru calcularea indicatorului efectului de levier – Expuneri în cadrul abordării standardizate</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în cadrul abordării standardizate față de administrații regionale și autorități locale tratate ca entități suverane, astfel cum sunt prevăzute la articolul 115 alineatele (2) și (4) din Regulamentul (UE) nr.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lastRenderedPageBreak/>
              <w:t>Instituțiile raportează valoarea obținută după scăderea expunerilor aflate în stare de nerambursare în cadrul abordării standardizate.</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tratate ca entități suverane – Valoarea expunerii pentru calcularea indicatorului efectului de levier – Expuneri în cadrul abordării bazate pe modele interne de rating</w:t>
            </w:r>
          </w:p>
          <w:p w14:paraId="02346C27" w14:textId="4D617C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Valoarea expunerii pentru calcularea indicatorului efectului de levier al activelor care reprezintă expuneri față de administrații regionale și autorități locale în cadrul abordării bazate pe modele interne de rating, astfel cum sunt prevăzute la articolul 147 alineatul (3) litera (a) din Regulamentul (UE) nr.</w:t>
            </w:r>
            <w:r w:rsidR="00F657AF">
              <w:rPr>
                <w:rFonts w:ascii="Times New Roman" w:hAnsi="Times New Roman"/>
                <w:sz w:val="24"/>
              </w:rPr>
              <w:t> </w:t>
            </w:r>
            <w:r>
              <w:rPr>
                <w:rFonts w:ascii="Times New Roman" w:hAnsi="Times New Roman"/>
                <w:sz w:val="24"/>
              </w:rPr>
              <w:t>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tratate ca entități suverane – Cuantumul ponderat la risc al expunerilor – Expuneri în cadrul abordării standardizate</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în cadrul abordării standardizate față de administrații regionale și autorități locale tratate ca entități suverane, astfel cum sunt prevăzute la articolul 115 alineatele (2) și (4) din Regulamentul (UE) nr.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tratate ca entități suverane – Cuantumul ponderat la risc al expunerilor – Expuneri în cadrul abordării bazate pe modele interne de rating</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administrații regionale și autorități locale în cadrul abordării bazate pe modele interne de rating, astfel cum sunt prevăzute la articolul 147 alineatul (3) litera (a) din Regulamentul (UE) nr.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Bănci de dezvoltare multilaterală și organizații internaționale tratate ca entități suverane – Valoarea expunerii pentru calcularea indicatorului efectului de levier – Expuneri în cadrul abordării standardizate</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expunerii pentru calcularea indicatorului efectului de levier al activelor care reprezintă expuneri față de bănci de dezvoltare multilaterală și organizații internaționale în cadrul abordării standardizate, astfel cum </w:t>
            </w:r>
            <w:r>
              <w:rPr>
                <w:rFonts w:ascii="Times New Roman" w:hAnsi="Times New Roman"/>
                <w:sz w:val="24"/>
              </w:rPr>
              <w:lastRenderedPageBreak/>
              <w:t>sunt prevăzute la articolul 117 alineatul (2) și la articolul 118 din Regulamentul (UE) nr.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Bănci de dezvoltare multilaterală și organizații internaționale tratate ca entități suverane – Valoarea expunerii pentru calcularea indicatorului efectului de levier – Expuneri în cadrul abordării bazate pe modele interne de rating</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bănci de dezvoltare multilaterală și organizații internaționale în cadrul abordării bazate pe modele interne de rating, astfel cum sunt prevăzute la articolul 147 alineatul (3) literele (b) și (c) din Regulamentul (UE) nr.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Bănci de dezvoltare multilaterală și organizații internaționale tratate ca entități suverane – Cuantumul ponderat la risc al expunerilor – Expuneri în cadrul abordării standardizate</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bănci de dezvoltare multilaterală și organizații internaționale în cadrul abordării standardizate, astfel cum sunt prevăzute la articolul 117 alineatul (2) și la articolul 118 din Regulamentul (UE) nr.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Bănci de dezvoltare multilaterală și organizații internaționale tratate ca entități suverane – Cuantumul ponderat la risc al expunerilor – Expuneri în cadrul abordării bazate pe modele interne de rating</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bănci de dezvoltare multilaterală și organizații internaționale în cadrul abordării bazate pe modele interne de rating, astfel cum sunt prevăzute la articolul 147 alineatul (3) literele (b) și (c) din Regulamentul (UE) nr.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Entități din sectorul public tratate ca entități suverane – Valoarea expunerii pentru calcularea indicatorului efectului de levier – Expuneri în cadrul abordării standardizate</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entități din sectorul public în cadrul abordării standardizate, astfel cum sunt prevăzute la articolul 116 alineatul (4) din Regulamentul (UE) nr.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Entități din sectorul public tratate ca entități suverane – Valoarea expunerii pentru calcularea indicatorului efectului de levier – Expuneri în cadrul abordării bazate pe modele interne de rating</w:t>
            </w:r>
          </w:p>
          <w:p w14:paraId="6B0B91A7" w14:textId="1D191196"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expunerii pentru calcularea indicatorului efectului de levier al activelor care reprezintă expuneri față de entități din sectorul public în cadrul abordării bazate pe modele interne de rating, astfel cum sunt prevăzute la articolul 147 alineatul (3) litera (a) din Regulamentul (UE) nr.</w:t>
            </w:r>
            <w:r w:rsidR="00F657AF">
              <w:rPr>
                <w:rFonts w:ascii="Times New Roman" w:hAnsi="Times New Roman"/>
                <w:sz w:val="24"/>
              </w:rPr>
              <w:t> </w:t>
            </w:r>
            <w:r>
              <w:rPr>
                <w:rFonts w:ascii="Times New Roman" w:hAnsi="Times New Roman"/>
                <w:sz w:val="24"/>
              </w:rPr>
              <w:t>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Entități din sectorul public tratate ca entități suverane – Cuantumul ponderat la risc al expunerilor – Expuneri în cadrul abordării standardizate</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entități din sectorul public în cadrul abordării standardizate, astfel cum sunt prevăzute la articolul 116 alineatul (4) din Regulamentul (UE) nr.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Entități din sectorul public tratate ca entități suverane – Cuantumul ponderat la risc al expunerilor – Expuneri în cadrul abordării bazate pe modele interne de rating</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entități din sectorul public în cadrul abordării bazate pe modele interne de rating, astfel cum sunt prevăzute la articolul 147 alineatul (3) litera (a) din Regulamentul (UE) nr.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Instituțiile raportează valoarea obținută după scăderea expunerilor aflate în stare de nerambursare în cadrul abordării bazate pe modele interne de rating.</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administrații regionale, bănci de dezvoltare multilaterală, organizații internaționale și entități din sectorul public care nu sunt tratate ca entități suverane – Valoarea expunerii pentru calcularea indicatorului efectului de levier – Expuneri în cadrul abordării standardizate</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{0150,0010} până la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administrații regionale, bănci de dezvoltare multilaterală, organizații internaționale și entități din sectorul public care nu sunt tratate ca entități suverane – Valoarea expunerii pentru calcularea indicatorului efectului de levier – Expuneri în cadrul abordării bazate pe modele interne de rating</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{0150,0020} până la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administrații regionale, bănci de dezvoltare multilaterală, organizații internaționale și entități din sectorul public care nu sunt tratate ca entități suverane – Cuantumul ponderat la risc al expunerilor – Expuneri în cadrul abordării standardizate</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{0150,0030} până la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administrații regionale, bănci de dezvoltare multilaterală, organizații internaționale și entități din sectorul public care nu sunt tratate ca entități suverane – Cuantumul ponderat la risc al expunerilor – Expuneri în cadrul abordării bazate pe modele interne de rating</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de la {0150,0040} până la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care nu sunt tratate ca entități suverane – Valoarea expunerii pentru calcularea indicatorului efectului de levier – Expuneri în cadrul abordării standardizate</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în cadrul abordării standardizate față de administrații regionale și autorități locale care nu sunt tratate ca entități suverane, astfel cum sunt prevăzute la articolul 115 alineatele (1), (3) și (5) din Regulamentul (UE) nr.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care nu sunt tratate ca entități suverane – Valoarea expunerii pentru calcularea indicatorului efectului de levier – Expuneri în cadrul abordării bazate pe modele interne de rating</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în cadrul abordării bazate pe modele interne de rating față de administrații regionale și autorități locale care nu sunt tratate ca entități suverane, astfel cum sunt prevăzute la articolul 147 alineatul (4) litera (a) din Regulamentul (UE) nr.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Instituțiile raportează valoarea obținută după scăderea expunerilor aflate în stare de nerambursare în cadrul abordării bazate pe modele interne de rating.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Administrații regionale și autorități locale care nu sunt tratate ca entități suverane – Cuantumul ponderat la risc al expunerilor – Expuneri în cadrul abordării standardizate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în cadrul abordării standardizate față de administrații regionale și autorități locale care nu sunt tratate ca entități suverane, astfel cum sunt prevăzute la articolul 115 alineatele (1), (3) și (5) din Regulamentul (UE) nr.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Administrații regionale și autorități locale care nu sunt tratate ca entități suverane – Cuantumul ponderat la risc al expunerilor – Expuneri în cadrul abordării bazate pe modele interne de rating</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în cadrul abordării bazate pe modele interne de rating față de administrații regionale și autorități locale care nu sunt tratate ca entități suverane, astfel cum sunt prevăzute la articolul 147 alineatul (4) litera (a) din Regulamentul (UE) nr.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Instituțiile raportează valoarea obținută după scăderea expunerilor aflate în stare de nerambursare în cadrul abordării bazate pe modele interne de rating.</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Bănci de dezvoltare multilaterală care </w:t>
            </w:r>
            <w:r>
              <w:rPr>
                <w:rFonts w:ascii="Times New Roman" w:hAnsi="Times New Roman"/>
                <w:b/>
                <w:sz w:val="24"/>
                <w:u w:val="single"/>
              </w:rPr>
              <w:t>nu</w:t>
            </w:r>
            <w:r>
              <w:rPr>
                <w:rFonts w:ascii="Times New Roman" w:hAnsi="Times New Roman"/>
                <w:b/>
                <w:sz w:val="24"/>
              </w:rPr>
              <w:t xml:space="preserve"> sunt tratate ca entități suverane – Valoarea expunerii pentru calcularea indicatorului efectului de levier – Expuneri în cadrul abordării standardizate</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bănci de dezvoltare multilaterală în cadrul abordării standardizate, astfel cum sunt prevăzute la articolul 117 alineatele (1) și (3) din Regulamentul (UE) nr.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Bănci de dezvoltare multilaterală care </w:t>
            </w:r>
            <w:r>
              <w:rPr>
                <w:rFonts w:ascii="Times New Roman" w:hAnsi="Times New Roman"/>
                <w:b/>
                <w:sz w:val="24"/>
                <w:u w:val="single"/>
              </w:rPr>
              <w:t>nu</w:t>
            </w:r>
            <w:r>
              <w:rPr>
                <w:rFonts w:ascii="Times New Roman" w:hAnsi="Times New Roman"/>
                <w:b/>
                <w:sz w:val="24"/>
              </w:rPr>
              <w:t xml:space="preserve"> sunt tratate ca entități suverane – Valoarea expunerii pentru calcularea indicatorului efectului de levier – Expuneri în cadrul abordării bazate pe modele interne de rating</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în cadrul abordării bazate pe modele interne de rating față de bănci de dezvoltare multilaterală care nu sunt tratate ca entități suverane, astfel cum sunt prevăzute la articolul 147 alineatul (4) litera (c) din Regulamentul (UE) nr.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Bănci de dezvoltare multilaterală care nu sunt tratate ca entități suverane – Cuantumul ponderat la risc al expunerilor – Expuneri în cadrul abordării standardizate</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Cuantumul ponderat la risc al expunerii activelor care reprezintă expuneri față de bănci de dezvoltare multilaterală în cadrul abordării standardizate, astfel cum sunt prevăzute la articolul 117 alineatele (1) și (3) din Regulamentul (UE) nr.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Bănci de dezvoltare multilaterală care nu sunt tratate ca entități suverane – Cuantumul ponderat la risc al expunerilor – Expuneri în cadrul abordării bazate pe modele interne de rating</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Cuantumul ponderat la risc al expunerii activelor care reprezintă expuneri în cadrul abordării bazate pe modele interne de rating față de bănci de dezvoltare multilaterală care nu sunt tratate ca entități suverane, astfel cum </w:t>
            </w:r>
            <w:r>
              <w:rPr>
                <w:rFonts w:ascii="Times New Roman" w:hAnsi="Times New Roman"/>
                <w:sz w:val="24"/>
              </w:rPr>
              <w:lastRenderedPageBreak/>
              <w:t>sunt prevăzute la articolul 147 alineatul (4) litera (c) din Regulamentul (UE) nr.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Entități din sectorul public care nu sunt tratate ca entități suverane – Valoarea expunerii pentru calcularea indicatorului efectului de levier – Expuneri în cadrul abordării standardizate</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entități din sectorul public în cadrul abordării standardizate, astfel cum sunt prevăzute la articolul 116 alineatele (1), (2), (3) și (5) din Regulamentul (UE) nr.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Entități din sectorul public care nu sunt tratate ca entități suverane – Valoarea expunerii pentru calcularea indicatorului efectului de levier – Expuneri în cadrul abordării bazate pe modele interne de rating</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în cadrul abordării bazate pe modele interne de rating față de entități din sectorul public care nu sunt tratate ca entități suverane, astfel cum sunt prevăzute la articolul 147 alineatul (4) litera (b) din Regulamentul (UE) nr.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Entități din sectorul public care nu sunt tratate ca entități suverane – Cuantumul ponderat la risc al expunerilor – Expuneri în cadrul abordării standardizate</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entități din sectorul public în cadrul abordării standardizate, astfel cum sunt prevăzute la articolul 116 alineatele (1), (2), (3) și (5) din Regulamentul (UE) nr.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Entități din sectorul public care nu sunt tratate ca entități suverane – Cuantumul ponderat la risc al expunerilor – Expuneri în cadrul abordării bazate pe modele interne de rating</w:t>
            </w:r>
          </w:p>
          <w:p w14:paraId="3B167735" w14:textId="3BB70D2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Cuantumul ponderat la risc al expunerii activelor care reprezintă expuneri în cadrul abordării bazate pe modele interne de rating față de entități din sectorul public care nu sunt tratate ca entități suverane, astfel cum sunt prevăzute la articolul 147 alineatul (4) litera (b) din Regulamentul (UE) nr.</w:t>
            </w:r>
            <w:r w:rsidR="00F657AF">
              <w:rPr>
                <w:rFonts w:ascii="Times New Roman" w:hAnsi="Times New Roman"/>
                <w:sz w:val="24"/>
              </w:rPr>
              <w:t> </w:t>
            </w:r>
            <w:r>
              <w:rPr>
                <w:rFonts w:ascii="Times New Roman" w:hAnsi="Times New Roman"/>
                <w:sz w:val="24"/>
              </w:rPr>
              <w:t>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Instituții – Valoarea expunerii pentru calcularea indicatorului efectului de levier – Expuneri în cadrul abordării standardizate</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instituții în cadrul abordării standardizate, astfel cum sunt prevăzute la articolele 119-121 din Regulamentul (UE) nr.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Instituții</w:t>
            </w:r>
            <w:r>
              <w:rPr>
                <w:rFonts w:ascii="Times New Roman" w:hAnsi="Times New Roman"/>
                <w:sz w:val="24"/>
              </w:rPr>
              <w:t xml:space="preserve"> </w:t>
            </w:r>
            <w:r>
              <w:rPr>
                <w:rFonts w:ascii="Times New Roman" w:hAnsi="Times New Roman"/>
                <w:b/>
                <w:sz w:val="24"/>
              </w:rPr>
              <w:t>– Valoarea expunerii pentru calcularea indicatorului efectului de levier – Expuneri în cadrul abordării bazate pe modele interne de rating</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Valoarea expunerii pentru calcularea indicatorului efectului de levier al activelor care reprezintă expuneri față de instituții în cadrul abordării bazate pe modele interne de rating, astfel cum sunt prevăzute la articolul 147 alineatul (2) litera (b) din Regulamentul (UE) nr. 575/2013, și care nu reprezintă expuneri sub formă de obligațiuni garantate conform articolului 161 alineatul (1) litera (d) din Regulamentul (UE) nr. 575/2013 și nu se încadrează la articolul 147 alineatul (4) litera (c) din Regulamentul (UE) nr.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Instituții – Cuantumul ponderat la risc al expunerilor – Expuneri în cadrul abordării standardizate</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instituții în cadrul abordării standardizate, astfel cum sunt prevăzute la articolele 119-121 din Regulamentul (UE) nr.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Instituții – Cuantumul ponderat la risc al expunerilor – Expuneri în cadrul abordării bazate pe modele interne de rating</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instituții în cadrul abordării bazate pe modele interne de rating, astfel cum sunt prevăzute la articolul 147 alineatul (2) litera (b) din Regulamentul (UE) nr. 575/2013, și care nu reprezintă expuneri sub formă de obligațiuni garantate conform articolului 161 alineatul (1) litera (d) din Regulamentul (UE) nr. 575/2013 și nu se încadrează la articolul 147 alineatul (4) litera (c) din Regulamentul (UE) nr.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Garantate cu ipoteci asupra bunurilor imobile și expuneri ADC – Valoarea expunerii pentru calcularea indicatorului efectului de levier – Expuneri în cadrul abordării standardizate</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garantate cu ipoteci asupra bunurilor imobile în cadrul abordării standardizate și expuneri aferente achizițiilor de terenuri, dezvoltării și construcțiilor (ADC), astfel cum sunt prevăzute la articolul 124 și 126a din Regulamentul (UE) nr.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Garantate cu ipoteci asupra bunurilor imobile și expuneri ADC – Valoarea expunerii pentru calcularea indicatorului efectului de levier – Expuneri în cadrul abordării bazate pe modele interne de rating</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în cadrul abordării bazate pe modele interne de rating, astfel cum sunt prevăzute la articolul 147 alineatul (2) litera (c), sau expuneri de tip retail în cadrul abordării bazate pe modele interne de rating, astfel cum sunt prevăzute la articolul 147 alineatul (2) litera (d) subpunctul (ii) din Regulamentul (UE) nr. 575/2013, dacă aceste expuneri sunt garantate cu ipoteci asupra bunurilor imobile și sunt expuneri ADC, în conformitate cu articolul 199 alineatul (1) litera (a) din Regulamentul (UE) nr.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Garantate cu ipoteci asupra bunurilor imobile și expuneri ADC – Cuantumul ponderat la risc al expunerilor – Expuneri în cadrul abordării standardizate</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Cuantumul ponderat la risc al expunerii activelor care reprezintă expuneri garantate cu ipoteci asupra bunurilor imobile și expuneri ADC în cadrul abordării standardizate, astfel cum sunt prevăzute la articolele 124 și 126a din Regulamentul (UE) nr.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Garantate cu ipoteci asupra bunurilor imobile și expuneri ADC – Cuantumul ponderat la risc al expunerilor – Expuneri în cadrul abordării bazate pe modele interne de rating</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Cuantumul ponderat la risc al expunerii activelor care reprezintă expuneri față de societăți în cadrul abordării bazate pe modele interne de rating, astfel cum sunt prevăzute la articolul 147 alineatul (2) litera (c), sau expuneri de tip retail în cadrul abordării bazate pe modele interne de rating, astfel cum sunt prevăzute la articolul 147 alineatul (2) litera (d) subpunctul (ii) din Regulamentul (UE) nr. 575/2013, dacă aceste expuneri sunt garantate cu ipoteci asupra bunurilor imobile în conformitate cu articolul 199 alineatul (1) litera (a) din Regulamentul (UE) nr. 575/2013. Instituțiile raportează valoarea obținută după scăderea expunerilor aflate în stare de nerambursare în cadrul abordării bazate pe modele interne de rating.</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Garantate cu ipoteci asupra bunurilor imobile locative – Valoarea expunerii pentru calcularea indicatorului efectului de levier – Expuneri în cadrul abordării standardizate</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garantate integral și pe deplin cu ipoteci asupra bunurilor imobile locative în cadrul abordării standardizate, astfel cum sunt prevăzute la articolul 125 din Regulamentul (UE) nr.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Din care: Garantate cu ipoteci asupra bunurilor imobile locative – Valoarea expunerii pentru calcularea indicatorului efectului de levier – Expuneri în cadrul abordării bazate pe modele interne de rating</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în cadrul abordării bazate pe modele interne de rating, astfel cum sunt prevăzute la articolul 147 alineatul (2) litera (c), sau expuneri de tip retail în cadrul abordării bazate pe modele interne de rating, astfel cum sunt prevăzute la articolul 147 alineatul (2) litera (d) subpunctul (ii) din Regulamentul (UE) nr. 575/2013, dacă aceste expuneri sunt garantate cu ipoteci asupra bunurilor imobile locative, în conformitate cu articolul 199 alineatul (1) litera (a) din Regulamentul (UE) nr.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Instituțiile raportează valoarea obținută după scăderea expunerilor aflate în stare de nerambursare în cadrul abordării bazate pe modele interne de rating.</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Garantate cu ipoteci asupra bunurilor imobile locative – Cuantumul ponderat la risc al expunerilor – Expuneri în cadrul abordării standardizate</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garantate integral și pe deplin cu ipoteci asupra bunurilor imobile locative în cadrul abordării standardizate, astfel cum sunt prevăzute la articolul 125 din Regulamentul (UE) nr.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Garantate cu ipoteci asupra bunurilor imobile locative – Cuantumul ponderat la risc al expunerilor – Expuneri în cadrul abordării bazate pe modele interne de rating</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în cadrul abordării bazate pe modele interne de rating, astfel cum sunt prevăzute la articolul 147 alineatul (2) litera (c), sau expuneri de tip retail în cadrul abordării bazate pe modele interne de rating, astfel cum sunt prevăzute la articolul 147 alineatul (2) litera (d) subpunctul (ii) din Regulamentul (UE) nr. 575/2013, dacă aceste expuneri sunt garantate cu ipoteci asupra bunurilor imobile locative în conformitate cu articolul 199 alineatul (1) litera (a) din Regulamentul (UE) nr.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de tip retail – Valoarea expunerii pentru calcularea indicatorului efectului de levier – Expuneri în cadrul abordării standardizate</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de tip retail în cadrul abordării standardizate, astfel cum sunt prevăzute la articolul 123 din Regulamentul (UE) nr.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de tip retail – Valoarea expunerii pentru calcularea indicatorului efectului de levier – Expuneri în cadrul abordării bazate pe modele interne de rating</w:t>
            </w:r>
          </w:p>
          <w:p w14:paraId="2F48B2D6" w14:textId="139BB58B"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Valoarea expunerii pentru calcularea indicatorului efectului de levier al activelor care reprezintă expuneri de tip retail în cadrul abordării bazate pe modele interne de rating, astfel cum sunt prevăzute la articolul 147 alineatul (2) litera (d) subpunctele (i), (iii) și (iv) din Regulamentul (UE) nr.</w:t>
            </w:r>
            <w:r w:rsidR="00F657AF">
              <w:rPr>
                <w:rFonts w:ascii="Times New Roman" w:hAnsi="Times New Roman"/>
                <w:sz w:val="24"/>
              </w:rPr>
              <w:t> </w:t>
            </w:r>
            <w:r>
              <w:rPr>
                <w:rFonts w:ascii="Times New Roman" w:hAnsi="Times New Roman"/>
                <w:sz w:val="24"/>
              </w:rPr>
              <w:t>575/2013, dacă aceste expuneri nu sunt garantate cu ipoteci asupra bunurilor imobile în conformitate cu articolul 199 alineatul (1) litera (a) din Regulamentul (UE) nr.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de tip retail – Cuantumul ponderat la risc al expunerilor – Expuneri în cadrul abordării standardizate</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de tip retail în cadrul abordării standardizate, astfel cum sunt prevăzute la articolul 123 din Regulamentul (UE) nr.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de tip retail – Cuantumul ponderat la risc al expunerilor – Expuneri în cadrul abordării bazate pe modele interne de rating</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de tip retail în cadrul abordării bazate pe modele interne de rating, astfel cum sunt prevăzute la articolul 147 alineatul (2) litera (d) subpunctele (i), (iii) și (iv) din Regulamentul (UE) nr. 575/2013, dacă aceste expuneri nu sunt garantate cu ipoteci asupra bunurilor imobile în conformitate cu articolul 199 alineatul (1) litera (a) din Regulamentul (UE) nr.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Din care: Expuneri de tip retail față de IMM-uri – Valoarea expunerii pentru calcularea indicatorului efectului de levier – Expuneri în cadrul abordării standardizate</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de tip retail față de întreprinderi mici și mijlocii în cadrul abordării standardizate, astfel cum sunt prevăzute la articolul 123 din Regulamentul (UE) nr.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Instituțiile raportează valoarea obținută după scăderea expunerilor aflate în stare de nerambursare în cadrul abordării standardizate.</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de tip retail față de IMM-uri – Valoarea expunerii pentru calcularea indicatorului efectului de levier – Expuneri în cadrul abordării bazate pe modele interne de rating</w:t>
            </w:r>
          </w:p>
          <w:p w14:paraId="781E0C73" w14:textId="582C290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de tip retail în cadrul abordării bazate pe modele interne de rating, astfel cum sunt prevăzute la articolul 147 alineatul (2) litera (d) subpunctele (i), (iii) și (iv) din Regulamentul (UE) nr.</w:t>
            </w:r>
            <w:r w:rsidR="00F657AF">
              <w:rPr>
                <w:rFonts w:ascii="Times New Roman" w:hAnsi="Times New Roman"/>
                <w:sz w:val="24"/>
              </w:rPr>
              <w:t> </w:t>
            </w:r>
            <w:r>
              <w:rPr>
                <w:rFonts w:ascii="Times New Roman" w:hAnsi="Times New Roman"/>
                <w:sz w:val="24"/>
              </w:rPr>
              <w:t>575/2013, dacă aceste expuneri sunt expuneri față de întreprinderi mici și mijlocii și nu sunt garantate cu ipoteci asupra bunurilor imobile în conformitate cu articolul 199 alineatul (1) litera (a) din Regulamentul (UE) nr.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de tip retail față de IMM-uri – Cuantumul ponderat la risc al expunerilor – Expuneri în cadrul abordării standardizate</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de tip retail față de întreprinderi mici și mijlocii în cadrul abordării standardizate, astfel cum sunt prevăzute la articolul 123 din Regulamentul (UE) nr.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de tip retail față de IMM-uri – Cuantumul ponderat la risc al expunerilor – Expuneri în cadrul abordării bazate pe modele interne de rating</w:t>
            </w:r>
          </w:p>
          <w:p w14:paraId="4092922E" w14:textId="628C645F"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de tip retail în cadrul abordării bazate pe modele interne de rating, astfel cum sunt prevăzute la articolul 147 alineatul (2) litera (d) subpunctele (i), (iii) și (iv) din Regulamentul (UE) nr.</w:t>
            </w:r>
            <w:r w:rsidR="00F657AF">
              <w:rPr>
                <w:rFonts w:ascii="Times New Roman" w:hAnsi="Times New Roman"/>
                <w:sz w:val="24"/>
              </w:rPr>
              <w:t> </w:t>
            </w:r>
            <w:r>
              <w:rPr>
                <w:rFonts w:ascii="Times New Roman" w:hAnsi="Times New Roman"/>
                <w:sz w:val="24"/>
              </w:rPr>
              <w:t xml:space="preserve">575/2013, dacă aceste expuneri sunt expuneri față de întreprinderi mici și mijlocii și nu sunt garantate cu ipoteci asupra bunurilor imobile în </w:t>
            </w:r>
            <w:r>
              <w:rPr>
                <w:rFonts w:ascii="Times New Roman" w:hAnsi="Times New Roman"/>
                <w:sz w:val="24"/>
              </w:rPr>
              <w:lastRenderedPageBreak/>
              <w:t>conformitate cu articolul 199 alineatul (1) litera (a) din Regulamentul (UE) nr.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 Valoarea expunerii pentru calcularea indicatorului efectului de levier – Expuneri în cadrul abordării standardizate</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Suma celulelor {0240,0010} și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 Valoarea expunerii pentru calcularea indicatorului efectului de levier – Expuneri în cadrul abordării bazate pe modele interne de rating</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{0240,0020} și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 Cuantumul ponderat la risc al expunerilor – Expuneri în cadrul abordării standardizate</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{0240,0030} și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 Cuantumul ponderat la risc al expunerilor – Expuneri în cadrul abordării bazate pe modele interne de rating</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{0240,0040} și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financiare – Valoarea expunerii pentru calcularea indicatorului efectului de levier – Expuneri în cadrul abordării standardizate</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Valoarea expunerii pentru calcularea indicatorului efectului de levier al activelor care reprezintă expuneri față de societăți financiare în cadrul abordării standardizate, astfel cum sunt prevăzute la articolul 122 din Regulamentul (UE) nr. 575/2013.</w:t>
            </w:r>
          </w:p>
          <w:p w14:paraId="48ACEE9F" w14:textId="1C07479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Pentru completarea formularului LR4, societăți financiare înseamnă societăți reglementate și nereglementate, altele decât instituțiile menționate în {0180;0010}, a căror activitate principală constă în achiziționarea de participații sau în desfășurarea uneia sau a mai multora dintre activitățile incluse în anexa I la Directiva 2013/36/UE, precum și întreprinderile definite la articolul 4 alineatul (1) punctul 27 din Regulamentul (UE) nr.</w:t>
            </w:r>
            <w:r w:rsidR="00F657AF">
              <w:rPr>
                <w:rFonts w:ascii="Times New Roman" w:hAnsi="Times New Roman"/>
                <w:sz w:val="24"/>
              </w:rPr>
              <w:t> </w:t>
            </w:r>
            <w:r>
              <w:rPr>
                <w:rFonts w:ascii="Times New Roman" w:hAnsi="Times New Roman"/>
                <w:sz w:val="24"/>
              </w:rPr>
              <w:t xml:space="preserve">575/2013, altele decât instituțiile menționate în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financiare – Valoarea expunerii pentru calcularea indicatorului efectului de levier – Expuneri în cadrul abordării bazate pe modele interne de rating</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financiare în cadrul 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w:t>
            </w:r>
          </w:p>
          <w:p w14:paraId="07B8C8CE" w14:textId="7C77ED2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Pentru completarea formularului LR4, societăți financiare înseamnă societăți reglementate și nereglementate, altele decât instituțiile menționate în {0180;0010}, a căror activitate principală constă în achiziționarea de participații sau în desfășurarea uneia sau a mai multora dintre activitățile incluse în anexa I la Directiva 2013/36/UE, precum și întreprinderile definite la articolul 4 alineatul (1) punctul 27 din Regulamentul (UE) nr.</w:t>
            </w:r>
            <w:r w:rsidR="00F657AF">
              <w:rPr>
                <w:rFonts w:ascii="Times New Roman" w:hAnsi="Times New Roman"/>
                <w:sz w:val="24"/>
              </w:rPr>
              <w:t> </w:t>
            </w:r>
            <w:r>
              <w:rPr>
                <w:rFonts w:ascii="Times New Roman" w:hAnsi="Times New Roman"/>
                <w:sz w:val="24"/>
              </w:rPr>
              <w:t xml:space="preserve">575/2013, altele decât instituțiile menționate în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financiare – Cuantumul ponderat la risc al expunerilor – Expuneri în cadrul abordării standardizate</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financiare în cadrul abordării standardizate, astfel cum sunt prevăzute la articolul 122 din Regulamentul (UE) nr. 575/2013.</w:t>
            </w:r>
          </w:p>
          <w:p w14:paraId="4DE325F6" w14:textId="4525480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Pentru completarea formularului LR4, societăți financiare înseamnă societăți reglementate și nereglementate, altele decât instituțiile menționate în {0180;0010}, a căror activitate principală constă în achiziționarea de </w:t>
            </w:r>
            <w:r>
              <w:rPr>
                <w:rFonts w:ascii="Times New Roman" w:hAnsi="Times New Roman"/>
                <w:sz w:val="24"/>
              </w:rPr>
              <w:lastRenderedPageBreak/>
              <w:t>participații sau în desfășurarea uneia sau a mai multora dintre activitățile incluse în anexa I la Directiva 2013/36/UE, precum și întreprinderile definite la articolul 4 alineatul (1) punctul 27 din Regulamentul (UE) nr.</w:t>
            </w:r>
            <w:r w:rsidR="00F657AF">
              <w:rPr>
                <w:rFonts w:ascii="Times New Roman" w:hAnsi="Times New Roman"/>
                <w:sz w:val="24"/>
              </w:rPr>
              <w:t> </w:t>
            </w:r>
            <w:r>
              <w:rPr>
                <w:rFonts w:ascii="Times New Roman" w:hAnsi="Times New Roman"/>
                <w:sz w:val="24"/>
              </w:rPr>
              <w:t xml:space="preserve">575/2013, altele decât instituțiile menționate în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Societăți financiare – Cuantumul ponderat la risc al expunerilor – Expuneri în cadrul abordării bazate pe modele interne de rating</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financiare în cadrul 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w:t>
            </w:r>
          </w:p>
          <w:p w14:paraId="717CB3D1" w14:textId="172A05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Pentru completarea formularului LR4, societăți financiare înseamnă societăți reglementate și nereglementate, altele decât instituțiile menționate în {0180;0010}, a căror activitate principală constă în achiziționarea de participații sau în desfășurarea uneia sau a mai multora dintre activitățile incluse în anexa I la Directiva 2013/36/UE, precum și întreprinderile definite la articolul 4 alineatul (1) punctul 27 din Regulamentul (UE) nr.</w:t>
            </w:r>
            <w:r w:rsidR="00F657AF">
              <w:rPr>
                <w:rFonts w:ascii="Times New Roman" w:hAnsi="Times New Roman"/>
                <w:sz w:val="24"/>
              </w:rPr>
              <w:t> </w:t>
            </w:r>
            <w:r>
              <w:rPr>
                <w:rFonts w:ascii="Times New Roman" w:hAnsi="Times New Roman"/>
                <w:sz w:val="24"/>
              </w:rPr>
              <w:t>575/2013, altele decât instituțiile menționate în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Societăți nefinanciare – Valoarea expunerii pentru calcularea indicatorului efectului de levier – Expuneri în cadrul abordării standardizate</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nefinanciare în cadrul abordării standardizate, astfel cum sunt prevăzute la articolul 122 din Regulamentul (UE) nr.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{0260,0010} și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Societăți nefinanciare – Valoarea expunerii pentru calcularea indicatorului efectului de levier – Expuneri în cadrul abordării bazate pe modele interne de rating</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expunerii pentru calcularea indicatorului efectului de levier al activelor care reprezintă expuneri față de societăți nefinanciare în cadrul </w:t>
            </w:r>
            <w:r>
              <w:rPr>
                <w:rFonts w:ascii="Times New Roman" w:hAnsi="Times New Roman"/>
                <w:sz w:val="24"/>
              </w:rPr>
              <w:lastRenderedPageBreak/>
              <w:t>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{0260,0020} și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Societăți nefinanciare – Cuantumul ponderat la risc al expunerilor – Expuneri în cadrul abordării standardizate</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nefinanciare în cadrul abordării standardizate, astfel cum sunt prevăzute la articolul 122 din Regulamentul (UE) nr.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{0260,0030} și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Societăți nefinanciare – Cuantumul ponderat la risc al expunerilor – Expuneri în cadrul abordării bazate pe modele interne de rating</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nefinanciare în cadrul 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Suma celulelor {0260,0040} și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Expuneri față de IMM-uri – Valoarea expunerii pentru calcularea indicatorului efectului de levier – Expuneri în cadrul abordării standardizate</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de tipul întreprinderilor mici și mijlocii în cadrul abordării standardizate, astfel cum sunt prevăzute la articolul 122 din Regulamentul (UE) nr.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În sensul acestei celule, instituțiile utilizează noțiunea de „întreprindere mică sau mijlocie” astfel cum este definită la articolul 501 alineatul (2) litera (b) din Regulamentul (UE) nr.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IMM-uri – Valoarea expunerii pentru calcularea indicatorului efectului de levier – Expuneri în cadrul abordării bazate pe modele interne de rating</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în cadrul abordării bazate pe modele interne de rating, astfel cum sunt prevăzute la articolul 147 alineatul (2) litera (c) din Regulamentul (UE) nr. 575/2013, dacă aceste expuneri sunt expuneri față de întreprinderi mici și mijlocii și nu sunt garantate cu ipoteci asupra bunurilor imobile în conformitate cu articolul 199 alineatul (1) litera (a) din Regulamentul (UE) nr.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IMM-uri – Cuantumul ponderat la risc al expunerilor – Expuneri în cadrul abordării standardizate</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de tipul întreprinderilor mici și mijlocii în cadrul abordării standardizate, astfel cum sunt prevăzute la articolul 122 din Regulamentul (UE) nr.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față de IMM-uri – Cuantumul ponderat la risc al expunerilor – Expuneri în cadrul abordării bazate pe modele interne de rating</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Cuantumul ponderat la risc al expunerii activelor care reprezintă expuneri față de societăți în cadrul abordării bazate pe modele interne de rating, astfel cum sunt prevăzute la articolul 147 alineatul (2) litera (c) din Regulamentul (UE) nr. 575/2013, dacă aceste expuneri sunt expuneri față de întreprinderi mici și mijlocii și nu sunt garantate cu ipoteci asupra bunurilor imobile în </w:t>
            </w:r>
            <w:r>
              <w:rPr>
                <w:rFonts w:ascii="Times New Roman" w:hAnsi="Times New Roman"/>
                <w:sz w:val="24"/>
              </w:rPr>
              <w:lastRenderedPageBreak/>
              <w:t>conformitate cu articolul 199 alineatul (1) litera (a) din Regulamentul (UE) nr.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În sensul acestei celule, instituțiile utilizează noțiunea de „întreprindere mică sau mijlocie” astfel cum este definită la articolul 501 alineatul (2) litera (b) din Regulamentul (UE) nr.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Expuneri, altele decât expunerile față de IMM-uri – Valoarea expunerii pentru calcularea indicatorului efectului de levier – Expuneri în cadrul abordării standardizate</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față de societăți în cadrul abordării standardizate, astfel cum sunt prevăzute la articolul 122 din Regulamentul (UE) nr. 575/2013, și care nu sunt raportate în {0230;0040} și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Expuneri, altele decât expunerile față de IMM-uri – Valoarea expunerii pentru calcularea indicatorului efectului de levier – Expuneri în cadrul abordării bazate pe modele interne de rating</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Valoarea expunerii pentru calcularea indicatorului efectului de levier al activelor care reprezintă expuneri față de societăți în cadrul 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 și care nu sunt raportate în {0230;0040} și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Expuneri, altele decât expunerile față de IMM-uri – Cuantumul ponderat la risc al expunerilor – Expuneri în cadrul abordării standardizate</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față de societăți în cadrul abordării standardizate, astfel cum sunt prevăzute la articolul 122 din Regulamentul (UE) nr. 575/2013, și care nu sunt raportate în {0230;0040} și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Instituțiile raportează valoarea obținută după scăderea expunerilor aflate în stare de nerambursare în cadrul abordării standardizate.</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Expuneri, altele decât expunerile față de IMM-uri – Cuantumul ponderat la risc al expunerilor – Expuneri în cadrul abordării bazate pe modele interne de rating</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Cuantumul ponderat la risc al expunerii activelor care reprezintă expuneri față de societăți în cadrul abordării bazate pe modele interne de rating, astfel cum sunt prevăzute la articolul 147 alineatul (2) litera (c) din Regulamentul (UE) nr. 575/2013, dacă aceste expuneri nu sunt garantate cu ipoteci asupra bunurilor imobile în conformitate cu articolul 199 alineatul (1) litera (a) din Regulamentul (UE) nr. 575/2013, și care nu sunt raportate în {0230;0040} și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în stare de nerambursare – Valoarea expunerii pentru calcularea indicatorului efectului de levier – Expuneri în cadrul abordării standardizate</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expunerii pentru calcularea indicatorului efectului de levier al activelor care reprezintă expuneri în stare de nerambursare în cadrul abordării standardizate și se încadrează, prin urmare, la articolul 127 din Regulamentul (UE) nr.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în stare de nerambursare – Valoarea expunerii pentru calcularea indicatorului efectului de levier – Expuneri în cadrul abordării bazate pe modele interne de rating</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expunerii pentru calcularea indicatorului efectului de levier al activelor încadrate în clasele de expuneri enumerate la articolul 147 alineatul (2) din Regulamentul (UE) nr. 575/2013, dacă s-a înregistrat o stare de nerambursare în conformitate cu articolul 178 din Regulamentul (UE) nr.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în stare de nerambursare – Cuantumul ponderat la risc al expunerilor – Expuneri în cadrul abordării standardizate</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cuantumul ponderat la risc al expunerii activelor care reprezintă expuneri în stare de nerambursare și se încadrează, prin urmare, la articolul 127 din Regulamentul (UE) nr.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Expuneri în stare de nerambursare – Cuantumul ponderat la risc al expunerilor – Expuneri în cadrul abordării bazate pe modele interne de rating</w:t>
            </w:r>
          </w:p>
          <w:p w14:paraId="5EF9576D" w14:textId="5E7FDA51"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Instituțiile raportează cuantumul ponderat la risc al expunerii activelor încadrate în clasele de expuneri enumerate la articolul 147 alineatul (2) din Regulamentul (UE) nr. 575/2013, dacă s-a înregistrat o stare de nerambursare în conformitate cu articolul 178 din Regulamentul (UE) nr.</w:t>
            </w:r>
            <w:r w:rsidR="00F657AF">
              <w:rPr>
                <w:rFonts w:ascii="Times New Roman" w:hAnsi="Times New Roman"/>
                <w:sz w:val="24"/>
              </w:rPr>
              <w:t> </w:t>
            </w:r>
            <w:r>
              <w:rPr>
                <w:rFonts w:ascii="Times New Roman" w:hAnsi="Times New Roman"/>
                <w:sz w:val="24"/>
              </w:rPr>
              <w:t>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Alte expuneri – Valoarea expunerii pentru calcularea indicatorului efectului de levier – Expuneri în cadrul abordării standardizate</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încadrate în clasele de expuneri enumerate la articolul 112 literele (k), (m), (n), (o), (p) și (q) din Regulamentul (UE) nr.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activele care sunt deduse din fondurile proprii (de exemplu, imobilizările necorporale), dar nu pot fi clasificate altfel, chiar dacă o astfel de clasificare nu este necesară pentru determinarea cerințelor de fonduri proprii bazate pe risc în coloanele {*; 0030} și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Alte expuneri – Valoarea expunerii pentru calcularea indicatorului efectului de levier – Expuneri în cadrul abordării bazate pe modele interne de rating</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încadrate în clasele de expuneri enumerate la articolul 147 alineatul (2) literele (e), (ea), (f) și (g) din Regulamentul (UE) nr.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activele care sunt deduse din fondurile proprii (de exemplu, imobilizările necorporale), dar nu pot fi clasificate altfel, chiar dacă o astfel de clasificare nu este necesară pentru determinarea cerințelor de fonduri proprii bazate pe risc în coloanele {*; 0030} și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Alte expuneri – Cuantumul ponderat la risc al expunerilor – Expuneri în cadrul abordării standardizate</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ponderată la risc a expunerii activelor încadrate în clasele de expuneri enumerate la articolul 112 literele (k), (m), (n), (o), (p) și (q) din Regulamentul (UE) nr.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Alte expuneri – Cuantumul ponderat la risc al expunerilor – Expuneri în cadrul abordării bazate pe modele interne de rating</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Valoarea ponderată la risc a expunerii activelor încadrate în clasele de expuneri enumerate la articolul 147 alineatul (2) literele (e), (ea), (f) și (g) din Regulamentul (UE) nr.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din securitizare – Valoarea expunerii pentru calcularea indicatorului efectului de levier – Expuneri în cadrul abordării standardizate</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din securitizare în cadrul abordării standardizate, astfel cum sunt prevăzute la articolul 112 litera (m) din Regulamentul (UE) nr.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din securitizare – Valoarea expunerii pentru calcularea indicatorului efectului de levier – Expuneri în cadrul abordării bazate pe modele interne de rating</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activelor care reprezintă expuneri din securitizare în cadrul abordării bazate pe modele interne de rating, astfel cum sunt prevăzute la articolul 147 alineatul (2) litera (f) din Regulamentul (UE) nr.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din securitizare – Cuantumul ponderat la risc al expunerilor – Expuneri în cadrul abordării standardizate</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Cuantumul ponderat la risc al expunerii activelor care reprezintă expuneri din securitizări în cadrul abordării standardizate, astfel cum sunt prevăzute la articolul 112 litera (m) din Regulamentul (UE) nr.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Expuneri din securitizare – Cuantumul ponderat la risc al expunerilor – Expuneri în cadrul abordării bazate pe modele interne de rating</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Cuantumul ponderat la risc al expunerii activelor care reprezintă expuneri din securitizări în cadrul abordării bazate pe modele interne de rating, astfel </w:t>
            </w:r>
            <w:r>
              <w:rPr>
                <w:rFonts w:ascii="Times New Roman" w:hAnsi="Times New Roman"/>
                <w:sz w:val="24"/>
              </w:rPr>
              <w:lastRenderedPageBreak/>
              <w:t>cum sunt prevăzute la articolul 147 alineatul (2) litera (f) din Regulamentul (UE) nr.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Finanțarea comerțului (element memorandum) – Valoarea expunerii pentru calcularea indicatorului efectului de levier – Expuneri în cadrul abordării standardizate</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elementelor bilanțiere care se referă la darea cu împrumut către un exportator sau un importator de bunuri sau servicii prin intermediul creditelor de import și de export și al operațiunilor similare.</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Finanțarea comerțului (element memorandum) – Valoarea expunerii pentru calcularea indicatorului efectului de levier – Expuneri în cadrul abordării bazate pe modele interne de rating</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elementelor bilanțiere care se referă la darea cu împrumut către un exportator sau un importator de bunuri sau servicii prin intermediul creditelor de import și de export și al operațiunilor similare.</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Finanțarea comerțului (element memorandum) – Cuantumul ponderat la risc al expunerilor – Expuneri în cadrul abordării standardizate</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ponderată la risc a expunerii elementelor bilanțiere care se referă la darea cu împrumut către un exportator sau un importator de bunuri sau servicii prin intermediul creditelor de import și de export și al operațiunilor similare.</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Finanțarea comerțului (element memorandum) – Cuantumul ponderat la risc al expunerilor – Expuneri în cadrul abordării bazate pe modele interne de rating</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Cuantumul ponderat la risc al expunerii elementelor bilanțiere care se referă la darea cu împrumut către un exportator sau un importator de bunuri sau </w:t>
            </w:r>
            <w:r>
              <w:rPr>
                <w:rFonts w:ascii="Times New Roman" w:hAnsi="Times New Roman"/>
                <w:sz w:val="24"/>
              </w:rPr>
              <w:lastRenderedPageBreak/>
              <w:t>servicii prin intermediul creditelor de import și de export și al operațiunilor similare.</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Valoarea expunerii pentru calcularea indicatorului efectului de levier – Expuneri în cadrul abordării standardizate</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Valoarea expunerii pentru calcularea indicatorului efectului de levier al elementelor bilanțiere care se referă la finanțarea comerțului în cadrul unei scheme oficiale de asigurare a creditelor de export.</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Valoarea expunerii pentru calcularea indicatorului efectului de levier – Expuneri în cadrul abordării bazate pe modele interne de rating</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Valoarea expunerii pentru calcularea indicatorului efectului de levier al elementelor bilanțiere care se referă la finanțarea comerțului în cadrul unei scheme oficiale de asigurare a creditelor de export.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Cuantumul ponderat la risc al expunerilor – Expuneri în cadrul abordării standardizate</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Valoarea ponderată la risc a expunerii elementelor bilanțiere care se referă la finanțarea comerțului în cadrul unei scheme oficiale de asigurare a creditelor de export.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standardizate.</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Din care: În cadrul schemei oficiale de asigurare a creditelor de export – Cuantumul ponderat la risc al expunerilor – Expuneri în cadrul abordării bazate pe modele interne de rating</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Cuantumul ponderat la risc al expunerii elementelor bilanțiere care se referă la finanțarea comerțului în cadrul unei scheme oficiale de asigurare a creditelor de export.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Pentru completarea formularului LR4, schema oficială de asigurare a creditelor de export se referă la sprijinul oficial acordat de guvern sau de o altă entitate, cum ar fi o agenție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Instituțiile raportează valoarea obținută după scăderea expunerilor aflate în stare de nerambursare în cadrul abordării bazate pe modele interne de rating.</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609511"/>
      <w:r>
        <w:rPr>
          <w:rFonts w:ascii="Times New Roman" w:hAnsi="Times New Roman"/>
          <w:b/>
          <w:sz w:val="24"/>
        </w:rPr>
        <w:t>6.</w:t>
      </w:r>
      <w:r>
        <w:tab/>
      </w:r>
      <w:r>
        <w:rPr>
          <w:rFonts w:ascii="Times New Roman" w:hAnsi="Times New Roman"/>
          <w:b/>
          <w:sz w:val="24"/>
        </w:rPr>
        <w:t>C 44.00 – Informații generale</w:t>
      </w:r>
      <w:bookmarkEnd w:id="74"/>
      <w:bookmarkEnd w:id="75"/>
      <w:r>
        <w:t xml:space="preserve"> </w:t>
      </w:r>
      <w:r>
        <w:rPr>
          <w:rFonts w:ascii="Times New Roman" w:hAnsi="Times New Roman"/>
          <w:b/>
          <w:sz w:val="24"/>
        </w:rPr>
        <w:t>(LR5)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În acest formular se colectează date suplimentare pentru clasificarea activităților instituției și a normelor pentru care a optat aceasta.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Rând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și coloană</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Instrucțiuni</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Structura juridică a instituției</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Instituția indică în această celulă în care dintre următoarele categorii se încadrează din punctul de vedere al structurii sale juridice:</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societate pe acțiuni;</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societate mutuală/cooperativă;</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altă societate, nu pe acțiuni.</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Tratamentul instrumentelor financiare derivate</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Instituția indică în această celulă conform căreia dintre următoarele categorii de norme tratează instrumentele financiare derivate:</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abordarea standardizată pentru riscul de credit al contrapărții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abordarea standardizată simplificată pentru riscul de credit al contrapărții;</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metoda expunerii inițiale.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Tipul instituției</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Instituția indică în această celulă în care dintre următoarele categorii se încadrează din punctul de vedere al tipului său de activitate:</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bancă universală (bancă de retail/comercială și de investiții);</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bancă de retail/comercială;</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bancă de investiții;</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creditor specializat;</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instituții de credit pentru dezvoltare publică;</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alt model de afaceri.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Instituție cu o unitate pentru dezvoltare publică</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Instituțiile care nu sunt instituții de credit pentru dezvoltare publică indică dacă au o unitate pentru dezvoltare publică.</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Entitatea care garantează instituția de credit/unitatea pentru dezvoltare publică în conformitate cu articolul 429a alineatul (2) litera (d) din CRR: Administrație centrală, administrație regională, autoritate locală</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Instituțiile care fie sunt </w:t>
            </w:r>
            <w:r>
              <w:rPr>
                <w:rFonts w:ascii="Times New Roman" w:hAnsi="Times New Roman"/>
                <w:color w:val="auto"/>
                <w:sz w:val="24"/>
              </w:rPr>
              <w:t>instituții de credit</w:t>
            </w:r>
            <w:r>
              <w:rPr>
                <w:rFonts w:ascii="Times New Roman" w:hAnsi="Times New Roman"/>
                <w:sz w:val="24"/>
              </w:rPr>
              <w:t xml:space="preserve"> pentru dezvoltare publică, fie au o unitate pentru dezvoltare publică raportează dacă sunt garantate de o administrație centrală, o administrație regională sau o autoritate locală.</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Instituțiile completează „ADEVĂRAT” pe rândul care corespunde tipului (tipurilor) aplicabil(e) de furnizor de protecție și „FALS” în rest.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lastRenderedPageBreak/>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Administrație centrală care garantează </w:t>
            </w:r>
            <w:r>
              <w:rPr>
                <w:rFonts w:ascii="Times New Roman" w:hAnsi="Times New Roman"/>
                <w:b/>
                <w:color w:val="auto"/>
                <w:sz w:val="24"/>
              </w:rPr>
              <w:t>instituțiile de credit</w:t>
            </w:r>
            <w:r>
              <w:rPr>
                <w:rFonts w:ascii="Times New Roman" w:hAnsi="Times New Roman"/>
                <w:b/>
                <w:sz w:val="24"/>
              </w:rPr>
              <w:t>/unitatea pentru dezvoltare publică</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Administrație regională care garantează </w:t>
            </w:r>
            <w:r>
              <w:rPr>
                <w:rFonts w:ascii="Times New Roman" w:hAnsi="Times New Roman"/>
                <w:b/>
                <w:color w:val="auto"/>
                <w:sz w:val="24"/>
              </w:rPr>
              <w:t>instituțiile de credit</w:t>
            </w:r>
            <w:r>
              <w:rPr>
                <w:rFonts w:ascii="Times New Roman" w:hAnsi="Times New Roman"/>
                <w:b/>
                <w:sz w:val="24"/>
              </w:rPr>
              <w:t>/unitatea pentru dezvoltare publică</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Autoritate locală care garantează </w:t>
            </w:r>
            <w:r>
              <w:rPr>
                <w:rFonts w:ascii="Times New Roman" w:hAnsi="Times New Roman"/>
                <w:b/>
                <w:color w:val="auto"/>
                <w:sz w:val="24"/>
              </w:rPr>
              <w:t>instituțiile de credit</w:t>
            </w:r>
            <w:r>
              <w:rPr>
                <w:rFonts w:ascii="Times New Roman" w:hAnsi="Times New Roman"/>
                <w:b/>
                <w:sz w:val="24"/>
              </w:rPr>
              <w:t>/unitatea pentru dezvoltare publică</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Tipul de garanție primită în conformitate cu articolul 429a alineatul (2) litera (d) din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Instituțiile care fie sunt </w:t>
            </w:r>
            <w:r>
              <w:rPr>
                <w:rFonts w:ascii="Times New Roman" w:hAnsi="Times New Roman"/>
                <w:color w:val="auto"/>
                <w:sz w:val="24"/>
              </w:rPr>
              <w:t>instituții de credit</w:t>
            </w:r>
            <w:r>
              <w:rPr>
                <w:rFonts w:ascii="Times New Roman" w:hAnsi="Times New Roman"/>
                <w:sz w:val="24"/>
              </w:rPr>
              <w:t xml:space="preserve"> pentru dezvoltare publică, fie au o unitate pentru dezvoltare publică raportează tipul de protecție primită.</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Instituțiile completează „ADEVĂRAT” pe rândul care corespunde tipului (tipurilor) aplicabil(e) de protecție și „FALS” în rest.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Obligație de a proteja viabilitatea instituțiilor de credit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Garantare directă a cerințelor de fonduri proprii, a cerințelor de finanțare sau a creditelor promoționale acordate ale instituțiilor de credit</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Garantare indirectă a cerințelor de fonduri proprii, a cerințelor de finanțare sau a creditelor promoționale acordate ale instituțiilor de credit</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609512"/>
      <w:r>
        <w:rPr>
          <w:rFonts w:ascii="Times New Roman" w:hAnsi="Times New Roman"/>
          <w:b/>
          <w:sz w:val="24"/>
        </w:rPr>
        <w:t>7.</w:t>
      </w:r>
      <w:r>
        <w:tab/>
      </w:r>
      <w:r>
        <w:rPr>
          <w:rFonts w:ascii="Times New Roman" w:hAnsi="Times New Roman"/>
          <w:b/>
          <w:sz w:val="24"/>
        </w:rPr>
        <w:t>C 48.00 Volatilitatea indicatorului efectului de levier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Se colectează informații în scopul monitorizării volatilității indicatorului efectului de levier. Informațiile se raportează doar de către instituțiile mari.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609513"/>
      <w:r>
        <w:rPr>
          <w:rFonts w:ascii="Times New Roman" w:hAnsi="Times New Roman"/>
          <w:b/>
          <w:sz w:val="24"/>
        </w:rPr>
        <w:t>8.</w:t>
      </w:r>
      <w:r>
        <w:tab/>
      </w:r>
      <w:r>
        <w:rPr>
          <w:rFonts w:ascii="Times New Roman" w:hAnsi="Times New Roman"/>
          <w:b/>
          <w:sz w:val="24"/>
        </w:rPr>
        <w:t>C 48.01 Volatilitatea indicatorului efectului de levier: valoarea medie pentru perioada de raportare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Rând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și coloană</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Instrucțiuni</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Valoarea medie pentru perioada de raportare – Valoarea expunerilor aferente SFT-urilor</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Instituțiile raportează media valorilor zilnice din cursul trimestrului de raportare ale expunerilor aferente SFT-urilor, fără segmentul CPC exclus </w:t>
            </w:r>
            <w:r>
              <w:rPr>
                <w:rFonts w:ascii="Times New Roman" w:hAnsi="Times New Roman"/>
                <w:color w:val="auto"/>
                <w:sz w:val="24"/>
              </w:rPr>
              <w:lastRenderedPageBreak/>
              <w:t>din expunerile aferente tranzacțiilor compensate pentru clienți, astfel cum sunt definite pe rândurile 0010 și 0050 din formularul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Valoarea medie pentru perioada de raportare –</w:t>
            </w:r>
            <w:r>
              <w:rPr>
                <w:sz w:val="24"/>
              </w:rPr>
              <w:t xml:space="preserve"> </w:t>
            </w:r>
            <w:r>
              <w:rPr>
                <w:rFonts w:ascii="Times New Roman" w:hAnsi="Times New Roman"/>
                <w:b/>
                <w:color w:val="auto"/>
                <w:sz w:val="24"/>
              </w:rPr>
              <w:t xml:space="preserve">Ajustări pentru tranzacțiile contabilizate ca vânzări de SFT-uri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Instituțiile raportează media valorilor zilnice din cursul trimestrului de raportare ale ajustărilor pentru tranzacțiile contabilizate ca vânzări de SFT-uri, astfel cum sunt definite pe rândul 0230 din formularul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609514"/>
      <w:r>
        <w:rPr>
          <w:rFonts w:ascii="Times New Roman" w:hAnsi="Times New Roman"/>
          <w:b/>
          <w:sz w:val="24"/>
        </w:rPr>
        <w:t>9.</w:t>
      </w:r>
      <w:r>
        <w:tab/>
      </w:r>
      <w:r>
        <w:rPr>
          <w:rFonts w:ascii="Times New Roman" w:hAnsi="Times New Roman"/>
          <w:b/>
          <w:sz w:val="24"/>
        </w:rPr>
        <w:t>C 48.02 Volatilitatea indicatorului efectului de levier: valorile zilnice pentru perioada de raportare</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Se raportează valorile zilnice din cursul trimestrului.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Rând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și coloană</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Instrucțiuni</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Data de referință din cadrul perioadei de raportare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Instituțiile raportează data la care se referă valoarea zilnică raportată. Se raportează valoarea pentru fiecare zi a trimestrului de raportare.</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Valoarea expunerilor aferente SFT-urilor</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Instituțiile raportează valorile zilnice din cursul trimestrului de raportare ale expunerilor aferente SFT-urilor, fără segmentul CPC exclus din expunerile aferente tranzacțiilor compensate pentru clienți, astfel cum sunt menționate pe rândurile 0010 și 0050 din formularul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Ajustări pentru tranzacțiile contabilizate ca vânzări de SFT-uri</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Instituțiile raportează valorile zilnice din cursul trimestrului de raportare ale ajustărilor pentru tranzacțiile contabilizate ca vânzări de SFT-uri, astfel cum sunt definite pe rândul 0230 din formularul C47.00.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w:t>
        </w:r>
        <w:r>
          <w:t>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Utilizare curentă 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Utilizare curentă AB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Utilizare curentă 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Utilizare curentă AB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Utilizare curentă AB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Utilizare curentă AB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Utilizare curentă ABE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B9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3F7B60"/>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5A39"/>
    <w:rsid w:val="008979D2"/>
    <w:rsid w:val="00897B7D"/>
    <w:rsid w:val="008A01A8"/>
    <w:rsid w:val="008A04BA"/>
    <w:rsid w:val="008A0524"/>
    <w:rsid w:val="008A0DFB"/>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3E99"/>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5F2B"/>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57AF"/>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615530155">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291402407">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BB62029B-5DF1-4537-85AC-0D410D812FBA}"/>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82</Pages>
  <Words>25947</Words>
  <Characters>161893</Characters>
  <Application>Microsoft Office Word</Application>
  <DocSecurity>0</DocSecurity>
  <Lines>3320</Lines>
  <Paragraphs>1288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186962</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2025-01-24T10:12:51Z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b09d18e6-2132-4cd5-ba9f-c57b2a2a649e</vt:lpwstr>
  </property>
  <property fmtid="{D5CDD505-2E9C-101B-9397-08002B2CF9AE}" pid="12" name="MSIP_Label_6bd9ddd1-4d20-43f6-abfa-fc3c07406f94_ContentBits">
    <vt:lpwstr>0</vt:lpwstr>
  </property>
</Properties>
</file>