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EL</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ΠΑΡΑΡΤΗΜΑ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«ΠΑΡΑΡΤΗΜΑ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tab/>
      </w:r>
      <w:r>
        <w:rPr>
          <w:rFonts w:ascii="Times New Roman" w:hAnsi="Times New Roman"/>
          <w:sz w:val="24"/>
        </w:rPr>
        <w:t>C 33.00 – Ανοίγματα γενικών κυβερνήσεων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tab/>
      </w:r>
      <w:r>
        <w:rPr>
          <w:rFonts w:ascii="Times New Roman" w:hAnsi="Times New Roman"/>
          <w:sz w:val="24"/>
        </w:rPr>
        <w:t>Γενικές παρατηρήσεις</w:t>
      </w:r>
      <w:bookmarkEnd w:id="2"/>
      <w:bookmarkEnd w:id="3"/>
      <w:bookmarkEnd w:id="4"/>
      <w:r>
        <w:rPr>
          <w:rFonts w:ascii="Times New Roman" w:hAnsi="Times New Roman"/>
          <w:sz w:val="24"/>
        </w:rPr>
        <w:t xml:space="preserve"> </w:t>
      </w:r>
    </w:p>
    <w:p w14:paraId="607B1B9D" w14:textId="4D6DEBA3"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191</w:t>
      </w:r>
      <w:r>
        <w:fldChar w:fldCharType="end"/>
      </w:r>
      <w:r>
        <w:t>.</w:t>
      </w:r>
      <w:r>
        <w:tab/>
        <w:t xml:space="preserve"> Οι πληροφορίες για τους σκοπούς του υποδείγματος C 33.00 καλύπτουν όλα τα ανοίγματα έναντι “γενικών κυβερνήσεων”, όπως προβλέπεται στο παράρτημα V παράγραφος 42 στοιχείο β) του παρόντος εκτελεστικού κανονισμού.</w:t>
      </w:r>
    </w:p>
    <w:p w14:paraId="6DDF43E1" w14:textId="777647E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192</w:t>
      </w:r>
      <w:r>
        <w:fldChar w:fldCharType="end"/>
      </w:r>
      <w:r>
        <w:t>.</w:t>
      </w:r>
      <w:r>
        <w:tab/>
        <w:t xml:space="preserve"> Όταν τα ανοίγματα έναντι “γενικών κυβερνήσεων” υπόκεινται σε απαιτήσεις ιδίων κεφαλαίων σύμφωνα με το τρίτο μέρος τίτλος II του κανονισμού (ΕΕ) αριθ. 575/2013, τα ανοίγματα έναντι “γενικών κυβερνήσεων” περιλαμβάνονται σε διάφορες κατηγορίες ανοιγμάτων, σύμφωνα με το άρθρο 112 και το άρθρο 147 του εν λόγω κανονισμού, όπως ορίζεται στις οδηγίες για τη συμπλήρωση των υποδειγμάτων C 07.00, C 08.01 και C 08.02. </w:t>
      </w:r>
    </w:p>
    <w:p w14:paraId="293BF385" w14:textId="0FB1F10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193</w:t>
      </w:r>
      <w:r>
        <w:fldChar w:fldCharType="end"/>
      </w:r>
      <w:r>
        <w:t>.</w:t>
      </w:r>
      <w:r>
        <w:tab/>
        <w:t xml:space="preserve"> Για την αντιστοίχιση των κατηγοριών ανοιγμάτων που χρησιμοποιούνται για τον υπολογισμό των κεφαλαιακών απαιτήσεων δυνάμει του κανονισμού (ΕΕ) αριθ. 575/2013 με τον τομέα αντισυμβαλλομένου “γενικές κυβερνήσεις”, χρησιμοποιούνται ο πίνακας 2 (τυποποιημένη προσέγγιση) και ο πίνακας 3 (προσέγγιση IRB) που περιλαμβάνονται στο παράρτημα V μέρος 3 του παρόντος εκτελεστικού κανονισμού. </w:t>
      </w:r>
    </w:p>
    <w:p w14:paraId="7BF9F4A1" w14:textId="3878F16A"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194</w:t>
      </w:r>
      <w:r>
        <w:fldChar w:fldCharType="end"/>
      </w:r>
      <w:r>
        <w:t xml:space="preserve">. Αναφέρονται πληροφορίες για το συνολικό άθροισμα των ανοιγμάτων (ήτοι το άθροισμα όλων των χωρών στις οποίες η τράπεζα διαθέτει κρατικά ανοίγματα) και για κάθε χώρα, με βάση τον τόπο κατοικίας του αντισυμβαλλομένου, ανάλογα με τον άμεσο οφειλέτη. </w:t>
      </w:r>
    </w:p>
    <w:p w14:paraId="3F2AB0FC" w14:textId="12D22EC0"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195</w:t>
      </w:r>
      <w:r>
        <w:fldChar w:fldCharType="end"/>
      </w:r>
      <w:r>
        <w:t>.</w:t>
      </w:r>
      <w:r>
        <w:tab/>
        <w:t xml:space="preserve"> Η κατανομή των ανοιγμάτων σε κατηγορίες ανοιγμάτων ή σε περιοχές δικαιοδοσίας πραγματοποιείται χωρίς να λαμβάνονται υπόψη οι τεχνικές μείωσης του πιστωτικού κινδύνου και, συγκεκριμένα, χωρίς να λαμβάνονται υπόψη τα αποτελέσματα υποκατάστασης. Εντούτοις, στον υπολογισμό των αξιών ανοίγματος και των σταθμισμένων ως προς τον κίνδυνο ποσών ανοίγματος για κάθε κατηγορία ανοιγμάτων και κάθε περιοχή δικαιοδοσίας περιλαμβάνεται η επίπτωση των τεχνικών μείωσης του πιστωτικού κινδύνου, συμπεριλαμβανομένων των αποτελεσμάτων υποκατάστασης. </w:t>
      </w:r>
    </w:p>
    <w:p w14:paraId="63D48DFC" w14:textId="24583AEB" w:rsidR="00BD16F2" w:rsidRPr="002A677E" w:rsidRDefault="00BD16F2" w:rsidP="00BD16F2">
      <w:pPr>
        <w:pStyle w:val="InstructionsText2"/>
        <w:numPr>
          <w:ilvl w:val="0"/>
          <w:numId w:val="0"/>
        </w:numPr>
        <w:ind w:left="993"/>
      </w:pPr>
      <w:r>
        <w:lastRenderedPageBreak/>
        <w:fldChar w:fldCharType="begin"/>
      </w:r>
      <w:r>
        <w:instrText xml:space="preserve"> seq paragraphs </w:instrText>
      </w:r>
      <w:r>
        <w:fldChar w:fldCharType="separate"/>
      </w:r>
      <w:r>
        <w:t>196</w:t>
      </w:r>
      <w:r>
        <w:fldChar w:fldCharType="end"/>
      </w:r>
      <w:r>
        <w:t>.</w:t>
      </w:r>
      <w:r>
        <w:tab/>
        <w:t xml:space="preserve"> Η αναφορά πληροφοριών σχετικά με ανοίγματα έναντι “γενικών κυβερνήσεων” ανά δικαιοδοσία της κατοικίας του άμεσου αντισυμβαλλομένου, πέραν της τοπικής δικαιοδοσίας του αναφέροντος ιδρύματος, υπόκειται στα κατώτατα όρια που ορίζονται στο άρθρο 6 παράγραφος 3 του παρόντος εκτελεστικού κανονισμού.</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t>7.2.</w:t>
      </w:r>
      <w:r>
        <w:tab/>
      </w:r>
      <w:r>
        <w:rPr>
          <w:rFonts w:ascii="Times New Roman" w:hAnsi="Times New Roman"/>
          <w:sz w:val="24"/>
        </w:rPr>
        <w:t>Πεδίο εφαρμογής του υποδείγματος</w:t>
      </w:r>
      <w:bookmarkEnd w:id="5"/>
      <w:r>
        <w:rPr>
          <w:rFonts w:ascii="Times New Roman" w:hAnsi="Times New Roman"/>
          <w:sz w:val="24"/>
        </w:rPr>
        <w:t xml:space="preserve"> για τα ανοίγματα έναντι “γενικών κυβερνήσεων”</w:t>
      </w:r>
      <w:bookmarkEnd w:id="6"/>
      <w:bookmarkEnd w:id="7"/>
    </w:p>
    <w:p w14:paraId="0229F5BC" w14:textId="67D90191"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197</w:t>
      </w:r>
      <w:r>
        <w:fldChar w:fldCharType="end"/>
      </w:r>
      <w:r>
        <w:t>.</w:t>
      </w:r>
      <w:r>
        <w:tab/>
        <w:t xml:space="preserve"> Το πεδίο εφαρμογής του υποδείγματος GOV περιλαμβάνει άμεσα ανοίγματα εντός ισολογισμού, εκτός ισολογισμού και σε πιστωτικά παράγωγα έναντι “γενικών κυβερνήσεων” στο τραπεζικό χαρτοφυλάκιο και στο χαρτοφυλάκιο συναλλαγών. Επιπλέον, απαιτείται επίσης ένα υπομνηματικό στοιχείο σχετικά με τα έμμεσα ανοίγματα υπό τη μορφή πωληθέντων πιστωτικών παραγώγων με υποκείμενο στοιχείο ενεργητικού ανοίγματα έναντι γενικών κυβερνήσεων.</w:t>
      </w:r>
    </w:p>
    <w:p w14:paraId="1EC4D83C" w14:textId="376B0B1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198</w:t>
      </w:r>
      <w:r>
        <w:fldChar w:fldCharType="end"/>
      </w:r>
      <w:r>
        <w:t>.</w:t>
      </w:r>
      <w:r>
        <w:tab/>
        <w:t xml:space="preserve"> Ένα άνοιγμα συνιστά άμεσο άνοιγμα, όταν ο άμεσος αντισυμβαλλόμενος είναι οντότητα που καλύπτεται από τον ορισμό των “γενικών κυβερνήσεων”, όπως αναφέρεται στο παράρτημα V παράγραφος 42 στοιχείο β) του παρόντος εκτελεστικού κανονισμού. </w:t>
      </w:r>
    </w:p>
    <w:p w14:paraId="00A82C5A" w14:textId="7F0E5E44"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199</w:t>
      </w:r>
      <w:r>
        <w:fldChar w:fldCharType="end"/>
      </w:r>
      <w:r>
        <w:t>.</w:t>
      </w:r>
      <w:r>
        <w:tab/>
        <w:t xml:space="preserve"> Το υπόδειγμα υποδιαιρείται σε δύο τμήματα. Το πρώτο βασίζεται στην κατανομή των ανοιγμάτων με βάση τον κίνδυνο, την κανονιστική προσέγγιση και τις κατηγορίες ανοιγμάτων, ενώ το δεύτερο βασίζεται στην κατανομή τους με βάση την εναπομένουσα ληκτότητα.</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tab/>
      </w:r>
      <w:r>
        <w:rPr>
          <w:rFonts w:ascii="Times New Roman" w:hAnsi="Times New Roman"/>
          <w:sz w:val="24"/>
        </w:rPr>
        <w:t>Οδηγίες για συγκεκριμένες θέσεις</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Στήλες</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Οδηγίες</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ΑΜΕΣΑ ΑΝΟΙΓΜΑΤΑ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ΑΝΟΙΓΜΑΤΑ ΕΝΤΟΣ ΙΣΟΛΟΓΙΣΜΟΥ</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Συνολική ακαθάριστη λογιστική αξία των μη παράγωγων χρηματοοικονομικών στοιχείων ενεργητικού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Συνολική ακαθάριστη λογιστική αξία, όπως καθορίζεται σύμφωνα με το παράρτημα V μέρος 1 παράγραφος 34 του παρόντος εκτελεστικού κανονισμού, των μη παράγωγων χρηματοοικονομικών στοιχείων ενεργητικού έναντι γενικών κυβερνήσεων, για όλα τα λογιστικά χαρτοφυλάκια με βάση τα ΔΠΧΑ ή τις εθνικές ΓΑΛΑ με βάση την οδηγία 86/635/ΕΟΚ του Συμβουλίου, τα οποία ορίζονται στο παράρτημα V μέρος 1 παράγραφοι 15 έως 22 του παρόντος εκτελεστικού κανονισμού και απαριθμούνται στις στήλες 0030 έως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Οι προσαρμογές συνετής αποτίμησης δεν μειώνουν την ακαθάριστη λογιστική αξία των ανοιγμάτων εντός και εκτός του χαρτοφυλακίου συναλλαγών επιμετρούμενων στην εύλογη αξία τους.</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Συνολική λογιστική αξία των μη παράγωγων χρηματοοικονομικών στοιχείων ενεργητικού (χωρίς τις αρνητικές θέσεις)</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Συνολική λογιστική αξία, όπως προβλέπεται στο παράρτημα V μέρος 1 παράγραφος 27 του παρόντος εκτελεστικού κανονισμού, των μη παράγωγων χρηματοοικονομικών στοιχείων ενεργητικού έναντι γενικών κυβερνήσεων, για όλα τα λογιστικά χαρτοφυλάκια με βάση τα ΔΠΧΑ ή τις εθνικές ΓΑΛΑ δυνάμει της οδηγίας 86/635/ΕΟΚ του Συμβουλίου, τα οποία ορίζονται στο παράρτημα V μέρος 1 παράγραφοι 15 έως 22 του παρόντος εκτελεστικού κανονισμού και απαριθμούνται στις στήλες 0030 έως 0120, χωρίς τις αρνητικές θέσεις.</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Όταν ένα ίδρυμα διαθέτει αρνητική θέση, για την ίδια εναπομένουσα ληκτότητα και τον ίδιο άμεσο αντισυμβαλλόμενο, που εκφράζεται στο ίδιο νόμισμα, η λογιστική αξία της αρνητικής θέσης συμψηφίζεται με τη λογιστική αξία της άμεσης θέσης. Αυτό το καθαρό ποσό θεωρείται ίσο με το μηδέν, όταν είναι αρνητικό ποσό. Όταν ένα ίδρυμα διαθέτει αρνητική θέση χωρίς αντίστοιχη άμεση θέση, το ποσό της αρνητικής θέσης θεωρείται ίσο με το μηδέν για τους σκοπούς αυτής της στήλης.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ΜΗ ΠΑΡΑΓΩΓΑ ΧΡΗΜΑΤΟΟΙΚΟΝΟΜΙΚΑ ΣΤΟΙΧΕΙΑ ΕΝΕΡΓΗΤΙΚΟΥ ΑΝΑ ΛΟΓΙΣΤΙΚΟ ΧΑΡΤΟΦΥΛΑΚΙΟ</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Συνολική λογιστική αξία των μη παράγωγων χρηματοοικονομικών στοιχείων ενεργητικού, όπως ορίζονται στην ανωτέρω γραμμή του παρόντος πίνακα, έναντι γενικών κυβερνήσεων, κατανεμημένη κατά λογιστικό χαρτοφυλάκιο βάσει του εφαρμοστέου λογιστικού πλαισίου.</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Χρηματοοικονομικά στοιχεία ενεργητικού διακρατούμενα για διαπραγμάτευση</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0934ED93" w:rsidR="00BD16F2" w:rsidRPr="002A677E" w:rsidRDefault="00BD16F2" w:rsidP="00E07FE9">
            <w:pPr>
              <w:spacing w:before="0" w:after="0"/>
              <w:ind w:left="33"/>
              <w:rPr>
                <w:rFonts w:ascii="Times New Roman" w:hAnsi="Times New Roman"/>
                <w:bCs/>
                <w:sz w:val="24"/>
              </w:rPr>
            </w:pPr>
            <w:r>
              <w:rPr>
                <w:rFonts w:ascii="Times New Roman" w:hAnsi="Times New Roman"/>
                <w:sz w:val="24"/>
              </w:rPr>
              <w:t>ΔΠΧΑ 7.8</w:t>
            </w:r>
            <w:r w:rsidR="00674681">
              <w:rPr>
                <w:rFonts w:ascii="Times New Roman" w:hAnsi="Times New Roman"/>
                <w:sz w:val="24"/>
              </w:rPr>
              <w:t xml:space="preserve"> </w:t>
            </w:r>
            <w:r>
              <w:rPr>
                <w:rFonts w:ascii="Times New Roman" w:hAnsi="Times New Roman"/>
                <w:sz w:val="24"/>
              </w:rPr>
              <w:t>α)</w:t>
            </w:r>
            <w:r w:rsidR="00674681">
              <w:rPr>
                <w:rFonts w:ascii="Times New Roman" w:hAnsi="Times New Roman"/>
                <w:sz w:val="24"/>
              </w:rPr>
              <w:t xml:space="preserve"> </w:t>
            </w:r>
            <w:r>
              <w:rPr>
                <w:rFonts w:ascii="Times New Roman" w:hAnsi="Times New Roman"/>
                <w:sz w:val="24"/>
              </w:rPr>
              <w:t>ii), ΔΠΧΑ 9 Προσάρτημα Α</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εμπορικής χρήσης</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Άρθρα 32 και 33 της οδηγίας 86/635/ΕΟΚ του Συμβουλίου· Παράρτημα V Μέρος 1 παράγραφος 16 του παρόντος εκτελεστικού κανονισμού, Άρθρο 8 παράγραφος 1 στοιχείο α) της οδηγίας 2013/34/ΕΕ</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μη εμπορικής χρήσης επιμετρούμενα υποχρεωτικά στην εύλογη αξία μέσω των αποτελεσμάτων</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390ED2B8" w:rsidR="00BD16F2" w:rsidRPr="002A677E" w:rsidRDefault="00BD16F2" w:rsidP="00E07FE9">
            <w:pPr>
              <w:spacing w:before="0" w:after="0"/>
              <w:ind w:left="33"/>
              <w:rPr>
                <w:rFonts w:ascii="Times New Roman" w:hAnsi="Times New Roman"/>
                <w:bCs/>
                <w:sz w:val="24"/>
              </w:rPr>
            </w:pPr>
            <w:r>
              <w:rPr>
                <w:rFonts w:ascii="Times New Roman" w:hAnsi="Times New Roman"/>
                <w:sz w:val="24"/>
              </w:rPr>
              <w:t>ΔΠΧΑ 7.8</w:t>
            </w:r>
            <w:r w:rsidR="00674681">
              <w:rPr>
                <w:rFonts w:ascii="Times New Roman" w:hAnsi="Times New Roman"/>
                <w:sz w:val="24"/>
              </w:rPr>
              <w:t xml:space="preserve"> </w:t>
            </w:r>
            <w:r>
              <w:rPr>
                <w:rFonts w:ascii="Times New Roman" w:hAnsi="Times New Roman"/>
                <w:sz w:val="24"/>
              </w:rPr>
              <w:t>α)</w:t>
            </w:r>
            <w:r w:rsidR="00674681">
              <w:rPr>
                <w:rFonts w:ascii="Times New Roman" w:hAnsi="Times New Roman"/>
                <w:sz w:val="24"/>
              </w:rPr>
              <w:t xml:space="preserve"> </w:t>
            </w:r>
            <w:r>
              <w:rPr>
                <w:rFonts w:ascii="Times New Roman" w:hAnsi="Times New Roman"/>
                <w:sz w:val="24"/>
              </w:rPr>
              <w:t>ii), ΔΠΧΑ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που αναγνωρίζονται στην εύλογη αξία μέσω των αποτελεσμάτων</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4A16718D" w:rsidR="00BD16F2" w:rsidRPr="002A677E" w:rsidRDefault="00BD16F2" w:rsidP="00E07FE9">
            <w:pPr>
              <w:spacing w:before="0" w:after="0"/>
              <w:ind w:left="33"/>
              <w:rPr>
                <w:rFonts w:ascii="Times New Roman" w:hAnsi="Times New Roman"/>
                <w:bCs/>
                <w:sz w:val="24"/>
              </w:rPr>
            </w:pPr>
            <w:r>
              <w:rPr>
                <w:rFonts w:ascii="Times New Roman" w:hAnsi="Times New Roman"/>
                <w:sz w:val="24"/>
              </w:rPr>
              <w:t>ΔΠΧΑ 7.8</w:t>
            </w:r>
            <w:r w:rsidR="00674681">
              <w:rPr>
                <w:rFonts w:ascii="Times New Roman" w:hAnsi="Times New Roman"/>
                <w:sz w:val="24"/>
              </w:rPr>
              <w:t xml:space="preserve"> </w:t>
            </w:r>
            <w:r>
              <w:rPr>
                <w:rFonts w:ascii="Times New Roman" w:hAnsi="Times New Roman"/>
                <w:sz w:val="24"/>
              </w:rPr>
              <w:t>α)</w:t>
            </w:r>
            <w:r w:rsidR="00674681">
              <w:rPr>
                <w:rFonts w:ascii="Times New Roman" w:hAnsi="Times New Roman"/>
                <w:sz w:val="24"/>
              </w:rPr>
              <w:t xml:space="preserve"> </w:t>
            </w:r>
            <w:r>
              <w:rPr>
                <w:rFonts w:ascii="Times New Roman" w:hAnsi="Times New Roman"/>
                <w:sz w:val="24"/>
              </w:rPr>
              <w:t>i), ΔΠΧΑ 9.4.1.5, άρθρο 8 παράγραφος 1 στοιχείο α) και άρθρο 8 παράγραφος 6 της οδηγίας 2013/34/ΕΕ</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Μη παράγωγα χρηματοοικονομικά στοιχεία ενεργητικού μη εμπορικής χρήσης επιμετρούμενα στην εύλογη αξία μέσω των αποτελεσμάτων</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Άρθρο 36 παράγραφος 2 της οδηγίας 86/635/ΕΟΚ του Συμβουλίου· Άρθρο 8 παράγραφος 1 στοιχείο α) της οδηγίας 2013/34/ΕΕ</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επιμετρούμενα στην εύλογη αξία μέσω των λοιπών συνολικών εσόδων</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10448200" w:rsidR="00BD16F2" w:rsidRPr="002A677E" w:rsidRDefault="00BD16F2" w:rsidP="00E07FE9">
            <w:pPr>
              <w:spacing w:before="0" w:after="0"/>
              <w:ind w:left="33"/>
              <w:rPr>
                <w:rFonts w:ascii="Times New Roman" w:hAnsi="Times New Roman"/>
                <w:bCs/>
                <w:sz w:val="24"/>
              </w:rPr>
            </w:pPr>
            <w:r>
              <w:rPr>
                <w:rFonts w:ascii="Times New Roman" w:hAnsi="Times New Roman"/>
                <w:sz w:val="24"/>
              </w:rPr>
              <w:t>ΔΠΧΑ 7.8</w:t>
            </w:r>
            <w:r w:rsidR="00674681">
              <w:rPr>
                <w:rFonts w:ascii="Times New Roman" w:hAnsi="Times New Roman"/>
                <w:sz w:val="24"/>
              </w:rPr>
              <w:t xml:space="preserve"> </w:t>
            </w:r>
            <w:r>
              <w:rPr>
                <w:rFonts w:ascii="Times New Roman" w:hAnsi="Times New Roman"/>
                <w:sz w:val="24"/>
              </w:rPr>
              <w:t>δ), ΔΠΧΑ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Μη παράγωγα χρηματοοικονομικά στοιχεία ενεργητικού μη εμπορικής χρήσης επιμετρούμενα στην εύλογη αξία στα ίδια κεφάλαια</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Άρθρο 8 παράγραφος 1 στοιχείο α) και άρθρο 8 παράγραφος 8 της οδηγίας 2013/34/ΕΕ</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Χρηματοοικονομικά στοιχεία ενεργητικού επιμετρούμενα στο αποσβεσμένο κόστος</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2BEC5225"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ΔΠΧΑ 7.8</w:t>
            </w:r>
            <w:r w:rsidR="00674681">
              <w:rPr>
                <w:rFonts w:ascii="Times New Roman" w:hAnsi="Times New Roman"/>
                <w:sz w:val="24"/>
              </w:rPr>
              <w:t xml:space="preserve"> </w:t>
            </w:r>
            <w:r>
              <w:rPr>
                <w:rFonts w:ascii="Times New Roman" w:hAnsi="Times New Roman"/>
                <w:sz w:val="24"/>
              </w:rPr>
              <w:t>στ), ΔΠΧΑ 9.4.1.2, παράρτημα V μέρος 1 παράγραφος 15 του παρόντος εκτελεστικού κανονισμού</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Μη παράγωγα χρηματοοικονομικά στοιχεία ενεργητικού μη εμπορικής χρήσης επιμετρούμενα με βάση μέθοδο κόστους</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Άρθρο 35 της οδηγίας 86/635/ΕΟΚ του Συμβουλίου· άρθρο 6 παράγραφος 1 σημείο i) και άρθρο 8 παράγραφος 2 της οδηγίας 2013/34/ΕΕ, παράρτημα V μέρος 1 παράγραφος 16 του παρόντος εκτελεστικού κανονισμού</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Άλλα μη παράγωγα χρηματοοικονομικά στοιχεία ενεργητικού μη εμπορικής χρήσης</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Άρθρο 37 της οδηγίας 86/635/ΕΟΚ του Συμβουλίου· Άρθρο 12 παράγραφος 7 της οδηγίας 2013/34/ΕΕ· παράρτημα V μέρος 1 παράγραφος 16 του παρόντος εκτελεστικού κανονισμού</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Να αναφέρονται μόνον από ιδρύματα σύμφωνα με τις εθνικές γενικά αποδεκτές λογιστικές αρχές (ΓΑΛΑ).</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Αρνητικές θέσεις</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Λογιστική αξία των αρνητικών θέσεων, όπως ορίζεται στο ΔΠΧΑ 9 BA.7(β), όταν ο άμεσος αντισυμβαλλόμενος είναι γενική κυβέρνηση όπως ορίζεται στις παραγράφους 155 έως 160 του παρόντος παραρτήματος.</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Οι αρνητικές θέσεις προκύπτουν όταν το ίδρυμα πωλεί τίτλους που αποκτήθηκαν με δάνεια αγοράς και επαναπώλησης ή που αποτέλεσαν αντικείμενο συναλλαγής δανειοδοσίας τίτλων.</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Η λογιστική αξία είναι η εύλογη αξία των αρνητικών θέσεων.</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Οι αρνητικές θέσεις αναφέρονται κατά εναπομένουσα περίοδο ληκτότητας, όπως απαριθμούνται στις γραμμές 0170 έως 0230, και κατά άμεσο αντισυμβαλλόμενο.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Οι αρνητικές θέσεις που αναφέρονται στη στήλη αυτή μπορούν να συμψηφιστούν με θέσεις με ίδια εναπομένουσα ληκτότητα και ίδιο άμεσο αντισυμβαλλόμενο, που είναι εκφρασμένες στο ίδιο νόμισμα και αναφέρονται στις στήλες 0030 έως 0120  για τον υπολογισμό της καθαρής θέσης που αναφέρεται στη στήλη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Εκ των οποίων: Αρνητικές θέσεις από δάνεια αγοράς και επαναπώλησης που κατατάσσονται ως χρηματοοικονομικά στοιχεία ενεργητικού διακρατούμενα για διαπραγμάτευση ή χρηματοοικονομικά στοιχεία ενεργητικού εμπορικής χρήσης</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34B00ECD" w:rsidR="00BD16F2" w:rsidRPr="002A677E" w:rsidRDefault="00BD16F2" w:rsidP="00E07FE9">
            <w:pPr>
              <w:spacing w:before="0" w:after="0"/>
              <w:ind w:left="33"/>
              <w:rPr>
                <w:rFonts w:ascii="Times New Roman" w:hAnsi="Times New Roman"/>
                <w:bCs/>
                <w:sz w:val="24"/>
              </w:rPr>
            </w:pPr>
            <w:r>
              <w:rPr>
                <w:rFonts w:ascii="Times New Roman" w:hAnsi="Times New Roman"/>
                <w:sz w:val="24"/>
              </w:rPr>
              <w:t>Λογιστική αξία των αρνητικών θέσεων, όπως ορίζεται στο ΔΠΧΑ 9 BA.7</w:t>
            </w:r>
            <w:r w:rsidR="00674681">
              <w:rPr>
                <w:rFonts w:ascii="Times New Roman" w:hAnsi="Times New Roman"/>
                <w:sz w:val="24"/>
              </w:rPr>
              <w:t xml:space="preserve"> </w:t>
            </w:r>
            <w:r>
              <w:rPr>
                <w:rFonts w:ascii="Times New Roman" w:hAnsi="Times New Roman"/>
                <w:sz w:val="24"/>
              </w:rPr>
              <w:t>β), που προκύπτουν όταν το ίδρυμα πωλεί τους τίτλους που αποκτήθηκαν με δάνεια αγοράς και επαναπώλησης, με άμεσο αντισυμβαλλόμενο στους εν λόγω τίτλους γενική κυβέρνηση και τα οποία περιλαμβάνονται στα λογιστικά χαρτοφυλάκια χρηματοοικονομικών στοιχείων ενεργητικού διακρατούμενων για διαπραγμάτευση ή χρηματοοικονομικών στοιχείων ενεργητικού εμπορικής χρήσης (στήλες 0030 και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Οι αρνητικές θέσεις που προκύπτουν όταν οι πωληθέντες τίτλοι αποτέλεσαν αντικείμενο συναλλαγής δανειοδοσίας τίτλων δεν περιλαμβάνονται στη συγκεκριμένη στήλη.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Σωρευτική απομείωση αξίας</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Συνολική σωρευτική απομείωση αξίας που σχετίζεται με μη παράγωγα χρηματοοικονομικά στοιχεία ενεργητικού που αναφέρονται στις στήλες 0080 έως 0120 (παράρτημα V μέρος 2 παράγραφοι 70 και 71 του παρόντος εκτελεστικού κανονισμού).</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Σωρευτική απομείωση αξίας – εκ των οποίων: από χρηματοοικονομικά στοιχεία ενεργητικού στην εύλογη αξία μέσω των λοιπών συνολικών εσόδων ή από μη παράγωγα χρηματοοικονομικά στοιχεία ενεργητικού μη εμπορικής χρήσης επιμετρούμενα στην εύλογη αξία στα ίδια κεφάλαια</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Αθροιστική σωρευτική απομείωση αξίας που σχετίζεται με μη παράγωγα χρηματοοικονομικά στοιχεία ενεργητικού που αναφέρονται στις στήλες 0080 έως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Σωρευτικές αρνητικές μεταβολές εύλογης αξίας λόγω πιστωτικού κινδύνου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Άθροισμα σωρευτικών αρνητικών μεταβολών εύλογης αξίας λόγω πιστωτικού κινδύνου που σχετίζεται με τις θέσεις που αναφέρονται στις στήλες 0050, 0060, 0070, 0080 και 0090 (παράρτημα V μέρος 2 παράγραφος 69 του παρόντος εκτελεστικού κανονισμού).</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Σωρευτικές αρνητικές μεταβολές εύλογης αξίας λόγω πιστωτικού κινδύνου – εκ των οποίων: από χρηματοοικονομικά στοιχεία ενεργητικού μη εμπορικής χρήσης επιμετρούμενα υποχρεωτικά στην εύλογη αξία μέσω των αποτελεσμάτων, από χρηματοοικονομικά στοιχεία ενεργητικού που αναγνωρίζονται στην εύλογη αξία μέσω των αποτελεσμάτων ή από χρηματοοικονομικά στοιχεία ενεργητικού μη εμπορικής χρήσης επιμετρούμενα στην εύλογη αξία μέσω των αποτελεσμάτων</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Άθροισμα σωρευτικών αρνητικών μεταβολών εύλογης αξίας λόγω πιστωτικού κινδύνου που σχετίζεται με τις θέσεις που αναφέρονται στις στήλες 0050, 0060 και 0070.</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Σωρευτικές αρνητικές μεταβολές εύλογης αξίας λόγω πιστωτικού κινδύνου – εκ των οποίων: από χρηματοοικονομικά στοιχεία ενεργητικού στην εύλογη αξία μέσω των λοιπών συνολικών εσόδων ή από μη παράγωγα χρηματοοικονομικά στοιχεία ενεργητικού μη εμπορικής χρήσης επιμετρούμενα στην εύλογη αξία στα ίδια κεφάλαια</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Άθροισμα σωρευτικών αρνητικών μεταβολών εύλογης αξίας λόγω πιστωτικού κινδύνου που σχετίζεται με τις θέσεις που αναφέρονται στις στήλες 0080 και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ΠΑΡΑΓΩΓΑ</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Οι άμεσες θέσεις σε παράγωγα αναφέρονται στις στήλες 0200 έως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Για την αναφορά των παραγώγων που υπόκεινται τόσο σε πιστωτικό κίνδυνο αντισυμβαλλομένου όσο και σε κεφαλαιακές επιβαρύνσεις για τον κίνδυνο αγοράς, βλέπε οδηγίες σχετικά με την κατανομή στις γραμμές.</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Όλα τα παράγωγα μέσα με αντισυμβαλλόμενο γενική κυβέρνηση τα οποία έχουν θετική εύλογη αξία για το ίδρυμα κατά την ημερομηνία υποβολής της αναφοράς, ανεξάρτητα από το αν τα συγκεκριμένα χρησιμοποιούνται σε επιλέξιμη σχέση αντιστάθμισης, διακρατούνται για διαπραγμάτευση ή περιλαμβάνονται στο χαρτοφυλάκιο συναλλαγών βάσει των ΔΠΧΑ και των εθνικών ΓΑΛΑ με βάση την οδηγία 86/635/ΕΟΚ του Συμβουλίου.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διακρατούμενων για διαπραγμάτευση (παράρτημα V μέρος 2 παράγραφοι 120, 124, 125 και 137 έως 140 του παρόντος εκτελεστικού κανονισμού).</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Παράγωγα με θετική εύλογη αξία: Λογιστική αξία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Λογιστική αξία των παραγώγων που λογιστικοποιήθηκαν ως χρηματοοικονομικά στοιχεία ενεργητικού κατά την ημερομηνία αναφοράς για την υποβολή αναφορών.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Σύμφωνα με τις ΓΑΛΑ βάσει της οδηγίας 86/635/ΕΟΚ του Συμβουλίου, στα παράγωγα που πρέπει να αναφέρονται στις στήλες αυτές περιλαμβάνονται τα παράγωγα μέσα επιμετρούμενα στην τιμή κτήσης ή στη χαμηλότερη μεταξύ τιμής κτήσης και αγοραίας </w:t>
            </w:r>
            <w:r>
              <w:rPr>
                <w:rFonts w:ascii="Times New Roman" w:hAnsi="Times New Roman"/>
                <w:sz w:val="24"/>
              </w:rPr>
              <w:lastRenderedPageBreak/>
              <w:t xml:space="preserve">τιμής, που περιλαμβάνονται στο χαρτοφυλάκιο συναλλαγών ή έχουν αναγνωριστεί ως μέσα αντιστάθμισης.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 Ονομαστικό ποσό</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Βάσει των ΔΠΧΑ και των εθνικών ΓΑΛΑ με βάση την οδηγία 86/635/ΕΟΚ του Συμβουλίου, το ονομαστικό ποσό, όπως ορίζεται στο παράρτημα V μέρος 2 παράγραφοι 133 έως 135 του παρόντος εκτελεστικού κανονισμού, όλων των συμβάσεων παραγώγων που έχουν συναφθεί και δεν έχουν ακόμη διακανονιστεί κατά την ημερομηνία αναφοράς για την υποβολή αναφορών, στις οποίες αντισυμβαλλόμενος είναι γενική κυβέρνηση, όπως ορίζεται στις παραγράφους 191 έως 196 του παρόντος παραρτήματος, και όταν η εύλογη αξία του παραγώγου είναι θετική για το ίδρυμα κατά την ημερομηνία αναφοράς.</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Παράγωγα με αρνητική εύλογη αξία</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Όλα τα παράγωγα μέσα με αντισυμβαλλόμενο γενική κυβέρνηση τα οποία έχουν αρνητική εύλογη αξία για το ίδρυμα κατά την ημερομηνία αναφοράς για την υποβολή αναφορών, ανεξάρτητα από το αν τα συγκεκριμένα μέσα χρησιμοποιούνται σε επιλέξιμη σχέση αντιστάθμισης ή διακρατούνται για διαπραγμάτευση ή περιλαμβάνονται στο χαρτοφυλάκιο συναλλαγών βάσει των ΔΠΧΑ και των εθνικών ΓΑΛΑ με βάση την οδηγία 86/635/ΕΟΚ του Συμβουλίου.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διακρατούμενων για διαπραγμάτευση (παράρτημα V μέρος 2 παράγραφοι 120, 124, 125 και 137 έως 140 του παρόντος εκτελεστικού κανονισμού).</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Παράγωγα με αρνητική εύλογη αξία: Λογιστική αξία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Λογιστική αξία των παραγώγων που λογιστικοποιήθηκαν ως χρηματοοικονομικές υποχρεώσεις κατά την ημερομηνία αναφοράς για την υποβολή αναφορών.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Σύμφωνα με τις ΓΑΛΑ βάσει της οδηγίας 86/635/ΕΟΚ του Συμβουλίου, στα παράγωγα που πρέπει να αναφέρονται στις στήλες αυτές περιλαμβάνονται τα παράγωγα μέσα επιμετρούμενα στην τιμή κτήσης ή στη χαμηλότερη μεταξύ τιμής κτήσης και αγοραίας τιμής, που περιλαμβάνονται στο χαρτοφυλάκιο συναλλαγών ή έχουν αναγνωριστεί ως μέσα αντιστάθμισης.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Παράγωγα με αρνητική εύλογη αξία: Ονομαστικό ποσό</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Βάσει των ΔΠΧΑ και των εθνικών ΓΑΛΑ με βάση την οδηγία 86/635/ΕΟΚ του Συμβουλίου, το ονομαστικό ποσό, όπως ορίζεται στο παράρτημα V μέρος 2 παράγραφοι 133 έως 135 του παρόντος εκτελεστικού κανονισμού, όλων των συμβάσεων παραγώγων που έχουν συναφθεί και δεν έχουν ακόμη διακανονιστεί κατά την ημερομηνία αναφοράς, στις οποίες αντισυμβαλλόμενος είναι γενική κυβέρνηση, όπως ορίζεται στις παραγράφους 191 έως 196 του παρόντος παραρτήματος, και όταν η εύλογη αξία του παραγώγου είναι αρνητική για το ίδρυμα κατά την ημερομηνία αναφοράς.</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ΑΝΟΙΓΜΑΤΑ ΕΚΤΟΣ ΙΣΟΛΟΓΙΣΜΟΥ</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Ονομαστικό ποσό</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Όταν ο άμεσος αντισυμβαλλόμενος του εκτός ισολογισμού στοιχείου είναι γενική κυβέρνηση, όπως ορίζεται ανωτέρω στις παραγράφους 155 έως 160 του παρόντος παραρτήματος, το ονομαστικό ποσό των δεσμεύσεων και των χρηματοοικονομικών εγγυήσεων που δεν θεωρούνται παράγωγο, σύμφωνα με τα ΔΠΧΑ ή σύμφωνα με τις εθνικές ΓΑΛΑ με βάση την οδηγία 86/635/ΕΟΚ του Συμβουλίου (παράρτημα V μέρος 2 παράγραφοι 102-119 του παρόντος εκτελεστικού κανονισμού).</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Σύμφωνα με το παράρτημα V μέρος 2 παράγραφοι 43 και 44 του παρόντος εκτελεστικού κανονισμού, η γενική κυβέρνηση είναι ο άμεσος αντισυμβαλλόμενος: α) σε δοθείσα χρηματοοικονομική εγγύηση, όταν είναι ο άμεσος αντισυμβαλλόμενος του εγγυημένου χρεωστικού τίτλου, και β) σε δανειακή δέσμευση και άλλες αναληφθείσες δεσμεύσεις, όταν είναι ο αντισυμβαλλόμενος του οποίου τον πιστωτικό κίνδυνο αναλαμβάνει το αναφέρον ίδρυμα.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Προβλέψεις</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30990065" w:rsidR="00BD16F2" w:rsidRPr="002A677E" w:rsidRDefault="00BD16F2" w:rsidP="00E07FE9">
            <w:pPr>
              <w:spacing w:before="0" w:after="0"/>
              <w:ind w:left="33"/>
              <w:rPr>
                <w:rFonts w:ascii="Times New Roman" w:hAnsi="Times New Roman"/>
                <w:bCs/>
                <w:sz w:val="24"/>
              </w:rPr>
            </w:pPr>
            <w:r>
              <w:rPr>
                <w:rFonts w:ascii="Times New Roman" w:hAnsi="Times New Roman"/>
                <w:sz w:val="24"/>
              </w:rPr>
              <w:t>Άρθρο 4 “Παθητικό”, σημείο 6) στοιχείο γ) και “Στοιχεία εκτός ισολογισμού”, άρθρο 27 παράγραφος 11, άρθρο 28 παράγραφος 8 και άρθρο 33 της οδηγίας 86/635/ΕΟΚ του Συμβουλίου· ΔΠΧΑ 9.4.2.1 γ) ii), δ)</w:t>
            </w:r>
            <w:r w:rsidR="00674681">
              <w:rPr>
                <w:rFonts w:ascii="Times New Roman" w:hAnsi="Times New Roman"/>
                <w:sz w:val="24"/>
              </w:rPr>
              <w:t xml:space="preserve"> </w:t>
            </w:r>
            <w:r>
              <w:rPr>
                <w:rFonts w:ascii="Times New Roman" w:hAnsi="Times New Roman"/>
                <w:sz w:val="24"/>
              </w:rPr>
              <w:t>ii), 9.5.5.20, ΔΛΠ 37, ΔΠΧΑ 4 παράρτημα V μέρος 2.11 του παρόντος εκτελεστικού κανονισμού.</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Προβλέψεις για όλα τα ανοίγματα εκτός ισολογισμού, ανεξάρτητα από τον τρόπο με τον οποίο επιμετρώνται, εκτός από όσα επιμετρώνται στην εύλογη αξία μέσω των αποτελεσμάτων σύμφωνα με το ΔΠΧΑ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Βάσει των ΔΠΧΑ, η απομείωση αξίας μιας αναληφθείσας δανειακής δέσμευσης αναφέρεται στη στήλη 150, όταν το ίδρυμα δεν μπορεί να προσδιορίσει χωριστά τις αναμενόμενες πιστωτικές ζημίες που αφορούν το αναληφθέν και μη αναληφθέν ποσό του χρεωστικού τίτλου. Σε περίπτωση που οι συνδυασμένες αναμενόμενες πιστωτικές ζημίες για το δεδομένο χρηματοοικονομικό μέσο υπερβαίνουν την ακαθάριστη λογιστική αξία της δανειακής συνιστώσας του μέσου, το υπόλοιπο των αναμενόμενων πιστωτικών ζημιών αναφέρεται ως πρόβλεψη στη στήλη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Σωρευτικές αρνητικές μεταβολές εύλογης αξίας λόγω πιστωτικού κινδύνου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Για τα εκτός ισολογισμού στοιχεία που επιμετρώνται στην εύλογη αξία μέσω των αποτελεσμάτων βάσει του ΔΠΧΑ 9, οι σωρευτικές αρνητικές μεταβολές στην εύλογη αξία λόγω πιστωτικού κινδύνου (παράρτημα V μέρος 2 παράγραφος 110 του παρόντος εκτελεστικού κανονισμού).</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Υπομνηματικό στοιχείο: πωληθέντα πιστωτικά παράγωγα με υποκείμενο στοιχείο ενεργητικού ανοίγματα έναντι γενικών κυβερνήσεων</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Τα πιστωτικά παράγωγα που δεν ανταποκρίνονται στον ορισμό των χρηματοοικονομικών εγγυήσεων στο παράρτημα V μέρος 2 παράγραφος 58, τα οποία </w:t>
            </w:r>
            <w:r>
              <w:rPr>
                <w:rFonts w:ascii="Times New Roman" w:hAnsi="Times New Roman"/>
                <w:sz w:val="24"/>
              </w:rPr>
              <w:lastRenderedPageBreak/>
              <w:t>έχει συνάψει το αναφέρον ίδρυμα με αντισυμβαλλόμενους που δεν είναι γενικές κυβερνήσεις και των οποίων το άνοιγμα αναφοράς είναι γενική κυβέρνηση, αναφέρονται.</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Οι στήλες αυτές δεν αναφέρονται για ανοίγματα κατανεμημένα ανά κίνδυνο, κανονιστική προσέγγιση και κατηγορία ανοιγμάτων (γραμμές 0020 έως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Παράγωγα με θετική εύλογη αξία – Λογιστική αξία</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Συνολική λογιστική αξία των αναφερόμενων πωληθέντων πιστωτικών παραγώγων με υποκείμενο στοιχείο ενεργητικού ανοίγματα έναντι γενικών κυβερνήσεων, τα οποία έχουν θετική εύλογη αξία για το ίδρυμα κατά την ημερομηνία αναφοράς για την υποβολή αναφορών, χωρίς να λαμβάνονται υπόψη οι προσαρμογές συνετής αποτίμησης.</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Για τα παράγωγα βάσει των ΔΠΧΑ, το ποσό που πρέπει να αναφέρεται στην παρούσα στήλη είναι η λογιστική αξία των παραγώγων που είναι χρηματοοικονομικά στοιχεία ενεργητικού κατά την ημερομηνία υποβολής αναφοράς.</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Για τα παράγωγα βάσει των ΓΑΛΑ με βάση την οδηγία 86/635/ΕΟΚ του Συμβουλίου, το ποσό που πρέπει να αναφέρεται στην παρούσα στήλη είναι η εύλογη αξία των παραγώγων με θετική εύλογη αξία κατά την ημερομηνία αναφοράς για την υποβολή αναφορών, ανεξάρτητα από τον τρόπο με τον οποίο λογιστικοποιούνται.</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Παράγωγα με αρνητική εύλογη αξία – Λογιστική αξία</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Συνολική λογιστική αξία των αναφερόμενων πωληθέντων πιστωτικών παραγώγων με υποκείμενο στοιχείο ενεργητικού ανοίγματα έναντι γενικών κυβερνήσεων, τα οποία έχουν αρνητική εύλογη αξία για το ίδρυμα κατά την ημερομηνία αναφοράς για την υποβολή αναφορών, χωρίς να λαμβάνονται υπόψη οι προσαρμογές συνετής αποτίμησης.</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Για τα παράγωγα βάσει των ΔΠΧΑ, το ποσό που πρέπει να αναφέρεται στην παρούσα στήλη είναι η λογιστική αξία των παραγώγων που είναι χρηματοοικονομικές υποχρεώσεις κατά την ημερομηνία υποβολής αναφοράς.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Για τα παράγωγα βάσει των ΓΑΛΑ με βάση την οδηγία 86/635/ΕΟΚ του Συμβουλίου, το ποσό που πρέπει να αναφέρεται στην παρούσα στήλη είναι η εύλογη αξία των παραγώγων με αρνητική εύλογη αξία κατά την ημερομηνία αναφοράς για την υποβολή αναφορών, ανεξάρτητα από τον τρόπο με τον οποίο λογιστικοποιούνται.</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Αξία ανοίγματος</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Αξία ανοίγματος για τα ανοίγματα που υπόκεινται στο πλαίσιο πιστωτικού κινδύνου.</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Για ανοίγματα στο πλαίσιο της τυποποιημένης προσέγγισης (SA): Βλ. άρθρο 111 του κανονισμού (ΕΕ) αριθ. 575/2013. Για ανοίγματα στο πλαίσιο της προσέγγισης IRB: βλέπε άρθρο 166 και άρθρο 230 παράγραφος 1 δεύτερη περίοδος του κανονισμού (ΕΕ) αριθ.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Για την αναφορά των παραγώγων που υπόκεινται τόσο σε πιστωτικό κίνδυνο αντισυμβαλλομένου όσο και σε κεφαλαιακές επιβαρύνσεις για τον κίνδυνο αγοράς, βλέπε οδηγίες σχετικά με την κατανομή στις γραμμές.</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Τα ανοίγματα που αναφέρονται στις στήλες 0270 και 0280 δεν λαμβάνονται υπόψη για τους σκοπούς αυτής της στήλης, καθώς η τιμή σε αυτή τη στήλη βασίζεται μόνο σε άμεσα ανοίγματα.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Ποσό ανοίγματος σταθμισμένο ως προς τον κίνδυνο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Ποσό ανοίγματος σταθμισμένο ως προς τον κίνδυνο για τα ανοίγματα που υπόκεινται στο πλαίσιο πιστωτικού κινδύνου.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Για ανοίγματα στο πλαίσιο της τυποποιημένης προσέγγισης (SA): βλέπε άρθρο 113 παράγραφοι 1 έως 5 του κανονισμού (ΕΕ) αριθ. 575/2013. Για ανοίγματα στο πλαίσιο της προσέγγισης IRB: βλέπε άρθρο 153 παράγραφοι 1 και 3 του κανονισμού (ΕΕ) αριθ.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Για την αναφορά άμεσων ανοιγμάτων που εμπίπτουν στο πεδίο εφαρμογής του άρθρου 271 του κανονισμού (ΕΕ) αριθ. 575/2013, που υπόκεινται σε απαιτήσεις ιδίων κεφαλαίων τόσο για τον πιστωτικό κίνδυνο αντισυμβαλλομένου όσο και για τον κίνδυνο αγοράς, βλέπε οδηγίες σχετικά με την κατανομή στις γραμμές.</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Τα ανοίγματα που αναφέρονται στις στήλες 0270 και 0280 δεν λαμβάνονται υπόψη για τους σκοπούς αυτής της στήλης, καθώς η τιμή σε αυτή τη στήλη βασίζεται μόνο σε άμεσα ανοίγματα.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Γραμμές</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Οδηγίες</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ΚΑΤΑΝΟΜΗ ΑΝΟΙΓΜΑΤΩΝ ΑΝΑ ΡΥΘΜΙΣΤΙΚΗ ΠΡΟΣΕΓΓΙΣΗ</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Συνολικά ανοίγματα</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Άθροισμα των ανοιγμάτων έναντι γενικών κυβερνήσεων, όπως ορίζεται στις παραγράφους 191 έως 196 του παρόντος παραρτήματος.</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Ανοίγματα βάσει του πλαισίου πιστωτικού κινδύνου</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Άθροισμα των ανοιγμάτων έναντι γενικών κυβερνήσεων που σταθμίζονται ως προς τον κίνδυνο σύμφωνα με το τρίτο μέρος τίτλος II του κανονισμού (ΕΕ) αριθ. 575/2013. Τα ανοίγματα βάσει του πλαισίου πιστωτικού κινδύνου περιλαμβάνουν ανοίγματα τόσο από το τραπεζικό χαρτοφυλάκιο όσο και από το χαρτοφυλάκιο συναλλαγών που υπόκεινται σε κεφαλαιακή επιβάρυνση για τον πιστωτικό κίνδυνο αντισυμβαλλόμενου.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Τα άμεσα ανοίγματα που εμπίπτουν στο πεδίο εφαρμογής του άρθρου 271 του κανονισμού (ΕΕ) αριθ. 575/2013, που υπόκεινται σε απαιτήσεις ιδίων κεφαλαίων τόσο για τον πιστωτικό κίνδυνο αντισυμβαλλομένου όσο και για τον κίνδυνο αγοράς, αναφέρονται τόσο στις γραμμές για τον πιστωτικό κίνδυνο (0020 έως 0155) όσο και στις γραμμές για τον κίνδυνο αγοράς (γραμμή 0160): τα ανοίγματα λόγω πιστωτικού κινδύνου αντισυμβαλλομένου αναφέρονται στις γραμμές για τον πιστωτικό κίνδυνο, ενώ τα ανοίγματα λόγω κινδύνου αγοράς αναφέρονται στη γραμμή για τον κίνδυνο αγοράς.</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Τυποποιημένη προσέγγιση</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είναι σταθμισμένα ως προς τον κίνδυνο, σύμφωνα με το τρίτο μέρος τίτλος II κεφάλαιο 2 του κανονισμού (ΕΕ) αριθ. 575/2013,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αντισυμβαλλομένου.</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Κεντρικές κυβερνήσεις</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κεντρικές κυβερνήσεις. Τα ανοίγματα αυτά κατατάσσονται στην κατηγορία ανοιγμάτων “κεντρικές κυβερνήσεις ή κεντρικές τράπεζες”, σύμφωνα με τα άρθρα 112 και 114 του κανονισμού (ΕΕ) αριθ. 575/2013,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Περιφερειακές κυβερνήσεις ή τοπικές αρχές</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περιφερειακές ή τοπικές αρχές. Τα ανοίγματα αυτά κατατάσσονται στην κατηγορία ανοιγμάτων “περιφερειακές κυβερνήσεις ή τοπικές αρχές”, σύμφωνα με τα άρθρα 112 και 115 του κανονισμού (ΕΕ) αριθ. 575/2013,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Οντότητες του δημόσιου τομέα</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οντότητες του δημόσιου τομέα. Τα ανοίγματα αυτά κατατάσσονται στην κατηγορία ανοιγμάτων “οντότητες του δημόσιου τομέα”, σύμφωνα με τα άρθρα 112 και 116 του κανονισμού (ΕΕ) αριθ. 575/2013,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Διεθνείς οργανισμοί</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Άθροισμα ανοιγμάτων έναντι γενικών κυβερνήσεων που συνιστούν διεθνείς οργανισμούς. Τα ανοίγματα αυτά κατατάσσονται στις κατηγορίες ανοιγμάτων “Διεθνείς Οργανισμοί”, σύμφωνα με τα άρθρα 112 και 118 του κανονισμού (ΕΕ) αριθ. 575/2013,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w:t>
            </w:r>
            <w:r>
              <w:rPr>
                <w:rFonts w:ascii="Times New Roman" w:hAnsi="Times New Roman"/>
                <w:sz w:val="24"/>
              </w:rPr>
              <w:lastRenderedPageBreak/>
              <w:t>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Άλλα ανοίγματα έναντι γενικών κυβερνήσεων υποκείμενα στην τυποποιημένη προσέγγιση</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Άλλα ανοίγματα έναντι γενικών κυβερνήσεων, πλην εκείνων που περιλαμβάνονται στις γραμμές 0040 έως 0070 ανωτέρω, τα οποία κατατάσσονται στις κατηγορίες ανοιγμάτων SA, σύμφωνα με το άρθρο 112 του κανονισμού (ΕΕ) αριθ. 575/2013, για τους σκοπούς του υπολογισμού των απαιτήσεων ιδίων κεφαλαίων.</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Προσέγγιση IRB</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είναι σταθμισμένα ως προς τον κίνδυνο, σύμφωνα με το τρίτο μέρος τίτλος II κεφάλαιο 3 του κανονισμού (ΕΕ) αριθ. 575/2013,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αντισυμβαλλομένου.</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Κεντρικές κυβερνήσεις</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κεντρικές κυβερνήσεις και κατατάσσονται στην κατηγορία ανοιγμάτων “κεντρικές κυβερνήσεις και κεντρικές τράπεζες”, σύμφωνα με το άρθρο 147 παράγραφος 3 στοιχείο α) του κανονισμού (ΕΕ) αριθ. 575/2013,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Περιφερειακές κυβερνήσεις ή τοπικές αρχές [Κεντρικές κυβερνήσεις και κεντρικές τράπεζες]</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περιφερειακές κυβερνήσεις ή τοπικές αρχές και κατατάσσονται στην κατηγορία ανοιγμάτων “κεντρικές κυβερνήσεις και κεντρικές τράπεζες”, σύμφωνα με το άρθρο 147 παράγραφος 3α του κανονισμού (ΕΕ) αριθ. 575/2013,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Περιφερειακές κυβερνήσεις ή τοπικές αρχές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Ανοίγματα έναντι περιφερειακών κυβερνήσεων ή τοπικών αρχών που κατατάσσονται στην κατηγορία ανοιγμάτων “περιφερειακές κυβερνήσεις ή τοπικές αρχές”, σύμφωνα με το άρθρο 147 παράγραφος 2 στοιχείο αα) σημείο i) του κανονισμού (ΕΕ) αριθ. 575/2013,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w:t>
            </w:r>
            <w:r>
              <w:rPr>
                <w:rFonts w:ascii="Times New Roman" w:hAnsi="Times New Roman"/>
                <w:sz w:val="24"/>
              </w:rPr>
              <w:lastRenderedPageBreak/>
              <w:t>του πιστωτικού κινδύνου με αποτέλεσμα υποκατάστασης στο άνοιγμα, οι οποίες δεν εφαρμόζονται.</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Οντότητες του δημοσίου τομέα [Κεντρικές κυβερνήσεις και κεντρικές τράπεζες]</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οντότητες του δημόσιου τομέα, σύμφωνα με το άρθρο 4 σημείο 8) του κανονισμού (ΕΕ) αριθ. 575/2013, και κατατάσσονται στην κατηγορία ανοιγμάτων “κεντρικές κυβερνήσεις και κεντρικές τράπεζες”, σύμφωνα με το άρθρο 147 παράγραφος 3α του εν λόγω κανονισμού, όπως ορίζεται στις οδηγίες για τα υποδείγματα C 08.01 και C 08.02, εξαιρουμένων των προδιαγραφών σχετικά με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Οντότητες του δημόσιου τομέα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οντοτήτων του δημόσιου τομέα, σύμφωνα με το άρθρο 4 σημείο 8) του κανονισμού (ΕΕ) αριθ. 575/2013, και κατατάσσονται στην κατηγορία ανοιγμάτων “οντότητες του δημόσιου τομέα”, σύμφωνα με το άρθρο 147 παράγραφος 2 στοιχείο αα) σημείο ii) του εν λόγω κανονισμού, όπως ορίζεται στις οδηγίες για τα υποδείγματα C 08.01 και C 08.02, εξαιρουμένων των προδιαγραφών σχετικά με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Διεθνείς οργανισμοί [Κεντρικές κυβερνήσεις και κεντρικές τράπεζες]</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Ανοίγματα έναντι γενικών κυβερνήσεων που συνιστούν διεθνείς οργανισμούς και κατατάσσονται στην κατηγορία ανοιγμάτων “κεντρικές κυβερνήσεις και κεντρικές τράπεζες”, σύμφωνα με το άρθρο 147 παράγραφος 3 στοιχείο γ) του κανονισμού (ΕΕ) αριθ. 575/2013,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Άλλα ανοίγματα έναντι γενικών κυβερνήσεων υποκείμενα στην προσέγγιση IRB</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Άλλα ανοίγματα έναντι γενικών κυβερνήσεων, πλην εκείνων που περιλαμβάνονται στις γραμμές 0090 έως 0140 ανωτέρω, τα οποία κατατάσσονται στις κατηγορίες ανοιγμάτων IRB, σύμφωνα με το άρθρο 147 του κανονισμού (ΕΕ) αριθ. 575/2013, για τους σκοπούς του υπολογισμού των απαιτήσεων ιδίων κεφαλαίων.</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Ανοίγματα που υπόκεινται σε κίνδυνο αγοράς</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Η γραμμή αυτή καλύπτει θέσεις για τις οποίες υπολογίζεται μία από τις ακόλουθες απαιτήσεις ιδίων κεφαλαίων του τρίτου μέρους τίτλος IV του κανονισμού (ΕΕ) αριθ. 575/2013:</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lastRenderedPageBreak/>
              <w:t>Απαιτήσεις ιδίων κεφαλαίων για τον κίνδυνο θέσης σύμφωνα με το άρθρο 326 του κανονισμού (ΕΕ) αριθ. 575/2013.</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Απαιτήσεις ιδίων κεφαλαίων για ειδικό ή γενικό κίνδυνο σύμφωνα με το τρίτο μέρος τίτλος IV κεφάλαιο 5 του εν λόγω κανονισμού·</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Απαιτήσεις ιδίων κεφαλαίων για κίνδυνο πιστωτικού περιθωρίου ή κίνδυνο αθέτησης σύμφωνα με το τρίτο μέρος τίτλος IV κεφάλαιο 1α του εν λόγω κανονισμού.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Απαιτήσεις ιδίων κεφαλαίων που υπολογίζονται σύμφωνα με το τρίτο μέρος τίτλος IV κεφάλαιο 1α του εν λόγω κανονισμού, όταν η θέση επηρεάζεται από παράγοντες κινδύνου της ευρείας κατηγορίας παραγόντων κινδύνου “πιστωτικού περιθωρίου” ή περιλαμβάνεται στο εσωτερικό υπόδειγμα κινδύνου αθέτησης του ιδρύματος.</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Τα άμεσα ανοίγματα που εμπίπτουν στο πεδίο εφαρμογής του άρθρου 271 του κανονισμού (ΕΕ) αριθ. 575/2013, που υπόκεινται σε απαιτήσεις ιδίων κεφαλαίων τόσο για τον πιστωτικό κίνδυνο αντισυμβαλλομένου όσο και για τον κίνδυνο αγοράς, αναφέρονται τόσο στις γραμμές για τον πιστωτικό κίνδυνο (0020 έως 0155) όσο και στις γραμμές για τον κίνδυνο αγοράς (γραμμή 0160): το άνοιγμα λόγω πιστωτικού κινδύνου αντισυμβαλλομένου αναφέρεται στις γραμμές για τον πιστωτικό κίνδυνο, ενώ το άνοιγμα λόγω κινδύνου αγοράς αναφέρεται στη γραμμή για τον κίνδυνο αγοράς.</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ΚΑΤΑΝΟΜΗ ΑΝΟΙΓΜΑΤΩΝ ΑΝΑ ΕΝΑΠΟΜΕΝΟΥΣΑ ΛΗΚΤΟΤΗΤΑ</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Η εναπομένουσα ληκτότητα υπολογίζεται σε ημέρες μεταξύ της συμβατικής ημερομηνίας ληκτότητας και της ημερομηνίας αναφοράς για την υποβολή αναφορών για όλες τις θέσεις.</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Τα ανοίγματα έναντι γενικών κυβερνήσεων κατανέμονται ανά εναπομένουσα ληκτότητα και κατατάσσονται στις κατωτέρω περιόδους:</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[ 0 - 3Μ [</w:t>
            </w:r>
            <w:r>
              <w:rPr>
                <w:rFonts w:ascii="Times New Roman" w:hAnsi="Times New Roman"/>
                <w:sz w:val="24"/>
              </w:rPr>
              <w:t xml:space="preserve"> : Μικρότερη από 90 ημέρες·</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[ 3Μ - 1Ε [</w:t>
            </w:r>
            <w:r>
              <w:rPr>
                <w:rFonts w:ascii="Times New Roman" w:hAnsi="Times New Roman"/>
                <w:sz w:val="24"/>
              </w:rPr>
              <w:t xml:space="preserve"> : Ίση ή μεγαλύτερη από 90 ημέρες και μικρότερη από 365 ημέρες·</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[ 1Ε – 2Ε [</w:t>
            </w:r>
            <w:r>
              <w:rPr>
                <w:rFonts w:ascii="Times New Roman" w:hAnsi="Times New Roman"/>
                <w:sz w:val="24"/>
              </w:rPr>
              <w:t xml:space="preserve"> : Ίση ή μεγαλύτερη από 365 ημέρες και μικρότερη από 730 ημέρες·</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[ 2Ε – 3Ε [</w:t>
            </w:r>
            <w:r>
              <w:rPr>
                <w:rFonts w:ascii="Times New Roman" w:hAnsi="Times New Roman"/>
                <w:sz w:val="24"/>
              </w:rPr>
              <w:t xml:space="preserve"> : Ίση ή μεγαλύτερη από 730 ημέρες και μικρότερη από 1 095 ημέρες·</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[ 3Ε – 5Ε [</w:t>
            </w:r>
            <w:r>
              <w:rPr>
                <w:rFonts w:ascii="Times New Roman" w:hAnsi="Times New Roman"/>
                <w:sz w:val="24"/>
              </w:rPr>
              <w:t xml:space="preserve"> : Ίση ή μεγαλύτερη από 1 095 ημέρες και μικρότερη από 1 825 ημέρες·</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[ 5Ε – 10Ε [</w:t>
            </w:r>
            <w:r>
              <w:rPr>
                <w:rFonts w:ascii="Times New Roman" w:hAnsi="Times New Roman"/>
                <w:sz w:val="24"/>
              </w:rPr>
              <w:t xml:space="preserve"> : Ίση ή μεγαλύτερη από 1 825 ημέρες και μικρότερη από 3 650 ημέρες·</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[ 10Ε – περισσότερο</w:t>
            </w:r>
            <w:r>
              <w:rPr>
                <w:rFonts w:ascii="Times New Roman" w:hAnsi="Times New Roman"/>
                <w:sz w:val="24"/>
              </w:rPr>
              <w:t xml:space="preserve"> : Ίση ή μεγαλύτερη από 3 650 ημέρες.</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Όταν η συμβατική ημερομηνία ληκτότητας προηγείται της ημερομηνίας αναφοράς για την υποβολή στοιχείων (δηλαδή η διαφορά μεταξύ της ημερομηνίας αναφοράς για την υποβολή στοιχείων και της ημερομηνίας ληκτότητας είναι αρνητική), το άνοιγμα κατατάσσεται στην περίοδο [0 – 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Τα ανοίγματα χωρίς εναπομένουσα ληκτότητα κατατάσσονται σε περίοδο εναπομένουσας ληκτότητας με βάση την περίοδο καταγγελίας τους ή άλλες συμβατικές ενδείξεις σχετικά με τη ληκτότητα. Εάν δεν υφίσταται προκαθορισμένη περίοδος καταγγελίας ούτε άλλη συμβατική ένδειξη σχετικά με τη ληκτότητα, τα ανοίγματα κατατάσσονται στην περίοδο εναπομένουσας ληκτότητας [10Ε – περισσότερο].</w:t>
            </w:r>
          </w:p>
        </w:tc>
      </w:tr>
    </w:tbl>
    <w:p w14:paraId="74EC1E02" w14:textId="1414E616" w:rsidR="00BD16F2" w:rsidRPr="002A677E" w:rsidRDefault="00332718" w:rsidP="00BD16F2">
      <w:pPr>
        <w:spacing w:after="0"/>
        <w:rPr>
          <w:rStyle w:val="InstructionsTabelleText"/>
          <w:rFonts w:ascii="Times New Roman" w:hAnsi="Times New Roman"/>
          <w:sz w:val="24"/>
        </w:rPr>
      </w:pPr>
      <w:r>
        <w:rPr>
          <w:rStyle w:val="InstructionsTabelleText"/>
          <w:rFonts w:ascii="Times New Roman" w:hAnsi="Times New Roman"/>
          <w:sz w:val="24"/>
        </w:rPr>
        <w:lastRenderedPageBreak/>
        <w:t>»</w:t>
      </w:r>
    </w:p>
    <w:p w14:paraId="2EAB6BA9" w14:textId="77777777" w:rsidR="00BD16F2" w:rsidRDefault="00BD16F2"/>
    <w:p w14:paraId="2871FFE7" w14:textId="77777777" w:rsidR="00BD16F2" w:rsidRDefault="00BD16F2"/>
    <w:sectPr w:rsidR="00BD16F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8DC1" w14:textId="77777777" w:rsidR="00674681" w:rsidRDefault="006746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F950" w14:textId="77777777" w:rsidR="00674681" w:rsidRDefault="006746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4A10" w14:textId="77777777" w:rsidR="00674681" w:rsidRDefault="00674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F45FF0"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0E8A0159" w:rsidR="00BD16F2" w:rsidRPr="00BD16F2" w:rsidRDefault="00674681" w:rsidP="00BD16F2">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0E8A0159" w:rsidR="00BD16F2" w:rsidRPr="00BD16F2" w:rsidRDefault="00674681" w:rsidP="00BD16F2">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5451B99"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332718"/>
    <w:rsid w:val="004E7B6F"/>
    <w:rsid w:val="00631623"/>
    <w:rsid w:val="00674681"/>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el-GR"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el-GR"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el-GR"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2.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94F4951D-2456-46BC-94F9-FFEBC5CDF82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4838</Words>
  <Characters>29809</Characters>
  <Application>Microsoft Office Word</Application>
  <DocSecurity>0</DocSecurity>
  <Lines>764</Lines>
  <Paragraphs>277</Paragraphs>
  <ScaleCrop>false</ScaleCrop>
  <Company/>
  <LinksUpToDate>false</LinksUpToDate>
  <CharactersWithSpaces>34370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2025-01-13T15:05:00Z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2025-01-13T15:05:13Z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c17bc5c9-24bb-4fe2-9122-a2944ee49551</vt:lpwstr>
  </property>
  <property fmtid="{D5CDD505-2E9C-101B-9397-08002B2CF9AE}" pid="9" name="MSIP_Label_6bd9ddd1-4d20-43f6-abfa-fc3c07406f94_ContentBits">
    <vt:lpwstr>0</vt:lpwstr>
  </property>
</Properties>
</file>