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CS</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PŘÍLOHA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„PŘÍLOHA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POKYNY PRO PODÁVÁNÍ ZPRÁV O KAPITÁLU A KAPITÁLOVÝCH POŽADAVCÍCH</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ČÁST II: POKYNY K ŠABLONÁM</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tab/>
      </w:r>
      <w:r>
        <w:rPr>
          <w:rFonts w:ascii="Times New Roman" w:hAnsi="Times New Roman"/>
          <w:sz w:val="24"/>
        </w:rPr>
        <w:t>Šablony zaměřené na tržní riziko</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158</w:t>
      </w:r>
      <w:r>
        <w:fldChar w:fldCharType="end"/>
      </w:r>
      <w:r>
        <w:t>.</w:t>
      </w:r>
      <w:r>
        <w:tab/>
        <w:t xml:space="preserve"> Tyto pokyny se týkají šablon, v nichž se vykazuje výpočet kapitálových požadavků k měnovému riziku (MKR SSA FX), komoditnímu riziku (MKR SSA COM), úrokovému riziku (MKR SSA TDI, MKR SSA SEC, MKR SSA CTP) a akciovému riziku (MKR SSA EQU), a to ve všech případech na základě standardizovaného přístupu. V této části jsou navíc zahrnuty pokyny pro vyplňování šablony týkající se výpočtu kapitálových požadavků na základě přístupu založeného na interních modelech (MKR IM). </w:t>
      </w:r>
    </w:p>
    <w:p w14:paraId="43A205D1" w14:textId="37E67CF7" w:rsidR="000B0B09" w:rsidRPr="004B0EC7" w:rsidRDefault="008F3052" w:rsidP="00660845">
      <w:pPr>
        <w:pStyle w:val="InstructionsText2"/>
        <w:numPr>
          <w:ilvl w:val="0"/>
          <w:numId w:val="0"/>
        </w:numPr>
        <w:ind w:left="993"/>
      </w:pPr>
      <w:r>
        <w:fldChar w:fldCharType="begin"/>
      </w:r>
      <w:r>
        <w:instrText>seq paragraphs</w:instrText>
      </w:r>
      <w:r>
        <w:fldChar w:fldCharType="separate"/>
      </w:r>
      <w:r>
        <w:t>159</w:t>
      </w:r>
      <w:r>
        <w:fldChar w:fldCharType="end"/>
      </w:r>
      <w:r>
        <w:t>.</w:t>
      </w:r>
      <w:r>
        <w:tab/>
        <w:t xml:space="preserve"> Poziční riziko u obchodovaného dluhového nebo akciového nástroje (nebo dluhového či akciového derivátu) se pro účely výpočtu kapitálového požadavku k tomuto riziku rozděluje na dvě složky. První je složka specifického rizika – to je riziko změny v ceně příslušného nástroje v důsledku faktorů ve vztahu k jeho emitentovi nebo v případě derivátů k emitentovi podkladového nástroje. Druhá složka se vztahuje na obecné riziko – to je riziko změny v ceně příslušného nástroje (v případě obchodovaného dluhového nástroje nebo dluhového derivátu) v důsledku změny v úrovni úrokových sazeb nebo (v případě akcií nebo akciových derivátů) rozsáhlého pohybu na akciovém trhu nespojeného se specifickými atributy jednotlivých cenných papírů. </w:t>
      </w:r>
      <w:bookmarkEnd w:id="16"/>
      <w:r>
        <w:t xml:space="preserve">Obecný přístup ke zvláštním nástrojům a postupům započtení je upraven v článcích 326 až 333 nařízení (EU) č. 575/2013.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tab/>
      </w:r>
      <w:r>
        <w:rPr>
          <w:rFonts w:ascii="Times New Roman" w:hAnsi="Times New Roman"/>
          <w:sz w:val="24"/>
        </w:rPr>
        <w:t>C 18.01 – Tržní riziko: Zjednodušený standardizovaný přístup k pozičním rizikům v obchodovaných dluhových nástrojích</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tab/>
      </w:r>
      <w:r>
        <w:rPr>
          <w:rFonts w:ascii="Times New Roman" w:hAnsi="Times New Roman"/>
          <w:sz w:val="24"/>
        </w:rPr>
        <w:t>Obecné poznámky</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160</w:t>
      </w:r>
      <w:r>
        <w:fldChar w:fldCharType="end"/>
      </w:r>
      <w:r>
        <w:t>.</w:t>
      </w:r>
      <w:r>
        <w:tab/>
        <w:t xml:space="preserve"> V této šabloně se uvádějí informace o pozicích a souvisejících kapitálových požadavcích k pozičním rizikům u obchodovaných dluhových nástrojů v rámci standardizovaného přístupu (čl. 325 odst. 2 písm. a) nařízení (EU) č. 575/2013). V jednotlivých řádcích se zohledňují různá rizika a metody dostupné podle nařízení (EU) č. 575/2013. Specifické riziko související s expozicemi uváděnými v šabloně MKR SSA SEC a MKR SSA CTP se vykazuje pouze v souhrnné šabloně MKR SSA TDI. Kapitálové požadavky vykazované v těchto šablonách se převádějí do buňky {0325;0060} (sekuritizace) a {0330;0060} (portfolio obchodování s korelací).</w:t>
      </w:r>
    </w:p>
    <w:p w14:paraId="7C8420A5" w14:textId="7A817DE2" w:rsidR="000B0B09" w:rsidRPr="004B0EC7" w:rsidRDefault="008F3052" w:rsidP="00660845">
      <w:pPr>
        <w:pStyle w:val="InstructionsText2"/>
        <w:numPr>
          <w:ilvl w:val="0"/>
          <w:numId w:val="0"/>
        </w:numPr>
        <w:ind w:left="993"/>
      </w:pPr>
      <w:r>
        <w:lastRenderedPageBreak/>
        <w:fldChar w:fldCharType="begin"/>
      </w:r>
      <w:r>
        <w:instrText>seq paragraphs</w:instrText>
      </w:r>
      <w:r>
        <w:fldChar w:fldCharType="separate"/>
      </w:r>
      <w:r>
        <w:t>161</w:t>
      </w:r>
      <w:r>
        <w:fldChar w:fldCharType="end"/>
      </w:r>
      <w:r>
        <w:t>.</w:t>
      </w:r>
      <w:r>
        <w:tab/>
        <w:t xml:space="preserve"> Šablona musí být vyplněna samostatně v položce „Celkově“ a kromě toho je třeba uvést údaje u předem definovaného seznamu těchto měn: </w:t>
      </w:r>
      <w:bookmarkStart w:id="32" w:name="OLE_LINK1"/>
      <w:r>
        <w:t xml:space="preserve">EUR, ALL, BGN, CZK, DKK, EGP, GBP, HUF, ISK, JPY, MKD, NOK, PLN, RON, RUB, RSD, SEK, CHF, TRY, UAH, USD </w:t>
      </w:r>
      <w:bookmarkEnd w:id="32"/>
      <w:r>
        <w:t xml:space="preserve">a jedna zvláštní šablona pro všechny ostatní měny.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tab/>
      </w:r>
      <w:r>
        <w:rPr>
          <w:rFonts w:ascii="Times New Roman" w:hAnsi="Times New Roman"/>
          <w:sz w:val="24"/>
        </w:rPr>
        <w:t>Pokyny pro konkrétní pozice</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14:paraId="0C799784" w14:textId="63DC6E88" w:rsidR="000B0B09" w:rsidRPr="004B0EC7" w:rsidRDefault="000B0B09" w:rsidP="00D24331">
            <w:pPr>
              <w:rPr>
                <w:rFonts w:ascii="Times New Roman" w:hAnsi="Times New Roman"/>
                <w:sz w:val="24"/>
              </w:rPr>
            </w:pPr>
            <w:r>
              <w:rPr>
                <w:rFonts w:ascii="Times New Roman" w:hAnsi="Times New Roman"/>
                <w:sz w:val="24"/>
              </w:rPr>
              <w:t>Ustanovení článku 102 a čl. 105 odst. 1 nařízení (EU) č. 575/2013. Jedná se o hrubé pozice nezapočtené v nástrojích, ale s vyloučením upsaných pozic, které upsaly nebo za které spoluručí třetí strany v souladu s čl. 345 odst. 1 prvním pododstavcem druhou větou nařízení (EU) č. 575/2013. Pro rozlišení mezi dlouhými a krátkými pozicemi, které platí i pro tyto hrubé pozice, viz čl. 328 odst. 2 nařízení (EU) č.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ČISTÉ POZICE (DLOUHÉ A KRÁTKÉ)</w:t>
            </w:r>
          </w:p>
          <w:p w14:paraId="38649486" w14:textId="21B59DB4" w:rsidR="000B0B09" w:rsidRPr="004B0EC7" w:rsidRDefault="000B0B09" w:rsidP="005B04C9">
            <w:pPr>
              <w:rPr>
                <w:rFonts w:ascii="Times New Roman" w:hAnsi="Times New Roman"/>
                <w:sz w:val="24"/>
              </w:rPr>
            </w:pPr>
            <w:r>
              <w:rPr>
                <w:rFonts w:ascii="Times New Roman" w:hAnsi="Times New Roman"/>
                <w:sz w:val="24"/>
              </w:rPr>
              <w:t>Články 327 až 329 a článek 334 nařízení (EU) č. 575/2013. Pro rozlišení mezi dlouhou a krátkou pozicí viz čl. 328 odst. 2 nařízení (EU) č.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Čisté pozice, na něž se podle různých přístupů uvedených v části třetí hlavě IV kapitole 2 nařízení (EU) č. 575/2013 vztahují kapitálové požadavky.</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KAPITÁLOVÉ POŽADAVKY PŘED UPLATNĚNÍM FAKTORŮ NAVÝŠENÍ</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Kapitálové požadavky pro kterékoli relevantní pozice v souladu s částí třetí hlavou IV kapitolou 2 nařízení (EU) č. 575/2013 před uplatněním faktorů navýšení podle čl. 325 odst. 2 písm. a) bodu i) a písm. d) uvedeného nařízení.</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2B71E9D1" w14:textId="77777777" w:rsidR="000C566F" w:rsidRPr="004B0EC7" w:rsidRDefault="000B0B09" w:rsidP="00D24331">
            <w:pPr>
              <w:rPr>
                <w:rFonts w:ascii="Times New Roman" w:hAnsi="Times New Roman"/>
                <w:sz w:val="24"/>
              </w:rPr>
            </w:pPr>
            <w:r>
              <w:rPr>
                <w:rFonts w:ascii="Times New Roman" w:hAnsi="Times New Roman"/>
                <w:sz w:val="24"/>
              </w:rPr>
              <w:t>Ustanovení čl. 92 odst. 4 písm. b) bodu i) nařízení (EU) č. 575/2013.</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Výsledek vynásobení kapitálového požadavku faktorem 12,5 v souladu s čl. 92 odst. 6 písm. b) nařízení (EU) č. 575/2013 a příslušným faktorem navýšení podle čl. 325 odst. 2 písm. a) bodu i) a písm. d) uvedeného nařízení.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V OBCHODNÍM PORTFOLIU</w:t>
            </w:r>
          </w:p>
          <w:p w14:paraId="12C841B7" w14:textId="0DE276AE" w:rsidR="000B0B09" w:rsidRPr="004B0EC7" w:rsidRDefault="000B0B09" w:rsidP="00D24331">
            <w:pPr>
              <w:rPr>
                <w:rFonts w:ascii="Times New Roman" w:hAnsi="Times New Roman"/>
                <w:sz w:val="24"/>
              </w:rPr>
            </w:pPr>
            <w:r>
              <w:rPr>
                <w:rFonts w:ascii="Times New Roman" w:hAnsi="Times New Roman"/>
                <w:sz w:val="24"/>
              </w:rPr>
              <w:t>Pozice v obchodovaných dluhových nástrojích v obchodním portfoliu a s nimi související kapitálové požadavky k pozičnímu riziku v souladu s čl. 92 odst. 4 písm. b) bodem i) nařízení (EU) č. 575/2013 a částí třetí hlavou IV kapitolou 2 nařízení (EU) č. 575/2013 se vykazují v závislosti na kategorii rizika, splatnosti a používaném přístupu.</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OBECNÉ RIZIKO.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Deriváty</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Deriváty zahrnované do výpočtu úrokového rizika u pozic v obchodním portfoliu, v příslušných případech se zohledněním článků 328 až 331 nařízení (EU) č. 575/2013.</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aktiva a pasiva</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Jiné nástroje než deriváty zahrnované do výpočtu úrokového rizika u pozic v obchodním portfoliu.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PŘÍSTUP ZALOŽENÝ NA SPLATNOSTI</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Pozice v obchodovaných dluhových nástrojích, na něž se vztahuje přístup založený na splatnosti podle čl. 339 odst. 1 až 8 nařízení (EU) č. 575/2013, a odpovídající kapitálové požadavky vypočítané v souladu s čl. 339 odst. 9 nařízení (EU) č. 575/2013. Pozice se rozdělují mezi zóny 1, 2 a 3 a tyto zóny se dělí podle splatnosti nástrojů.</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OBECNÉ RIZIKO. PŘÍSTUP ZALOŽENÝ NA DURACI</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Pozice v obchodovaných dluhových nástrojích, na něž se vztahuje přístup založený na duraci podle čl. 340 odst. 1 až 6 nařízení (EU) č. 575/2013, a odpovídající kapitálové požadavky vypočítané v souladu s čl. 340 odst. 7 nařízení (EU) č. 575/2013. Pozice se rozdělují mezi zóny 1, 2 a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SPECIFICKÉ RIZIKO</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Součet částek vykázaných v řádcích 0251, 0325 a 0330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Pozice v obchodovaných dluhových nástrojích, na něž se vztahují kapitálové požadavky ke specifickému riziku, a jejich odpovídající kapitálové požadavky v souladu s čl. 92 odst. 4 písm. b) a článkem 335, čl. 336 odst. 1, 2 a 3 a články 337 a 338 nařízení (EU) č. 575/2013. Je také nutné vzít na vědomí poslední větu čl. 327 odst. 1 nařízení (EU) č.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pro nesekuritizované dluhové nástroje</w:t>
            </w:r>
          </w:p>
          <w:p w14:paraId="19437B35" w14:textId="77777777" w:rsidR="000B0B09" w:rsidRPr="004B0EC7" w:rsidRDefault="000B0B09" w:rsidP="007B2F85">
            <w:pPr>
              <w:rPr>
                <w:rFonts w:ascii="Times New Roman" w:hAnsi="Times New Roman"/>
                <w:sz w:val="24"/>
              </w:rPr>
            </w:pPr>
            <w:r>
              <w:rPr>
                <w:rFonts w:ascii="Times New Roman" w:hAnsi="Times New Roman"/>
                <w:sz w:val="24"/>
              </w:rPr>
              <w:t>Součet částek vykázaných v řádcích 260 až 321.</w:t>
            </w:r>
          </w:p>
          <w:p w14:paraId="4CDA5DEB" w14:textId="3E49784D" w:rsidR="000B0B09" w:rsidRPr="004B0EC7" w:rsidRDefault="000B0B09" w:rsidP="00BD2FE7">
            <w:pPr>
              <w:rPr>
                <w:rFonts w:ascii="Times New Roman" w:hAnsi="Times New Roman"/>
                <w:sz w:val="24"/>
              </w:rPr>
            </w:pPr>
            <w:r>
              <w:rPr>
                <w:rFonts w:ascii="Times New Roman" w:hAnsi="Times New Roman"/>
                <w:sz w:val="24"/>
              </w:rPr>
              <w:t xml:space="preserve">Kapitálový požadavek k úvěrovým derivátům n-tého selhání bez externího ratingu se vypočítá jako součet rizikových vah referenčních subjektů (čl. 332 odst. 1 písm. e) a čl. 332 odst. 1 druhý pododstavec nařízení (EU) č. 575/2013 – „přístup se zohledněním“). Úvěrové deriváty n-tého selhání s externím ratingem (čl. 332 odst. 1 třetí pododstavec nařízení (EU) č. 575/2013) se vykazují samostatně v řádku 321. </w:t>
            </w:r>
          </w:p>
          <w:p w14:paraId="7051ED04" w14:textId="663FE04C" w:rsidR="000B0B09" w:rsidRPr="004B0EC7" w:rsidRDefault="000B0B09" w:rsidP="00BD2FE7">
            <w:pPr>
              <w:rPr>
                <w:rFonts w:ascii="Times New Roman" w:hAnsi="Times New Roman"/>
                <w:sz w:val="24"/>
              </w:rPr>
            </w:pPr>
            <w:r>
              <w:rPr>
                <w:rFonts w:ascii="Times New Roman" w:hAnsi="Times New Roman"/>
                <w:sz w:val="24"/>
              </w:rPr>
              <w:t>Vykazování pozic, na něž se vztahuje čl. 336 odst. 3 nařízení (EU) č. 575/2013: Pro dluhopisy, jimž je v investičním portfoliu přiřazena riziková váha 10 %, je podle čl. 129 odst. 3 nařízení (EU) č. 575/2013 (kryté dluhopisy) stanoveno zvláštní zacházení. Zvláštní kapitálové požadavky činí polovinu procentního podílu druhé kategorie podle článku 336 tabulky 1 nařízení (EU) č. 575/2013. Tyto pozice musí být přiřazeny do řádků 0280 až 0300 podle jejich zbytkové splatnosti.</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Pokud je obecné riziko u úrokových pozic zajištěno úvěrovými deriváty, uplatní se články 346 a 347 nařízení (EU) č. 575/2013.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pro sekuritizované nástroje</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lastRenderedPageBreak/>
              <w:t>Celkové kapitálové požadavky vykázané ve sloupci 0601 šablony MKR SSA SEC. Tyto celkové kapitálové požadavky se vykazují pouze v celkové výši v šabloně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na portfolio obchodování s korelací</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Celkové kapitálové požadavky vykázané ve sloupci 0450 šablony MKR SSA CTP. Tyto celkové kapitálové požadavky se vykazují pouze v celkové výši v šabloně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DODATEČNÉ POŽADAVKY K OPCÍM (JINÁ RIZIKA NEŽ RIZIKA DELTA) </w:t>
            </w:r>
          </w:p>
          <w:p w14:paraId="3B19069A" w14:textId="2AE3D272" w:rsidR="000B0B09" w:rsidRPr="004B0EC7" w:rsidRDefault="000B0B09" w:rsidP="00BD2FE7">
            <w:pPr>
              <w:rPr>
                <w:rFonts w:ascii="Times New Roman" w:hAnsi="Times New Roman"/>
                <w:sz w:val="24"/>
              </w:rPr>
            </w:pPr>
            <w:r>
              <w:rPr>
                <w:rFonts w:ascii="Times New Roman" w:hAnsi="Times New Roman"/>
                <w:sz w:val="24"/>
              </w:rPr>
              <w:t>Ustanovení čl. 329 odst. 3 nařízení (EU) č. 575/2013.</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Dodatečné požadavky k opcím související s jinými riziky, než jsou rizika delta, se uvádějí v členění podle metody používané k jejich výpočtu.</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tab/>
      </w:r>
      <w:r>
        <w:rPr>
          <w:rFonts w:ascii="Times New Roman" w:hAnsi="Times New Roman"/>
          <w:sz w:val="24"/>
        </w:rPr>
        <w:t>C 19.01 – Tržní riziko: Zjednodušený standardizovaný přístup ke specifickému riziku u sekuritizací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tab/>
      </w:r>
      <w:r>
        <w:rPr>
          <w:rFonts w:ascii="Times New Roman" w:hAnsi="Times New Roman"/>
          <w:sz w:val="24"/>
        </w:rPr>
        <w:t>Obecné poznámky</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162</w:t>
      </w:r>
      <w:r>
        <w:fldChar w:fldCharType="end"/>
      </w:r>
      <w:r>
        <w:t>.</w:t>
      </w:r>
      <w:r>
        <w:tab/>
        <w:t xml:space="preserve"> V této šabloně se vykazují údaje o pozicích (všech / čistých a dlouhých / krátkých) a souvisejících kapitálových požadavcích ke specifické rizikové složce pozičního rizika v případě pozic v sekuritizacích/resekuritizacích držených v obchodním portfoliu (nezpůsobilých pro portfolio obchodování s korelací) v rámci standardizovaného přístupu. </w:t>
      </w:r>
    </w:p>
    <w:p w14:paraId="2729DF95" w14:textId="73D4DCFE" w:rsidR="00FC6275" w:rsidRPr="004B0EC7" w:rsidRDefault="008F3052" w:rsidP="00660845">
      <w:pPr>
        <w:pStyle w:val="InstructionsText2"/>
        <w:numPr>
          <w:ilvl w:val="0"/>
          <w:numId w:val="0"/>
        </w:numPr>
        <w:ind w:left="993"/>
      </w:pPr>
      <w:r>
        <w:fldChar w:fldCharType="begin"/>
      </w:r>
      <w:r>
        <w:instrText>seq paragraphs</w:instrText>
      </w:r>
      <w:r>
        <w:fldChar w:fldCharType="separate"/>
      </w:r>
      <w:r>
        <w:t>163</w:t>
      </w:r>
      <w:r>
        <w:fldChar w:fldCharType="end"/>
      </w:r>
      <w:r>
        <w:t>.</w:t>
      </w:r>
      <w:r>
        <w:tab/>
        <w:t xml:space="preserve"> V šabloně MKR SSA SEC se prezentuje kapitálový požadavek týkající se pouze specifického rizika sekuritizovaných pozic podle článku 335 ve spojení s článkem 337 nařízení (EU) č. 575/2013. Jsou-li sekuritizované pozice v obchodním portfoliu zajištěny úvěrovými deriváty, uplatní se články 346 a 347 nařízení (EU) č. 575/2013. Pro všechny pozice obchodního portfolia existuje pouze jedna šablona, bez ohledu na přístup, který instituce používají k určení rizikové váhy pro každou z pozic v souladu s částí třetí hlavou II kapitolou 5 nařízení (EU) č. 575/2013. Kapitálové požadavky k obecnému riziku u těchto pozic se vykazují v šabloně MKR SSA TDI nebo MKR IM.</w:t>
      </w:r>
    </w:p>
    <w:p w14:paraId="0C732A14" w14:textId="7B6E3BDD" w:rsidR="00FC6275" w:rsidRPr="004B0EC7" w:rsidRDefault="008F3052" w:rsidP="00660845">
      <w:pPr>
        <w:pStyle w:val="InstructionsText2"/>
        <w:numPr>
          <w:ilvl w:val="0"/>
          <w:numId w:val="0"/>
        </w:numPr>
        <w:ind w:left="993"/>
      </w:pPr>
      <w:r>
        <w:fldChar w:fldCharType="begin"/>
      </w:r>
      <w:r>
        <w:instrText>seq paragraphs</w:instrText>
      </w:r>
      <w:r>
        <w:fldChar w:fldCharType="separate"/>
      </w:r>
      <w:r>
        <w:t>164</w:t>
      </w:r>
      <w:r>
        <w:fldChar w:fldCharType="end"/>
      </w:r>
      <w:r>
        <w:t>. Pozice, kterým je přiřazena riziková váha 1 250 %, lze alternativně odečíst od kmenového kapitálu tier 1 (viz čl. 244 odst. 1 písm. b), čl. 245 odst. 1 písm. b) a článek 253 nařízení (EU) č. 575/2013). Jedná-li se o tento případ, uvedené pozice musí být vykázány v řádku 0460 šablony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tab/>
      </w:r>
      <w:r>
        <w:rPr>
          <w:rFonts w:ascii="Times New Roman" w:hAnsi="Times New Roman"/>
          <w:sz w:val="24"/>
        </w:rPr>
        <w:t>Pokyny pro konkrétní pozice</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14:paraId="503F4241" w14:textId="5A1E85D7" w:rsidR="00C55547" w:rsidRPr="004B0EC7" w:rsidRDefault="00C55547" w:rsidP="007062FD">
            <w:pPr>
              <w:rPr>
                <w:rFonts w:ascii="Times New Roman" w:hAnsi="Times New Roman"/>
                <w:sz w:val="24"/>
              </w:rPr>
            </w:pPr>
            <w:r>
              <w:rPr>
                <w:rStyle w:val="InstructionsTabelleText"/>
                <w:rFonts w:ascii="Times New Roman" w:hAnsi="Times New Roman"/>
                <w:sz w:val="24"/>
              </w:rPr>
              <w:lastRenderedPageBreak/>
              <w:t xml:space="preserve">Článek 102 a čl. 105 odst. 1 </w:t>
            </w:r>
            <w:r>
              <w:rPr>
                <w:rFonts w:ascii="Times New Roman" w:hAnsi="Times New Roman"/>
                <w:sz w:val="24"/>
              </w:rPr>
              <w:t>nařízení (EU) č. 575/2013</w:t>
            </w:r>
            <w:r>
              <w:rPr>
                <w:rStyle w:val="InstructionsTabelleText"/>
                <w:rFonts w:ascii="Times New Roman" w:hAnsi="Times New Roman"/>
                <w:sz w:val="24"/>
              </w:rPr>
              <w:t xml:space="preserve"> ve spojení s článkem 337 </w:t>
            </w:r>
            <w:r>
              <w:rPr>
                <w:rFonts w:ascii="Times New Roman" w:hAnsi="Times New Roman"/>
                <w:sz w:val="24"/>
              </w:rPr>
              <w:t xml:space="preserve">uvedeného nařízení </w:t>
            </w:r>
            <w:r>
              <w:rPr>
                <w:rStyle w:val="InstructionsTabelleText"/>
                <w:rFonts w:ascii="Times New Roman" w:hAnsi="Times New Roman"/>
                <w:sz w:val="24"/>
              </w:rPr>
              <w:t xml:space="preserve">(sekuritizované pozice). Pro rozlišení mezi dlouhými a krátkými pozicemi, které platí i pro tyto hrubé pozice, viz čl. 328 odst. 2 </w:t>
            </w:r>
            <w:r>
              <w:rPr>
                <w:rFonts w:ascii="Times New Roman" w:hAnsi="Times New Roman"/>
                <w:sz w:val="24"/>
              </w:rPr>
              <w:t>nařízení (EU) č.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POZICE ODEČTENÉ OD KAPITÁLU</w:t>
            </w:r>
            <w:r>
              <w:rPr>
                <w:rFonts w:ascii="Times New Roman" w:hAnsi="Times New Roman"/>
                <w:b/>
                <w:sz w:val="24"/>
                <w:u w:val="single"/>
              </w:rPr>
              <w:t xml:space="preserve"> (DLOUHÉ A KRÁTKÉ)</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Ustanovení čl. 244 odst. 1 písm. b), čl. 245 odst. 1 písm. b) a článku 253 </w:t>
            </w:r>
            <w:r>
              <w:rPr>
                <w:rFonts w:ascii="Times New Roman" w:hAnsi="Times New Roman"/>
                <w:sz w:val="24"/>
              </w:rPr>
              <w:t>nařízení (EU) č.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ČISTÉ POZICE</w:t>
            </w:r>
            <w:r>
              <w:rPr>
                <w:rFonts w:ascii="Times New Roman" w:hAnsi="Times New Roman"/>
                <w:b/>
                <w:sz w:val="24"/>
                <w:u w:val="single"/>
              </w:rPr>
              <w:t xml:space="preserve"> (DLOUHÉ A KRÁTKÉ)</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Články</w:t>
            </w:r>
            <w:r>
              <w:rPr>
                <w:rStyle w:val="InstructionsTabelleText"/>
                <w:rFonts w:ascii="Times New Roman" w:hAnsi="Times New Roman"/>
                <w:sz w:val="24"/>
              </w:rPr>
              <w:t xml:space="preserve"> 327, 328, 329 a 334 </w:t>
            </w:r>
            <w:r>
              <w:rPr>
                <w:rFonts w:ascii="Times New Roman" w:hAnsi="Times New Roman"/>
                <w:sz w:val="24"/>
              </w:rPr>
              <w:t>nařízení (EU) č. 575/2013</w:t>
            </w:r>
            <w:r>
              <w:rPr>
                <w:rStyle w:val="InstructionsTabelleText"/>
                <w:rFonts w:ascii="Times New Roman" w:hAnsi="Times New Roman"/>
                <w:sz w:val="24"/>
              </w:rPr>
              <w:t xml:space="preserve">. Pro rozlišení mezi dlouhou a krátkou pozicí viz čl. 328 odst. 2 </w:t>
            </w:r>
            <w:r>
              <w:rPr>
                <w:rFonts w:ascii="Times New Roman" w:hAnsi="Times New Roman"/>
                <w:sz w:val="24"/>
              </w:rPr>
              <w:t>nařízení (EU) č. 575/2013</w:t>
            </w:r>
            <w:r>
              <w:rPr>
                <w:rStyle w:val="InstructionsTabelleText"/>
                <w:rFonts w:ascii="Times New Roman" w:hAnsi="Times New Roman"/>
                <w:sz w:val="24"/>
              </w:rPr>
              <w:t>.</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ROZČLENĚNÍ ČISTÝCH POZIC PODLE RIZIKOVÝCH VAH</w:t>
            </w:r>
          </w:p>
          <w:p w14:paraId="3ECFC065" w14:textId="41D71775" w:rsidR="00C3548F"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Články 259 až 262, článek 263 tabulky 1 a 2, článek 264, tabulky 3 a 4 a článek 266 </w:t>
            </w:r>
            <w:r>
              <w:rPr>
                <w:rFonts w:ascii="Times New Roman" w:hAnsi="Times New Roman"/>
                <w:sz w:val="24"/>
              </w:rPr>
              <w:t>nařízení (EU) č. 575/2013</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Rozčlenění musí být provedeno zvlášť pro dlouhé a pro krátké pozice.</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ROZČLENĚNÍ ČISTÝCH POZIC PODLE METOD</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Článek</w:t>
            </w:r>
            <w:r>
              <w:rPr>
                <w:rStyle w:val="InstructionsTabelleText"/>
                <w:rFonts w:ascii="Times New Roman" w:hAnsi="Times New Roman"/>
                <w:sz w:val="24"/>
              </w:rPr>
              <w:t xml:space="preserve"> 254 </w:t>
            </w:r>
            <w:r>
              <w:rPr>
                <w:rFonts w:ascii="Times New Roman" w:hAnsi="Times New Roman"/>
                <w:sz w:val="24"/>
              </w:rPr>
              <w:t>nařízení (EU) č.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Články 259 a 260</w:t>
            </w:r>
            <w:r>
              <w:rPr>
                <w:rFonts w:ascii="Times New Roman" w:hAnsi="Times New Roman"/>
                <w:sz w:val="24"/>
              </w:rPr>
              <w:t xml:space="preserve"> nařízení (EU) č.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Články 261 a 262 </w:t>
            </w:r>
            <w:r>
              <w:rPr>
                <w:rFonts w:ascii="Times New Roman" w:hAnsi="Times New Roman"/>
                <w:sz w:val="24"/>
              </w:rPr>
              <w:t>nařízení (EU) č.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 xml:space="preserve">Články 263 a 264 </w:t>
            </w:r>
            <w:r>
              <w:rPr>
                <w:rFonts w:ascii="Times New Roman" w:hAnsi="Times New Roman"/>
                <w:sz w:val="24"/>
              </w:rPr>
              <w:t>nařízení (EU) č.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INTERNÍHO HODNOCENÍ</w:t>
            </w:r>
          </w:p>
          <w:p w14:paraId="5354C48C" w14:textId="67E47F49" w:rsidR="00C55547" w:rsidRPr="004B0EC7" w:rsidRDefault="00C55547" w:rsidP="007062FD">
            <w:pPr>
              <w:rPr>
                <w:rFonts w:ascii="Times New Roman" w:hAnsi="Times New Roman"/>
                <w:bCs/>
                <w:sz w:val="24"/>
                <w:u w:val="single"/>
              </w:rPr>
            </w:pPr>
            <w:r>
              <w:rPr>
                <w:rStyle w:val="InstructionsTabelleText"/>
                <w:rFonts w:ascii="Times New Roman" w:hAnsi="Times New Roman"/>
                <w:sz w:val="24"/>
              </w:rPr>
              <w:t xml:space="preserve">Ustanovení článků 254 a 265 a čl. 266 odst. 5 </w:t>
            </w:r>
            <w:r>
              <w:rPr>
                <w:rFonts w:ascii="Times New Roman" w:hAnsi="Times New Roman"/>
                <w:sz w:val="24"/>
              </w:rPr>
              <w:t>nařízení (EU) č. 575/2013</w:t>
            </w:r>
            <w:r>
              <w:rPr>
                <w:rStyle w:val="InstructionsTabelleText"/>
                <w:rFonts w:ascii="Times New Roman" w:hAnsi="Times New Roman"/>
                <w:sz w:val="24"/>
              </w:rPr>
              <w:t>.</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ZVLÁŠTNÍ ZACHÁZENÍ S PŘEDNOSTNÍMI TRANŠEMI KVALIFIKOVANÝCH SEKURITIZACÍ NEVÝKONNÝCH EXPOZIC</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Ustanovení čl. 269a odst. 3 nařízení (EU) č.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(RW = 1 250 %)</w:t>
            </w:r>
          </w:p>
          <w:p w14:paraId="1684F52F" w14:textId="43F3FE5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 xml:space="preserve">Ustanovení čl. 254 odst. 7 </w:t>
            </w:r>
            <w:r>
              <w:rPr>
                <w:rFonts w:ascii="Times New Roman" w:hAnsi="Times New Roman"/>
                <w:sz w:val="24"/>
              </w:rPr>
              <w:t>nařízení (EU) č.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DOPAD (ÚPRAVA) V DŮSLEDKU PORUŠENÍ KAPITOLY 2 NAŘÍZENÍ (EU) 2017/2402</w:t>
            </w:r>
          </w:p>
          <w:p w14:paraId="3FBEAE4C" w14:textId="027236B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 xml:space="preserve">Článek 270a </w:t>
            </w:r>
            <w:r>
              <w:rPr>
                <w:rFonts w:ascii="Times New Roman" w:hAnsi="Times New Roman"/>
                <w:sz w:val="24"/>
              </w:rPr>
              <w:t>nařízení (EU) č.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PŘED UPLATNĚNÍM STROPU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Článek 337 nařízení (EU) č. 575/2013 bez zohlednění možnosti podle článku 335 téhož nařízení, který instituci umožňuje stanovit strop pro součin příslušné váhy a čisté pozice ve výši maximální možné ztráty související s rizikem selhání</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lastRenderedPageBreak/>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 UPLATNĚNÍ STROPU / CELKOVÉ KAPITÁLOVÉ POŽADAVKY PŘED UPLATNĚNÍM FAKTORU NAVÝŠENÍ</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 xml:space="preserve">Článek 337 nařízení (EU) č. 575/2013 se zohledněním </w:t>
            </w:r>
            <w:r>
              <w:rPr>
                <w:rStyle w:val="InstructionsTabelleText"/>
                <w:rFonts w:ascii="Times New Roman" w:hAnsi="Times New Roman"/>
                <w:sz w:val="24"/>
              </w:rPr>
              <w:t>možnosti</w:t>
            </w:r>
            <w:r>
              <w:rPr>
                <w:rFonts w:ascii="Times New Roman" w:hAnsi="Times New Roman"/>
                <w:sz w:val="24"/>
              </w:rPr>
              <w:t xml:space="preserve"> uvedené v článku 335 zmíněného nařízení.</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CELKOVÉ EXPOZICE</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Celková výše nesplacených sekuritizací a resekuritizací (držených v obchodním portfoliu) vykazovaná institucí, která zastává úlohu/y původce nebo investora nebo sponzora.</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a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SEKURITIZOVANÉ POZICE</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Ustanovení čl. 4 odst. 1 bodu 62 nařízení (EU) č.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a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RESEKURITIZOVANÉ POZICE</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Ustanovení čl. 4 odst. 1 bodu 64 nařízení (EU) č.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a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Z TOHO: ZPŮSOBILÉ PRO DIFERENCOVANÉ KAPITÁLOVÉ ZACHÁZENÍ</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t>Celkový objem sekuritizovaných pozic, které splňují kritéria článku 243 nebo 270 nařízení (EU) č. 575/2013, a tudíž jsou způsobilé pro diferencované kapitálové zacházení.</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PŮVODCE</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Ustanovení čl. 4 odst. 1 bodu 13 nařízení (EU) č.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Úvěrová instituce, která drží sekuritizované pozice v sekuritizaci, v jejímž případě není původcem, sponzorem ani původní věřitelem.</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Ustanovení čl. 4 odst. 1 bodu 14 nařízení (EU) č. 575/2013</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který sekuritizuje rovněž vlastní aktiva, v řádku určeném pro původce vyplní údaj týkající se vlastních sekuritizovaných aktiv.</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tab/>
      </w:r>
      <w:r>
        <w:rPr>
          <w:rFonts w:ascii="Times New Roman" w:hAnsi="Times New Roman"/>
          <w:sz w:val="24"/>
        </w:rPr>
        <w:t>C 20.01 – Tržní riziko: Zjednodušený standardizovaný přístup ke specifickému riziku v případě pozic zařazených do portfolia obchodování s korelací (MKR 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tab/>
      </w:r>
      <w:r>
        <w:rPr>
          <w:rFonts w:ascii="Times New Roman" w:hAnsi="Times New Roman"/>
          <w:sz w:val="24"/>
        </w:rPr>
        <w:t>Obecné poznámky</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fldChar w:fldCharType="begin"/>
      </w:r>
      <w:r>
        <w:instrText xml:space="preserve"> seq paragraphs </w:instrText>
      </w:r>
      <w:r>
        <w:fldChar w:fldCharType="separate"/>
      </w:r>
      <w:r>
        <w:t>165</w:t>
      </w:r>
      <w:r>
        <w:fldChar w:fldCharType="end"/>
      </w:r>
      <w:r>
        <w:t xml:space="preserve">. V této šabloně se vykazují údaje o pozicích zařazených do portfolia obchodování s korelací (patří sem sekuritizace, úvěrové deriváty n-tého selhání a další pozice </w:t>
      </w:r>
      <w:r>
        <w:lastRenderedPageBreak/>
        <w:t>v portfoliu obchodování s korelací zahrnuté podle čl. 338 odst. 3 nařízení (EU) č. 575/2013) a odpovídajících kapitálových požadavcích v rámci standardizovaného přístupu.</w:t>
      </w:r>
    </w:p>
    <w:p w14:paraId="7D9D9B10" w14:textId="72D4CBCA"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166</w:t>
      </w:r>
      <w:r>
        <w:fldChar w:fldCharType="end"/>
      </w:r>
      <w:r>
        <w:t>.</w:t>
      </w:r>
      <w:r>
        <w:tab/>
        <w:t xml:space="preserve"> V šabloně MKR SSA CTP se prezentuje kapitálový požadavek týkající se pouze specifického rizika pozic zařazených do portfolia obchodování s korelací podle článku 335 nařízení (EU) č. 575/2013 ve spojení s čl. 338 odst. 2 a 3 uvedeného nařízení. Jsou-li pozice v portfoliu obchodování s korelací zajištěny úvěrovými deriváty, uplatní se články 346 a 347 nařízení (EU) č. 575/2013. Pro všechny pozice portfolia obchodování s korelací obchodního portfolia existuje pouze jedna šablona, bez ohledu na přístup, který instituce používají k určení rizikové váhy pro každou z pozic v souladu s částí třetí hlavou II kapitolou 5 nařízení (EU) č. 575/2013. Kapitálové požadavky k obecnému riziku u těchto pozic se vykazují v šabloně MKR SSA TDI nebo MKR IM.</w:t>
      </w:r>
    </w:p>
    <w:p w14:paraId="2252BE4F" w14:textId="6A0EE270"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167</w:t>
      </w:r>
      <w:r>
        <w:fldChar w:fldCharType="end"/>
      </w:r>
      <w:r>
        <w:t>.</w:t>
      </w:r>
      <w:r>
        <w:tab/>
        <w:t xml:space="preserve"> V šabloně jsou odděleny sekuritizované pozice, úvěrové deriváty n-tého selhání a ostatní pozice v portfoliu obchodování s korelací. Sekuritizované pozice se vždy vykazují v řádcích 0030, 0060 nebo 0090 (v závislosti na úloze instituce v sekuritizaci). Úvěrové deriváty n-tého selhání se vždy vykazují v řádku 0110. „Ostatní pozice v portfoliu obchodování s korelací“ jsou pozice, které nejsou ani sekuritizovanými pozicemi, ani úvěrovými deriváty n-tého selhání (viz čl. 338 odst. 3 nařízení (EU) č. 575/2013), ale jsou výslovně „spojeny“ (kvůli zajišťovacímu záměru) s jednou z těchto dvou pozic. </w:t>
      </w:r>
    </w:p>
    <w:p w14:paraId="5B5B9C2A" w14:textId="21A69FAD" w:rsidR="00C55547" w:rsidRPr="004B0EC7" w:rsidRDefault="008F3052" w:rsidP="00660845">
      <w:pPr>
        <w:pStyle w:val="InstructionsText2"/>
        <w:numPr>
          <w:ilvl w:val="0"/>
          <w:numId w:val="0"/>
        </w:numPr>
        <w:ind w:left="993"/>
      </w:pPr>
      <w:r>
        <w:fldChar w:fldCharType="begin"/>
      </w:r>
      <w:r>
        <w:instrText>seq paragraphs</w:instrText>
      </w:r>
      <w:r>
        <w:fldChar w:fldCharType="separate"/>
      </w:r>
      <w:r>
        <w:t>168</w:t>
      </w:r>
      <w:r>
        <w:fldChar w:fldCharType="end"/>
      </w:r>
      <w:r>
        <w:t>.</w:t>
      </w:r>
      <w:r>
        <w:tab/>
        <w:t xml:space="preserve"> Pozice, kterým je přiřazena riziková váha 1 250 %, lze alternativně odečíst od kmenového kapitálu tier 1 (viz čl. 244 odst. 1 písm. b), čl. 245 odst. 1 písm. b) a článek 253 nařízení (EU) č. 575/2013). Jedná-li se o tento případ, uvedené pozice musí být vykázány v řádku 0460 šablony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tab/>
      </w:r>
      <w:r>
        <w:rPr>
          <w:rFonts w:ascii="Times New Roman" w:hAnsi="Times New Roman"/>
          <w:sz w:val="24"/>
        </w:rPr>
        <w:t>Pokyny pro konkrétní pozice</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VŠECHNY POZICE (DLOUHÉ A KRÁTKÉ)</w:t>
            </w:r>
          </w:p>
          <w:p w14:paraId="4F3CF7CB" w14:textId="017BAB06" w:rsidR="005C14B0" w:rsidRPr="004B0EC7" w:rsidRDefault="00C55547" w:rsidP="00E10B85">
            <w:pPr>
              <w:rPr>
                <w:rFonts w:ascii="Times New Roman" w:hAnsi="Times New Roman"/>
                <w:sz w:val="24"/>
              </w:rPr>
            </w:pPr>
            <w:r>
              <w:rPr>
                <w:rFonts w:ascii="Times New Roman" w:hAnsi="Times New Roman"/>
                <w:sz w:val="24"/>
              </w:rPr>
              <w:t>Článek 102 a čl. 105 odst. 1 nařízení (EU) č. 575/2013 ve spojení s čl. 338 odst. 2 a 3 uvedeného nařízení (pozice zařazené do portfolia obchodování s korelací)</w:t>
            </w:r>
          </w:p>
          <w:p w14:paraId="70FB0860" w14:textId="005CBA75" w:rsidR="00C55547" w:rsidRPr="004B0EC7" w:rsidRDefault="00C55547" w:rsidP="0002267E">
            <w:pPr>
              <w:rPr>
                <w:rFonts w:ascii="Times New Roman" w:hAnsi="Times New Roman"/>
                <w:sz w:val="24"/>
              </w:rPr>
            </w:pPr>
            <w:r>
              <w:rPr>
                <w:rFonts w:ascii="Times New Roman" w:hAnsi="Times New Roman"/>
                <w:sz w:val="24"/>
              </w:rPr>
              <w:t>Pro rozlišení mezi dlouhými a krátkými pozicemi, které platí i pro tyto hrubé pozice, viz čl. 328 odst. 2 nařízení (EU) č.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POZICE ODEČTENÉ OD KAPITÁLU (DLOUHÉ A KRÁTKÉ)</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Článek 253 nařízení (EU) č. 575/2013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ČISTÉ POZICE (DLOUHÉ A KRÁTKÉ)</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Články 327, 328, 329 a 334 nařízení (EU) č. 575/2013 </w:t>
            </w:r>
          </w:p>
          <w:p w14:paraId="6C03F093" w14:textId="2B98C3C7" w:rsidR="00C55547" w:rsidRPr="004B0EC7" w:rsidRDefault="00C55547" w:rsidP="00E64BFE">
            <w:pPr>
              <w:rPr>
                <w:rFonts w:ascii="Times New Roman" w:hAnsi="Times New Roman"/>
                <w:sz w:val="24"/>
              </w:rPr>
            </w:pPr>
            <w:r>
              <w:rPr>
                <w:rFonts w:ascii="Times New Roman" w:hAnsi="Times New Roman"/>
                <w:sz w:val="24"/>
              </w:rPr>
              <w:t>Pro rozlišení mezi dlouhou a krátkou pozicí viz čl. 328 odst. 2 nařízení (EU) č.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lastRenderedPageBreak/>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ROZČLENĚNÍ ČISTÝCH POZIC PODLE RIZIKOVÝCH VAH</w:t>
            </w:r>
          </w:p>
          <w:p w14:paraId="691F4414" w14:textId="030DE019" w:rsidR="00C55547" w:rsidRPr="004B0EC7" w:rsidRDefault="00133396" w:rsidP="001F2389">
            <w:pPr>
              <w:rPr>
                <w:rFonts w:ascii="Times New Roman" w:hAnsi="Times New Roman"/>
                <w:sz w:val="24"/>
              </w:rPr>
            </w:pPr>
            <w:r>
              <w:rPr>
                <w:rStyle w:val="InstructionsTabelleText"/>
                <w:rFonts w:ascii="Times New Roman" w:hAnsi="Times New Roman"/>
                <w:sz w:val="24"/>
              </w:rPr>
              <w:t xml:space="preserve">Články 259 až 262, článek 263 tabulky 1 a 2, článek 264 tabulky 3 a 4 a článek 266 </w:t>
            </w:r>
            <w:r>
              <w:rPr>
                <w:rFonts w:ascii="Times New Roman" w:hAnsi="Times New Roman"/>
                <w:sz w:val="24"/>
              </w:rPr>
              <w:t>nařízení (EU) č.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ROZČLENĚNÍ ČISTÝCH POZIC PODLE METOD</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Článek 254 </w:t>
            </w:r>
            <w:r>
              <w:rPr>
                <w:rFonts w:ascii="Times New Roman" w:hAnsi="Times New Roman"/>
                <w:sz w:val="24"/>
              </w:rPr>
              <w:t>nařízení (EU) č.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Články 259 a 260 </w:t>
            </w:r>
            <w:r>
              <w:rPr>
                <w:rFonts w:ascii="Times New Roman" w:hAnsi="Times New Roman"/>
                <w:sz w:val="24"/>
              </w:rPr>
              <w:t>nařízení (EU) č.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Články 261 a 262 </w:t>
            </w:r>
            <w:r>
              <w:rPr>
                <w:rFonts w:ascii="Times New Roman" w:hAnsi="Times New Roman"/>
                <w:sz w:val="24"/>
              </w:rPr>
              <w:t>nařízení (EU) č.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Články 263 a 264 </w:t>
            </w:r>
            <w:r>
              <w:rPr>
                <w:rFonts w:ascii="Times New Roman" w:hAnsi="Times New Roman"/>
                <w:sz w:val="24"/>
              </w:rPr>
              <w:t>nařízení (EU) č.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INTERNÍHO HODNOCENÍ</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Ustanovení článků 254 a 265 a čl. 266 odst. 5 </w:t>
            </w:r>
            <w:r>
              <w:rPr>
                <w:rFonts w:ascii="Times New Roman" w:hAnsi="Times New Roman"/>
                <w:sz w:val="24"/>
              </w:rPr>
              <w:t>nařízení (EU) č. 575/2013</w:t>
            </w:r>
            <w:r>
              <w:rPr>
                <w:rStyle w:val="InstructionsTabelleText"/>
                <w:rFonts w:ascii="Times New Roman" w:hAnsi="Times New Roman"/>
                <w:sz w:val="24"/>
              </w:rPr>
              <w:t>.</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ZVLÁŠTNÍ ZACHÁZENÍ S PŘEDNOSTNÍMI TRANŠEMI KVALIFIKOVANÝCH SEKURITIZACÍ NEVÝKONNÝCH EXPOZIC</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Ustanovení</w:t>
            </w:r>
            <w:r>
              <w:rPr>
                <w:rStyle w:val="InstructionsTabelleText"/>
                <w:rFonts w:ascii="Times New Roman" w:hAnsi="Times New Roman"/>
                <w:sz w:val="24"/>
              </w:rPr>
              <w:t xml:space="preserve"> čl. 269a </w:t>
            </w:r>
            <w:r>
              <w:rPr>
                <w:rFonts w:ascii="Times New Roman" w:hAnsi="Times New Roman"/>
                <w:sz w:val="24"/>
              </w:rPr>
              <w:t>odst. 3 nařízení (EU) č.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(RW = 1 250 %)</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Ustanovení čl. 254 odst. 7 </w:t>
            </w:r>
            <w:r>
              <w:rPr>
                <w:rFonts w:ascii="Times New Roman" w:hAnsi="Times New Roman"/>
                <w:sz w:val="24"/>
              </w:rPr>
              <w:t>nařízení (EU) č.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PŘED UPLATNĚNÍM STROPU – VÁŽENÉ ČISTÉ DLOUHÉ/KRÁTKÉ POZICE</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Článek 338 nařízení (EU) č. 575/2013 bez zohlednění možnosti uvedené v článku 335 uvedeného nařízení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 UPLATNĚNÍ STROPU – VÁŽENÉ ČISTÉ DLOUHÉ/KRÁTKÉ POZICE</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Článek 338 nařízení (EU) č. 575/2013 bez zohlednění možnosti uvedené v článku 335 uvedeného nařízení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CELKOVÉ KAPITÁLOVÉ POŽADAVKY PŘED UPLATNĚNÍM FAKTORU NAVÝŠENÍ</w:t>
            </w:r>
          </w:p>
          <w:p w14:paraId="7DEA5D32" w14:textId="77777777" w:rsidR="00C55547" w:rsidRPr="004B0EC7" w:rsidRDefault="00C55547" w:rsidP="00E10B85">
            <w:pPr>
              <w:rPr>
                <w:rFonts w:ascii="Times New Roman" w:hAnsi="Times New Roman"/>
                <w:sz w:val="24"/>
              </w:rPr>
            </w:pPr>
            <w:r>
              <w:rPr>
                <w:rFonts w:ascii="Times New Roman" w:hAnsi="Times New Roman"/>
                <w:sz w:val="24"/>
              </w:rPr>
              <w:t>Kapitálový požadavek se stanoví jako vyšší z těchto dvou požadavků: i) požadavek ke specifickému riziku, který by se uplatnil pouze na čisté dlouhé pozice (sloupec 0430), nebo ii) požadavek ke specifickému riziku, který by se uplatnil pouze na čisté krátké pozice (sloupec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8057"/>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CELKOVÉ EXPOZICE</w:t>
            </w:r>
          </w:p>
          <w:p w14:paraId="47BDA358" w14:textId="77777777" w:rsidR="00C55547" w:rsidRPr="004B0EC7" w:rsidRDefault="00C55547" w:rsidP="00E10B85">
            <w:pPr>
              <w:rPr>
                <w:rFonts w:ascii="Times New Roman" w:hAnsi="Times New Roman"/>
                <w:sz w:val="24"/>
              </w:rPr>
            </w:pPr>
            <w:r>
              <w:rPr>
                <w:rFonts w:ascii="Times New Roman" w:hAnsi="Times New Roman"/>
                <w:sz w:val="24"/>
              </w:rPr>
              <w:lastRenderedPageBreak/>
              <w:t>Celková výše nesplacených pozic (držených v portfoliu obchodování s korelací) vykazovaná institucí, která má úlohu/y původce, investora nebo sponzora.</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PŮVODCE</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Ustanovení čl. 4 odst. 1 bodu 13 nařízení (EU) č. 575/2013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14:paraId="5507389D" w14:textId="77777777" w:rsidR="00C55547" w:rsidRPr="004B0EC7" w:rsidRDefault="00C55547">
            <w:pPr>
              <w:rPr>
                <w:rFonts w:ascii="Times New Roman" w:hAnsi="Times New Roman"/>
                <w:sz w:val="24"/>
              </w:rPr>
            </w:pPr>
            <w:r>
              <w:rPr>
                <w:rFonts w:ascii="Times New Roman" w:hAnsi="Times New Roman"/>
                <w:sz w:val="24"/>
              </w:rPr>
              <w:t>Úvěrová instituce, která drží sekuritizované pozice v sekuritizaci, v jejímž případě není původcem, sponzorem ani původní věřitelem</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Ustanovení čl. 4 odst. 1 bodu 14 nařízení (EU) č. 575/2013 </w:t>
            </w:r>
          </w:p>
          <w:p w14:paraId="7911CCA2" w14:textId="77777777" w:rsidR="00C55547" w:rsidRPr="004B0EC7" w:rsidRDefault="005F3BBE" w:rsidP="005F3BBE">
            <w:pPr>
              <w:rPr>
                <w:rFonts w:ascii="Times New Roman" w:hAnsi="Times New Roman"/>
                <w:sz w:val="24"/>
              </w:rPr>
            </w:pPr>
            <w:r>
              <w:rPr>
                <w:rFonts w:ascii="Times New Roman" w:hAnsi="Times New Roman"/>
                <w:sz w:val="24"/>
              </w:rPr>
              <w:t>Sponzor, který sekuritizuje rovněž vlastní aktiva, v řádcích určených pro původce vyplní údaje týkající se vlastních sekuritizovaných aktiv.</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a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SEKURITIZOVANÉ POZICE</w:t>
            </w:r>
          </w:p>
          <w:p w14:paraId="3E2839F4" w14:textId="4835C00E" w:rsidR="00C55547" w:rsidRPr="004B0EC7" w:rsidRDefault="00C55547" w:rsidP="00E10B85">
            <w:pPr>
              <w:rPr>
                <w:rFonts w:ascii="Times New Roman" w:hAnsi="Times New Roman"/>
                <w:sz w:val="24"/>
              </w:rPr>
            </w:pPr>
            <w:r>
              <w:rPr>
                <w:rFonts w:ascii="Times New Roman" w:hAnsi="Times New Roman"/>
                <w:sz w:val="24"/>
              </w:rPr>
              <w:t>Do portfolia obchodování s korelací patří sekuritizace, úvěrové deriváty n-tého selhání a případně jiné zajišťovací pozice, které splňují kritéria stanovená v čl. 338 odst. 2 a 3 nařízení (EU) č. 575/2013.</w:t>
            </w:r>
          </w:p>
          <w:p w14:paraId="284429BF" w14:textId="77777777" w:rsidR="00C55547" w:rsidRPr="004B0EC7" w:rsidRDefault="00C55547" w:rsidP="00E10B85">
            <w:pPr>
              <w:rPr>
                <w:rFonts w:ascii="Times New Roman" w:hAnsi="Times New Roman"/>
                <w:sz w:val="24"/>
              </w:rPr>
            </w:pPr>
            <w:r>
              <w:rPr>
                <w:rFonts w:ascii="Times New Roman" w:hAnsi="Times New Roman"/>
                <w:sz w:val="24"/>
              </w:rPr>
              <w:t>Deriváty sekuritizovaných expozic, které poskytují poměrný podíl, a také pozice zajišťující pozice v portfoliu obchodování s korelací se započítávají do řádku „ostatní pozice v portfoliu obchodování s korelací“.</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ÚVĚROVÉ DERIVÁTY N-TÉHO SELHÁNÍ</w:t>
            </w:r>
          </w:p>
          <w:p w14:paraId="298FC0AB" w14:textId="5115C116" w:rsidR="00C55547" w:rsidRPr="004B0EC7" w:rsidRDefault="00C55547" w:rsidP="00E10B85">
            <w:pPr>
              <w:rPr>
                <w:rFonts w:ascii="Times New Roman" w:hAnsi="Times New Roman"/>
                <w:sz w:val="24"/>
              </w:rPr>
            </w:pPr>
            <w:r>
              <w:rPr>
                <w:rFonts w:ascii="Times New Roman" w:hAnsi="Times New Roman"/>
                <w:sz w:val="24"/>
              </w:rPr>
              <w:t>Vykazují se zde úvěrové deriváty n-tého selhání, včetně těch, které jsou zajištěny úvěrovými deriváty n-tého selhání podle článku 347 nařízení (EU) č. 575/2013.</w:t>
            </w:r>
          </w:p>
          <w:p w14:paraId="0ADF3C10" w14:textId="77777777" w:rsidR="00C55547" w:rsidRPr="004B0EC7" w:rsidRDefault="00C55547" w:rsidP="00E10B85">
            <w:pPr>
              <w:rPr>
                <w:rFonts w:ascii="Times New Roman" w:hAnsi="Times New Roman"/>
                <w:sz w:val="24"/>
              </w:rPr>
            </w:pPr>
            <w:r>
              <w:rPr>
                <w:rFonts w:ascii="Times New Roman" w:hAnsi="Times New Roman"/>
                <w:sz w:val="24"/>
              </w:rPr>
              <w:t>Původce, investor a sponzor pozic nemohou využívat úvěrové deriváty n-tého selhání. Pro úvěrové deriváty n-tého selhání proto nelze provést rozčlenění sekuritizovaných pozic.</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a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OSTATNÍ POZICE V PORTFOLIU OBCHODOVÁNÍ S KORELACÍ</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Zahrnuty jsou tyto pozice: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deriváty sekuritizovaných expozic, které poskytují poměrný podíl, a také pozice zajišťující pozice v portfoliu obchodování s korelací,</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pozice v portfoliu obchodování s korelací zajištěné úvěrovými deriváty podle článku 346 nařízení (EU) č. 575/2013,</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tab/>
              <w:t xml:space="preserve"> </w:t>
            </w:r>
            <w:r>
              <w:rPr>
                <w:rFonts w:ascii="Times New Roman" w:hAnsi="Times New Roman"/>
                <w:sz w:val="24"/>
              </w:rPr>
              <w:t>ostatní pozice, které splňují podmínky čl. 338 odst. 3 nařízení (EU) č.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lastRenderedPageBreak/>
        <w:t>5.4</w:t>
      </w:r>
      <w:r>
        <w:tab/>
      </w:r>
      <w:r>
        <w:rPr>
          <w:rFonts w:ascii="Times New Roman" w:hAnsi="Times New Roman"/>
          <w:sz w:val="24"/>
        </w:rPr>
        <w:t>C 21.01 – Tržní riziko: Zjednodušený standardizovaný přístup k pozičnímu riziku v případě akcií</w:t>
      </w:r>
      <w:bookmarkEnd w:id="82"/>
      <w:bookmarkEnd w:id="83"/>
      <w:bookmarkEnd w:id="84"/>
      <w:bookmarkEnd w:id="85"/>
      <w:bookmarkEnd w:id="86"/>
      <w:r>
        <w:t xml:space="preserve"> </w:t>
      </w:r>
      <w:r>
        <w:rPr>
          <w:rFonts w:ascii="Times New Roman" w:hAnsi="Times New Roman"/>
          <w:sz w:val="24"/>
        </w:rPr>
        <w:t>(MKR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tab/>
      </w:r>
      <w:r>
        <w:rPr>
          <w:rFonts w:ascii="Times New Roman" w:hAnsi="Times New Roman"/>
          <w:sz w:val="24"/>
        </w:rPr>
        <w:t>Obecné poznámky</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169</w:t>
      </w:r>
      <w:r>
        <w:fldChar w:fldCharType="end"/>
      </w:r>
      <w:r>
        <w:t>.</w:t>
      </w:r>
      <w:r>
        <w:tab/>
        <w:t xml:space="preserve"> V této šabloně se vykazují údaje o pozicích a odpovídajících kapitálových požadavcích k pozičnímu riziku u akcií držených v obchodním portfoliu, s nimiž se zachází v souladu se standardizovaným přístupem.</w:t>
      </w:r>
    </w:p>
    <w:p w14:paraId="3AF5EC7C" w14:textId="2604BD99" w:rsidR="00B828CC" w:rsidRPr="004B0EC7" w:rsidRDefault="008F3052" w:rsidP="00660845">
      <w:pPr>
        <w:pStyle w:val="InstructionsText2"/>
        <w:numPr>
          <w:ilvl w:val="0"/>
          <w:numId w:val="0"/>
        </w:numPr>
        <w:ind w:left="993"/>
      </w:pPr>
      <w:r>
        <w:fldChar w:fldCharType="begin"/>
      </w:r>
      <w:r>
        <w:instrText>seq paragraphs</w:instrText>
      </w:r>
      <w:r>
        <w:fldChar w:fldCharType="separate"/>
      </w:r>
      <w:r>
        <w:t>170</w:t>
      </w:r>
      <w:r>
        <w:fldChar w:fldCharType="end"/>
      </w:r>
      <w:r>
        <w:t>.</w:t>
      </w:r>
      <w:r>
        <w:tab/>
        <w:t xml:space="preserve"> Šablona musí být vyplněna samostatně v položce „celkem“ a kromě toho je třeba uvést údaje u pevně daného a předem definovaného seznamu těchto trhů: Albánie, Bulharsko, Bývalá jugoslávská republika Makedonie, Česká republika, Dánsko, Egypt, Island, Japonsko, Lichtenštejnsko, Maďarsko, Norsko, Polsko, Rumunsko, Ruská federace, Spojené království, Srbsko, Švédsko, Švýcarsko, Turecko, Ukrajina, USA a eurozóna; zvláštní šablona je určena pro všechny ostatní trhy. Pro účely tohoto požadavku na vykazování se výrazem „trh“ rozumí „země“ (s výjimkou zemí eurozóny, viz nařízení Komise v přenesené pravomoci (EU) č. 525/2014</w:t>
      </w:r>
      <w:r>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tab/>
      </w:r>
      <w:r>
        <w:rPr>
          <w:rFonts w:ascii="Times New Roman" w:hAnsi="Times New Roman"/>
          <w:sz w:val="24"/>
        </w:rPr>
        <w:t>Pokyny pro konkrétní pozice</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VŠECHNY POZICE (DLOUHÉ A KRÁTKÉ)</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Ustanovení článku 102 a čl. 105 odst. 1 nařízení (EU) č. 575/2013.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Jedná se o hrubé pozice nezapočtené v nástrojích, ale s vyloučením upsaných pozic, které upsaly nebo za které spoluručí třetí strany dle čl. 345 odst. 1 prvního pododstavce druhé věty nařízení (EU) č. 575/2013.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ČISTÉ POZICE (DLOUHÉ A KRÁTKÉ)</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Články 327, 329, 332, 341 a 345 nařízení (EU) č. 575/2013.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Čisté pozice, na něž se podle různých přístupů uvedených v části třetí hlavě IV kapitole 2 nařízení (EU) č. 575/2013 vztahují kapitálové požadavky. Kapitálový požadavek se vypočítává zvlášť pro každý vnitrostátní trh. Pozice ve futures na akciový index podle čl. 344 odst. 4 druhé věty nařízení (EU) č. 575/2013 nejsou do tohoto sloupce zahrnuty.</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KAPITÁLOVÉ POŽADAVKY PŘED UPLATNĚNÍM FAKTORŮ NAVÝŠENÍ</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Kapitálové požadavky v souladu s částí třetí hlavou IV kapitolou 2 nařízení (EU) č. 575/2013 (EU) pro kteroukoli relevantní pozici před uplatněním faktorů navýšení uvedených v čl. 325 odst. 2 písm. a) bodu ii) uvedeného nařízení.</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lastRenderedPageBreak/>
              <w:t xml:space="preserve">Ustanovení čl. 92 odst. 4 písm. b) bodu i) nařízení (EU) č. 575/2013.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Výsledek vynásobení kapitálového požadavku faktorem 12,5 v souladu s čl. 92 odst. 6 písm. b) nařízení (EU) č. 575/2013 a příslušným faktorem navýšení podle čl. 325 odst. 2 písm. a) bodu ii) uvedeného nařízení.</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V OBCHODNÍM PORTFOLIU</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Kapitálové požadavky k pozičnímu riziku uvedené v čl. 92 odst. 4 písm. b) bodu i) nařízení (EU) č. 575/2013 a části třetí hlavě IV kapitole 2 oddílu 3 uvedeného nařízení.</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OBECNÉ RIZIKO</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Pozice v akciích, které podléhají obecnému riziku (článek 343 nařízení (EU) č. 575/2013), a s nimi související kapitálový požadavek podle části třetí hlavy IV kapitoly 2 oddílu 3 uvedeného nařízení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Obě rozčlenění (řádky 0021/0022 a 0030/0040) se týkají všech pozic, které podléhají obecnému riziku.</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V řádcích 0021 a 0022 se uvádějí údaje o rozčlenění podle nástrojů.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Jako základ pro výpočet kapitálových požadavků se používá pouze rozčlenění v řádcích 0030 a 0040.</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Deriváty</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Deriváty zahrnované do výpočtu akciového rizika u pozic v obchodním portfoliu, v příslušných případech se zohledněním článků 329 a 332 nařízení (EU) č. 575/2013</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Ostatní aktiva a pasiva</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Jiné nástroje než deriváty zahrnované do výpočtu akciového rizika u pozic v obchodním portfoliu.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Futures na akciové indexy obchodované na burze, které jsou široce diverzifikovány a na něž se vztahuje zvláštní přístup</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Futures na akciové indexy obchodované na burze, které jsou široce diverzifikovány a na něž se vztahuje zvláštní přístup v souladu s prováděcím nařízením Komise (EU) č. 945/2014</w:t>
            </w:r>
            <w:r>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Tyto pozice podléhají pouze obecnému riziku, a proto se nesmí vykazovat v řádku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Jiné akcie než futures na akciové indexy obchodované na burze, které jsou široce diverzifikovány</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Ostatní pozice v akciích podléhající zvláštnímu riziku, jakož i odpovídající kapitálovým požadavkům v souladu s článkem 343 nařízení (EU) č. 575/2013, včetně </w:t>
            </w:r>
            <w:r>
              <w:rPr>
                <w:rFonts w:ascii="Times New Roman" w:hAnsi="Times New Roman"/>
                <w:sz w:val="24"/>
              </w:rPr>
              <w:lastRenderedPageBreak/>
              <w:t>pozic ve futures na akciové indexy, s nimiž se zachází v souladu s čl. 344 odst. 3 uvedeného nařízení</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SPECIFICKÉ RIZIKO</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Pozice v akciích podléhající specifickému riziku a odpovídající kapitálovému požadavku v souladu s článkem 342 nařízení (EU) č. 575/2013, vyjma pozic ve futures na akciové indexy, s nimiž se zachází v souladu s čl. 344 odst. 4 druhou větou uvedeného nařízení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Ustanovení čl. 329 odst. 2 a 3 nařízení (EU) č. 575/2013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Dodatečné požadavky k opcím související s jinými riziky, než jsou rizika delta, se uvádějí u metody používané k jejich výpočtu.</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tab/>
      </w:r>
      <w:r>
        <w:rPr>
          <w:rFonts w:ascii="Times New Roman" w:hAnsi="Times New Roman"/>
          <w:sz w:val="24"/>
        </w:rPr>
        <w:t>C 22.01 – Tržní riziko: Zjednodušený standardizovaný přístup k měnovému riziku</w:t>
      </w:r>
      <w:bookmarkEnd w:id="103"/>
      <w:bookmarkEnd w:id="104"/>
      <w:bookmarkEnd w:id="105"/>
      <w:bookmarkEnd w:id="106"/>
      <w:bookmarkEnd w:id="107"/>
      <w:r>
        <w:t xml:space="preserve"> </w:t>
      </w:r>
      <w:r>
        <w:rPr>
          <w:rFonts w:ascii="Times New Roman" w:hAnsi="Times New Roman"/>
          <w:sz w:val="24"/>
        </w:rPr>
        <w:t>(MKR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tab/>
      </w:r>
      <w:r>
        <w:rPr>
          <w:rFonts w:ascii="Times New Roman" w:hAnsi="Times New Roman"/>
          <w:sz w:val="24"/>
        </w:rPr>
        <w:t>Obecné poznámky</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fldChar w:fldCharType="begin"/>
      </w:r>
      <w:r>
        <w:instrText>seq paragraphs</w:instrText>
      </w:r>
      <w:r>
        <w:fldChar w:fldCharType="separate"/>
      </w:r>
      <w:r>
        <w:t>171</w:t>
      </w:r>
      <w:r>
        <w:fldChar w:fldCharType="end"/>
      </w:r>
      <w:r>
        <w:t>. Instituce vykazují údaje o pozicích v každé měně (včetně měny vykázání) a odpovídajících kapitálových požadavcích k měnovému riziku, s nimiž se zachází v souladu se standardizovaným přístupem. Pozice se vypočítává v případě každé měny (včetně EUR), zlata a pozic v subjektech kolektivního investování.</w:t>
      </w:r>
    </w:p>
    <w:p w14:paraId="39EF826C" w14:textId="3D244F2F" w:rsidR="000B0B09" w:rsidRPr="004B0EC7" w:rsidRDefault="008F3052" w:rsidP="00660845">
      <w:pPr>
        <w:pStyle w:val="InstructionsText2"/>
        <w:numPr>
          <w:ilvl w:val="0"/>
          <w:numId w:val="0"/>
        </w:numPr>
        <w:ind w:left="993"/>
      </w:pPr>
      <w:r>
        <w:fldChar w:fldCharType="begin"/>
      </w:r>
      <w:r>
        <w:instrText>seq paragraphs</w:instrText>
      </w:r>
      <w:r>
        <w:fldChar w:fldCharType="separate"/>
      </w:r>
      <w:r>
        <w:t>172</w:t>
      </w:r>
      <w:r>
        <w:fldChar w:fldCharType="end"/>
      </w:r>
      <w:r>
        <w:t>.</w:t>
      </w:r>
      <w:r>
        <w:tab/>
        <w:t xml:space="preserve"> Řádky 0100 až 0480 této šablony se vykazují, i když instituce nemají povinnost vypočítat kapitálové požadavky k měnovému riziku podle článku 351 nařízení (EU) č. 575/2013. V těchto doplňkových položkách jsou zařazeny všechny pozice ve vykazovací měně, bez ohledu na to, zda se zohledňují pro účely článku 354 nařízení (EU) č. 575/2013. Řádky 0130 až 0480 doplňkových položek se v šabloně vyplňují zvlášť pro všechny měny členských států Unie, tyto měny: GBP, USD, CHF, JPY, RUB, TRY, AUD, CAD, RSD, ALL, UAH, MKD, EGP, ARS, BRL, MXN, HKD, ICK, TWD, NZD, NOK, SGD, KRW, CNY a všechny ostatní měny.</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tab/>
      </w:r>
      <w:r>
        <w:rPr>
          <w:rFonts w:ascii="Times New Roman" w:hAnsi="Times New Roman"/>
          <w:sz w:val="24"/>
        </w:rPr>
        <w:t>Pokyny pro konkrétní pozice</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Hrubé pozice vyplývající z aktiv, částek, které mají být přijaty, a podobných položek uvedených v čl. 352 odst. 1 nařízení (EU) č.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V souladu s čl. 352 odst. 2 nařízení (EU) č. 575/2013 a se svolením příslušných orgánů instituce nevykazují pozice, které převzaly, aby se zajistily vůči nepříznivému působení změn směnného kurzu na své poměry kapitálu podle čl. 92 odst. 1 uvedeného nařízení, ani pozice související s položkami, jež jsou už odečteny při výpočtu kapitálu.</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ČISTÉ POZICE (DLOUHÉ A KRÁTKÉ)</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Ustanovení čl. 352 odst. 3, čl. 352 odst. 4 prvních dvou vět a článku 353 nařízení (EU) č.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Čisté pozice se vypočítají podle každé měny v souladu s čl. 352 odst. 1 nařízení (EU) č. 575/2013. Mohou být tudíž zároveň vykazovány dlouhé a krátké pozice.</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352 odst. 4 třetí věty a článků 353 a 354 nařízení (EU) č. 575/2013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POZICE, NA NĚŽ SE VZTAHUJE KAPITÁLOVÝ POŽADAVEK (DLOUHÉ A KRÁTKÉ)</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Dlouhé a krátké čisté pozice pro každou měnu se vypočítávají odečtením celkových krátkých pozic od celkových dlouhých pozic.</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Pro docílení dlouhé čisté pozice v určité měně se připočítají dlouhé čisté pozice za každou operaci v dané měně.</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Pro docílení krátké čisté pozice v určité měně se připočítají krátké čisté pozice za každou operaci v dané měně.</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Nekompenzované pozice v jiných měnách než v měnách vykázání se přičítají k pozicím, na něž se vztahují kapitálové požadavky, k ostatním měnám (řádek 030) ve sloupci 060 nebo 070 podle toho, zda jsou zařazeny jako krátké, nebo dlouhé.</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 (KOMPENZOVANÉ)</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Kompenzované pozice pro silně korelované měny.</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KAPITÁLOVÉ POŽADAVKY PŘED UPLATNĚNÍM FAKTORŮ NAVÝŠENÍ</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Kapitálové požadavky pro kteroukoli relevantní pozici v souladu s částí třetí hlavou IV kapitolou 3 nařízení (EU) č. 575/2013 před uplatněním faktorů navýšení podle čl. 325 odst. 2 písm. b) uvedeného nařízení.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Ustanovení čl. 92 odst. 4 písm. c) nařízení (EU) č. 575/2013.</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Výsledek vynásobení kapitálových požadavků faktorem 12,5 v souladu s čl. 92 odst. 6 písm. b) nařízení (EU) č. 575/2013 a faktorem navýšení podle čl. 325 odst. 2 písm. b) uvedeného nařízení.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Řádky</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Veškeré pozice v jiných měnách než ve vykazovací měně a pozice ve vykazovací měně, jež se zohledňují pro účely článku 354 nařízení (EU) č. 575/2013, jakož i s nimi související kapitálové požadavky k měnovému riziku podle čl. 92 odst. 4 písm. c), se zohledněním čl. 352 odst. 2 a 4 nařízení (EU) č. 575/2013 (pro převod na měnu vykázání).</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SILNĚ KORELOVANÉ MĚNY</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silně korelovaným měnám uvedeným v článku 354 nařízení (EU) č.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Silně korelované měny: </w:t>
            </w:r>
            <w:r>
              <w:rPr>
                <w:rFonts w:ascii="Times New Roman" w:hAnsi="Times New Roman"/>
                <w:b/>
                <w:i/>
                <w:sz w:val="24"/>
                <w:u w:val="single"/>
              </w:rPr>
              <w:t>z toho</w:t>
            </w:r>
            <w:r>
              <w:rPr>
                <w:rFonts w:ascii="Times New Roman" w:hAnsi="Times New Roman"/>
                <w:b/>
                <w:sz w:val="24"/>
                <w:u w:val="single"/>
              </w:rPr>
              <w:t>: vykazovací měna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Pozice ve vykazovací měně, které přispívají k výpočtu kapitálových požadavků podle článku 354 nařízení (EU) č.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OSTATNÍ MĚNY (včetně subjektů kolektivního investování, s nimiž se zachází jako s jinými měnami)</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měnám podléhajícím obecnému postupu podle článku 351 a čl. 352 odst. 2 a 4 nařízení (EU) č.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Vykazování subjektů kolektivního investování, s nimiž se zachází jako se samostatnými měnami podle článku 353</w:t>
            </w:r>
            <w:r>
              <w:rPr>
                <w:rFonts w:ascii="Times New Roman" w:hAnsi="Times New Roman"/>
                <w:sz w:val="24"/>
              </w:rPr>
              <w:t xml:space="preserve"> nařízení (EU) č. 575/2013</w:t>
            </w:r>
            <w:r>
              <w:rPr>
                <w:rFonts w:ascii="Times New Roman" w:hAnsi="Times New Roman"/>
                <w:sz w:val="24"/>
                <w:u w:val="single"/>
              </w:rPr>
              <w:t>:</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K subjektům kolektivního investování, s nimiž se zachází jako se samostatnými měnami, se může pro účely výpočtu kapitálových požadavků přistupovat dvěma způsoby:</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modifikovaná metoda zacházení se zlatem, pokud směr investic subjektů kolektivního investování není znám (uvedené subjekty kolektivního investování se přičítají k celkové čisté měnové pozici instituce),</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pokud je znám směr investic subjektu kolektivního investování, tyto subjekty se přičítají k celkové otevřené měnové pozici (dlouhé nebo krátké v závislosti na směru investic subjektu kolektivního investování).</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Vykazování tohoto subjektu kolektivního investování se řídí podle výpočtu kapitálových požadavků.</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ZLATO</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Pozice a s nimi související kapitálové požadavky k měnám podléhajícím obecnému postupu podle článku 351 a čl. 352 odst. 2 a 4 nařízení (EU) č. 575/2013.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Ustanovení čl. 352 odst. 5 a 6 nařízení (EU) č. 575/2013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Dodatečné požadavky k opcím související s jinými riziky, než jsou rizika delta, se uvádějí v členění podle metody používané k jejich výpočtu.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Rozčlenění celkových pozic (včetně měny vykázání) podle druhů expozic</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Celkové pozice se rozčleňují do derivátů, ostatních aktiv a pasiv a podrozvahových položek.</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 aktiva a pasiva jiná než podrozvahové položky a deriváty</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Uvedou se zde pozice nezohledněné v řádku 0110 nebo 0120.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Podrozvahové položky</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Položky, na něž se vztahuje článek 352 nařízení (EU) č. 575/2013, bez ohledu na měnu, v níž jsou denominovány, které jsou zahrnuty do přílohy I uvedeného nařízení s výjimkou položek zahrnovaných do transakcí s financováním cenných papírů a transakcí s delší dobou vypořádání nebo položek, které jsou výsledkem smluvního křížového započtení.</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Deriváty</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oceněné podle článku 352 nařízení (EU) č.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DOPLŇKOVÉ POLOŽKY: MĚNOVÉ POZICE</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Doplňkové položky se v šabloně vyplňují zvlášť pro všechny měny členských států Unie, GBP, USD, CHF, JPY, RUB, TRY, AUD, CAD, RSD, ALL, UAH, MKD, EGP, ARS, BRL, MXN, HKD, ICK, TWD, NZD, NOK, SGD, KRW, CNY a všechny ostatní měny.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Ostatní</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Pozice ve zlatě a pozice v subjektech kolektivního investování, s nimiž se zachází jako se samostatnými měnami podle čl. 353 odst. 3 nařízení (EU) č. 575/2013 se zahrnou do tohoto řádku.</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t>5.6</w:t>
      </w:r>
      <w:r>
        <w:tab/>
      </w:r>
      <w:r>
        <w:rPr>
          <w:rFonts w:ascii="Times New Roman" w:hAnsi="Times New Roman"/>
          <w:sz w:val="24"/>
        </w:rPr>
        <w:t>C 23.01 – Tržní riziko: Zjednodušený standardizovaný přístup ke komoditám</w:t>
      </w:r>
      <w:bookmarkEnd w:id="124"/>
      <w:bookmarkEnd w:id="125"/>
      <w:bookmarkEnd w:id="126"/>
      <w:bookmarkEnd w:id="127"/>
      <w:bookmarkEnd w:id="128"/>
      <w:r>
        <w:rPr>
          <w:rFonts w:ascii="Times New Roman" w:hAnsi="Times New Roman"/>
          <w:sz w:val="24"/>
        </w:rPr>
        <w:t xml:space="preserve"> risk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tab/>
      </w:r>
      <w:r>
        <w:rPr>
          <w:rFonts w:ascii="Times New Roman" w:hAnsi="Times New Roman"/>
          <w:sz w:val="24"/>
        </w:rPr>
        <w:t>Obecné poznámky</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fldChar w:fldCharType="begin"/>
      </w:r>
      <w:r>
        <w:instrText>seq paragraphs</w:instrText>
      </w:r>
      <w:r>
        <w:fldChar w:fldCharType="separate"/>
      </w:r>
      <w:r>
        <w:t>173</w:t>
      </w:r>
      <w:r>
        <w:fldChar w:fldCharType="end"/>
      </w:r>
      <w:r>
        <w:t>.</w:t>
      </w:r>
      <w:r>
        <w:tab/>
        <w:t xml:space="preserve"> V této šabloně se vykazují údaje o pozicích v komoditách a odpovídající kapitálové požadavky, s nimiž se zachází v souladu se standardizovaným přístupem.</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tab/>
      </w:r>
      <w:r>
        <w:rPr>
          <w:rFonts w:ascii="Times New Roman" w:hAnsi="Times New Roman"/>
          <w:sz w:val="24"/>
        </w:rPr>
        <w:t>Pokyny pro konkrétní pozice</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VŠECHNY POZICE (DLOUHÉ A KRÁTKÉ)</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Hrubé dlouhé/krátké pozice považované za pozice ve stejné komoditě podle čl. 357 odst. 4 nařízení (EU) č. 575/2013 (viz také čl. 359 odst. 1 nařízení (EU) č. 575/2013)</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ČISTÉ POZICE (DLOUHÉ A KRÁTKÉ)</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Ve smyslu definice uvedené v čl. 357 odst. 3 nařízení (EU) č. 575/2013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PODLÉHAJÍCÍ KAPITÁLOVÉMU POŽADAVKU</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Čisté pozice, na něž se podle různých přístupů uvedených v části třetí hlavě IV kapitole 4 nařízení (EU) č. 575/2013 vztahují kapitálové požadavky.</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KAPITÁLOVÉ POŽADAVKY PŘED UPLATNĚNÍM FAKTORŮ NAVÝŠENÍ</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Kapitálový požadavek vypočítaný v souladu s částí třetí hlavou IV kapitolou 4 nařízení (EU) č. 575/2013 (EU) pro kteroukoli relevantní pozici před uplatněním faktorů navýšení uvedených v čl. 325 odst. 2 uvedeného nařízení.</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Ustanovení čl. 92 odst. 4 písm. c) nařízení (EU) č. 575/2013.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Výsledek vynásobení kapitálových požadavků faktorem 12,5 v souladu s čl. 92 odst. 6 písm. b) nařízení (EU) č. 575/2013 a faktorem navýšení podle čl. 325 odst. 2 písm. c) uvedeného nařízení.</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 V KOMODITÁCH</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Pozice v komoditách a s nimi související kapitálové požadavky k tržnímu riziku vypočtené podle čl. 92 odst. 4 písm. c) nařízení (EU) č. 575/2013 a části třetí hlavy IV kapitoly 4 uvedeného nařízení.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POZICE PODLE KATEGORIE KOMODITY</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Komodity se pro účely vykazování seskupují do čtyř skupin uvedených v tabulce 2 v článku 361 nařízení (EU) č. 575/2013.</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METODA SPLATNOSTÍ</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v komoditách, na něž se vztahuje metoda splatností, jak je uvedena v článku 359 nařízení (EU) č.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ROZŠÍŘENÁ METODA SPLATNOSTÍ</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Pozice v komoditách, na něž se vztahuje rozšířená metoda splatností, jak je uvedena v článku 361 nařízení (EU) č.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ZJEDNODUŠENÁ METODA</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Pozice v komoditách, na něž se vztahuje zjednodušená metoda, jak je uvedena v článku 360 nařízení (EU) č. 575/2013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Ustanovení čl. 358 odst. 4 nařízení (EU) č. 575/2013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Dodatečné požadavky k opcím související s jinými riziky, než jsou rizika delta, se uvádějí u metody používané k jejich výpočtu.</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tab/>
      </w:r>
      <w:r>
        <w:rPr>
          <w:rFonts w:ascii="Times New Roman" w:hAnsi="Times New Roman"/>
          <w:sz w:val="24"/>
        </w:rPr>
        <w:t>C 24.00 – Interní model pro tržní riziko</w:t>
      </w:r>
      <w:bookmarkEnd w:id="145"/>
      <w:bookmarkEnd w:id="146"/>
      <w:bookmarkEnd w:id="147"/>
      <w:bookmarkEnd w:id="148"/>
      <w:bookmarkEnd w:id="149"/>
      <w:r>
        <w:t xml:space="preserve"> </w:t>
      </w:r>
      <w:r>
        <w:rPr>
          <w:rFonts w:ascii="Times New Roman" w:hAnsi="Times New Roman"/>
          <w:sz w:val="24"/>
        </w:rPr>
        <w:t>(MKR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tab/>
      </w:r>
      <w:r>
        <w:rPr>
          <w:rFonts w:ascii="Times New Roman" w:hAnsi="Times New Roman"/>
          <w:sz w:val="24"/>
        </w:rPr>
        <w:t>Obecné poznámky</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fldChar w:fldCharType="begin"/>
      </w:r>
      <w:r>
        <w:instrText xml:space="preserve"> seq paragraphs </w:instrText>
      </w:r>
      <w:r>
        <w:fldChar w:fldCharType="separate"/>
      </w:r>
      <w:r>
        <w:t>174</w:t>
      </w:r>
      <w:r>
        <w:fldChar w:fldCharType="end"/>
      </w:r>
      <w:r>
        <w:t>.</w:t>
      </w:r>
      <w:r>
        <w:tab/>
        <w:t xml:space="preserve"> V této šabloně se uvádí rozčlenění hodnot v riziku (VaR) a stresových hodnot v riziku (SVaR) podle různých tržních rizik (dluhové, akciové, měnové, komoditní) a další údaje týkající se výpočtu kapitálových požadavků.</w:t>
      </w:r>
    </w:p>
    <w:p w14:paraId="3DD1046B" w14:textId="4AD05ACF" w:rsidR="000B0B09" w:rsidRPr="004B0EC7" w:rsidRDefault="00CE7221" w:rsidP="00660845">
      <w:pPr>
        <w:pStyle w:val="InstructionsText2"/>
        <w:numPr>
          <w:ilvl w:val="0"/>
          <w:numId w:val="0"/>
        </w:numPr>
        <w:ind w:left="993"/>
      </w:pPr>
      <w:r>
        <w:fldChar w:fldCharType="begin"/>
      </w:r>
      <w:r>
        <w:instrText xml:space="preserve"> seq paragraphs </w:instrText>
      </w:r>
      <w:r>
        <w:fldChar w:fldCharType="separate"/>
      </w:r>
      <w:r>
        <w:t>175</w:t>
      </w:r>
      <w:r>
        <w:fldChar w:fldCharType="end"/>
      </w:r>
      <w:r>
        <w:t>.</w:t>
      </w:r>
      <w:r>
        <w:tab/>
        <w:t xml:space="preserve"> Z obecného hlediska závisí na struktuře modelu institucí, zda údaje k obecnému a specifickému riziku mohou být určeny a vykazovány odděleně, nebo pouze vcelku. Totéž platí pro rozčlenění VaR či stresových VaR do kategorií rizika (úrokové riziko, akciové riziko, komoditní riziko a měnové riziko). Instituce nemusí vykazovat uvedená rozčlenění, prokáže-li, že by bylo vykazování těchto údajů nepřiměřeně zatěžující.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tab/>
      </w:r>
      <w:r>
        <w:rPr>
          <w:rFonts w:ascii="Times New Roman" w:hAnsi="Times New Roman"/>
          <w:sz w:val="24"/>
        </w:rPr>
        <w:t>Pokyny pro konkrétní pozice</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Sloupce</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Hodnota v riziku (VaR)</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Hodnotou v riziku se rozumí maximální potenciální ztráta, která by s danou pravděpodobností a ve specifikovaném časovém horizontu vznikla v důsledku změny v ceně.</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Multiplikační faktor (mc) vynásobený průměrem výše VaR za předchozích 60 pracovních dnů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Ustanovení čl. 364 odst. 1 písm. a) bodu ii) a čl. 365 odst. 1 nařízení (EU) č. 575/2013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Denní výše VaR z předchozího dne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364 odst. 1 písm. a) bodu i) a čl. 365 odst. 1 nařízení (EU) č. 575/2013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Stresové VaR</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Pr>
                <w:rFonts w:ascii="Times New Roman" w:hAnsi="Times New Roman"/>
                <w:sz w:val="24"/>
              </w:rPr>
              <w:t>Stresovou hodnotou v riziku se rozumí maximální potenciální ztráta, která by s danou pravděpodobností a ve specifikovaném časovém horizontu vznikla v důsledku změny v ceně, vypočítaná za pomoci vstupních kalibrovaných historických údajů ze souvislého dvanáctiměsíčního období finanční zátěže významné pro portfolio instituce.</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Multiplikační faktor (ms) vynásobený průměrem výše SVaR za předchozích 60 pracovních dnů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Ustanovení čl. 364 odst. 1 písm. b) bodu ii) a čl. 365 odst. 1 nařízení (EU) č. 575/2013</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Poslední dostupná stresová hodnota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364 odst. 1 písm. b) bodu i) a čl. 365 odst. 1 nařízení (EU) č. 575/2013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K DODATEČNÉMU RIZIKU SELHÁNÍ A MIGRACE</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Kapitálovým požadavkem k dodatečnému riziku selhání a migrace se rozumí maximální potenciální ztráta, která by vznikla ze změny v ceně související s rizikem selhání a migrace, vypočítaná v souladu s čl. 364 odst. 2 písm. b) ve spojení s částí třetí hlavou IV kapitolou 5 oddílem 4 nařízení (EU) č. 575/2013.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Průměrná hodnota za dvanáct týdnů</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Ustanovení čl. 364 odst. 2 písm. b) bodu ii) ve spojení s částí třetí hlavou IV kapitolou 5 oddílem 4 nařízení (EU) č.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Nejnovější hodnota</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Ustanovení čl. 364 odst. 2 písm. b) bodu i) ve spojení s částí třetí hlavou IV kapitolou 5 oddílem 4 nařízení (EU) č.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KAPITÁLOVÝ POŽADAVEK KE VŠEM CENOVÝM RIZIKŮM V PŘÍPADĚ PORTFOLIA OBCHODOVÁNÍ S KORELACÍ</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MINIMÁLNÍ ÚROVEŇ</w:t>
            </w:r>
          </w:p>
          <w:p w14:paraId="08424932" w14:textId="6F00A60B" w:rsidR="000B0B09" w:rsidRPr="004B0EC7" w:rsidRDefault="000B0B09" w:rsidP="000B0B09">
            <w:pPr>
              <w:rPr>
                <w:rFonts w:ascii="Times New Roman" w:hAnsi="Times New Roman"/>
                <w:sz w:val="24"/>
              </w:rPr>
            </w:pPr>
            <w:r>
              <w:rPr>
                <w:rFonts w:ascii="Times New Roman" w:hAnsi="Times New Roman"/>
                <w:sz w:val="24"/>
              </w:rPr>
              <w:t>Ustanovení čl. 364 odst. 3 písm. c) nařízení (EU) č.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kapitálového požadavku, který by byl vypočten v souladu s čl. 338 odst. 1 nařízení (EU) č. 575/2013 pro všechny pozice začleněné do kapitálového požadavku ke „všem cenovým rizikům“.</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PRŮMĚRNÁ HODNOTA ZA DVANÁCT TÝDNŮ A NEJNOVĚJŠÍ HODNOTA</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Ustanovení čl. 364 odst. 3 písm. b) nařízení (EU) č.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NEJNOVĚJŠÍ HODNOTA</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Ustanovení čl. 364 odst. 3 písm. a) nařízení (EU) č.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KAPITÁLOVÉ POŽADAVKY</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Kapitálové požadavky uvedené v článku 364 nařízení (EU) č. 575/2013, který se týká všech rizikových faktorů zohledňujících v příslušných případech i vlivy korelace a dále dodatečného rizika selhání a migrace a všech cenových rizik v případě portfolia obchodování s korelací, ovšem s vyloučením sekuritizačních kapitálových požadavků k sekuritizaci a úvěrovým derivátům n-tého selhání podle čl. 364 odst. 2 nařízení (EU) č. 575/2013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CELKOVÝ OBJEM RIZIKOVÉ EXPOZICE</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92 odst. 7 písm. b) nařízení (EU) č. 575/2013.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Výsledek vynásobení kapitálových požadavků faktorem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Počet překročení (za předchozích 250 pracovních dnů)</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Uvedeno v článku 366 nařízení (EU) č.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Vykáže se počet překročení, na jejichž základě je určen plus faktor. Pokud je institucím povoleno vyloučit určité překročení z výpočtu plus faktoru v souladu s článkem 500c nařízení (EU) č. 575/2013, očistí se počet překročení vykázaných v tomto sloupci o vyloučené překročení.</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Multiplikační faktor VaR (mc) a multiplikační faktor SVaR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Uvedeno v článku 366 nařízení (EU) č. 575/2013.</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Vykazují se multiplikační faktory skutečně použitelné pro výpočet kapitálových požadavků; v příslušných případech po uplatnění článku 500c nařízení (EU) č.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PŘEDPOKLÁDANÝ POŽADAVEK K MINIMÁLNÍ ÚROVNI PORTFOLIA PRO OBCHODOVÁNÍ S KORELACÍ – VÁŽENÉ ČISTÉ DLOUHÉ/KRÁTKÉ POZICE PO UPLATNĚNÍ STROPU</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V částce, která mát být vykázána a slouží jako základ pro výpočet minimálního kapitálového požadavku pro všechna cenová rizika podle čl. 364 odst. 3 písm. c) nařízení (EU) č. 575/2013, se zohledňuje možnost vyplývající z článku 335 uvedeného nařízení, v němž se stanoví, že instituce může stanovit strop pro součin použité váhy a čisté pozice ve výši maximální možné ztráty související s rizikem selhání.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CELKOVÉ POZICE</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lastRenderedPageBreak/>
              <w:t>Odpovídá té části pozičního, měnového a komoditního rizika podle čl. 363 odst. 1 nařízení (EU) č. 575/2013, která souvisí s rizikovými faktory specifikovanými v čl. 367 odst. 2 uvedeného nařízení.</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Co se týče sloupců 0030 až 0060 (VaR a stresové VaR), číselné údaje v řádku s celkovou hodnotou se nerovnají rozčlenění údajů pro VaR / stresové VaR příslušných složek rizika.</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Odpovídá té části pozičního rizika podle čl. 363 odst. 1 nařízení (EU) č. 575/2013, která souvisí s rizikovými faktory odpovídajícími úrokovým mírám specifikovanými v čl. 367 odst. 2 písm. a) uvedeného nařízení.</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 OBECNÉ RIZIKO</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Složka obecného rizika podle článku 362 nařízení (EU) č. 575/2013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OBCHODOVANÉ DLUHOVÉ NÁSTROJE – SPECIFICKÉ RIZIKO</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Složka specifického rizika podle článku 362 nařízení (EU) č. 575/2013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Odpovídá té části pozičního rizika podle čl. 363 odst. 1 nařízení (EU) č. 575/2013, která souvisí s rizikovými faktory týkajícími se akcií specifikovanými v čl. 367 odst. 2 písm. c) uvedeného nařízení.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 OBECNÉ RIZIKO</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Složka obecného rizika podle článku 362 nařízení (EU) č.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AKCIE – SPECIFICKÉ RIZIKO</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Složka specifického rizika podle článku 362 nařízení (EU) č. 575/2013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MĚNOVÉ RIZIKO</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Ustanovení čl. 363 odst. 1 a čl. 367 odst. 2 písm. b) nařízení (EU) č.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KOMODITNÍ RIZIKO</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Ustanovení čl. 363 odst. 1 a čl. 367 odst. 2 písm. d) nařízení (EU) č. 575/2013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CELKOVÁ HODNOTA OBECNÉHO RIZIKA</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Tržní riziko zapříčiněné obecnými pohyby na trhu obchodovaných dluhových nástrojů, akcií, měn a komodit. VaR pro obecné riziko u všech rizikových faktorů (v příslušných případech se zohledněním vlivů korelace)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CELKOVÁ HODNOTA SPECIFICKÉHO RIZIKA</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Složka specifického rizika u obchodovaných dluhových nástrojů a akcií. VaR pro specifické riziko u akcií a obchodovaných dluhových nástrojů v obchodním portfoliu (případně se zohledněním vlivů korelace)“</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Nařízení Komise v přenesené pravomoci (EU) č. 525/2014 ze dne 12. března 2014, kterým se doplňuje nařízení Evropského parlamentu a Rady (EU) č. 575/2013, pokud jde o regulační technické normy definující termín „trh“ (Úř. věst. L 148, 20.5.2014, s. 15).</w:t>
      </w:r>
    </w:p>
  </w:footnote>
  <w:footnote w:id="3">
    <w:p w14:paraId="018474C7" w14:textId="77777777" w:rsidR="00C3070C" w:rsidRPr="00A11C6E" w:rsidRDefault="00C3070C">
      <w:pPr>
        <w:pStyle w:val="FootnoteText"/>
      </w:pPr>
      <w:r>
        <w:rPr>
          <w:rStyle w:val="FootnoteReference"/>
        </w:rPr>
        <w:footnoteRef/>
      </w:r>
      <w:r>
        <w:t xml:space="preserve"> Prováděcí nařízení Komise (EU) č. 945/2014 ze dne 4. září 2014, kterým se stanoví prováděcí technické normy, pokud jde o relevantní vhodně diverzifikované indexy podle nařízení Evropského parlamentu a Rady (EU) č. 575/2013.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05E"/>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aliases w:val="Title 2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cs-CZ"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cs-CZ"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DB067-896E-49AC-8907-9CAA03C93501}"/>
</file>

<file path=customXml/itemProps2.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20</Pages>
  <Words>6126</Words>
  <Characters>34168</Characters>
  <Application>Microsoft Office Word</Application>
  <DocSecurity>0</DocSecurity>
  <Lines>1035</Lines>
  <Paragraphs>583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YAGHMOUROVA Zita (DGT)</cp:lastModifiedBy>
  <cp:revision>4</cp:revision>
  <dcterms:created xsi:type="dcterms:W3CDTF">2024-06-19T18:18:00Z</dcterms:created>
  <dcterms:modified xsi:type="dcterms:W3CDTF">2025-01-09T09:44:00Z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2025-01-09T09:44:34Z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4688f727-b8bc-427b-a22b-9c8a9083e760</vt:lpwstr>
  </property>
  <property fmtid="{D5CDD505-2E9C-101B-9397-08002B2CF9AE}" pid="9" name="MSIP_Label_6bd9ddd1-4d20-43f6-abfa-fc3c07406f94_ContentBits">
    <vt:lpwstr>0</vt:lpwstr>
  </property>
</Properties>
</file>