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C1CCFF" w14:textId="77777777" w:rsidR="00632962" w:rsidRDefault="00632962" w:rsidP="00632962">
      <w:pPr>
        <w:jc w:val="center"/>
        <w:rPr>
          <w:sz w:val="24"/>
          <w:szCs w:val="22"/>
          <w:rFonts w:ascii="Times New Roman" w:hAnsi="Times New Roman"/>
        </w:rPr>
      </w:pPr>
      <w:r>
        <w:rPr>
          <w:sz w:val="24"/>
          <w:rFonts w:ascii="Times New Roman" w:hAnsi="Times New Roman"/>
        </w:rPr>
        <w:t xml:space="preserve">DA</w:t>
      </w:r>
    </w:p>
    <w:p w14:paraId="2A25A977" w14:textId="77777777" w:rsidR="00074AC8" w:rsidRPr="00037E7B" w:rsidRDefault="00074AC8" w:rsidP="00632962">
      <w:pPr>
        <w:rPr>
          <w:rFonts w:ascii="Times New Roman" w:hAnsi="Times New Roman"/>
          <w:sz w:val="24"/>
        </w:rPr>
      </w:pPr>
    </w:p>
    <w:p w14:paraId="01E2F594" w14:textId="77777777" w:rsidR="00074AC8" w:rsidRPr="00037E7B" w:rsidRDefault="00074AC8" w:rsidP="00074AC8">
      <w:pPr>
        <w:jc w:val="center"/>
        <w:rPr>
          <w:sz w:val="24"/>
          <w:rFonts w:ascii="Times New Roman" w:hAnsi="Times New Roman"/>
        </w:rPr>
      </w:pPr>
      <w:r>
        <w:rPr>
          <w:sz w:val="24"/>
          <w:rFonts w:ascii="Times New Roman" w:hAnsi="Times New Roman"/>
        </w:rPr>
        <w:t xml:space="preserve">BILAG II</w:t>
      </w:r>
    </w:p>
    <w:p w14:paraId="7AF3DCD8" w14:textId="77777777" w:rsidR="00074AC8" w:rsidRPr="00037E7B" w:rsidRDefault="00074AC8" w:rsidP="00074AC8">
      <w:pPr>
        <w:jc w:val="center"/>
        <w:rPr>
          <w:sz w:val="24"/>
          <w:rFonts w:ascii="Times New Roman" w:hAnsi="Times New Roman"/>
        </w:rPr>
      </w:pPr>
      <w:r>
        <w:rPr>
          <w:sz w:val="24"/>
          <w:rFonts w:ascii="Times New Roman" w:hAnsi="Times New Roman"/>
        </w:rPr>
        <w:t xml:space="preserve">"BILAG II</w:t>
      </w:r>
    </w:p>
    <w:p w14:paraId="786C3F82" w14:textId="77777777" w:rsidR="00074AC8" w:rsidRPr="00037E7B" w:rsidRDefault="00074AC8" w:rsidP="00074AC8">
      <w:pPr>
        <w:jc w:val="center"/>
        <w:rPr>
          <w:b/>
          <w:sz w:val="24"/>
          <w:rFonts w:ascii="Times New Roman" w:hAnsi="Times New Roman"/>
        </w:rPr>
      </w:pPr>
      <w:r>
        <w:rPr>
          <w:b/>
          <w:sz w:val="24"/>
          <w:rFonts w:ascii="Times New Roman" w:hAnsi="Times New Roman"/>
        </w:rPr>
        <w:t xml:space="preserve">INSTRUKSER TIL INDBERETNING AF KAPITALGRUNDLAG OG KAPITALGRUNDLAGSKRAV</w:t>
      </w:r>
    </w:p>
    <w:p w14:paraId="6BCD4480" w14:textId="77777777" w:rsidR="00074AC8" w:rsidRPr="00037E7B" w:rsidRDefault="00074AC8" w:rsidP="00074AC8">
      <w:pPr>
        <w:jc w:val="center"/>
        <w:rPr>
          <w:rFonts w:ascii="Times New Roman" w:hAnsi="Times New Roman"/>
          <w:b/>
          <w:sz w:val="24"/>
          <w:lang w:eastAsia="de-DE"/>
        </w:rPr>
      </w:pPr>
    </w:p>
    <w:p w14:paraId="3CC9E074" w14:textId="77777777" w:rsidR="00074AC8" w:rsidRPr="00037E7B" w:rsidRDefault="00074AC8" w:rsidP="00074AC8">
      <w:pPr>
        <w:rPr>
          <w:rFonts w:ascii="Times New Roman" w:hAnsi="Times New Roman"/>
          <w:sz w:val="24"/>
        </w:rPr>
      </w:pPr>
    </w:p>
    <w:p w14:paraId="27B4A905" w14:textId="77777777" w:rsidR="00074AC8" w:rsidRPr="00037E7B" w:rsidRDefault="00074AC8" w:rsidP="00074AC8">
      <w:pPr>
        <w:pStyle w:val="Heading2"/>
        <w:rPr>
          <w:rFonts w:ascii="Times New Roman" w:hAnsi="Times New Roman"/>
        </w:rPr>
      </w:pPr>
      <w:bookmarkStart w:id="0" w:name="_Toc360188322"/>
      <w:bookmarkStart w:id="1" w:name="_Toc473560870"/>
      <w:bookmarkStart w:id="2" w:name="_Toc151714358"/>
      <w:r>
        <w:rPr>
          <w:rFonts w:ascii="Times New Roman" w:hAnsi="Times New Roman"/>
        </w:rPr>
        <w:t xml:space="preserve">DEL II:</w:t>
      </w:r>
      <w:r>
        <w:rPr>
          <w:rFonts w:ascii="Times New Roman" w:hAnsi="Times New Roman"/>
        </w:rPr>
        <w:t xml:space="preserve"> </w:t>
      </w:r>
      <w:r>
        <w:rPr>
          <w:rFonts w:ascii="Times New Roman" w:hAnsi="Times New Roman"/>
        </w:rPr>
        <w:t xml:space="preserve">INSTRUKSER VEDRØRENDE SKEMAER</w:t>
      </w:r>
      <w:bookmarkEnd w:id="0"/>
      <w:bookmarkEnd w:id="1"/>
      <w:bookmarkEnd w:id="2"/>
    </w:p>
    <w:p w14:paraId="58C4E75A" w14:textId="77777777" w:rsidR="00074AC8" w:rsidRPr="00037E7B" w:rsidRDefault="00074AC8" w:rsidP="00074AC8">
      <w:pPr>
        <w:rPr>
          <w:lang w:eastAsia="x-none"/>
        </w:rPr>
      </w:pPr>
    </w:p>
    <w:p w14:paraId="14EC4CED" w14:textId="77777777" w:rsidR="00074AC8" w:rsidRPr="00037E7B" w:rsidRDefault="00074AC8" w:rsidP="00074AC8">
      <w:r>
        <w:t xml:space="preserve">(...)</w:t>
      </w:r>
    </w:p>
    <w:p w14:paraId="6B9B322A" w14:textId="77777777" w:rsidR="00E26A90" w:rsidRDefault="00E26A90"/>
    <w:p w14:paraId="1A7CCECF" w14:textId="77777777" w:rsidR="00EF74C7" w:rsidRPr="002A677E" w:rsidRDefault="00EF74C7" w:rsidP="00EF74C7">
      <w:pPr>
        <w:pStyle w:val="ListParagraph"/>
        <w:keepNext/>
        <w:numPr>
          <w:ilvl w:val="1"/>
          <w:numId w:val="29"/>
        </w:numPr>
        <w:spacing w:before="240" w:after="240"/>
        <w:outlineLvl w:val="1"/>
        <w:rPr>
          <w:sz w:val="24"/>
          <w:rFonts w:ascii="Times New Roman" w:hAnsi="Times New Roman"/>
        </w:rPr>
      </w:pPr>
      <w:bookmarkStart w:id="3" w:name="_Toc19715796"/>
      <w:bookmarkStart w:id="4" w:name="_Toc151714441"/>
      <w:r>
        <w:rPr>
          <w:sz w:val="24"/>
          <w:rFonts w:ascii="Times New Roman" w:hAnsi="Times New Roman"/>
        </w:rPr>
        <w:t xml:space="preserve">Modpartsrisiko</w:t>
      </w:r>
      <w:bookmarkEnd w:id="3"/>
      <w:bookmarkEnd w:id="4"/>
    </w:p>
    <w:p w14:paraId="41169173"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5" w:name="_Toc19712307"/>
      <w:bookmarkStart w:id="6" w:name="_Toc19715797"/>
      <w:bookmarkStart w:id="7" w:name="_Toc19715798"/>
      <w:bookmarkStart w:id="8" w:name="_Toc19715799"/>
      <w:bookmarkStart w:id="9" w:name="_Toc19715800"/>
      <w:bookmarkStart w:id="10" w:name="_Toc19715801"/>
      <w:bookmarkStart w:id="11" w:name="_Toc5612629"/>
      <w:bookmarkStart w:id="12" w:name="_Toc19715802"/>
      <w:bookmarkStart w:id="13" w:name="_Toc151714442"/>
      <w:bookmarkEnd w:id="5"/>
      <w:bookmarkEnd w:id="6"/>
      <w:bookmarkEnd w:id="7"/>
      <w:bookmarkEnd w:id="8"/>
      <w:bookmarkEnd w:id="9"/>
      <w:bookmarkEnd w:id="10"/>
      <w:r>
        <w:rPr>
          <w:sz w:val="24"/>
          <w:rFonts w:ascii="Times New Roman" w:hAnsi="Times New Roman"/>
        </w:rPr>
        <w:t xml:space="preserve">Anvendelsesområdet for skemaerne for modpartsrisiko</w:t>
      </w:r>
      <w:bookmarkEnd w:id="11"/>
      <w:bookmarkEnd w:id="12"/>
      <w:bookmarkEnd w:id="13"/>
    </w:p>
    <w:p w14:paraId="19D6AFBD" w14:textId="47A5FE99"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t xml:space="preserve">119</w:t>
      </w:r>
      <w:r>
        <w:fldChar w:fldCharType="end"/>
      </w:r>
      <w:r>
        <w:t xml:space="preserve">.</w:t>
      </w:r>
      <w:r>
        <w:t xml:space="preserve"> </w:t>
      </w:r>
      <w:r>
        <w:t xml:space="preserve">Skemaerne for modpartsrisiko omfatter oplysninger om eksponeringer, der er omfattet af modpartskreditrisiko, jf. tredje del, afsnit II, kapitel 4 og 6, i forordning (EU) nr. 575/2013.</w:t>
      </w:r>
    </w:p>
    <w:p w14:paraId="5C2099A9" w14:textId="470C3ABA"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t xml:space="preserve">120</w:t>
      </w:r>
      <w:r>
        <w:fldChar w:fldCharType="end"/>
      </w:r>
      <w:r>
        <w:t xml:space="preserve">.</w:t>
      </w:r>
      <w:r>
        <w:t xml:space="preserve"> </w:t>
      </w:r>
      <w:r>
        <w:t xml:space="preserve">Skemaerne udelukker kapitalgrundlagskravene i forbindelse med kreditværdijusteringsrisiko (artikel 92, stk. 3, litra d), og tredje del, afsnit VI, i forordning (EU) nr. 575/2013), som indberettes i skemaet for CVA-risiko.</w:t>
      </w:r>
      <w:r>
        <w:t xml:space="preserve"> </w:t>
      </w:r>
    </w:p>
    <w:p w14:paraId="69B3C47B" w14:textId="3B35D766"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t xml:space="preserve">121</w:t>
      </w:r>
      <w:r>
        <w:fldChar w:fldCharType="end"/>
      </w:r>
      <w:r>
        <w:t xml:space="preserve">.</w:t>
      </w:r>
      <w:r>
        <w:t xml:space="preserve"> </w:t>
      </w:r>
      <w:r>
        <w:t xml:space="preserve">Modpartsrisikoeksponeringer over for centrale modparter (tredje del, afsnit II, kapitel 4, og kapitel 6, afdeling 9, i forordning (EU) nr. 575/2013) bør medtages i CCR-tallene, medmindre andet er anført.</w:t>
      </w:r>
      <w:r>
        <w:t xml:space="preserve"> </w:t>
      </w:r>
      <w:r>
        <w:t xml:space="preserve">Bidrag til misligholdelsesfonden beregnet i overensstemmelse med artikel 307-310 i forordning (EU) nr. 575/2013 skal dog ikke indberettes i skemaerne for modpartsrisiko, med undtagelse af skema C 34.10, navnlig de tilsvarende rækker.</w:t>
      </w:r>
      <w:r>
        <w:t xml:space="preserve"> </w:t>
      </w:r>
      <w:r>
        <w:t xml:space="preserve">Generelt indberettes de risikovægtede eksponeringer for bidrag til misligholdelsesfonden direkte i skema C 02.00, række 0460.</w:t>
      </w:r>
    </w:p>
    <w:p w14:paraId="30858597"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14" w:name="_Toc19715803"/>
      <w:bookmarkStart w:id="15" w:name="_Toc151714443"/>
      <w:bookmarkStart w:id="16" w:name="_Toc516210659"/>
      <w:r>
        <w:rPr>
          <w:sz w:val="24"/>
          <w:rFonts w:ascii="Times New Roman" w:hAnsi="Times New Roman"/>
        </w:rPr>
        <w:t xml:space="preserve">C 34.01 — Omfanget af derivataktiviteter</w:t>
      </w:r>
      <w:bookmarkEnd w:id="14"/>
      <w:bookmarkEnd w:id="15"/>
    </w:p>
    <w:p w14:paraId="0D62C2B5"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17" w:name="_Toc19715804"/>
      <w:bookmarkStart w:id="18" w:name="_Toc151714444"/>
      <w:r>
        <w:rPr>
          <w:sz w:val="24"/>
          <w:rFonts w:ascii="Times New Roman" w:hAnsi="Times New Roman"/>
        </w:rPr>
        <w:t xml:space="preserve">Generelle bemærkninger</w:t>
      </w:r>
      <w:bookmarkEnd w:id="16"/>
      <w:bookmarkEnd w:id="17"/>
      <w:bookmarkEnd w:id="18"/>
    </w:p>
    <w:p w14:paraId="20D44CDB" w14:textId="375893F1"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t xml:space="preserve">122</w:t>
      </w:r>
      <w:r>
        <w:fldChar w:fldCharType="end"/>
      </w:r>
      <w:r>
        <w:t xml:space="preserve">.</w:t>
      </w:r>
      <w:r>
        <w:t xml:space="preserve"> </w:t>
      </w:r>
      <w:r>
        <w:t xml:space="preserve">I overensstemmelse med artikel 273a i forordning (EU) nr. 575/2013 kan et institut beregne eksponeringsværdien af dets derivatpositioner i overensstemmelse med den metode, der er fastsat i tredje del, afsnit II, kapitel 6, afdeling 4 eller 5, i forordning (EU) nr. 575/2013, såfremt omfanget af dets balanceførte og ikkebalanceførte derivataktiviteter er lig med eller under foruddefinerede tærskler.</w:t>
      </w:r>
      <w:r>
        <w:t xml:space="preserve"> </w:t>
      </w:r>
      <w:r>
        <w:t xml:space="preserve">Den tilsvarende vurdering foretages på grundlag af en månedlig vurdering med anvendelse af data fra den sidste dag i måneden.</w:t>
      </w:r>
      <w:r>
        <w:t xml:space="preserve"> </w:t>
      </w:r>
      <w:r>
        <w:t xml:space="preserve">Dette skema indeholder oplysninger om, hvorvidt disse tærskler er overholdt, og mere generelt oplysninger om omfanget af derivataktiviteterne.</w:t>
      </w:r>
    </w:p>
    <w:p w14:paraId="0B9542C1" w14:textId="25E74705"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t xml:space="preserve">123</w:t>
      </w:r>
      <w:r>
        <w:fldChar w:fldCharType="end"/>
      </w:r>
      <w:r>
        <w:t xml:space="preserve">.</w:t>
      </w:r>
      <w:r>
        <w:t xml:space="preserve"> </w:t>
      </w:r>
      <w:r>
        <w:t xml:space="preserve">Måned 1, måned 2 og måned 3 henviser til henholdsvis den første, anden og sidste måned i det kvartal, der indberettes.</w:t>
      </w:r>
      <w:r>
        <w:t xml:space="preserve"> </w:t>
      </w:r>
      <w:r>
        <w:t xml:space="preserve">Oplysningerne indberettes kun for månedernes udgang efter den 28. juni 2021.</w:t>
      </w:r>
    </w:p>
    <w:p w14:paraId="782EADBE"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19" w:name="_Toc516210660"/>
      <w:bookmarkStart w:id="20" w:name="_Toc19715805"/>
      <w:bookmarkStart w:id="21" w:name="_Toc151714445"/>
      <w:r>
        <w:rPr>
          <w:sz w:val="24"/>
          <w:rFonts w:ascii="Times New Roman" w:hAnsi="Times New Roman"/>
        </w:rPr>
        <w:t xml:space="preserve">Instrukser vedrørende specifikke positioner</w:t>
      </w:r>
      <w:bookmarkEnd w:id="19"/>
      <w:bookmarkEnd w:id="20"/>
      <w:bookmarkEnd w:id="2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EF74C7" w:rsidRPr="002A677E" w14:paraId="0475E41A" w14:textId="77777777" w:rsidTr="00822842">
        <w:tc>
          <w:tcPr>
            <w:tcW w:w="851" w:type="dxa"/>
            <w:gridSpan w:val="2"/>
            <w:shd w:val="clear" w:color="auto" w:fill="CCCCCC"/>
          </w:tcPr>
          <w:p w14:paraId="31CC44BD" w14:textId="77777777" w:rsidR="00EF74C7" w:rsidRPr="002A677E" w:rsidRDefault="00EF74C7" w:rsidP="00822842">
            <w:pPr>
              <w:spacing w:beforeLines="60" w:before="144" w:afterLines="60" w:after="144"/>
              <w:rPr>
                <w:b/>
                <w:sz w:val="24"/>
                <w:rFonts w:ascii="Times New Roman" w:hAnsi="Times New Roman"/>
              </w:rPr>
            </w:pPr>
            <w:r>
              <w:rPr>
                <w:b/>
                <w:sz w:val="24"/>
                <w:rFonts w:ascii="Times New Roman" w:hAnsi="Times New Roman"/>
              </w:rPr>
              <w:t xml:space="preserve">Kolonner</w:t>
            </w:r>
          </w:p>
        </w:tc>
      </w:tr>
      <w:tr w:rsidR="00EF74C7" w:rsidRPr="002A677E" w14:paraId="39875704" w14:textId="77777777" w:rsidTr="00822842">
        <w:tc>
          <w:tcPr>
            <w:tcW w:w="851" w:type="dxa"/>
          </w:tcPr>
          <w:p w14:paraId="39BC59F7"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0010,0040, 0070</w:t>
            </w:r>
          </w:p>
        </w:tc>
        <w:tc>
          <w:tcPr>
            <w:tcW w:w="8108" w:type="dxa"/>
          </w:tcPr>
          <w:p w14:paraId="09D42C21"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LANGE DERIVATPOSITIONER</w:t>
            </w:r>
          </w:p>
          <w:p w14:paraId="2BADA7D6" w14:textId="77777777" w:rsidR="00EF74C7" w:rsidRPr="002A677E" w:rsidRDefault="00EF74C7" w:rsidP="00822842">
            <w:pPr>
              <w:spacing w:beforeLines="60" w:before="144" w:afterLines="60" w:after="144"/>
              <w:rPr>
                <w:rStyle w:val="InstructionsTabelleberschrift"/>
                <w:b w:val="0"/>
                <w:sz w:val="24"/>
                <w:rFonts w:ascii="Times New Roman" w:hAnsi="Times New Roman"/>
              </w:rPr>
            </w:pPr>
            <w:r>
              <w:rPr>
                <w:rStyle w:val="InstructionsTabelleberschrift"/>
                <w:sz w:val="24"/>
                <w:rFonts w:ascii="Times New Roman" w:hAnsi="Times New Roman"/>
              </w:rPr>
              <w:t xml:space="preserve">Artikel 273a, stk. 3, i forordning (EU) nr. 575/2013</w:t>
            </w:r>
          </w:p>
          <w:p w14:paraId="400C78E9"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Summen af de absolutte markedsværdier for lange derivatpositioner på den sidste dag i måneden indberettes.</w:t>
            </w:r>
          </w:p>
        </w:tc>
      </w:tr>
      <w:tr w:rsidR="00EF74C7" w:rsidRPr="002A677E" w14:paraId="76F76EF8" w14:textId="77777777" w:rsidTr="00822842">
        <w:tc>
          <w:tcPr>
            <w:tcW w:w="851" w:type="dxa"/>
          </w:tcPr>
          <w:p w14:paraId="1821FC2A"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0020,0050,</w:t>
            </w:r>
          </w:p>
          <w:p w14:paraId="6AD38436"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0080</w:t>
            </w:r>
          </w:p>
        </w:tc>
        <w:tc>
          <w:tcPr>
            <w:tcW w:w="8108" w:type="dxa"/>
          </w:tcPr>
          <w:p w14:paraId="4F840B38"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KORTE DERIVATPOSITIONER</w:t>
            </w:r>
          </w:p>
          <w:p w14:paraId="17AF4A13" w14:textId="77777777" w:rsidR="00EF74C7" w:rsidRPr="002A677E" w:rsidRDefault="00EF74C7" w:rsidP="00822842">
            <w:pPr>
              <w:spacing w:beforeLines="60" w:before="144" w:afterLines="60" w:after="144"/>
              <w:rPr>
                <w:rStyle w:val="InstructionsTabelleberschrift"/>
                <w:b w:val="0"/>
                <w:sz w:val="24"/>
                <w:rFonts w:ascii="Times New Roman" w:hAnsi="Times New Roman"/>
              </w:rPr>
            </w:pPr>
            <w:r>
              <w:rPr>
                <w:rStyle w:val="InstructionsTabelleberschrift"/>
                <w:sz w:val="24"/>
                <w:rFonts w:ascii="Times New Roman" w:hAnsi="Times New Roman"/>
              </w:rPr>
              <w:t xml:space="preserve">Artikel 273a, stk. 3, i forordning (EU) nr. 575/2013</w:t>
            </w:r>
          </w:p>
          <w:p w14:paraId="3AB96F81"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Summen af de absolutte markedsværdier for korte derivatpositioner på den sidste dag i måneden indberettes.</w:t>
            </w:r>
          </w:p>
        </w:tc>
      </w:tr>
      <w:tr w:rsidR="00EF74C7" w:rsidRPr="002A677E" w14:paraId="03A14C37" w14:textId="77777777" w:rsidTr="00822842">
        <w:tc>
          <w:tcPr>
            <w:tcW w:w="851" w:type="dxa"/>
          </w:tcPr>
          <w:p w14:paraId="0D690866"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0030,0060,</w:t>
            </w:r>
          </w:p>
          <w:p w14:paraId="1173DE8A"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0090</w:t>
            </w:r>
          </w:p>
        </w:tc>
        <w:tc>
          <w:tcPr>
            <w:tcW w:w="8108" w:type="dxa"/>
          </w:tcPr>
          <w:p w14:paraId="252D116D"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 ALT</w:t>
            </w:r>
          </w:p>
          <w:p w14:paraId="4D024C67"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Fonts w:ascii="Times New Roman" w:hAnsi="Times New Roman"/>
              </w:rPr>
              <w:t xml:space="preserve">Artikel 273a, stk. 3, litra b), i forordning (EU) nr. 575/2013</w:t>
            </w:r>
          </w:p>
          <w:p w14:paraId="6C39E208"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Summen af den absolutte værdi for lange derivatpositioner og den absolutte værdi for korte derivatpositioner.</w:t>
            </w:r>
          </w:p>
        </w:tc>
      </w:tr>
    </w:tbl>
    <w:p w14:paraId="5DF57E78" w14:textId="77777777" w:rsidR="00EF74C7" w:rsidRPr="002A677E" w:rsidRDefault="00EF74C7" w:rsidP="00EF74C7">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EF74C7" w:rsidRPr="002A677E" w14:paraId="1158449C" w14:textId="77777777" w:rsidTr="00822842">
        <w:tc>
          <w:tcPr>
            <w:tcW w:w="9039" w:type="dxa"/>
            <w:gridSpan w:val="2"/>
            <w:shd w:val="clear" w:color="auto" w:fill="CCCCCC"/>
          </w:tcPr>
          <w:p w14:paraId="2E01AD0B" w14:textId="77777777" w:rsidR="00EF74C7" w:rsidRPr="002A677E" w:rsidRDefault="00EF74C7" w:rsidP="00822842">
            <w:pPr>
              <w:spacing w:beforeLines="60" w:before="144" w:afterLines="60" w:after="144"/>
              <w:rPr>
                <w:b/>
                <w:sz w:val="24"/>
                <w:rFonts w:ascii="Times New Roman" w:hAnsi="Times New Roman"/>
              </w:rPr>
            </w:pPr>
            <w:r>
              <w:rPr>
                <w:b/>
                <w:sz w:val="24"/>
                <w:rFonts w:ascii="Times New Roman" w:hAnsi="Times New Roman"/>
              </w:rPr>
              <w:t xml:space="preserve">Rækker</w:t>
            </w:r>
          </w:p>
        </w:tc>
      </w:tr>
      <w:tr w:rsidR="00EF74C7" w:rsidRPr="002A677E" w14:paraId="2C6F42AE" w14:textId="77777777" w:rsidTr="00822842">
        <w:tc>
          <w:tcPr>
            <w:tcW w:w="852" w:type="dxa"/>
          </w:tcPr>
          <w:p w14:paraId="024CBE56"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0010</w:t>
            </w:r>
          </w:p>
        </w:tc>
        <w:tc>
          <w:tcPr>
            <w:tcW w:w="8187" w:type="dxa"/>
          </w:tcPr>
          <w:p w14:paraId="552E9C6B"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Omfanget af derivataktiviteter</w:t>
            </w:r>
          </w:p>
          <w:p w14:paraId="78339108" w14:textId="77777777" w:rsidR="00EF74C7" w:rsidRPr="002A677E" w:rsidRDefault="00EF74C7" w:rsidP="00822842">
            <w:pPr>
              <w:spacing w:beforeLines="60" w:before="144" w:afterLines="60" w:after="144"/>
              <w:rPr>
                <w:bCs/>
                <w:sz w:val="24"/>
                <w:rFonts w:ascii="Times New Roman" w:hAnsi="Times New Roman"/>
              </w:rPr>
            </w:pPr>
            <w:r>
              <w:rPr>
                <w:sz w:val="24"/>
                <w:rFonts w:ascii="Times New Roman" w:hAnsi="Times New Roman"/>
              </w:rPr>
              <w:t xml:space="preserve">Artikel 273a, stk. 3, i forordning (EU) nr. 575/2013</w:t>
            </w:r>
          </w:p>
          <w:p w14:paraId="6D4FE0C8"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Alle balanceførte og ikkebalanceførte derivater medtages, bortset fra kreditderivater, der anses for at være interne afdækninger af eksponeringer mod kreditrisici uden for handelsbeholdningen.</w:t>
            </w:r>
          </w:p>
        </w:tc>
      </w:tr>
      <w:tr w:rsidR="00EF74C7" w:rsidRPr="002A677E" w14:paraId="579E43BD" w14:textId="77777777" w:rsidTr="00822842">
        <w:tc>
          <w:tcPr>
            <w:tcW w:w="852" w:type="dxa"/>
          </w:tcPr>
          <w:p w14:paraId="435DE7F3"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0020</w:t>
            </w:r>
            <w:r>
              <w:rPr>
                <w:sz w:val="24"/>
                <w:rFonts w:ascii="Times New Roman" w:hAnsi="Times New Roman"/>
              </w:rPr>
              <w:t xml:space="preserve"> </w:t>
            </w:r>
          </w:p>
        </w:tc>
        <w:tc>
          <w:tcPr>
            <w:tcW w:w="8187" w:type="dxa"/>
          </w:tcPr>
          <w:p w14:paraId="04982DD9"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Balanceførte og ikkebalanceførte derivater</w:t>
            </w:r>
          </w:p>
          <w:p w14:paraId="5D2385C4"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Fonts w:ascii="Times New Roman" w:hAnsi="Times New Roman"/>
              </w:rPr>
              <w:t xml:space="preserve">Artikel 273a, stk. 3, litra a) og b), i forordning (EU) nr. 575/2013</w:t>
            </w:r>
          </w:p>
          <w:p w14:paraId="36CFA94A"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Den samlede markedsværdi af balanceførte og ikkebalanceførte derivatpositioner pr. den sidste dag i måneden indberettes.</w:t>
            </w:r>
            <w:r>
              <w:rPr>
                <w:sz w:val="24"/>
                <w:rFonts w:ascii="Times New Roman" w:hAnsi="Times New Roman"/>
              </w:rPr>
              <w:t xml:space="preserve"> </w:t>
            </w:r>
            <w:r>
              <w:rPr>
                <w:sz w:val="24"/>
                <w:rFonts w:ascii="Times New Roman" w:hAnsi="Times New Roman"/>
              </w:rPr>
              <w:t xml:space="preserve">Hvis markedsværdien for en position ikke er tilgængelig på denne dato, anvender institutterne en dagsværdi for positionen på denne dato;</w:t>
            </w:r>
            <w:r>
              <w:rPr>
                <w:sz w:val="24"/>
                <w:rFonts w:ascii="Times New Roman" w:hAnsi="Times New Roman"/>
              </w:rPr>
              <w:t xml:space="preserve"> </w:t>
            </w:r>
            <w:r>
              <w:rPr>
                <w:sz w:val="24"/>
                <w:rFonts w:ascii="Times New Roman" w:hAnsi="Times New Roman"/>
              </w:rPr>
              <w:t xml:space="preserve">hvis markedsprisen og dagsværdien for en position ikke er tilgængelig på denne dato, anvender institutterne den seneste markedsværdi eller dagsværdi for den pågældende position.</w:t>
            </w:r>
          </w:p>
        </w:tc>
      </w:tr>
      <w:tr w:rsidR="00EF74C7" w:rsidRPr="002A677E" w14:paraId="0D0ADD9F" w14:textId="77777777" w:rsidTr="00822842">
        <w:tc>
          <w:tcPr>
            <w:tcW w:w="852" w:type="dxa"/>
          </w:tcPr>
          <w:p w14:paraId="6D998AEA"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0030</w:t>
            </w:r>
            <w:r>
              <w:rPr>
                <w:sz w:val="24"/>
                <w:rFonts w:ascii="Times New Roman" w:hAnsi="Times New Roman"/>
              </w:rPr>
              <w:t xml:space="preserve"> </w:t>
            </w:r>
          </w:p>
        </w:tc>
        <w:tc>
          <w:tcPr>
            <w:tcW w:w="8187" w:type="dxa"/>
          </w:tcPr>
          <w:p w14:paraId="36732A5F" w14:textId="77777777" w:rsidR="00EF74C7" w:rsidRPr="002A677E" w:rsidRDefault="00EF74C7" w:rsidP="00822842">
            <w:pPr>
              <w:spacing w:beforeLines="60" w:before="144" w:afterLines="60" w:after="144"/>
              <w:rPr>
                <w:b/>
                <w:sz w:val="24"/>
                <w:u w:val="single"/>
                <w:rFonts w:ascii="Times New Roman" w:hAnsi="Times New Roman"/>
              </w:rPr>
            </w:pPr>
            <w:r>
              <w:rPr>
                <w:b/>
                <w:sz w:val="24"/>
                <w:u w:val="single"/>
                <w:rFonts w:ascii="Times New Roman" w:hAnsi="Times New Roman"/>
              </w:rPr>
              <w:t xml:space="preserve">(-) Kreditderivater, der anses for at være interne afdækninger af eksponeringer mod kreditrisici uden for handelsbeholdningen.</w:t>
            </w:r>
          </w:p>
          <w:p w14:paraId="7B2D3F9F"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Fonts w:ascii="Times New Roman" w:hAnsi="Times New Roman"/>
              </w:rPr>
              <w:t xml:space="preserve">Artikel 273a, stk. 3, litra c), i forordning (EU) nr. 575/2013</w:t>
            </w:r>
          </w:p>
          <w:p w14:paraId="11EEB10C"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Den samlede markedsværdi af de kreditderivater, der anses for at være interne afdækninger af eksponeringer mod kreditrisici uden for handelsbeholdningen.</w:t>
            </w:r>
          </w:p>
        </w:tc>
      </w:tr>
      <w:tr w:rsidR="00EF74C7" w:rsidRPr="002A677E" w14:paraId="35FDB40E" w14:textId="77777777" w:rsidTr="00822842">
        <w:tc>
          <w:tcPr>
            <w:tcW w:w="852" w:type="dxa"/>
          </w:tcPr>
          <w:p w14:paraId="74E4E271"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0040</w:t>
            </w:r>
          </w:p>
        </w:tc>
        <w:tc>
          <w:tcPr>
            <w:tcW w:w="8187" w:type="dxa"/>
          </w:tcPr>
          <w:p w14:paraId="0BD00669"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De samlede aktiver</w:t>
            </w:r>
          </w:p>
          <w:p w14:paraId="46929946"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De samlede aktiver i overensstemmelse med de anvendte regnskabsstandarder.</w:t>
            </w:r>
          </w:p>
          <w:p w14:paraId="010EF5F0" w14:textId="77777777" w:rsidR="00EF74C7" w:rsidRPr="002A677E" w:rsidRDefault="00EF74C7" w:rsidP="00822842">
            <w:pPr>
              <w:spacing w:beforeLines="60" w:before="144" w:afterLines="60" w:after="144"/>
              <w:rPr>
                <w:rStyle w:val="InstructionsTabelleberschrift"/>
                <w:b w:val="0"/>
                <w:sz w:val="24"/>
                <w:rFonts w:ascii="Times New Roman" w:hAnsi="Times New Roman"/>
              </w:rPr>
            </w:pPr>
            <w:r>
              <w:rPr>
                <w:sz w:val="24"/>
                <w:rFonts w:ascii="Times New Roman" w:hAnsi="Times New Roman"/>
              </w:rPr>
              <w:t xml:space="preserve">Med henblik på konsolideret indberetning skal institutterne indberette de samlede aktiver efter den tilsynsmæssige konsolidering i overensstemmelse med første del, afsnit II, kapitel 2, afdeling 2, i forordning (EU) nr. 575/2013.</w:t>
            </w:r>
          </w:p>
        </w:tc>
      </w:tr>
      <w:tr w:rsidR="00EF74C7" w:rsidRPr="002A677E" w14:paraId="4D325D16" w14:textId="77777777" w:rsidTr="00822842">
        <w:tc>
          <w:tcPr>
            <w:tcW w:w="852" w:type="dxa"/>
          </w:tcPr>
          <w:p w14:paraId="60F15BF2"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0050</w:t>
            </w:r>
          </w:p>
        </w:tc>
        <w:tc>
          <w:tcPr>
            <w:tcW w:w="8187" w:type="dxa"/>
          </w:tcPr>
          <w:p w14:paraId="26613692"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Procentdel af samlede aktiver</w:t>
            </w:r>
          </w:p>
          <w:p w14:paraId="7A7748D7" w14:textId="77777777" w:rsidR="00EF74C7" w:rsidRPr="002A677E" w:rsidRDefault="00EF74C7" w:rsidP="00822842">
            <w:pPr>
              <w:spacing w:beforeLines="60" w:before="144" w:afterLines="60" w:after="144"/>
              <w:rPr>
                <w:b/>
                <w:sz w:val="24"/>
                <w:rFonts w:ascii="Times New Roman" w:hAnsi="Times New Roman"/>
              </w:rPr>
            </w:pPr>
            <w:r>
              <w:rPr>
                <w:rStyle w:val="InstructionsTabelleberschrift"/>
                <w:b w:val="0"/>
                <w:sz w:val="24"/>
                <w:u w:val="none"/>
                <w:rFonts w:ascii="Times New Roman" w:hAnsi="Times New Roman"/>
              </w:rPr>
              <w:t xml:space="preserve">Procentdelen beregnes ud fra omfanget af derivataktiviteterne (række 0010) divideret med de samlede aktiver (række 0040).</w:t>
            </w:r>
            <w:r>
              <w:rPr>
                <w:rStyle w:val="InstructionsTabelleberschrift"/>
                <w:b w:val="0"/>
                <w:sz w:val="24"/>
                <w:u w:val="none"/>
                <w:rFonts w:ascii="Times New Roman" w:hAnsi="Times New Roman"/>
              </w:rPr>
              <w:t xml:space="preserve"> </w:t>
            </w:r>
          </w:p>
        </w:tc>
      </w:tr>
      <w:tr w:rsidR="00EF74C7" w:rsidRPr="002A677E" w14:paraId="0399B49B" w14:textId="77777777" w:rsidTr="00822842">
        <w:tc>
          <w:tcPr>
            <w:tcW w:w="9039" w:type="dxa"/>
            <w:gridSpan w:val="2"/>
            <w:shd w:val="clear" w:color="auto" w:fill="A6A6A6" w:themeFill="background1" w:themeFillShade="A6"/>
          </w:tcPr>
          <w:p w14:paraId="2029EDEF" w14:textId="77777777" w:rsidR="00EF74C7" w:rsidRPr="002A677E" w:rsidRDefault="00EF74C7" w:rsidP="00822842">
            <w:pPr>
              <w:spacing w:beforeLines="60" w:before="144" w:afterLines="60" w:after="144"/>
              <w:rPr>
                <w:b/>
                <w:sz w:val="24"/>
                <w:rFonts w:ascii="Times New Roman" w:hAnsi="Times New Roman"/>
              </w:rPr>
            </w:pPr>
            <w:r>
              <w:rPr>
                <w:b/>
                <w:sz w:val="24"/>
                <w:rFonts w:ascii="Times New Roman" w:hAnsi="Times New Roman"/>
              </w:rPr>
              <w:t xml:space="preserve">UNDTAGELSE I OVERENSSTEMMELSE MED ARTIKEL 273A, STK. 4, I FORORDNING (EU) NR. 575/2013</w:t>
            </w:r>
          </w:p>
        </w:tc>
      </w:tr>
      <w:tr w:rsidR="00EF74C7" w:rsidRPr="002A677E" w14:paraId="70D864E0" w14:textId="77777777" w:rsidTr="00822842">
        <w:trPr>
          <w:trHeight w:val="3003"/>
        </w:trPr>
        <w:tc>
          <w:tcPr>
            <w:tcW w:w="852" w:type="dxa"/>
          </w:tcPr>
          <w:p w14:paraId="3AB25C6D"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0060</w:t>
            </w:r>
          </w:p>
        </w:tc>
        <w:tc>
          <w:tcPr>
            <w:tcW w:w="8187" w:type="dxa"/>
          </w:tcPr>
          <w:p w14:paraId="67908B53"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sz w:val="24"/>
                <w:rStyle w:val="InstructionsTabelleberschrift"/>
                <w:rFonts w:ascii="Times New Roman" w:hAnsi="Times New Roman"/>
              </w:rPr>
              <w:t xml:space="preserve">Er betingelserne i artikel 273a, stk. 4, i forordning (EU) nr. 575/2013 opfyldt, herunder den kompetente myndigheds godkendelse?</w:t>
            </w:r>
          </w:p>
          <w:p w14:paraId="2F3DE52A"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Fonts w:ascii="Times New Roman" w:hAnsi="Times New Roman"/>
              </w:rPr>
              <w:t xml:space="preserve">Artikel 273a, stk. 4, i forordning (EU) nr. 575/2013</w:t>
            </w:r>
          </w:p>
          <w:p w14:paraId="748D5951"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Fonts w:ascii="Times New Roman" w:hAnsi="Times New Roman"/>
              </w:rPr>
              <w:t xml:space="preserve">Institutter, der overskrider tærsklerne med hensyn til at anvende en forenklet metode for modpartsrisiko, men som stadig anvender en af dem på grundlag af artikel 273a, stk. 4, i forordning (EU) nr. 575/2013, angiver (med ja/nej), om de opfylder alle betingelserne i denne artikel.</w:t>
            </w:r>
          </w:p>
          <w:p w14:paraId="6DA86931" w14:textId="77777777" w:rsidR="00EF74C7" w:rsidRPr="002A677E" w:rsidRDefault="00EF74C7" w:rsidP="00822842">
            <w:pPr>
              <w:spacing w:beforeLines="60" w:before="144" w:afterLines="60" w:after="144"/>
              <w:rPr>
                <w:b/>
                <w:sz w:val="24"/>
                <w:rFonts w:ascii="Times New Roman" w:hAnsi="Times New Roman"/>
              </w:rPr>
            </w:pPr>
            <w:r>
              <w:rPr>
                <w:sz w:val="24"/>
                <w:rFonts w:ascii="Times New Roman" w:hAnsi="Times New Roman"/>
              </w:rPr>
              <w:t xml:space="preserve">Denne post indberettes kun af de institutter, der anvender undtagelsen i overensstemmelse med artikel 273a, stk. 4, i forordning (EU) nr. 575/2013.</w:t>
            </w:r>
          </w:p>
        </w:tc>
      </w:tr>
      <w:tr w:rsidR="00EF74C7" w:rsidRPr="002A677E" w14:paraId="454EB33C" w14:textId="77777777" w:rsidTr="00822842">
        <w:tc>
          <w:tcPr>
            <w:tcW w:w="852" w:type="dxa"/>
          </w:tcPr>
          <w:p w14:paraId="38A2CAC1"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0070</w:t>
            </w:r>
          </w:p>
        </w:tc>
        <w:tc>
          <w:tcPr>
            <w:tcW w:w="8187" w:type="dxa"/>
          </w:tcPr>
          <w:p w14:paraId="58491ECF"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Metode til beregning af eksponeringsværdierne på konsolideret niveau</w:t>
            </w:r>
          </w:p>
          <w:p w14:paraId="082FDD18"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Fonts w:ascii="Times New Roman" w:hAnsi="Times New Roman"/>
              </w:rPr>
              <w:t xml:space="preserve">Artikel 273a, stk. 4, i forordning (EU) nr. 575/2013</w:t>
            </w:r>
          </w:p>
          <w:p w14:paraId="2F4198CB"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Fonts w:ascii="Times New Roman" w:hAnsi="Times New Roman"/>
              </w:rPr>
              <w:t xml:space="preserve">Metoden til beregning af eksponeringsværdierne af derivatpositioner på konsolideret niveau, som også anvendes på individuelt niveau for enheder i overensstemmelse med artikel 273a, stk. 4, i forordning (EU) nr. 575/2013:</w:t>
            </w:r>
          </w:p>
          <w:p w14:paraId="028F6AA2"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 OEM:</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Den oprindelige eksponeringsmetode</w:t>
            </w:r>
          </w:p>
          <w:p w14:paraId="52FA75E2"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 Forenklet SA-CCR:</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Forenklet standardmetode for modpartsrisiko</w:t>
            </w:r>
            <w:r>
              <w:rPr>
                <w:rStyle w:val="InstructionsTabelleberschrift"/>
                <w:b w:val="0"/>
                <w:sz w:val="24"/>
                <w:u w:val="none"/>
                <w:rFonts w:ascii="Times New Roman" w:hAnsi="Times New Roman"/>
              </w:rPr>
              <w:t xml:space="preserve"> </w:t>
            </w:r>
          </w:p>
          <w:p w14:paraId="6D893F4F" w14:textId="77777777" w:rsidR="00EF74C7" w:rsidRPr="002A677E" w:rsidRDefault="00EF74C7" w:rsidP="00822842">
            <w:pPr>
              <w:spacing w:beforeLines="60" w:before="144" w:afterLines="60" w:after="144"/>
              <w:rPr>
                <w:b/>
                <w:sz w:val="24"/>
                <w:rFonts w:ascii="Times New Roman" w:hAnsi="Times New Roman"/>
              </w:rPr>
            </w:pPr>
            <w:r>
              <w:rPr>
                <w:sz w:val="24"/>
                <w:rFonts w:ascii="Times New Roman" w:hAnsi="Times New Roman"/>
              </w:rPr>
              <w:t xml:space="preserve">Denne post indberettes kun af de institutter, der anvender undtagelsen i overensstemmelse med artikel 273a, stk. 4, i forordning (EU) nr. 575/2013.</w:t>
            </w:r>
          </w:p>
        </w:tc>
      </w:tr>
    </w:tbl>
    <w:p w14:paraId="773ED03F"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22" w:name="_Toc19715806"/>
      <w:bookmarkStart w:id="23" w:name="_Toc151714446"/>
      <w:r>
        <w:rPr>
          <w:sz w:val="24"/>
          <w:rFonts w:ascii="Times New Roman" w:hAnsi="Times New Roman"/>
        </w:rPr>
        <w:t xml:space="preserve">C 34.02 - Modpartsrisikoeksponeringer opgjort efter metode</w:t>
      </w:r>
      <w:bookmarkEnd w:id="22"/>
      <w:bookmarkEnd w:id="23"/>
      <w:r>
        <w:rPr>
          <w:sz w:val="24"/>
          <w:rFonts w:ascii="Times New Roman" w:hAnsi="Times New Roman"/>
        </w:rPr>
        <w:t xml:space="preserve"> </w:t>
      </w:r>
    </w:p>
    <w:p w14:paraId="3FC7FDB8"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24" w:name="_Toc19715807"/>
      <w:bookmarkStart w:id="25" w:name="_Toc151714447"/>
      <w:r>
        <w:rPr>
          <w:sz w:val="24"/>
          <w:rFonts w:ascii="Times New Roman" w:hAnsi="Times New Roman"/>
        </w:rPr>
        <w:t xml:space="preserve">Generelle bemærkninger</w:t>
      </w:r>
      <w:bookmarkEnd w:id="24"/>
      <w:bookmarkEnd w:id="25"/>
    </w:p>
    <w:p w14:paraId="765D46FE" w14:textId="20A30CC8"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t xml:space="preserve">124</w:t>
      </w:r>
      <w:r>
        <w:fldChar w:fldCharType="end"/>
      </w:r>
      <w:r>
        <w:t xml:space="preserve">.</w:t>
      </w:r>
      <w:r>
        <w:t xml:space="preserve"> </w:t>
      </w:r>
      <w:r>
        <w:t xml:space="preserve">Institutterne skal indberette skemaet separat for alle modpartsrisikoeksponeringer og for alle modpartsrisikoeksponeringer, undtagen eksponeringer for centrale modparter (CCP'er), som defineret med henblik på skema C 34.10.</w:t>
      </w:r>
    </w:p>
    <w:p w14:paraId="73798597"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26" w:name="_Toc19715808"/>
      <w:bookmarkStart w:id="27" w:name="_Toc151714448"/>
      <w:r>
        <w:rPr>
          <w:sz w:val="24"/>
          <w:rFonts w:ascii="Times New Roman" w:hAnsi="Times New Roman"/>
        </w:rPr>
        <w:t xml:space="preserve">Instrukser vedrørende specifikke positioner</w:t>
      </w:r>
      <w:bookmarkEnd w:id="26"/>
      <w:bookmarkEnd w:id="2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5DC5F817" w14:textId="77777777" w:rsidTr="00822842">
        <w:trPr>
          <w:trHeight w:val="616"/>
        </w:trPr>
        <w:tc>
          <w:tcPr>
            <w:tcW w:w="9039" w:type="dxa"/>
            <w:gridSpan w:val="2"/>
            <w:tcBorders>
              <w:right w:val="single" w:sz="4" w:space="0" w:color="auto"/>
            </w:tcBorders>
            <w:shd w:val="clear" w:color="auto" w:fill="D9D9D9" w:themeFill="background1" w:themeFillShade="D9"/>
          </w:tcPr>
          <w:p w14:paraId="1806F3DC"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Kolonner</w:t>
            </w:r>
          </w:p>
        </w:tc>
      </w:tr>
      <w:tr w:rsidR="00EF74C7" w:rsidRPr="002A677E" w14:paraId="5AF62E03" w14:textId="77777777" w:rsidTr="00822842">
        <w:trPr>
          <w:trHeight w:val="680"/>
        </w:trPr>
        <w:tc>
          <w:tcPr>
            <w:tcW w:w="1384" w:type="dxa"/>
          </w:tcPr>
          <w:p w14:paraId="0ECB7AE7" w14:textId="77777777" w:rsidR="00EF74C7" w:rsidRPr="002A677E" w:rsidRDefault="00EF74C7" w:rsidP="00822842">
            <w:pPr>
              <w:pStyle w:val="Applicationdirecte"/>
              <w:spacing w:before="0" w:after="0"/>
            </w:pPr>
            <w:r>
              <w:t xml:space="preserve">0010</w:t>
            </w:r>
          </w:p>
        </w:tc>
        <w:tc>
          <w:tcPr>
            <w:tcW w:w="7655" w:type="dxa"/>
            <w:vAlign w:val="center"/>
          </w:tcPr>
          <w:p w14:paraId="2F369CA7"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ANTAL MODPARTER</w:t>
            </w:r>
          </w:p>
          <w:p w14:paraId="5D247700" w14:textId="77777777" w:rsidR="00EF74C7" w:rsidRPr="002A677E" w:rsidRDefault="00EF74C7" w:rsidP="00822842">
            <w:pPr>
              <w:autoSpaceDE w:val="0"/>
              <w:autoSpaceDN w:val="0"/>
              <w:adjustRightInd w:val="0"/>
              <w:spacing w:before="60"/>
              <w:rPr>
                <w:i/>
                <w:sz w:val="24"/>
                <w:rFonts w:ascii="Times New Roman" w:hAnsi="Times New Roman"/>
              </w:rPr>
            </w:pPr>
            <w:r>
              <w:rPr>
                <w:sz w:val="24"/>
                <w:rFonts w:ascii="Times New Roman" w:hAnsi="Times New Roman"/>
              </w:rPr>
              <w:t xml:space="preserve">Antal individuelle modparter, over for hvilke instituttet har modpartsrisikoeksponeringer.</w:t>
            </w:r>
          </w:p>
        </w:tc>
      </w:tr>
      <w:tr w:rsidR="00EF74C7" w:rsidRPr="002A677E" w14:paraId="47187F35" w14:textId="77777777" w:rsidTr="00822842">
        <w:trPr>
          <w:trHeight w:val="416"/>
        </w:trPr>
        <w:tc>
          <w:tcPr>
            <w:tcW w:w="1384" w:type="dxa"/>
          </w:tcPr>
          <w:p w14:paraId="31502253" w14:textId="77777777" w:rsidR="00EF74C7" w:rsidRPr="002A677E" w:rsidRDefault="00EF74C7" w:rsidP="00822842">
            <w:pPr>
              <w:pStyle w:val="Applicationdirecte"/>
              <w:spacing w:before="0" w:after="0"/>
            </w:pPr>
            <w:r>
              <w:t xml:space="preserve">0020</w:t>
            </w:r>
          </w:p>
        </w:tc>
        <w:tc>
          <w:tcPr>
            <w:tcW w:w="7655" w:type="dxa"/>
            <w:vAlign w:val="center"/>
          </w:tcPr>
          <w:p w14:paraId="6A419FF1"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ANTAL TRANSAKTIONER</w:t>
            </w:r>
          </w:p>
          <w:p w14:paraId="72A1DFED" w14:textId="77777777" w:rsidR="00EF74C7" w:rsidRPr="002A677E" w:rsidRDefault="00EF74C7" w:rsidP="00822842">
            <w:pPr>
              <w:autoSpaceDE w:val="0"/>
              <w:autoSpaceDN w:val="0"/>
              <w:adjustRightInd w:val="0"/>
              <w:spacing w:before="60"/>
              <w:rPr>
                <w:sz w:val="24"/>
                <w:rFonts w:ascii="Times New Roman" w:hAnsi="Times New Roman"/>
              </w:rPr>
            </w:pPr>
            <w:r>
              <w:rPr>
                <w:sz w:val="24"/>
                <w:rFonts w:ascii="Times New Roman" w:hAnsi="Times New Roman"/>
              </w:rPr>
              <w:t xml:space="preserve">Antal transaktioner omfattet af modpartsrisiko på indberetningsdatoen.</w:t>
            </w:r>
            <w:r>
              <w:rPr>
                <w:sz w:val="24"/>
                <w:rFonts w:ascii="Times New Roman" w:hAnsi="Times New Roman"/>
              </w:rPr>
              <w:t xml:space="preserve"> </w:t>
            </w:r>
            <w:r>
              <w:rPr>
                <w:sz w:val="24"/>
                <w:rFonts w:ascii="Times New Roman" w:hAnsi="Times New Roman"/>
              </w:rPr>
              <w:t xml:space="preserve">Bemærk, at forretningstal for CCP'er ikke bør omfatte ind- eller udgående pengestrømme, men de samlede positioner i CCR-porteføljen på indberetningsdatoen.</w:t>
            </w:r>
            <w:r>
              <w:rPr>
                <w:sz w:val="24"/>
                <w:rFonts w:ascii="Times New Roman" w:hAnsi="Times New Roman"/>
              </w:rPr>
              <w:t xml:space="preserve"> </w:t>
            </w:r>
            <w:r>
              <w:rPr>
                <w:sz w:val="24"/>
                <w:rFonts w:ascii="Times New Roman" w:hAnsi="Times New Roman"/>
              </w:rPr>
              <w:t xml:space="preserve">Et derivat eller en værdipapirfinansieringstransaktion, der deles i (mindst) to eller flere dele til modelleringsformål, betragtes desuden stadig som en enkelt transaktion.</w:t>
            </w:r>
          </w:p>
        </w:tc>
      </w:tr>
      <w:tr w:rsidR="00EF74C7" w:rsidRPr="002A677E" w14:paraId="095C33EA" w14:textId="77777777" w:rsidTr="00822842">
        <w:trPr>
          <w:trHeight w:val="680"/>
        </w:trPr>
        <w:tc>
          <w:tcPr>
            <w:tcW w:w="1384" w:type="dxa"/>
          </w:tcPr>
          <w:p w14:paraId="11D4F4B1" w14:textId="77777777" w:rsidR="00EF74C7" w:rsidRPr="002A677E" w:rsidRDefault="00EF74C7" w:rsidP="00822842">
            <w:pPr>
              <w:pStyle w:val="Applicationdirecte"/>
              <w:spacing w:before="0" w:after="0"/>
            </w:pPr>
            <w:r>
              <w:t xml:space="preserve">0030</w:t>
            </w:r>
          </w:p>
        </w:tc>
        <w:tc>
          <w:tcPr>
            <w:tcW w:w="7655" w:type="dxa"/>
            <w:vAlign w:val="center"/>
          </w:tcPr>
          <w:p w14:paraId="31BBD503"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NOMINEL VÆRDI</w:t>
            </w:r>
          </w:p>
          <w:p w14:paraId="0DE79C19"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Summen af de nominelle værdier for derivater og værdipapirfinansieringstransaktioner før netting og uden justeringer i henhold til artikel 279b i forordning (EU) nr. 575/2013.</w:t>
            </w:r>
          </w:p>
        </w:tc>
      </w:tr>
      <w:tr w:rsidR="00EF74C7" w:rsidRPr="002A677E" w14:paraId="5C1FBFBA" w14:textId="77777777" w:rsidTr="00822842">
        <w:trPr>
          <w:trHeight w:val="680"/>
        </w:trPr>
        <w:tc>
          <w:tcPr>
            <w:tcW w:w="1384" w:type="dxa"/>
          </w:tcPr>
          <w:p w14:paraId="314060C4" w14:textId="77777777" w:rsidR="00EF74C7" w:rsidRPr="002A677E" w:rsidRDefault="00EF74C7" w:rsidP="00822842">
            <w:pPr>
              <w:pStyle w:val="Applicationdirecte"/>
              <w:spacing w:before="0" w:after="0"/>
            </w:pPr>
            <w:r>
              <w:t xml:space="preserve">0040</w:t>
            </w:r>
          </w:p>
        </w:tc>
        <w:tc>
          <w:tcPr>
            <w:tcW w:w="7655" w:type="dxa"/>
            <w:vAlign w:val="center"/>
          </w:tcPr>
          <w:p w14:paraId="0DCD00FE"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DEN AKTUELLE MARKEDSVÆRDI (CMV), POSITIV</w:t>
            </w:r>
          </w:p>
          <w:p w14:paraId="0CABD62F"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Artikel 272, nr. 12), i forordning (EU) nr. 575/2013</w:t>
            </w:r>
          </w:p>
          <w:p w14:paraId="37448E9C"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Summen af de aktuelle markedsværdier (CMV) for alle nettinggrupper med positive CMV'er som defineret i artikel 272, nr. 12), i forordning (EU) nr. 575/2013.</w:t>
            </w:r>
            <w:r>
              <w:rPr>
                <w:sz w:val="24"/>
                <w:rFonts w:ascii="Times New Roman" w:hAnsi="Times New Roman"/>
              </w:rPr>
              <w:t xml:space="preserve"> </w:t>
            </w:r>
          </w:p>
        </w:tc>
      </w:tr>
      <w:tr w:rsidR="00EF74C7" w:rsidRPr="002A677E" w14:paraId="267FA73E" w14:textId="77777777" w:rsidTr="00822842">
        <w:trPr>
          <w:trHeight w:val="680"/>
        </w:trPr>
        <w:tc>
          <w:tcPr>
            <w:tcW w:w="1384" w:type="dxa"/>
          </w:tcPr>
          <w:p w14:paraId="490B203B" w14:textId="77777777" w:rsidR="00EF74C7" w:rsidRPr="002A677E" w:rsidRDefault="00EF74C7" w:rsidP="00822842">
            <w:pPr>
              <w:pStyle w:val="Applicationdirecte"/>
              <w:spacing w:before="0" w:after="0"/>
            </w:pPr>
            <w:r>
              <w:t xml:space="preserve">0050</w:t>
            </w:r>
          </w:p>
        </w:tc>
        <w:tc>
          <w:tcPr>
            <w:tcW w:w="7655" w:type="dxa"/>
            <w:vAlign w:val="center"/>
          </w:tcPr>
          <w:p w14:paraId="4AE05338"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DEN AKTUELLE MARKEDSVÆRDI (CMV), NEGATIV</w:t>
            </w:r>
          </w:p>
          <w:p w14:paraId="1AE578BE"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Artikel 272, nr. 12), i forordning (EU) nr. 575/2013</w:t>
            </w:r>
          </w:p>
          <w:p w14:paraId="7055CBFD"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Summen af de aktuelle markedsværdier (CMV) for alle nettinggrupper med negative CMV'er som defineret i artikel 272, nr. 12), i forordning (EU) nr. 575/2013.</w:t>
            </w:r>
          </w:p>
        </w:tc>
      </w:tr>
      <w:tr w:rsidR="00EF74C7" w:rsidRPr="002A677E" w14:paraId="0BB7F6EF" w14:textId="77777777" w:rsidTr="00822842">
        <w:trPr>
          <w:trHeight w:val="680"/>
        </w:trPr>
        <w:tc>
          <w:tcPr>
            <w:tcW w:w="1384" w:type="dxa"/>
          </w:tcPr>
          <w:p w14:paraId="0A3FB298" w14:textId="77777777" w:rsidR="00EF74C7" w:rsidRPr="002A677E" w:rsidRDefault="00EF74C7" w:rsidP="00822842">
            <w:pPr>
              <w:pStyle w:val="Fait"/>
            </w:pPr>
            <w:r>
              <w:t xml:space="preserve">0060</w:t>
            </w:r>
          </w:p>
        </w:tc>
        <w:tc>
          <w:tcPr>
            <w:tcW w:w="7655" w:type="dxa"/>
            <w:vAlign w:val="center"/>
          </w:tcPr>
          <w:p w14:paraId="48B3261E" w14:textId="77777777" w:rsidR="00EF74C7" w:rsidRPr="002A677E" w:rsidRDefault="00EF74C7" w:rsidP="00822842">
            <w:pPr>
              <w:keepNext/>
              <w:spacing w:before="60"/>
              <w:rPr>
                <w:rStyle w:val="InstructionsTabelleberschrift"/>
                <w:b w:val="0"/>
                <w:bCs w:val="0"/>
                <w:sz w:val="24"/>
                <w:rFonts w:ascii="Times New Roman" w:hAnsi="Times New Roman"/>
              </w:rPr>
            </w:pPr>
            <w:r>
              <w:rPr>
                <w:rStyle w:val="InstructionsTabelleberschrift"/>
                <w:sz w:val="24"/>
                <w:rFonts w:ascii="Times New Roman" w:hAnsi="Times New Roman"/>
              </w:rPr>
              <w:t xml:space="preserve">VARIATIONSMARGEN (VM), MODTAGET</w:t>
            </w:r>
          </w:p>
          <w:p w14:paraId="1BCA2FE2"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Artikel 275, stk. 2, artikel 275, stk. 3, og artikel 276 i forordning (EU) nr. 575/2013</w:t>
            </w:r>
          </w:p>
          <w:p w14:paraId="369BA28E"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Summen af variationsmargenerne for alle de margenaftaler, for hvilke der er modtaget VM, beregnet i overensstemmelse med artikel 276 i forordning (EU) nr. 575/2013.</w:t>
            </w:r>
          </w:p>
        </w:tc>
      </w:tr>
      <w:tr w:rsidR="00EF74C7" w:rsidRPr="002A677E" w14:paraId="6C721687" w14:textId="77777777" w:rsidTr="00822842">
        <w:trPr>
          <w:trHeight w:val="680"/>
        </w:trPr>
        <w:tc>
          <w:tcPr>
            <w:tcW w:w="1384" w:type="dxa"/>
          </w:tcPr>
          <w:p w14:paraId="2B88DE08" w14:textId="77777777" w:rsidR="00EF74C7" w:rsidRPr="002A677E" w:rsidRDefault="00EF74C7" w:rsidP="00822842">
            <w:pPr>
              <w:pStyle w:val="Fait"/>
            </w:pPr>
            <w:r>
              <w:t xml:space="preserve">0070</w:t>
            </w:r>
          </w:p>
        </w:tc>
        <w:tc>
          <w:tcPr>
            <w:tcW w:w="7655" w:type="dxa"/>
            <w:vAlign w:val="center"/>
          </w:tcPr>
          <w:p w14:paraId="3CBA9D04" w14:textId="77777777" w:rsidR="00EF74C7" w:rsidRPr="002A677E" w:rsidRDefault="00EF74C7" w:rsidP="00822842">
            <w:pPr>
              <w:keepNext/>
              <w:spacing w:before="60"/>
              <w:rPr>
                <w:rStyle w:val="InstructionsTabelleberschrift"/>
                <w:b w:val="0"/>
                <w:bCs w:val="0"/>
                <w:sz w:val="24"/>
                <w:rFonts w:ascii="Times New Roman" w:hAnsi="Times New Roman"/>
              </w:rPr>
            </w:pPr>
            <w:r>
              <w:rPr>
                <w:rStyle w:val="InstructionsTabelleberschrift"/>
                <w:sz w:val="24"/>
                <w:rFonts w:ascii="Times New Roman" w:hAnsi="Times New Roman"/>
              </w:rPr>
              <w:t xml:space="preserve">VARIATIONSMARGEN (VM), STILLET</w:t>
            </w:r>
          </w:p>
          <w:p w14:paraId="5E268090"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Artikel 275, stk. 2, artikel 275, stk. 3, og artikel 276 i forordning (EU) nr. 575/2013</w:t>
            </w:r>
          </w:p>
          <w:p w14:paraId="061EF38D"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Summen af variationsmargenerne for alle de margenaftaler, for hvilke der er stillet VM, beregnet i overensstemmelse med artikel 276 i forordning (EU) nr. 575/2013.</w:t>
            </w:r>
          </w:p>
        </w:tc>
      </w:tr>
      <w:tr w:rsidR="00EF74C7" w:rsidRPr="002A677E" w14:paraId="4403BF45" w14:textId="77777777" w:rsidTr="00822842">
        <w:trPr>
          <w:trHeight w:val="680"/>
        </w:trPr>
        <w:tc>
          <w:tcPr>
            <w:tcW w:w="1384" w:type="dxa"/>
          </w:tcPr>
          <w:p w14:paraId="6FD71C9F" w14:textId="77777777" w:rsidR="00EF74C7" w:rsidRPr="002A677E" w:rsidRDefault="00EF74C7" w:rsidP="00822842">
            <w:pPr>
              <w:pStyle w:val="Applicationdirecte"/>
              <w:spacing w:before="0" w:after="0"/>
            </w:pPr>
            <w:r>
              <w:t xml:space="preserve">0080</w:t>
            </w:r>
          </w:p>
        </w:tc>
        <w:tc>
          <w:tcPr>
            <w:tcW w:w="7655" w:type="dxa"/>
            <w:vAlign w:val="center"/>
          </w:tcPr>
          <w:p w14:paraId="2A71E90A"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UAFHÆNGIGT NETTO SIKKERHEDSSTILLELSESBELØB (NICA), MODTAGET</w:t>
            </w:r>
            <w:r>
              <w:rPr>
                <w:rStyle w:val="InstructionsTabelleberschrift"/>
                <w:sz w:val="24"/>
                <w:rFonts w:ascii="Times New Roman" w:hAnsi="Times New Roman"/>
              </w:rPr>
              <w:t xml:space="preserve"> </w:t>
            </w:r>
          </w:p>
          <w:p w14:paraId="6F05E00C"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Artikel 272a, stk. 12a, artikel 275, stk. 3, og artikel 276 i forordning (EU) nr. 575/2013</w:t>
            </w:r>
          </w:p>
          <w:p w14:paraId="4F712E22"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Summen af NICA for alle de margenaftaler, for hvilke der er modtaget NICA, beregnet i overensstemmelse med artikel 276 i forordning (EU) nr. 575/2013.</w:t>
            </w:r>
          </w:p>
        </w:tc>
      </w:tr>
      <w:tr w:rsidR="00EF74C7" w:rsidRPr="002A677E" w14:paraId="6199258D" w14:textId="77777777" w:rsidTr="00822842">
        <w:trPr>
          <w:trHeight w:val="680"/>
        </w:trPr>
        <w:tc>
          <w:tcPr>
            <w:tcW w:w="1384" w:type="dxa"/>
          </w:tcPr>
          <w:p w14:paraId="5ECD89A4" w14:textId="77777777" w:rsidR="00EF74C7" w:rsidRPr="002A677E" w:rsidRDefault="00EF74C7" w:rsidP="00822842">
            <w:pPr>
              <w:pStyle w:val="Applicationdirecte"/>
              <w:spacing w:before="0" w:after="0"/>
            </w:pPr>
            <w:r>
              <w:t xml:space="preserve">0090</w:t>
            </w:r>
          </w:p>
        </w:tc>
        <w:tc>
          <w:tcPr>
            <w:tcW w:w="7655" w:type="dxa"/>
            <w:vAlign w:val="center"/>
          </w:tcPr>
          <w:p w14:paraId="0E262EAD"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UAFHÆNGIGT NETTO SIKKERHEDSSTILLELSESBELØB (NICA), STILLET</w:t>
            </w:r>
            <w:r>
              <w:rPr>
                <w:rStyle w:val="InstructionsTabelleberschrift"/>
                <w:sz w:val="24"/>
                <w:rFonts w:ascii="Times New Roman" w:hAnsi="Times New Roman"/>
              </w:rPr>
              <w:t xml:space="preserve"> </w:t>
            </w:r>
          </w:p>
          <w:p w14:paraId="69D94B02"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Artikel 272a, stk. 12a, artikel 275, stk. 3, og artikel 276 i forordning (EU) nr. 575/2013</w:t>
            </w:r>
          </w:p>
          <w:p w14:paraId="501F735A" w14:textId="77777777" w:rsidR="00EF74C7" w:rsidRPr="002A677E" w:rsidRDefault="00EF74C7" w:rsidP="00822842">
            <w:pPr>
              <w:spacing w:before="60"/>
              <w:rPr>
                <w:rStyle w:val="InstructionsTabelleberschrift"/>
                <w:sz w:val="24"/>
                <w:rFonts w:ascii="Times New Roman" w:hAnsi="Times New Roman"/>
              </w:rPr>
            </w:pPr>
            <w:r>
              <w:rPr>
                <w:sz w:val="24"/>
                <w:rFonts w:ascii="Times New Roman" w:hAnsi="Times New Roman"/>
              </w:rPr>
              <w:t xml:space="preserve">Summen af NICA for alle de margenaftaler, for hvilke der er stillet NICA, beregnet i overensstemmelse med artikel 276 i forordning (EU) nr. 575/2013.</w:t>
            </w:r>
          </w:p>
        </w:tc>
      </w:tr>
      <w:tr w:rsidR="00EF74C7" w:rsidRPr="002A677E" w14:paraId="1D70BDB1" w14:textId="77777777" w:rsidTr="00822842">
        <w:trPr>
          <w:trHeight w:val="680"/>
        </w:trPr>
        <w:tc>
          <w:tcPr>
            <w:tcW w:w="1384" w:type="dxa"/>
          </w:tcPr>
          <w:p w14:paraId="4B42749A" w14:textId="77777777" w:rsidR="00EF74C7" w:rsidRPr="002A677E" w:rsidRDefault="00EF74C7" w:rsidP="00822842">
            <w:pPr>
              <w:pStyle w:val="Applicationdirecte"/>
              <w:spacing w:before="0" w:after="0"/>
            </w:pPr>
            <w:r>
              <w:t xml:space="preserve">0100</w:t>
            </w:r>
          </w:p>
        </w:tc>
        <w:tc>
          <w:tcPr>
            <w:tcW w:w="7655" w:type="dxa"/>
            <w:vAlign w:val="center"/>
          </w:tcPr>
          <w:p w14:paraId="4F8024BE"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GENANSKAFFELSESOMKOSTNINGER (RC)</w:t>
            </w:r>
            <w:r>
              <w:rPr>
                <w:rStyle w:val="InstructionsTabelleberschrift"/>
                <w:sz w:val="24"/>
                <w:rFonts w:ascii="Times New Roman" w:hAnsi="Times New Roman"/>
              </w:rPr>
              <w:t xml:space="preserve"> </w:t>
            </w:r>
          </w:p>
          <w:p w14:paraId="020E5CFA"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Artikel 275, 281 og artikel 282 i forordning (EU) nr. 575/2013</w:t>
            </w:r>
          </w:p>
          <w:p w14:paraId="7C118F06" w14:textId="77777777" w:rsidR="00EF74C7" w:rsidRPr="002A677E" w:rsidRDefault="00EF74C7" w:rsidP="00822842">
            <w:pPr>
              <w:pStyle w:val="TableMainHeading"/>
              <w:spacing w:before="0" w:after="0"/>
              <w:jc w:val="both"/>
              <w:rPr>
                <w:sz w:val="24"/>
                <w:szCs w:val="24"/>
                <w:rFonts w:ascii="Times New Roman" w:hAnsi="Times New Roman"/>
              </w:rPr>
            </w:pPr>
            <w:r>
              <w:rPr>
                <w:sz w:val="24"/>
                <w:rFonts w:ascii="Times New Roman" w:hAnsi="Times New Roman"/>
              </w:rPr>
              <w:t xml:space="preserve">Genanskaffelsesomkostninger (RC) pr. nettinggruppe beregnes i overensstemmelse med:</w:t>
            </w:r>
            <w:r>
              <w:rPr>
                <w:sz w:val="24"/>
                <w:rFonts w:ascii="Times New Roman" w:hAnsi="Times New Roman"/>
              </w:rPr>
              <w:t xml:space="preserve"> </w:t>
            </w:r>
          </w:p>
          <w:p w14:paraId="48A8DFD4"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 artikel 282, stk. 3, i forordning (EU) nr. 575/2013 for den oprindelige eksponeringsmetode</w:t>
            </w:r>
            <w:r>
              <w:rPr>
                <w:sz w:val="24"/>
                <w:rFonts w:ascii="Times New Roman" w:hAnsi="Times New Roman"/>
              </w:rPr>
              <w:t xml:space="preserve"> </w:t>
            </w:r>
          </w:p>
          <w:p w14:paraId="119FA22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 artikel 281 i forordning (EU) nr. 575/2013 for den forenklede SA-CCR</w:t>
            </w:r>
          </w:p>
          <w:p w14:paraId="341C9FB7"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 artikel 275 i forordning (EU) nr. 575/2013 for SA-CCR.</w:t>
            </w:r>
          </w:p>
          <w:p w14:paraId="4927F863"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Instituttet indberetter summen af genanskaffelsesomkostningerne for nettinggrupperne i den pågældende række.</w:t>
            </w:r>
          </w:p>
        </w:tc>
      </w:tr>
      <w:tr w:rsidR="00EF74C7" w:rsidRPr="002A677E" w14:paraId="6A436014" w14:textId="77777777" w:rsidTr="00822842">
        <w:trPr>
          <w:trHeight w:val="680"/>
        </w:trPr>
        <w:tc>
          <w:tcPr>
            <w:tcW w:w="1384" w:type="dxa"/>
          </w:tcPr>
          <w:p w14:paraId="0929ECF8" w14:textId="77777777" w:rsidR="00EF74C7" w:rsidRPr="002A677E" w:rsidRDefault="00EF74C7" w:rsidP="00822842">
            <w:pPr>
              <w:pStyle w:val="Applicationdirecte"/>
              <w:spacing w:before="0" w:after="0"/>
            </w:pPr>
            <w:r>
              <w:t xml:space="preserve">0110</w:t>
            </w:r>
          </w:p>
        </w:tc>
        <w:tc>
          <w:tcPr>
            <w:tcW w:w="7655" w:type="dxa"/>
            <w:vAlign w:val="center"/>
          </w:tcPr>
          <w:p w14:paraId="2874AC61"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DEN POTENTIELLE FREMTIDIGE EKSPONERING (PFE)</w:t>
            </w:r>
          </w:p>
          <w:p w14:paraId="1F05C741"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Artikel 278, 281 og artikel 282 i forordning (EU) nr. 575/2013</w:t>
            </w:r>
          </w:p>
          <w:p w14:paraId="3BB9BD10"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Den potentielle fremtidige eksponering (PFE) pr. nettinggruppe beregnes i overensstemmelse med:</w:t>
            </w:r>
            <w:r>
              <w:rPr>
                <w:sz w:val="24"/>
                <w:rFonts w:ascii="Times New Roman" w:hAnsi="Times New Roman"/>
              </w:rPr>
              <w:t xml:space="preserve"> </w:t>
            </w:r>
          </w:p>
          <w:p w14:paraId="5F96EE5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 artikel 282, stk. 4, i forordning (EU) nr. 575/2013 for den oprindelige eksponeringsmetode</w:t>
            </w:r>
            <w:r>
              <w:rPr>
                <w:sz w:val="24"/>
                <w:rFonts w:ascii="Times New Roman" w:hAnsi="Times New Roman"/>
              </w:rPr>
              <w:t xml:space="preserve"> </w:t>
            </w:r>
          </w:p>
          <w:p w14:paraId="3C429683"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 artikel 281 i forordning (EU) nr. 575/2013 for den forenklede SA-CCR</w:t>
            </w:r>
          </w:p>
          <w:p w14:paraId="6194F2AF"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 artikel 278 i forordning (EU) nr. 575/2013 for SA-CCR.</w:t>
            </w:r>
          </w:p>
          <w:p w14:paraId="2A2F0E46"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Instituttet indberetter summen af den potentielle fremtidige eksponering for nettinggrupperne i den pågældende række.</w:t>
            </w:r>
          </w:p>
        </w:tc>
      </w:tr>
      <w:tr w:rsidR="00EF74C7" w:rsidRPr="002A677E" w14:paraId="77C5A8CC" w14:textId="77777777" w:rsidTr="00822842">
        <w:trPr>
          <w:trHeight w:val="680"/>
        </w:trPr>
        <w:tc>
          <w:tcPr>
            <w:tcW w:w="1384" w:type="dxa"/>
          </w:tcPr>
          <w:p w14:paraId="35C9D880" w14:textId="77777777" w:rsidR="00EF74C7" w:rsidRPr="002A677E" w:rsidRDefault="00EF74C7" w:rsidP="00822842">
            <w:pPr>
              <w:pStyle w:val="Applicationdirecte"/>
              <w:spacing w:before="0" w:after="0"/>
            </w:pPr>
            <w:r>
              <w:t xml:space="preserve">0120</w:t>
            </w:r>
          </w:p>
        </w:tc>
        <w:tc>
          <w:tcPr>
            <w:tcW w:w="7655" w:type="dxa"/>
            <w:vAlign w:val="center"/>
          </w:tcPr>
          <w:p w14:paraId="1B837C4C"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NUVÆRENDE EKSPONERING</w:t>
            </w:r>
          </w:p>
          <w:p w14:paraId="1E442243"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Artikel 272, nr. 17), i forordning (EU) nr. 575/2013</w:t>
            </w:r>
            <w:r>
              <w:rPr>
                <w:sz w:val="24"/>
                <w:rFonts w:ascii="Times New Roman" w:hAnsi="Times New Roman"/>
              </w:rPr>
              <w:t xml:space="preserve"> </w:t>
            </w:r>
          </w:p>
          <w:p w14:paraId="36E33616"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Den nuværende eksponering pr. nettinggruppe er den værdi, som er defineret i artikel 272, nr. 17), i forordning (EU) nr. 575/2013.</w:t>
            </w:r>
          </w:p>
          <w:p w14:paraId="459ECA5A"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Instituttet indberetter summen af alle nuværende eksponeringer for nettinggrupperne i den pågældende række.</w:t>
            </w:r>
          </w:p>
        </w:tc>
      </w:tr>
      <w:tr w:rsidR="00EF74C7" w:rsidRPr="002A677E" w14:paraId="1B8ACD23" w14:textId="77777777" w:rsidTr="00822842">
        <w:trPr>
          <w:trHeight w:val="680"/>
        </w:trPr>
        <w:tc>
          <w:tcPr>
            <w:tcW w:w="1384" w:type="dxa"/>
          </w:tcPr>
          <w:p w14:paraId="74E98C99" w14:textId="77777777" w:rsidR="00EF74C7" w:rsidRPr="002A677E" w:rsidRDefault="00EF74C7" w:rsidP="00822842">
            <w:pPr>
              <w:pStyle w:val="Applicationdirecte"/>
              <w:spacing w:before="0" w:after="0"/>
            </w:pPr>
            <w:r>
              <w:t xml:space="preserve">0130</w:t>
            </w:r>
          </w:p>
        </w:tc>
        <w:tc>
          <w:tcPr>
            <w:tcW w:w="7655" w:type="dxa"/>
            <w:vAlign w:val="center"/>
          </w:tcPr>
          <w:p w14:paraId="3EC3B867"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FAKTISK FORVENTET POSITIV EKSPONERING (DEN FAKTISKE EPE)</w:t>
            </w:r>
          </w:p>
          <w:p w14:paraId="758613C4"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Artikel 272, nr. 22), artikel 284, stk. 3, og artikel 284, stk. 6, i forordning (EU) nr. 575/2013</w:t>
            </w:r>
          </w:p>
          <w:p w14:paraId="33B149EE" w14:textId="77777777" w:rsidR="00EF74C7" w:rsidRPr="002A677E" w:rsidRDefault="00EF74C7" w:rsidP="00822842">
            <w:pPr>
              <w:pStyle w:val="Default"/>
              <w:spacing w:after="120"/>
              <w:jc w:val="both"/>
              <w:rPr>
                <w:color w:val="auto"/>
                <w:rFonts w:ascii="Times New Roman" w:hAnsi="Times New Roman" w:cs="Times New Roman"/>
              </w:rPr>
            </w:pPr>
            <w:r>
              <w:rPr>
                <w:color w:val="auto"/>
                <w:rFonts w:ascii="Times New Roman" w:hAnsi="Times New Roman"/>
              </w:rPr>
              <w:t xml:space="preserve">Den faktiske EPE pr. nettinggruppe er defineret i artikel 272, nr. 22), i forordning (EU) nr. 575/2013 og beregnes i overensstemmelse med artikel 284, stk. 6, i forordning (EU) nr. 575/2013.</w:t>
            </w:r>
          </w:p>
          <w:p w14:paraId="336DEF87"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Instituttet skal indberette summen af alle faktiske EPE'er, der er anvendt til at bestemme kapitalgrundlagskravet i overensstemmelse med artikel 284, stk. 3, i forordning (EU) nr. 575/2013, dvs. enten den faktiske EPE beregnet ved hjælp af aktuelle markedsdata, eller den faktiske EPE beregnet ved anvendelse af en stresskalibrering, alt efter hvad der fører til et højere kapitalgrundlagskrav.</w:t>
            </w:r>
          </w:p>
        </w:tc>
      </w:tr>
      <w:tr w:rsidR="00EF74C7" w:rsidRPr="002A677E" w14:paraId="663F4BA2" w14:textId="77777777" w:rsidTr="00822842">
        <w:trPr>
          <w:trHeight w:val="680"/>
        </w:trPr>
        <w:tc>
          <w:tcPr>
            <w:tcW w:w="1384" w:type="dxa"/>
          </w:tcPr>
          <w:p w14:paraId="36EC68F2" w14:textId="77777777" w:rsidR="00EF74C7" w:rsidRPr="002A677E" w:rsidRDefault="00EF74C7" w:rsidP="00822842">
            <w:pPr>
              <w:pStyle w:val="Applicationdirecte"/>
              <w:spacing w:before="0" w:after="0"/>
            </w:pPr>
            <w:r>
              <w:t xml:space="preserve">0140</w:t>
            </w:r>
          </w:p>
        </w:tc>
        <w:tc>
          <w:tcPr>
            <w:tcW w:w="7655" w:type="dxa"/>
            <w:vAlign w:val="center"/>
          </w:tcPr>
          <w:p w14:paraId="2682CC5B"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ALFA ANVENDT TIL BEREGNING AF EN REGULERINGSMÆSSIG EKSPONERINGSVÆRDI</w:t>
            </w:r>
            <w:r>
              <w:rPr>
                <w:rStyle w:val="InstructionsTabelleberschrift"/>
                <w:sz w:val="24"/>
                <w:rFonts w:ascii="Times New Roman" w:hAnsi="Times New Roman"/>
              </w:rPr>
              <w:t xml:space="preserve"> </w:t>
            </w:r>
          </w:p>
          <w:p w14:paraId="02E67AA1"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Artikel 274, stk. 2, artikel 282, stk. 2, artikel 281, stk. 1, artikel 284, stk. 4 og 9, i forordning (EU) nr. 575/2013</w:t>
            </w:r>
          </w:p>
          <w:p w14:paraId="5EFB3579" w14:textId="77777777" w:rsidR="00EF74C7" w:rsidRPr="002A677E" w:rsidRDefault="00EF74C7" w:rsidP="00822842">
            <w:pPr>
              <w:spacing w:before="60"/>
              <w:rPr>
                <w:i/>
                <w:sz w:val="24"/>
                <w:rFonts w:ascii="Times New Roman" w:eastAsia="Calibri" w:hAnsi="Times New Roman"/>
              </w:rPr>
            </w:pPr>
            <w:r>
              <w:rPr>
                <w:sz w:val="24"/>
                <w:rFonts w:ascii="Times New Roman" w:hAnsi="Times New Roman"/>
              </w:rPr>
              <w:t xml:space="preserve">Værdien α er fastsat til 1,4 i rækkerne for OEM, den forenklede SA-CCR og SA-CCR, jf. artikel 282, stk. 2, artikel 281, stk. 1, og artikel 274, stk. 2, i forordning (EU) nr. 575/2013.</w:t>
            </w:r>
            <w:r>
              <w:rPr>
                <w:sz w:val="24"/>
                <w:rFonts w:ascii="Times New Roman" w:hAnsi="Times New Roman"/>
              </w:rPr>
              <w:t xml:space="preserve"> </w:t>
            </w:r>
            <w:r>
              <w:rPr>
                <w:sz w:val="24"/>
                <w:rFonts w:ascii="Times New Roman" w:hAnsi="Times New Roman"/>
              </w:rPr>
              <w:t xml:space="preserve">Med henblik på metoden med interne modeller kan værdien af α enten være standarden på 1,4 eller en anden værdi, hvis de kompetente myndigheder kræver en højere α i overensstemmelse med artikel 284, stk. 4, i forordning (EU) nr. 575/2013, eller tillader institutterne at anvende deres egne estimater i overensstemmelse med artikel 284, stk. 9, i nævnte forordning.</w:t>
            </w:r>
          </w:p>
        </w:tc>
      </w:tr>
      <w:tr w:rsidR="00EF74C7" w:rsidRPr="002A677E" w14:paraId="04AA2156" w14:textId="77777777" w:rsidTr="00822842">
        <w:trPr>
          <w:trHeight w:val="680"/>
        </w:trPr>
        <w:tc>
          <w:tcPr>
            <w:tcW w:w="1384" w:type="dxa"/>
          </w:tcPr>
          <w:p w14:paraId="25456D2E" w14:textId="77777777" w:rsidR="00EF74C7" w:rsidRPr="002A677E" w:rsidRDefault="00EF74C7" w:rsidP="00822842">
            <w:pPr>
              <w:pStyle w:val="Applicationdirecte"/>
              <w:spacing w:before="0" w:after="0"/>
            </w:pPr>
            <w:r>
              <w:t xml:space="preserve">0150</w:t>
            </w:r>
          </w:p>
        </w:tc>
        <w:tc>
          <w:tcPr>
            <w:tcW w:w="7655" w:type="dxa"/>
          </w:tcPr>
          <w:p w14:paraId="737A43B1"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EKSPONERINGSVÆRDI INDEN ANVENDELSE AF KREDITRISIKOREDUKTIONSTEKNIKKER</w:t>
            </w:r>
            <w:r>
              <w:rPr>
                <w:rStyle w:val="InstructionsTabelleberschrift"/>
                <w:sz w:val="24"/>
                <w:rFonts w:ascii="Times New Roman" w:hAnsi="Times New Roman"/>
              </w:rPr>
              <w:t xml:space="preserve"> </w:t>
            </w:r>
          </w:p>
          <w:p w14:paraId="3483D02B"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Eksponeringsværdien inden anvendelse af kreditrisikoreduktionsteknikker for CCR-nettinggrupper beregnes i overensstemmelse med de metoder, der er fastsat i tredje del, afsnit II, kapitel 4 og 6, i forordning (EU) nr. 575/2013, idet der tages hensyn til virkningen af netting, men ses bort fra andre kreditrisikoreduktionsteknikker (f.eks. margensikkerhed).</w:t>
            </w:r>
            <w:r>
              <w:rPr>
                <w:sz w:val="24"/>
                <w:rFonts w:ascii="Times New Roman" w:hAnsi="Times New Roman"/>
              </w:rPr>
              <w:t xml:space="preserve"> </w:t>
            </w:r>
          </w:p>
          <w:p w14:paraId="3FD5C6A1"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I tilfælde af værdipapirfinansieringstransaktioner tages sikkerhedsdelen ikke i betragtning ved fastsættelsen af eksponeringsværdien inden anvendelse af kreditrisikoreduktionsteknikker, når der modtages sikkerhed, og derfor reduceres eksponeringsværdien ikke.</w:t>
            </w:r>
            <w:r>
              <w:rPr>
                <w:sz w:val="24"/>
                <w:rFonts w:ascii="Times New Roman" w:hAnsi="Times New Roman"/>
              </w:rPr>
              <w:t xml:space="preserve"> </w:t>
            </w:r>
            <w:r>
              <w:rPr>
                <w:sz w:val="24"/>
                <w:rFonts w:ascii="Times New Roman" w:hAnsi="Times New Roman"/>
              </w:rPr>
              <w:t xml:space="preserve">Omvendt skal sikkerhedsdelen af værdipapirfinansieringstransaktionerne tages i betragtning ved bestemmelse af eksponeringsværdien inden anvendelse af kreditrisikoreduktionsteknikker, når der stilles sikkerhed.</w:t>
            </w:r>
            <w:r>
              <w:rPr>
                <w:sz w:val="24"/>
                <w:rFonts w:ascii="Times New Roman" w:hAnsi="Times New Roman"/>
              </w:rPr>
              <w:t xml:space="preserve"> </w:t>
            </w:r>
          </w:p>
          <w:p w14:paraId="0731F37F"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Desuden skal sikrede forretninger behandles som usikrede, dvs. der er ikke nogen virkning af margenberegning.</w:t>
            </w:r>
            <w:r>
              <w:rPr>
                <w:sz w:val="24"/>
                <w:rFonts w:ascii="Times New Roman" w:hAnsi="Times New Roman"/>
              </w:rPr>
              <w:t xml:space="preserve"> </w:t>
            </w:r>
          </w:p>
          <w:p w14:paraId="2256FCEC"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Eksponeringsværdien for transaktioner inden anvendelse af kreditrisikoreduktionsteknikker, hvor der er konstateret en specifik "wrong way"-risiko, skal fastlægges i overensstemmelse med artikel 291 i forordning (EU) nr. 575/2013.</w:t>
            </w:r>
            <w:r>
              <w:rPr>
                <w:sz w:val="24"/>
                <w:rFonts w:ascii="Times New Roman" w:hAnsi="Times New Roman"/>
              </w:rPr>
              <w:t xml:space="preserve"> </w:t>
            </w:r>
          </w:p>
          <w:p w14:paraId="7E319C8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Eksponeringsværdien inden anvendelse af kreditrisikoreduktionsteknikker tager ikke hensyn til det tab, der er lidt i forbindelse med kreditværdijustering, i overensstemmelse med artikel 273, stk. 6, i forordning (EU) nr. 575/2013.</w:t>
            </w:r>
            <w:r>
              <w:rPr>
                <w:sz w:val="24"/>
                <w:rFonts w:ascii="Times New Roman" w:hAnsi="Times New Roman"/>
              </w:rPr>
              <w:t xml:space="preserve"> </w:t>
            </w:r>
          </w:p>
          <w:p w14:paraId="504F1374"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Instituttet indberetter summen af alle eksponeringer inden anvendelse af kreditrisikoreduktionsteknikker i den pågældende række.</w:t>
            </w:r>
          </w:p>
        </w:tc>
      </w:tr>
      <w:tr w:rsidR="00EF74C7" w:rsidRPr="002A677E" w14:paraId="79D7A4AF" w14:textId="77777777" w:rsidTr="00822842">
        <w:trPr>
          <w:trHeight w:val="680"/>
        </w:trPr>
        <w:tc>
          <w:tcPr>
            <w:tcW w:w="1384" w:type="dxa"/>
          </w:tcPr>
          <w:p w14:paraId="0DCD8BB4" w14:textId="77777777" w:rsidR="00EF74C7" w:rsidRPr="002A677E" w:rsidRDefault="00EF74C7" w:rsidP="00822842">
            <w:pPr>
              <w:pStyle w:val="Applicationdirecte"/>
              <w:spacing w:before="0" w:after="0"/>
            </w:pPr>
            <w:r>
              <w:t xml:space="preserve">0160</w:t>
            </w:r>
          </w:p>
        </w:tc>
        <w:tc>
          <w:tcPr>
            <w:tcW w:w="7655" w:type="dxa"/>
          </w:tcPr>
          <w:p w14:paraId="2175395B"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EKSPONERINGSVÆRDI EFTER ANVENDELSE AF KREDITRISIKOREDUKTIONSTEKNIKKER</w:t>
            </w:r>
            <w:r>
              <w:rPr>
                <w:rStyle w:val="InstructionsTabelleberschrift"/>
                <w:sz w:val="24"/>
                <w:rFonts w:ascii="Times New Roman" w:hAnsi="Times New Roman"/>
              </w:rPr>
              <w:t xml:space="preserve"> </w:t>
            </w:r>
          </w:p>
          <w:p w14:paraId="29261E0B"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Eksponeringsværdien efter anvendelse af kreditrisikoreduktionsteknikker for CCR-nettinggrupper beregnes i overensstemmelse med de metoder, der er fastsat i tredje del, afsnit II, kapitel 4 og 6, i forordning (EU) nr. 575/2013, efter at der er anvendt kreditrisikoreduktionsteknikker i overensstemmelse med tredje del, afsnit II, kapitel 4 og 6, i nævnte forordning.</w:t>
            </w:r>
          </w:p>
          <w:p w14:paraId="365B5880"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Eksponeringsværdien for transaktioner efter anvendelse af kreditrisikoreduktionsteknikker, hvor der er konstateret en specifik "wrong way"-risiko, skal fastlægges i overensstemmelse med artikel 291 i forordning (EU) nr. 575/2013.</w:t>
            </w:r>
            <w:r>
              <w:rPr>
                <w:sz w:val="24"/>
                <w:rFonts w:ascii="Times New Roman" w:hAnsi="Times New Roman"/>
              </w:rPr>
              <w:t xml:space="preserve"> </w:t>
            </w:r>
          </w:p>
          <w:p w14:paraId="695EEB6F"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Eksponeringsværdien efter anvendelse af kreditrisikoreduktionsteknikker tager ikke hensyn til det tab, der er lidt i forbindelse med kreditværdijustering, i overensstemmelse med artikel 273, stk. 6, i forordning (EU) nr. 575/2013.</w:t>
            </w:r>
          </w:p>
          <w:p w14:paraId="797ADF5B"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Instituttet indberetter summen af alle eksponeringer efter anvendelse af kreditrisikoreduktionsteknikker i den pågældende række.</w:t>
            </w:r>
          </w:p>
        </w:tc>
      </w:tr>
      <w:tr w:rsidR="00EF74C7" w:rsidRPr="002A677E" w14:paraId="45FF5B7E" w14:textId="77777777" w:rsidTr="00822842">
        <w:trPr>
          <w:trHeight w:val="680"/>
        </w:trPr>
        <w:tc>
          <w:tcPr>
            <w:tcW w:w="1384" w:type="dxa"/>
          </w:tcPr>
          <w:p w14:paraId="60D5CCE0" w14:textId="77777777" w:rsidR="00EF74C7" w:rsidRPr="002A677E" w:rsidRDefault="00EF74C7" w:rsidP="00822842">
            <w:pPr>
              <w:pStyle w:val="Applicationdirecte"/>
              <w:spacing w:before="0" w:after="0"/>
            </w:pPr>
            <w:r>
              <w:t xml:space="preserve">0170</w:t>
            </w:r>
          </w:p>
        </w:tc>
        <w:tc>
          <w:tcPr>
            <w:tcW w:w="7655" w:type="dxa"/>
            <w:vAlign w:val="center"/>
          </w:tcPr>
          <w:p w14:paraId="05219E98"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EKSPONERINGSVÆRDI</w:t>
            </w:r>
          </w:p>
          <w:p w14:paraId="75CDF24D"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Eksponeringsværdien for CCR-nettinggrupper beregnet i overensstemmelse med de metoder, der er fastsat i tredje del, afsnit II, kapitel 4 og 6, i forordning (EU) nr. 575/2013, som er det relevante beløb til beregning af risikovægtede eksponeringer, dvs. efter anvendelse af kreditrisikoreduktionsteknikker, der gælder i henhold til tredje del, afsnit II, kapitel 4 og 6, i forordning (EU) nr. 575/2013, og under hensyntagen til fradraget af det tab, der er lidt i forbindelse med kreditværdijustering, som omhandlet i artikel 273, stk. 6, i forordning (EU) nr. 575/2013.</w:t>
            </w:r>
            <w:r>
              <w:rPr>
                <w:sz w:val="24"/>
                <w:rFonts w:ascii="Times New Roman" w:hAnsi="Times New Roman"/>
              </w:rPr>
              <w:t xml:space="preserve"> </w:t>
            </w:r>
          </w:p>
          <w:p w14:paraId="78D55FF1" w14:textId="77777777" w:rsidR="00EF74C7" w:rsidRPr="002A677E" w:rsidRDefault="00EF74C7" w:rsidP="00822842">
            <w:pPr>
              <w:rPr>
                <w:sz w:val="24"/>
                <w:rFonts w:ascii="Times New Roman" w:hAnsi="Times New Roman"/>
              </w:rPr>
            </w:pPr>
            <w:r>
              <w:rPr>
                <w:sz w:val="24"/>
                <w:rFonts w:ascii="Times New Roman" w:hAnsi="Times New Roman"/>
              </w:rPr>
              <w:t xml:space="preserve">Eksponeringsværdien for transaktioner, hvor der er konstateret en specifik "wrong way"-risiko, skal fastlægges i overensstemmelse med artikel 291 i forordning (EU) nr. 575/2013.</w:t>
            </w:r>
          </w:p>
          <w:p w14:paraId="2CCE9704"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I tilfælde, hvor der for en enkelt modpart anvendes mere end én modpartsrisikometode, henføres det tab, der er lidt i forbindelse med kreditværdijustering, som fratrækkes på modpartsniveau, til eksponeringsværdien for de forskellige nettinggrupper, hvilket afspejler andelen af eksponeringsværdien efter anvendelse af kreditrisikoreduktionsteknikker for de forskellige nettinggrupper i forhold til den samlede eksponeringsværdi for modparten efter anvendelse af kreditrisikoreduktionsteknikker.</w:t>
            </w:r>
          </w:p>
          <w:p w14:paraId="0C842EAD" w14:textId="77777777" w:rsidR="00EF74C7" w:rsidRPr="002A677E" w:rsidRDefault="00EF74C7" w:rsidP="00822842">
            <w:r>
              <w:rPr>
                <w:sz w:val="24"/>
                <w:rFonts w:ascii="Times New Roman" w:hAnsi="Times New Roman"/>
              </w:rPr>
              <w:t xml:space="preserve">Instituttet indberetter summen af alle eksponeringer i den pågældende række.</w:t>
            </w:r>
          </w:p>
        </w:tc>
      </w:tr>
      <w:tr w:rsidR="00EF74C7" w:rsidRPr="002A677E" w14:paraId="06C4F9AA" w14:textId="77777777" w:rsidTr="00822842">
        <w:trPr>
          <w:trHeight w:val="680"/>
        </w:trPr>
        <w:tc>
          <w:tcPr>
            <w:tcW w:w="1384" w:type="dxa"/>
          </w:tcPr>
          <w:p w14:paraId="7065D6E6" w14:textId="77777777" w:rsidR="00EF74C7" w:rsidRPr="002A677E" w:rsidRDefault="00EF74C7" w:rsidP="00822842">
            <w:pPr>
              <w:pStyle w:val="Applicationdirecte"/>
              <w:spacing w:before="0" w:after="0"/>
            </w:pPr>
            <w:r>
              <w:t xml:space="preserve">0180</w:t>
            </w:r>
          </w:p>
        </w:tc>
        <w:tc>
          <w:tcPr>
            <w:tcW w:w="7655" w:type="dxa"/>
          </w:tcPr>
          <w:p w14:paraId="0DF22580"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Positioner, der er behandlet med CR-standardmetoden</w:t>
            </w:r>
          </w:p>
          <w:p w14:paraId="1D95615D"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Eksponeringsværdien for CCR for positioner, der behandles med standardmetoden for kreditrisiko i overensstemmelse med tredje del, afsnit II, kapitel 2, i forordning (EU) nr. 575/2013.</w:t>
            </w:r>
          </w:p>
        </w:tc>
      </w:tr>
      <w:tr w:rsidR="00EF74C7" w:rsidRPr="002A677E" w14:paraId="16278C7D" w14:textId="77777777" w:rsidTr="00822842">
        <w:trPr>
          <w:trHeight w:val="557"/>
        </w:trPr>
        <w:tc>
          <w:tcPr>
            <w:tcW w:w="1384" w:type="dxa"/>
          </w:tcPr>
          <w:p w14:paraId="4DAAB02B" w14:textId="77777777" w:rsidR="00EF74C7" w:rsidRPr="002A677E" w:rsidRDefault="00EF74C7" w:rsidP="00822842">
            <w:pPr>
              <w:pStyle w:val="Applicationdirecte"/>
              <w:spacing w:before="0" w:after="0"/>
            </w:pPr>
            <w:r>
              <w:t xml:space="preserve">0190</w:t>
            </w:r>
          </w:p>
        </w:tc>
        <w:tc>
          <w:tcPr>
            <w:tcW w:w="7655" w:type="dxa"/>
          </w:tcPr>
          <w:p w14:paraId="2835516A"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Positioner, der er behandlet med CR IRB-metoden</w:t>
            </w:r>
          </w:p>
          <w:p w14:paraId="208129A6" w14:textId="77777777" w:rsidR="00EF74C7" w:rsidRPr="002A677E" w:rsidRDefault="00EF74C7" w:rsidP="00822842">
            <w:pPr>
              <w:rPr>
                <w:sz w:val="24"/>
                <w:rFonts w:ascii="Times New Roman" w:hAnsi="Times New Roman"/>
              </w:rPr>
            </w:pPr>
            <w:r>
              <w:rPr>
                <w:sz w:val="24"/>
                <w:rFonts w:ascii="Times New Roman" w:hAnsi="Times New Roman"/>
              </w:rPr>
              <w:t xml:space="preserve">Eksponeringsværdien for CCR for positioner, der behandles med IRB-metoden for kreditrisiko i overensstemmelse med tredje del, afsnit II, kapitel 3, i forordning (EU) nr. 575/2013.</w:t>
            </w:r>
            <w:r>
              <w:rPr>
                <w:sz w:val="24"/>
                <w:rFonts w:ascii="Times New Roman" w:hAnsi="Times New Roman"/>
              </w:rPr>
              <w:t xml:space="preserve"> </w:t>
            </w:r>
          </w:p>
        </w:tc>
      </w:tr>
      <w:tr w:rsidR="00EF74C7" w:rsidRPr="002A677E" w14:paraId="1D9862B5" w14:textId="77777777" w:rsidTr="00822842">
        <w:trPr>
          <w:trHeight w:val="680"/>
        </w:trPr>
        <w:tc>
          <w:tcPr>
            <w:tcW w:w="1384" w:type="dxa"/>
          </w:tcPr>
          <w:p w14:paraId="06456052" w14:textId="77777777" w:rsidR="00EF74C7" w:rsidRPr="002A677E" w:rsidRDefault="00EF74C7" w:rsidP="00822842">
            <w:pPr>
              <w:pStyle w:val="Applicationdirecte"/>
              <w:spacing w:before="0" w:after="0"/>
            </w:pPr>
            <w:r>
              <w:t xml:space="preserve">0200</w:t>
            </w:r>
          </w:p>
        </w:tc>
        <w:tc>
          <w:tcPr>
            <w:tcW w:w="7655" w:type="dxa"/>
          </w:tcPr>
          <w:p w14:paraId="2E8CD327"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RISIKOVÆGTEDE EKSPONERINGER</w:t>
            </w:r>
          </w:p>
          <w:p w14:paraId="6B8D3CD5" w14:textId="6159F38D"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Risikovægtede eksponeringer som defineret i artikel 92, stk. 3, i forordning (EU) nr. 575/2013 beregnet i overensstemmelse med de metoder, der er fastsat i tredje del, afsnit II, kapitel 2 og 3.</w:t>
            </w:r>
          </w:p>
          <w:p w14:paraId="2463A407" w14:textId="77777777" w:rsidR="00EF74C7" w:rsidRPr="002A677E" w:rsidRDefault="00EF74C7" w:rsidP="00822842">
            <w:pPr>
              <w:rPr>
                <w:sz w:val="24"/>
                <w:rFonts w:ascii="Times New Roman" w:hAnsi="Times New Roman"/>
              </w:rPr>
            </w:pPr>
            <w:r>
              <w:rPr>
                <w:sz w:val="24"/>
                <w:rFonts w:ascii="Times New Roman" w:hAnsi="Times New Roman"/>
              </w:rPr>
              <w:t xml:space="preserve">Støttefaktorerne for SMV'er og infrastruktur, som fastlagt i artikel 501 og 501a i forordning (EU) nr. 575/2013, indregnes.</w:t>
            </w:r>
            <w:r>
              <w:rPr>
                <w:sz w:val="24"/>
                <w:rFonts w:ascii="Times New Roman" w:hAnsi="Times New Roman"/>
              </w:rPr>
              <w:t xml:space="preserve"> </w:t>
            </w:r>
          </w:p>
        </w:tc>
      </w:tr>
      <w:tr w:rsidR="00EF74C7" w:rsidRPr="002A677E" w14:paraId="5E0D0D2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0F7C23" w14:textId="77777777" w:rsidR="00EF74C7" w:rsidRPr="002A677E" w:rsidRDefault="00EF74C7" w:rsidP="00822842">
            <w:pPr>
              <w:pStyle w:val="Applicationdirecte"/>
              <w:spacing w:before="0"/>
              <w:jc w:val="left"/>
            </w:pPr>
            <w:r>
              <w:t xml:space="preserve">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F1A485F"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Positioner, der er behandlet med CR-standardmetoden</w:t>
            </w:r>
          </w:p>
          <w:p w14:paraId="6E572F83"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Risikovægtede eksponeringer for modpartsrisikoeksponeringer, der behandles med standardmetoden for kreditrisiko i overensstemmelse med tredje del, afsnit II, kapitel 2, i forordning (EU) nr. 575/2013.</w:t>
            </w:r>
            <w:r>
              <w:rPr>
                <w:sz w:val="24"/>
                <w:rFonts w:ascii="Times New Roman" w:hAnsi="Times New Roman"/>
              </w:rPr>
              <w:t xml:space="preserve"> </w:t>
            </w:r>
          </w:p>
          <w:p w14:paraId="21C6ADFA" w14:textId="77777777" w:rsidR="00EF74C7" w:rsidRPr="002A677E" w:rsidRDefault="00EF74C7" w:rsidP="00822842">
            <w:pPr>
              <w:rPr>
                <w:sz w:val="24"/>
                <w:rFonts w:ascii="Times New Roman" w:hAnsi="Times New Roman"/>
              </w:rPr>
            </w:pPr>
            <w:r>
              <w:rPr>
                <w:sz w:val="24"/>
                <w:rFonts w:ascii="Times New Roman" w:hAnsi="Times New Roman"/>
              </w:rPr>
              <w:t xml:space="preserve">Beløbet svarer til det beløb, der skal medtages i kolonne 0220 i skema C 07.00 for modpartsrisikopositioner.</w:t>
            </w:r>
          </w:p>
        </w:tc>
      </w:tr>
      <w:tr w:rsidR="00EF74C7" w:rsidRPr="002A677E" w14:paraId="5C365203"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BFBB36" w14:textId="77777777" w:rsidR="00EF74C7" w:rsidRPr="002A677E" w:rsidRDefault="00EF74C7" w:rsidP="00822842">
            <w:pPr>
              <w:pStyle w:val="Applicationdirecte"/>
              <w:spacing w:before="0"/>
              <w:jc w:val="left"/>
            </w:pPr>
            <w:r>
              <w:t xml:space="preserve">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77DD91E"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Positioner, der er behandlet med CR IRB-metoden</w:t>
            </w:r>
          </w:p>
          <w:p w14:paraId="51FF06D9" w14:textId="77777777" w:rsidR="00EF74C7" w:rsidRPr="002A677E" w:rsidRDefault="00EF74C7" w:rsidP="00822842">
            <w:pPr>
              <w:pStyle w:val="TableMainHeading"/>
              <w:spacing w:before="60"/>
              <w:jc w:val="both"/>
              <w:rPr>
                <w:sz w:val="24"/>
                <w:rFonts w:ascii="Times New Roman" w:hAnsi="Times New Roman"/>
              </w:rPr>
            </w:pPr>
            <w:r>
              <w:rPr>
                <w:sz w:val="24"/>
                <w:rFonts w:ascii="Times New Roman" w:hAnsi="Times New Roman"/>
              </w:rPr>
              <w:t xml:space="preserve">Risikovægtede eksponeringer for modpartsrisikoeksponeringer, der behandles med IRB-metoden for kreditrisiko i overensstemmelse med tredje del, afsnit II, kapitel 3, i forordning (EU) nr. 575/2013.</w:t>
            </w:r>
          </w:p>
          <w:p w14:paraId="3FB6A074" w14:textId="77777777" w:rsidR="00EF74C7" w:rsidRPr="002A677E" w:rsidRDefault="00EF74C7" w:rsidP="00822842">
            <w:pPr>
              <w:rPr>
                <w:sz w:val="24"/>
                <w:rFonts w:ascii="Times New Roman" w:hAnsi="Times New Roman"/>
              </w:rPr>
            </w:pPr>
            <w:r>
              <w:rPr>
                <w:sz w:val="24"/>
                <w:rFonts w:ascii="Times New Roman" w:hAnsi="Times New Roman"/>
              </w:rPr>
              <w:t xml:space="preserve">Beløbet svarer til det beløb, der skal medtages i kolonne 0260 i skema C 08.01 for modpartsrisikopositioner.</w:t>
            </w:r>
          </w:p>
        </w:tc>
      </w:tr>
      <w:tr w:rsidR="00EF74C7" w:rsidRPr="002A677E" w14:paraId="5B077F8A"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F52F0F" w14:textId="77777777" w:rsidR="00EF74C7" w:rsidRPr="002A677E" w:rsidRDefault="00EF74C7" w:rsidP="00822842">
            <w:pPr>
              <w:pStyle w:val="Applicationdirecte"/>
              <w:spacing w:before="0"/>
              <w:jc w:val="left"/>
            </w:pPr>
            <w:r>
              <w:t xml:space="preserve">0230-0250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B1B107E" w14:textId="77777777" w:rsidR="00EF74C7"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OUTPUTGULV</w:t>
            </w:r>
          </w:p>
          <w:p w14:paraId="78547488" w14:textId="2021F309"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sz w:val="24"/>
                <w:rFonts w:ascii="Times New Roman" w:hAnsi="Times New Roman"/>
              </w:rPr>
              <w:t xml:space="preserve">For institutter, der er omfattet af outputgulvet, jf. artikel 92, stk. 3, i forordning (EU) nr. 575/2013.</w:t>
            </w:r>
          </w:p>
        </w:tc>
      </w:tr>
      <w:tr w:rsidR="00EF74C7" w:rsidRPr="002A677E" w14:paraId="3A5FB9BE"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B4ADF8" w14:textId="77777777" w:rsidR="00EF74C7" w:rsidRPr="002A677E" w:rsidRDefault="00EF74C7" w:rsidP="00822842">
            <w:pPr>
              <w:pStyle w:val="Applicationdirecte"/>
              <w:spacing w:before="0"/>
              <w:jc w:val="left"/>
            </w:pPr>
            <w:r>
              <w:t xml:space="preserve">0230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382DEF5" w14:textId="77777777" w:rsidR="00EF74C7" w:rsidRDefault="00EF74C7" w:rsidP="00822842">
            <w:pPr>
              <w:rPr>
                <w:rStyle w:val="InstructionsTabelleberschrift"/>
                <w:sz w:val="24"/>
                <w:rFonts w:ascii="Times New Roman" w:eastAsiaTheme="minorEastAsia" w:hAnsi="Times New Roman"/>
              </w:rPr>
            </w:pPr>
            <w:r>
              <w:rPr>
                <w:rStyle w:val="InstructionsTabelleberschrift"/>
                <w:sz w:val="24"/>
                <w:rFonts w:ascii="Times New Roman" w:hAnsi="Times New Roman"/>
              </w:rPr>
              <w:t xml:space="preserve">EKSPONERINGSVÆRDI TIL BEREGNING AF S-TREA</w:t>
            </w:r>
          </w:p>
          <w:p w14:paraId="076EA294" w14:textId="45BB26AF"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sz w:val="24"/>
                <w:rStyle w:val="InstructionsTabelleberschrift"/>
                <w:rFonts w:ascii="Times New Roman" w:hAnsi="Times New Roman"/>
              </w:rPr>
              <w:t xml:space="preserve">Eksponeringsværdi</w:t>
            </w:r>
            <w:r>
              <w:rPr>
                <w:sz w:val="24"/>
                <w:rFonts w:ascii="Times New Roman" w:hAnsi="Times New Roman"/>
              </w:rPr>
              <w:t xml:space="preserve"> for modpartsrisikoeksponeringer, der indgår i beregningen af den standardiserede samlede risikoeksponering (S-TREA) beregnes i overensstemmelse med artikel 92, stk. 5, i forordning (EU) nr. 575/2013.</w:t>
            </w:r>
          </w:p>
        </w:tc>
      </w:tr>
      <w:tr w:rsidR="00EF74C7" w:rsidRPr="002A677E" w14:paraId="1F014AF0"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5658DC9" w14:textId="77777777" w:rsidR="00EF74C7" w:rsidRPr="002A677E" w:rsidRDefault="00EF74C7" w:rsidP="00822842">
            <w:pPr>
              <w:pStyle w:val="Applicationdirecte"/>
              <w:spacing w:before="0"/>
              <w:jc w:val="left"/>
            </w:pPr>
            <w:r>
              <w:t xml:space="preserve">0240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D10BE" w14:textId="77777777" w:rsidR="00EF74C7"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S-TREA</w:t>
            </w:r>
          </w:p>
          <w:p w14:paraId="3E780FC2" w14:textId="37C7D341"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sz w:val="24"/>
                <w:rFonts w:ascii="Times New Roman" w:hAnsi="Times New Roman"/>
              </w:rPr>
              <w:t xml:space="preserve">Standardiseret samlet risikoeksponering (S-TREA) for modpartsrisikoeksponeringer beregnet i overensstemmelse med artikel 92, stk. 5, i forordning (EU) nr. 575/2013.</w:t>
            </w:r>
          </w:p>
        </w:tc>
      </w:tr>
      <w:tr w:rsidR="00EF74C7" w:rsidRPr="002A677E" w14:paraId="1D87E276"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FA49B47" w14:textId="77777777" w:rsidR="00EF74C7" w:rsidRPr="002A677E" w:rsidRDefault="00EF74C7" w:rsidP="00822842">
            <w:pPr>
              <w:pStyle w:val="Applicationdirecte"/>
              <w:spacing w:before="0"/>
              <w:jc w:val="left"/>
            </w:pPr>
            <w:r>
              <w:t xml:space="preserve">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8E5AE36" w14:textId="77777777" w:rsidR="00EF74C7"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MEMORANDUMPOSTER:</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RISIKOVÆGTEDE EKSPONERINGER (RWEA) KNYTTET TIL VIRKNINGEN AF ANVENDELSEN AF ARTIKEL 465, STK. 4, I FORORDNING (EU) NR. 575/2013</w:t>
            </w:r>
          </w:p>
          <w:p w14:paraId="5E592907" w14:textId="45615761"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sz w:val="24"/>
                <w:rFonts w:ascii="Times New Roman" w:hAnsi="Times New Roman"/>
              </w:rPr>
              <w:t xml:space="preserve">Artikel 465, stk. 4, i forordning (EU) nr. 575/2013.</w:t>
            </w:r>
            <w:r>
              <w:rPr>
                <w:sz w:val="24"/>
                <w:rFonts w:ascii="Times New Roman" w:hAnsi="Times New Roman"/>
              </w:rPr>
              <w:t xml:space="preserve"> </w:t>
            </w:r>
            <w:r>
              <w:rPr>
                <w:sz w:val="24"/>
                <w:rFonts w:ascii="Times New Roman" w:hAnsi="Times New Roman"/>
              </w:rPr>
              <w:t xml:space="preserve">Forskellen mellem RWEA uden anvendelse af overgangsbestemmelserne og RWEA ved anvendelse af overgangsbestemmelserne skal indberettes.</w:t>
            </w:r>
          </w:p>
        </w:tc>
      </w:tr>
      <w:tr w:rsidR="00EF74C7" w:rsidRPr="002A677E" w14:paraId="1B6FFD25" w14:textId="77777777" w:rsidTr="00822842">
        <w:trPr>
          <w:trHeight w:val="680"/>
        </w:trPr>
        <w:tc>
          <w:tcPr>
            <w:tcW w:w="9039" w:type="dxa"/>
            <w:gridSpan w:val="2"/>
            <w:tcBorders>
              <w:top w:val="single" w:sz="4" w:space="0" w:color="auto"/>
              <w:left w:val="nil"/>
              <w:bottom w:val="single" w:sz="4" w:space="0" w:color="auto"/>
              <w:right w:val="nil"/>
            </w:tcBorders>
            <w:shd w:val="clear" w:color="auto" w:fill="auto"/>
          </w:tcPr>
          <w:p w14:paraId="01079872" w14:textId="77777777" w:rsidR="00EF74C7" w:rsidRPr="002A677E" w:rsidRDefault="00EF74C7" w:rsidP="00822842">
            <w:pPr>
              <w:pStyle w:val="TableMainHeading"/>
              <w:spacing w:before="60"/>
              <w:rPr>
                <w:rFonts w:ascii="Times New Roman" w:hAnsi="Times New Roman"/>
                <w:i/>
                <w:sz w:val="24"/>
                <w:szCs w:val="24"/>
              </w:rPr>
            </w:pPr>
          </w:p>
        </w:tc>
      </w:tr>
      <w:tr w:rsidR="00EF74C7" w:rsidRPr="002A677E" w14:paraId="25C8F0DC"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F42F8" w14:textId="77777777" w:rsidR="00EF74C7" w:rsidRPr="002A677E" w:rsidRDefault="00EF74C7" w:rsidP="00822842">
            <w:pPr>
              <w:pStyle w:val="TableMainHeading"/>
              <w:spacing w:before="60"/>
              <w:rPr>
                <w:b/>
                <w:sz w:val="24"/>
                <w:szCs w:val="24"/>
                <w:rFonts w:ascii="Times New Roman" w:hAnsi="Times New Roman"/>
              </w:rPr>
            </w:pPr>
            <w:r>
              <w:rPr>
                <w:b/>
                <w:sz w:val="24"/>
                <w:rFonts w:ascii="Times New Roman" w:hAnsi="Times New Roman"/>
              </w:rPr>
              <w:t xml:space="preserve">Række</w:t>
            </w:r>
            <w:r>
              <w:rPr>
                <w:b/>
                <w:sz w:val="24"/>
                <w:rFonts w:ascii="Times New Roman" w:hAnsi="Times New Roman"/>
              </w:rPr>
              <w:t xml:space="preserve"> </w:t>
            </w:r>
          </w:p>
        </w:tc>
      </w:tr>
      <w:tr w:rsidR="00EF74C7" w:rsidRPr="002A677E" w14:paraId="7053F9E4" w14:textId="77777777" w:rsidTr="00822842">
        <w:trPr>
          <w:trHeight w:val="680"/>
        </w:trPr>
        <w:tc>
          <w:tcPr>
            <w:tcW w:w="1384" w:type="dxa"/>
          </w:tcPr>
          <w:p w14:paraId="28CCF211" w14:textId="77777777" w:rsidR="00EF74C7" w:rsidRPr="002A677E" w:rsidRDefault="00EF74C7" w:rsidP="00822842">
            <w:pPr>
              <w:pStyle w:val="Applicationdirecte"/>
              <w:spacing w:before="0" w:after="0"/>
            </w:pPr>
            <w:r>
              <w:t xml:space="preserve">0010</w:t>
            </w:r>
          </w:p>
        </w:tc>
        <w:tc>
          <w:tcPr>
            <w:tcW w:w="7655" w:type="dxa"/>
          </w:tcPr>
          <w:p w14:paraId="596F329B" w14:textId="77777777" w:rsidR="00EF74C7" w:rsidRPr="002A677E" w:rsidRDefault="00EF74C7" w:rsidP="00822842">
            <w:pPr>
              <w:pStyle w:val="TableMainHeading"/>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DEN OPRINDELIGE EKSPONERINGSMETODE (FOR DERIVATER)</w:t>
            </w:r>
            <w:r>
              <w:rPr>
                <w:rStyle w:val="InstructionsTabelleberschrift"/>
                <w:sz w:val="24"/>
                <w:rFonts w:ascii="Times New Roman" w:hAnsi="Times New Roman"/>
              </w:rPr>
              <w:t xml:space="preserve"> </w:t>
            </w:r>
          </w:p>
          <w:p w14:paraId="19F53DE3" w14:textId="77777777" w:rsidR="00EF74C7" w:rsidRPr="002A677E" w:rsidRDefault="00EF74C7" w:rsidP="00822842">
            <w:pPr>
              <w:pStyle w:val="TableMainHeading"/>
              <w:spacing w:before="60"/>
              <w:rPr>
                <w:i/>
                <w:sz w:val="24"/>
                <w:szCs w:val="24"/>
                <w:rFonts w:ascii="Times New Roman" w:hAnsi="Times New Roman"/>
              </w:rPr>
            </w:pPr>
            <w:r>
              <w:rPr>
                <w:sz w:val="24"/>
                <w:rFonts w:ascii="Times New Roman" w:hAnsi="Times New Roman"/>
              </w:rPr>
              <w:t xml:space="preserve">Derivater og terminsforretninger, for hvilke instituttet beregner eksponeringsværdien i overensstemmelse med tredje del, afsnit II, kapitel 6, afdeling 5, i forordning (EU) nr. 575/2013.</w:t>
            </w:r>
            <w:r>
              <w:rPr>
                <w:sz w:val="24"/>
                <w:rFonts w:ascii="Times New Roman" w:hAnsi="Times New Roman"/>
              </w:rPr>
              <w:t xml:space="preserve"> </w:t>
            </w:r>
            <w:r>
              <w:rPr>
                <w:sz w:val="24"/>
                <w:rFonts w:ascii="Times New Roman" w:hAnsi="Times New Roman"/>
              </w:rPr>
              <w:t xml:space="preserve">Denne forenklede metode til beregning af eksponeringsværdien kan kun anvendes af institutter, der opfylder betingelserne i artikel 273a, stk. 2, eller artikel 273a, stk. 4, i forordning (EU) nr. 575/2013.</w:t>
            </w:r>
          </w:p>
        </w:tc>
      </w:tr>
      <w:tr w:rsidR="00EF74C7" w:rsidRPr="002A677E" w14:paraId="506E7A5E"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0A68428" w14:textId="77777777" w:rsidR="00EF74C7" w:rsidRPr="002A677E" w:rsidRDefault="00EF74C7" w:rsidP="00822842">
            <w:pPr>
              <w:pStyle w:val="Applicationdirecte"/>
              <w:spacing w:before="0" w:after="0"/>
            </w:pPr>
            <w:r>
              <w:t xml:space="preserve">0020</w:t>
            </w:r>
          </w:p>
        </w:tc>
        <w:tc>
          <w:tcPr>
            <w:tcW w:w="7655" w:type="dxa"/>
            <w:tcBorders>
              <w:top w:val="single" w:sz="4" w:space="0" w:color="auto"/>
              <w:left w:val="single" w:sz="4" w:space="0" w:color="auto"/>
              <w:bottom w:val="single" w:sz="4" w:space="0" w:color="auto"/>
              <w:right w:val="single" w:sz="4" w:space="0" w:color="auto"/>
            </w:tcBorders>
          </w:tcPr>
          <w:p w14:paraId="6F28D4C2" w14:textId="77777777" w:rsidR="00EF74C7" w:rsidRPr="002A677E" w:rsidRDefault="00EF74C7" w:rsidP="00822842">
            <w:pPr>
              <w:pStyle w:val="TableMainHeading"/>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FORENKLET STANDARDMETODE FOR MODPARTSRISIKO (FORENKLET SA-CCR FOR DERIVATER)</w:t>
            </w:r>
          </w:p>
          <w:p w14:paraId="0C771BB4"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Derivater og terminsforretninger, for hvilke instituttet beregner eksponeringsværdien i overensstemmelse med tredje del, afsnit II, kapitel 6, afdeling 4, i forordning (EU) nr. 575/2013.</w:t>
            </w:r>
            <w:r>
              <w:rPr>
                <w:sz w:val="24"/>
                <w:rFonts w:ascii="Times New Roman" w:hAnsi="Times New Roman"/>
              </w:rPr>
              <w:t xml:space="preserve"> </w:t>
            </w:r>
            <w:r>
              <w:rPr>
                <w:sz w:val="24"/>
                <w:rFonts w:ascii="Times New Roman" w:hAnsi="Times New Roman"/>
              </w:rPr>
              <w:t xml:space="preserve">Denne forenklede standardmetode til beregning af eksponeringsværdien kan kun anvendes af institutter, der opfylder betingelserne i artikel 273a, stk. 1, eller artikel 273a, stk. 4, i forordning (EU) nr. 575/2013.</w:t>
            </w:r>
            <w:r>
              <w:rPr>
                <w:sz w:val="24"/>
                <w:rFonts w:ascii="Times New Roman" w:hAnsi="Times New Roman"/>
              </w:rPr>
              <w:t xml:space="preserve"> </w:t>
            </w:r>
          </w:p>
        </w:tc>
      </w:tr>
      <w:tr w:rsidR="00EF74C7" w:rsidRPr="002A677E" w14:paraId="748CED8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95947E8" w14:textId="77777777" w:rsidR="00EF74C7" w:rsidRPr="002A677E" w:rsidRDefault="00EF74C7" w:rsidP="00822842">
            <w:pPr>
              <w:pStyle w:val="Applicationdirecte"/>
              <w:spacing w:before="0" w:after="0"/>
            </w:pPr>
            <w:r>
              <w:t xml:space="preserve">0030</w:t>
            </w:r>
          </w:p>
        </w:tc>
        <w:tc>
          <w:tcPr>
            <w:tcW w:w="7655" w:type="dxa"/>
            <w:tcBorders>
              <w:top w:val="single" w:sz="4" w:space="0" w:color="auto"/>
              <w:left w:val="single" w:sz="4" w:space="0" w:color="auto"/>
              <w:bottom w:val="single" w:sz="4" w:space="0" w:color="auto"/>
              <w:right w:val="single" w:sz="4" w:space="0" w:color="auto"/>
            </w:tcBorders>
          </w:tcPr>
          <w:p w14:paraId="31286E5E" w14:textId="77777777" w:rsidR="00EF74C7" w:rsidRPr="002A677E" w:rsidRDefault="00EF74C7" w:rsidP="00822842">
            <w:pPr>
              <w:pStyle w:val="TableMainHeading"/>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STANDARDMETODE FOR MODPARTSRISIKO (SA-CCR FOR DERIVATER)</w:t>
            </w:r>
          </w:p>
          <w:p w14:paraId="771ED2E1" w14:textId="77777777" w:rsidR="00EF74C7" w:rsidRPr="002A677E" w:rsidRDefault="00EF74C7" w:rsidP="00822842">
            <w:pPr>
              <w:pStyle w:val="TableMainHeading"/>
              <w:spacing w:before="60"/>
              <w:rPr>
                <w:sz w:val="24"/>
                <w:szCs w:val="24"/>
                <w:rFonts w:ascii="Times New Roman" w:hAnsi="Times New Roman"/>
              </w:rPr>
            </w:pPr>
            <w:r>
              <w:rPr>
                <w:sz w:val="24"/>
                <w:rFonts w:ascii="Times New Roman" w:hAnsi="Times New Roman"/>
              </w:rPr>
              <w:t xml:space="preserve">Derivater og terminsforretninger, for hvilke instituttet beregner eksponeringsværdien i overensstemmelse med tredje del, afsnit II, kapitel 6, afdeling 3, i forordning (EU) nr. 575/2013.</w:t>
            </w:r>
          </w:p>
        </w:tc>
      </w:tr>
      <w:tr w:rsidR="00EF74C7" w:rsidRPr="002A677E" w14:paraId="3888C15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D826F79" w14:textId="77777777" w:rsidR="00EF74C7" w:rsidRPr="002A677E" w:rsidRDefault="00EF74C7" w:rsidP="00822842">
            <w:pPr>
              <w:pStyle w:val="Applicationdirecte"/>
              <w:spacing w:before="0" w:after="0"/>
            </w:pPr>
            <w:r>
              <w:t xml:space="preserve">0040</w:t>
            </w:r>
          </w:p>
        </w:tc>
        <w:tc>
          <w:tcPr>
            <w:tcW w:w="7655" w:type="dxa"/>
            <w:tcBorders>
              <w:top w:val="single" w:sz="4" w:space="0" w:color="auto"/>
              <w:left w:val="single" w:sz="4" w:space="0" w:color="auto"/>
              <w:bottom w:val="single" w:sz="4" w:space="0" w:color="auto"/>
              <w:right w:val="single" w:sz="4" w:space="0" w:color="auto"/>
            </w:tcBorders>
          </w:tcPr>
          <w:p w14:paraId="6FFB5DC7" w14:textId="77777777" w:rsidR="00EF74C7" w:rsidRPr="002A677E" w:rsidRDefault="00EF74C7" w:rsidP="00822842">
            <w:pPr>
              <w:pStyle w:val="TableMainHeading"/>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METODEN MED INTERNE MODELLER (FOR DERIVATER OG VÆRDIPAPIRFINANSIERINGSTRANSAKTIONER)</w:t>
            </w:r>
          </w:p>
          <w:p w14:paraId="19499FEB" w14:textId="77777777" w:rsidR="00EF74C7" w:rsidRPr="002A677E" w:rsidRDefault="00EF74C7" w:rsidP="00822842">
            <w:pPr>
              <w:pStyle w:val="TableMainHeading"/>
              <w:spacing w:before="60"/>
              <w:rPr>
                <w:sz w:val="24"/>
                <w:szCs w:val="24"/>
                <w:rFonts w:ascii="Times New Roman" w:hAnsi="Times New Roman"/>
              </w:rPr>
            </w:pPr>
            <w:r>
              <w:rPr>
                <w:sz w:val="24"/>
                <w:rFonts w:ascii="Times New Roman" w:hAnsi="Times New Roman"/>
              </w:rPr>
              <w:t xml:space="preserve">Derivater, terminsforretninger og værdipapirfinansieringstransaktioner, for hvilke instituttet har fået tilladelse til at beregne eksponeringsværdien ved hjælp af metoden med interne modeller (IMM), jf. tredje del, afsnit II, kapitel 6, afdeling 6, i forordning (EU) nr. 575/2013.</w:t>
            </w:r>
          </w:p>
        </w:tc>
      </w:tr>
      <w:tr w:rsidR="00EF74C7" w:rsidRPr="002A677E" w14:paraId="4C30A07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716D8DE0" w14:textId="77777777" w:rsidR="00EF74C7" w:rsidRPr="002A677E" w:rsidRDefault="00EF74C7" w:rsidP="00822842">
            <w:pPr>
              <w:pStyle w:val="Applicationdirecte"/>
              <w:spacing w:before="0" w:after="0"/>
            </w:pPr>
            <w:r>
              <w:t xml:space="preserve">0050</w:t>
            </w:r>
          </w:p>
        </w:tc>
        <w:tc>
          <w:tcPr>
            <w:tcW w:w="7655" w:type="dxa"/>
            <w:tcBorders>
              <w:top w:val="single" w:sz="4" w:space="0" w:color="auto"/>
              <w:left w:val="single" w:sz="4" w:space="0" w:color="auto"/>
              <w:bottom w:val="single" w:sz="4" w:space="0" w:color="auto"/>
              <w:right w:val="single" w:sz="4" w:space="0" w:color="auto"/>
            </w:tcBorders>
          </w:tcPr>
          <w:p w14:paraId="12E8CCD4"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Nettinggrupper for værdipapirfinansieringstransaktioner</w:t>
            </w:r>
          </w:p>
          <w:p w14:paraId="08069DA3"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Nettinggrupper, der kun indeholder værdipapirfinansieringstransaktioner</w:t>
            </w:r>
            <w:r>
              <w:t xml:space="preserve"> </w:t>
            </w:r>
            <w:r>
              <w:rPr>
                <w:sz w:val="24"/>
                <w:rFonts w:ascii="Times New Roman" w:hAnsi="Times New Roman"/>
              </w:rPr>
              <w:t xml:space="preserve">som defineret i artikel 4, nr. 139), i forordning (EU) nr. 575/2013, for hvilke instituttet har fået tilladelse til at bestemme eksponeringsværdien gennem metoden med interne modeller.</w:t>
            </w:r>
          </w:p>
          <w:p w14:paraId="00DA27AC"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Værdipapirfinansieringstransaktioner, som indgår i en aftale om nettinggrupper på tværs af produkter og derfor er indberettet i række 0070, skal ikke indberettes i denne række.</w:t>
            </w:r>
          </w:p>
        </w:tc>
      </w:tr>
      <w:tr w:rsidR="00EF74C7" w:rsidRPr="002A677E" w14:paraId="371AD18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088CACE" w14:textId="77777777" w:rsidR="00EF74C7" w:rsidRPr="002A677E" w:rsidRDefault="00EF74C7" w:rsidP="00822842">
            <w:pPr>
              <w:pStyle w:val="Applicationdirecte"/>
              <w:spacing w:before="0" w:after="0"/>
            </w:pPr>
            <w:r>
              <w:t xml:space="preserve">0060</w:t>
            </w:r>
          </w:p>
        </w:tc>
        <w:tc>
          <w:tcPr>
            <w:tcW w:w="7655" w:type="dxa"/>
            <w:tcBorders>
              <w:top w:val="single" w:sz="4" w:space="0" w:color="auto"/>
              <w:left w:val="single" w:sz="4" w:space="0" w:color="auto"/>
              <w:bottom w:val="single" w:sz="4" w:space="0" w:color="auto"/>
              <w:right w:val="single" w:sz="4" w:space="0" w:color="auto"/>
            </w:tcBorders>
          </w:tcPr>
          <w:p w14:paraId="1AD8EA0D"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Nettinggrupper for derivater og terminsforretninger</w:t>
            </w:r>
          </w:p>
          <w:p w14:paraId="0E97A475"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Nettinggrupper, der kun indeholder derivater, der er anført i bilag II til forordning (EU) nr. 575/2013, og terminsforretninger</w:t>
            </w:r>
            <w:r>
              <w:t xml:space="preserve"> </w:t>
            </w:r>
            <w:r>
              <w:rPr>
                <w:sz w:val="24"/>
                <w:rFonts w:ascii="Times New Roman" w:hAnsi="Times New Roman"/>
              </w:rPr>
              <w:t xml:space="preserve">som defineret i artikel 272, nr. 2), i forordning (EU) nr. 575/2013, for hvilke instituttet har fået tilladelse til at bestemme eksponeringsværdien gennem metoden med interne modeller.</w:t>
            </w:r>
          </w:p>
          <w:p w14:paraId="6A8CD02A"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Derivater og terminsforretninger, som indgår i en aftale om en nettinggruppe på tværs af produkter og derfor er indberettet i række 0070, skal ikke indberettes i denne række.</w:t>
            </w:r>
          </w:p>
        </w:tc>
      </w:tr>
      <w:tr w:rsidR="00EF74C7" w:rsidRPr="002A677E" w14:paraId="44FA93D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AE530B7" w14:textId="77777777" w:rsidR="00EF74C7" w:rsidRPr="002A677E" w:rsidRDefault="00EF74C7" w:rsidP="00822842">
            <w:pPr>
              <w:pStyle w:val="Applicationdirecte"/>
              <w:spacing w:before="0" w:after="0"/>
            </w:pPr>
            <w:r>
              <w:t xml:space="preserve">0070</w:t>
            </w:r>
          </w:p>
        </w:tc>
        <w:tc>
          <w:tcPr>
            <w:tcW w:w="7655" w:type="dxa"/>
            <w:tcBorders>
              <w:top w:val="single" w:sz="4" w:space="0" w:color="auto"/>
              <w:left w:val="single" w:sz="4" w:space="0" w:color="auto"/>
              <w:bottom w:val="single" w:sz="4" w:space="0" w:color="auto"/>
              <w:right w:val="single" w:sz="4" w:space="0" w:color="auto"/>
            </w:tcBorders>
          </w:tcPr>
          <w:p w14:paraId="658A9BF1"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Fra aftaler om nettinggrupper på tværs af produkter</w:t>
            </w:r>
          </w:p>
          <w:p w14:paraId="118D66FD" w14:textId="77777777" w:rsidR="00EF74C7" w:rsidRPr="002A677E" w:rsidRDefault="00EF74C7" w:rsidP="00822842">
            <w:pPr>
              <w:rPr>
                <w:sz w:val="24"/>
                <w:rFonts w:ascii="Times New Roman" w:hAnsi="Times New Roman"/>
              </w:rPr>
            </w:pPr>
            <w:r>
              <w:rPr>
                <w:sz w:val="24"/>
                <w:rFonts w:ascii="Times New Roman" w:hAnsi="Times New Roman"/>
              </w:rPr>
              <w:t xml:space="preserve">Artikel 272, nr. 11) og 25), i forordning (EU) nr. 575/2013</w:t>
            </w:r>
          </w:p>
          <w:p w14:paraId="78B4A3BD"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Nettinggrupper, der indeholder transaktioner af forskellige produktkategorier (artikel 272, nr. 11), i forordning (EU) nr. 575/2013), dvs. derivater og værdipapirfinansieringstransaktioner, for hvilke der findes en aftale om nettinggrupper på tværs af produkter som defineret i artikel 272, nr. 25), i forordning (EU) nr. 575/2013, og for hvilke instituttet har fået tilladelse til at bestemme eksponeringsværdien gennem metoden med interne modeller.</w:t>
            </w:r>
          </w:p>
        </w:tc>
      </w:tr>
      <w:tr w:rsidR="00EF74C7" w:rsidRPr="002A677E" w14:paraId="24E5850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C0603C1" w14:textId="77777777" w:rsidR="00EF74C7" w:rsidRPr="002A677E" w:rsidRDefault="00EF74C7" w:rsidP="00822842">
            <w:pPr>
              <w:pStyle w:val="Applicationdirecte"/>
              <w:spacing w:before="0" w:after="0"/>
            </w:pPr>
            <w:r>
              <w:t xml:space="preserve">0080</w:t>
            </w:r>
          </w:p>
        </w:tc>
        <w:tc>
          <w:tcPr>
            <w:tcW w:w="7655" w:type="dxa"/>
            <w:tcBorders>
              <w:top w:val="single" w:sz="4" w:space="0" w:color="auto"/>
              <w:left w:val="single" w:sz="4" w:space="0" w:color="auto"/>
              <w:bottom w:val="single" w:sz="4" w:space="0" w:color="auto"/>
              <w:right w:val="single" w:sz="4" w:space="0" w:color="auto"/>
            </w:tcBorders>
          </w:tcPr>
          <w:p w14:paraId="6DCAF7D9"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FINANSIEL SIKKERHED - ENKEL METODE (FOR VÆRDIPAPIRFINANSIERINGSTRANSAKTIONER)</w:t>
            </w:r>
            <w:r>
              <w:rPr>
                <w:rStyle w:val="InstructionsTabelleberschrift"/>
                <w:sz w:val="24"/>
                <w:rFonts w:ascii="Times New Roman" w:hAnsi="Times New Roman"/>
              </w:rPr>
              <w:t xml:space="preserve"> </w:t>
            </w:r>
          </w:p>
          <w:p w14:paraId="1E933FE3" w14:textId="77777777" w:rsidR="00EF74C7" w:rsidRPr="002A677E" w:rsidRDefault="00EF74C7" w:rsidP="00822842">
            <w:pPr>
              <w:rPr>
                <w:sz w:val="24"/>
                <w:rFonts w:ascii="Times New Roman" w:hAnsi="Times New Roman"/>
              </w:rPr>
            </w:pPr>
            <w:r>
              <w:rPr>
                <w:sz w:val="24"/>
                <w:rFonts w:ascii="Times New Roman" w:hAnsi="Times New Roman"/>
              </w:rPr>
              <w:t xml:space="preserve">Artikel 222 i forordning (EU) nr. 575/2013</w:t>
            </w:r>
          </w:p>
          <w:p w14:paraId="1206AB47"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Genkøbstransaktioner, udlån og indskud af værdipapirer eller råvarer, terminsforretninger og margenudlånstransaktioner, for hvilke instituttet har valgt at fastsætte eksponeringsværdien i overensstemmelse med artikel 222 i forordning (EU) nr. 575/2013, i modsætning til tredje del, afsnit II, kapitel 6, i nævnte forordning i overensstemmelse med samme forordnings artikel 271, stk. 2.</w:t>
            </w:r>
          </w:p>
        </w:tc>
      </w:tr>
      <w:tr w:rsidR="00EF74C7" w:rsidRPr="002A677E" w14:paraId="273C9B7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42D4D44" w14:textId="77777777" w:rsidR="00EF74C7" w:rsidRPr="002A677E" w:rsidRDefault="00EF74C7" w:rsidP="00822842">
            <w:pPr>
              <w:pStyle w:val="Applicationdirecte"/>
              <w:spacing w:before="0" w:after="0"/>
            </w:pPr>
            <w:r>
              <w:t xml:space="preserve">0090</w:t>
            </w:r>
          </w:p>
        </w:tc>
        <w:tc>
          <w:tcPr>
            <w:tcW w:w="7655" w:type="dxa"/>
            <w:tcBorders>
              <w:top w:val="single" w:sz="4" w:space="0" w:color="auto"/>
              <w:left w:val="single" w:sz="4" w:space="0" w:color="auto"/>
              <w:bottom w:val="single" w:sz="4" w:space="0" w:color="auto"/>
              <w:right w:val="single" w:sz="4" w:space="0" w:color="auto"/>
            </w:tcBorders>
          </w:tcPr>
          <w:p w14:paraId="28F9D683"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FINANSIEL SIKKERHED - UDBYGGET METODE (FOR VÆRDIPAPIRFINANSIERINGSTRANSAKTIONER)</w:t>
            </w:r>
          </w:p>
          <w:p w14:paraId="13A72AE5" w14:textId="77777777" w:rsidR="00EF74C7" w:rsidRPr="002A677E" w:rsidRDefault="00EF74C7" w:rsidP="00822842">
            <w:pPr>
              <w:rPr>
                <w:sz w:val="24"/>
                <w:rFonts w:ascii="Times New Roman" w:hAnsi="Times New Roman"/>
              </w:rPr>
            </w:pPr>
            <w:r>
              <w:rPr>
                <w:sz w:val="24"/>
                <w:rFonts w:ascii="Times New Roman" w:hAnsi="Times New Roman"/>
              </w:rPr>
              <w:t xml:space="preserve">Artikel 220 og 223 i forordning (EU) nr. 575/2013</w:t>
            </w:r>
          </w:p>
          <w:p w14:paraId="0F255BBA" w14:textId="77777777" w:rsidR="00EF74C7" w:rsidRPr="002A677E" w:rsidRDefault="00EF74C7" w:rsidP="00822842">
            <w:pPr>
              <w:pStyle w:val="TableMainHeading"/>
              <w:spacing w:before="60"/>
              <w:jc w:val="both"/>
              <w:rPr>
                <w:i/>
                <w:sz w:val="24"/>
                <w:szCs w:val="24"/>
                <w:rFonts w:ascii="Times New Roman" w:hAnsi="Times New Roman"/>
              </w:rPr>
            </w:pPr>
            <w:r>
              <w:rPr>
                <w:sz w:val="24"/>
                <w:rFonts w:ascii="Times New Roman" w:hAnsi="Times New Roman"/>
              </w:rPr>
              <w:t xml:space="preserve">Genkøbstransaktioner, udlån og indskud af værdipapirer eller råvarer, terminsforretninger og margenudlånstransaktioner, for hvilke instituttet har valgt at fastsætte eksponeringsværdien i overensstemmelse med artikel 223 i forordning (EU) nr. 575/2013, i modsætning til tredje del, afsnit II, kapitel 6, i nævnte forordning i overensstemmelse med samme forordnings artikel 271, stk. 2.</w:t>
            </w:r>
          </w:p>
        </w:tc>
      </w:tr>
      <w:tr w:rsidR="00EF74C7" w:rsidRPr="002A677E" w14:paraId="047FCA6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B248369" w14:textId="77777777" w:rsidR="00EF74C7" w:rsidRPr="002A677E" w:rsidRDefault="00EF74C7" w:rsidP="00822842">
            <w:pPr>
              <w:pStyle w:val="Applicationdirecte"/>
              <w:spacing w:before="0" w:after="0"/>
            </w:pPr>
            <w:r>
              <w:t xml:space="preserve">0100</w:t>
            </w:r>
          </w:p>
        </w:tc>
        <w:tc>
          <w:tcPr>
            <w:tcW w:w="7655" w:type="dxa"/>
            <w:tcBorders>
              <w:top w:val="single" w:sz="4" w:space="0" w:color="auto"/>
              <w:left w:val="single" w:sz="4" w:space="0" w:color="auto"/>
              <w:bottom w:val="single" w:sz="4" w:space="0" w:color="auto"/>
              <w:right w:val="single" w:sz="4" w:space="0" w:color="auto"/>
            </w:tcBorders>
          </w:tcPr>
          <w:p w14:paraId="22D23DEB"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VaR FOR VÆRDIPAPIRFINANSIERINGSTRANSAKTIONER</w:t>
            </w:r>
          </w:p>
          <w:p w14:paraId="769E33FD" w14:textId="77777777" w:rsidR="00EF74C7" w:rsidRPr="002A677E" w:rsidRDefault="00EF74C7" w:rsidP="00822842">
            <w:pPr>
              <w:rPr>
                <w:sz w:val="24"/>
                <w:rFonts w:ascii="Times New Roman" w:hAnsi="Times New Roman"/>
              </w:rPr>
            </w:pPr>
            <w:r>
              <w:rPr>
                <w:sz w:val="24"/>
                <w:rFonts w:ascii="Times New Roman" w:hAnsi="Times New Roman"/>
              </w:rPr>
              <w:t xml:space="preserve">Artikel 221 i forordning (EU) nr. 575/2013</w:t>
            </w:r>
          </w:p>
          <w:p w14:paraId="2E3D6606"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Genkøbstransaktioner, udlån og indskud af værdipapirer eller råvarer eller margenudlånstransaktioner eller andre kapitalmarkedsrelaterede transaktioner bortset fra transaktioner i derivater, for hvilke eksponeringsværdien i overensstemmelse med artikel 221 i forordning (EU) nr. 575/2013 og med forbehold af den kompetente myndigheds tilladelse beregnes ved at benytte en metode med interne modeller, hvor der tages hensyn til korrelationsvirkninger mellem værdipapirpositioner, der er omfattet af masternettingaftalen, samt de pågældende instrumenters likviditet.</w:t>
            </w:r>
            <w:r>
              <w:rPr>
                <w:sz w:val="24"/>
                <w:rFonts w:ascii="Times New Roman" w:hAnsi="Times New Roman"/>
              </w:rPr>
              <w:t xml:space="preserve"> </w:t>
            </w:r>
          </w:p>
        </w:tc>
      </w:tr>
      <w:tr w:rsidR="00EF74C7" w:rsidRPr="002A677E" w14:paraId="35872212"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5856DB2" w14:textId="77777777" w:rsidR="00EF74C7" w:rsidRPr="002A677E" w:rsidRDefault="00EF74C7" w:rsidP="00822842">
            <w:pPr>
              <w:pStyle w:val="Applicationdirecte"/>
              <w:spacing w:before="0" w:after="0"/>
            </w:pPr>
            <w:r>
              <w:t xml:space="preserve">0110</w:t>
            </w:r>
          </w:p>
        </w:tc>
        <w:tc>
          <w:tcPr>
            <w:tcW w:w="7655" w:type="dxa"/>
            <w:tcBorders>
              <w:top w:val="single" w:sz="4" w:space="0" w:color="auto"/>
              <w:left w:val="single" w:sz="4" w:space="0" w:color="auto"/>
              <w:bottom w:val="single" w:sz="4" w:space="0" w:color="auto"/>
              <w:right w:val="single" w:sz="4" w:space="0" w:color="auto"/>
            </w:tcBorders>
          </w:tcPr>
          <w:p w14:paraId="5ACE250C"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I ALT</w:t>
            </w:r>
          </w:p>
          <w:p w14:paraId="31701FF7" w14:textId="77777777" w:rsidR="00EF74C7" w:rsidRPr="002A677E" w:rsidRDefault="00EF74C7" w:rsidP="00822842">
            <w:pPr>
              <w:keepNext/>
              <w:spacing w:before="60"/>
              <w:rPr>
                <w:rStyle w:val="InstructionsTabelleberschrift"/>
                <w:rFonts w:ascii="Times New Roman" w:hAnsi="Times New Roman"/>
                <w:sz w:val="24"/>
              </w:rPr>
            </w:pPr>
          </w:p>
        </w:tc>
      </w:tr>
      <w:tr w:rsidR="00EF74C7" w:rsidRPr="002A677E" w14:paraId="04998E4D" w14:textId="77777777" w:rsidTr="00822842">
        <w:trPr>
          <w:trHeight w:val="1502"/>
        </w:trPr>
        <w:tc>
          <w:tcPr>
            <w:tcW w:w="1384" w:type="dxa"/>
          </w:tcPr>
          <w:p w14:paraId="1C32D020" w14:textId="77777777" w:rsidR="00EF74C7" w:rsidRPr="002A677E" w:rsidDel="003E0C6A" w:rsidRDefault="00EF74C7" w:rsidP="00822842">
            <w:pPr>
              <w:pStyle w:val="Applicationdirecte"/>
              <w:spacing w:before="60" w:after="0"/>
              <w:jc w:val="left"/>
            </w:pPr>
            <w:r>
              <w:t xml:space="preserve">0120</w:t>
            </w:r>
          </w:p>
        </w:tc>
        <w:tc>
          <w:tcPr>
            <w:tcW w:w="7655" w:type="dxa"/>
          </w:tcPr>
          <w:p w14:paraId="64672F51"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Heraf: SWWR-positioner</w:t>
            </w:r>
          </w:p>
          <w:p w14:paraId="658F3281" w14:textId="77777777" w:rsidR="00EF74C7" w:rsidRPr="002A677E" w:rsidRDefault="00EF74C7" w:rsidP="00822842">
            <w:pPr>
              <w:keepNext/>
              <w:spacing w:before="60"/>
              <w:rPr>
                <w:rStyle w:val="InstructionsTabelleberschrift"/>
                <w:b w:val="0"/>
                <w:sz w:val="24"/>
                <w:u w:val="none"/>
                <w:rFonts w:ascii="Times New Roman" w:hAnsi="Times New Roman"/>
              </w:rPr>
            </w:pPr>
            <w:r>
              <w:rPr>
                <w:sz w:val="24"/>
                <w:rFonts w:ascii="Times New Roman" w:hAnsi="Times New Roman"/>
              </w:rPr>
              <w:t xml:space="preserve">Artikel 291 i forordning (EU) nr. 575/2013</w:t>
            </w:r>
          </w:p>
          <w:p w14:paraId="41917746" w14:textId="77777777" w:rsidR="00EF74C7" w:rsidRPr="002A677E" w:rsidDel="003E0C6A" w:rsidRDefault="00EF74C7" w:rsidP="00822842">
            <w:pPr>
              <w:keepNext/>
              <w:spacing w:before="60"/>
              <w:rPr>
                <w:bCs/>
                <w:sz w:val="24"/>
                <w:rFonts w:ascii="Times New Roman" w:hAnsi="Times New Roman"/>
              </w:rPr>
            </w:pPr>
            <w:r>
              <w:rPr>
                <w:sz w:val="24"/>
                <w:rFonts w:ascii="Times New Roman" w:hAnsi="Times New Roman"/>
              </w:rPr>
              <w:t xml:space="preserve">Modpartsrisikoeksponeringer, for hvilke der er konstateret en specifik "wrong way"-risiko (SWWR), er identificeret i overensstemmelse med artikel 291 i forordning (EU) nr. 575/2013.</w:t>
            </w:r>
          </w:p>
        </w:tc>
      </w:tr>
      <w:tr w:rsidR="00EF74C7" w:rsidRPr="002A677E" w14:paraId="59B010B6" w14:textId="77777777" w:rsidTr="00822842">
        <w:trPr>
          <w:trHeight w:val="426"/>
        </w:trPr>
        <w:tc>
          <w:tcPr>
            <w:tcW w:w="1384" w:type="dxa"/>
          </w:tcPr>
          <w:p w14:paraId="11F4D998" w14:textId="77777777" w:rsidR="00EF74C7" w:rsidRPr="002A677E" w:rsidDel="003E0C6A" w:rsidRDefault="00EF74C7" w:rsidP="00822842">
            <w:pPr>
              <w:pStyle w:val="Applicationdirecte"/>
              <w:spacing w:before="60" w:after="0"/>
              <w:jc w:val="left"/>
            </w:pPr>
            <w:r>
              <w:t xml:space="preserve">0130</w:t>
            </w:r>
          </w:p>
        </w:tc>
        <w:tc>
          <w:tcPr>
            <w:tcW w:w="7655" w:type="dxa"/>
          </w:tcPr>
          <w:p w14:paraId="794C69D7"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Forretninger med margen</w:t>
            </w:r>
          </w:p>
          <w:p w14:paraId="03856435" w14:textId="77777777" w:rsidR="00EF74C7" w:rsidRPr="002A677E" w:rsidRDefault="00EF74C7" w:rsidP="00822842">
            <w:pPr>
              <w:keepNext/>
              <w:spacing w:before="60"/>
              <w:rPr>
                <w:rStyle w:val="InstructionsTabelleberschrift"/>
                <w:b w:val="0"/>
                <w:sz w:val="24"/>
                <w:u w:val="none"/>
                <w:rFonts w:ascii="Times New Roman" w:hAnsi="Times New Roman"/>
              </w:rPr>
            </w:pPr>
            <w:r>
              <w:rPr>
                <w:sz w:val="24"/>
                <w:rFonts w:ascii="Times New Roman" w:hAnsi="Times New Roman"/>
              </w:rPr>
              <w:t xml:space="preserve">Artikel 272, nr. 7), i forordning (EU) nr. 575/2013</w:t>
            </w:r>
          </w:p>
          <w:p w14:paraId="2F61E58D" w14:textId="77777777" w:rsidR="00EF74C7" w:rsidRPr="002A677E" w:rsidDel="003E0C6A" w:rsidRDefault="00EF74C7" w:rsidP="00822842">
            <w:pPr>
              <w:keepNext/>
              <w:spacing w:before="60"/>
              <w:rPr>
                <w:sz w:val="24"/>
                <w:rFonts w:ascii="Times New Roman" w:hAnsi="Times New Roman"/>
              </w:rPr>
            </w:pPr>
            <w:r>
              <w:rPr>
                <w:sz w:val="24"/>
                <w:rFonts w:ascii="Times New Roman" w:hAnsi="Times New Roman"/>
              </w:rPr>
              <w:t xml:space="preserve">Modpartsrisikoeksponeringer med margen, dvs. nettinggrupper, der er omfattet af en margenaftale, jf. artikel 272, nr. 7), i forordning (EU) nr. 575/2013.</w:t>
            </w:r>
          </w:p>
        </w:tc>
      </w:tr>
      <w:tr w:rsidR="00EF74C7" w:rsidRPr="002A677E" w14:paraId="518FA613" w14:textId="77777777" w:rsidTr="00822842">
        <w:trPr>
          <w:trHeight w:val="829"/>
        </w:trPr>
        <w:tc>
          <w:tcPr>
            <w:tcW w:w="1384" w:type="dxa"/>
          </w:tcPr>
          <w:p w14:paraId="527E02B0" w14:textId="77777777" w:rsidR="00EF74C7" w:rsidRPr="002A677E" w:rsidDel="003E0C6A" w:rsidRDefault="00EF74C7" w:rsidP="00822842">
            <w:pPr>
              <w:pStyle w:val="Applicationdirecte"/>
              <w:spacing w:before="60" w:after="0"/>
              <w:jc w:val="left"/>
            </w:pPr>
            <w:r>
              <w:t xml:space="preserve">0140</w:t>
            </w:r>
          </w:p>
        </w:tc>
        <w:tc>
          <w:tcPr>
            <w:tcW w:w="7655" w:type="dxa"/>
          </w:tcPr>
          <w:p w14:paraId="4739FB58"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Forretninger uden margen</w:t>
            </w:r>
          </w:p>
          <w:p w14:paraId="166C3DE8" w14:textId="77777777" w:rsidR="00EF74C7" w:rsidRPr="002A677E" w:rsidDel="003E0C6A" w:rsidRDefault="00EF74C7" w:rsidP="00822842">
            <w:pPr>
              <w:rPr>
                <w:sz w:val="24"/>
                <w:rFonts w:ascii="Times New Roman" w:hAnsi="Times New Roman"/>
              </w:rPr>
            </w:pPr>
            <w:r>
              <w:rPr>
                <w:sz w:val="24"/>
                <w:rFonts w:ascii="Times New Roman" w:hAnsi="Times New Roman"/>
              </w:rPr>
              <w:t xml:space="preserve">Modpartsrisikoeksponeringer, der ikke er omfattet i 0130.</w:t>
            </w:r>
          </w:p>
        </w:tc>
      </w:tr>
    </w:tbl>
    <w:p w14:paraId="0EE31AF8" w14:textId="77777777" w:rsidR="00EF74C7" w:rsidRPr="002A677E" w:rsidRDefault="00EF74C7" w:rsidP="00EF74C7">
      <w:pPr>
        <w:rPr>
          <w:rFonts w:ascii="Times New Roman" w:hAnsi="Times New Roman"/>
          <w:noProof/>
          <w:sz w:val="24"/>
        </w:rPr>
      </w:pPr>
    </w:p>
    <w:p w14:paraId="398E5D6F"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28" w:name="_Toc19715809"/>
      <w:bookmarkStart w:id="29" w:name="_Toc151714449"/>
      <w:r>
        <w:rPr>
          <w:sz w:val="24"/>
          <w:rFonts w:ascii="Times New Roman" w:hAnsi="Times New Roman"/>
        </w:rPr>
        <w:t xml:space="preserve">C 34.03 — Modpartsrisikoeksponeringer, der behandles med standardmetoder:</w:t>
      </w:r>
      <w:r>
        <w:rPr>
          <w:sz w:val="24"/>
          <w:rFonts w:ascii="Times New Roman" w:hAnsi="Times New Roman"/>
        </w:rPr>
        <w:t xml:space="preserve"> </w:t>
      </w:r>
      <w:r>
        <w:rPr>
          <w:sz w:val="24"/>
          <w:rFonts w:ascii="Times New Roman" w:hAnsi="Times New Roman"/>
        </w:rPr>
        <w:t xml:space="preserve">SA-CCR og forenklet SA-CCR</w:t>
      </w:r>
      <w:bookmarkEnd w:id="28"/>
      <w:bookmarkEnd w:id="29"/>
    </w:p>
    <w:p w14:paraId="25A32DCA"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30" w:name="_Toc19715810"/>
      <w:bookmarkStart w:id="31" w:name="_Toc151714450"/>
      <w:r>
        <w:rPr>
          <w:sz w:val="24"/>
          <w:rFonts w:ascii="Times New Roman" w:hAnsi="Times New Roman"/>
        </w:rPr>
        <w:t xml:space="preserve">Generelle bemærkninger</w:t>
      </w:r>
      <w:bookmarkEnd w:id="30"/>
      <w:bookmarkEnd w:id="31"/>
    </w:p>
    <w:p w14:paraId="00205649" w14:textId="08D8CDD1"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t xml:space="preserve">125</w:t>
      </w:r>
      <w:r>
        <w:fldChar w:fldCharType="end"/>
      </w:r>
      <w:r>
        <w:t xml:space="preserve">.</w:t>
      </w:r>
      <w:r>
        <w:t xml:space="preserve"> </w:t>
      </w:r>
      <w:r>
        <w:t xml:space="preserve">Skemaet anvendes separat til indberetning af modpartsrisikoeksponeringer, der er beregnet i henhold til SA-CCR eller den forenklede SA-CCR, alt efter hvad der er relevant.</w:t>
      </w:r>
    </w:p>
    <w:p w14:paraId="739ACEF6"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32" w:name="_Toc19715811"/>
      <w:bookmarkStart w:id="33" w:name="_Toc151714451"/>
      <w:r>
        <w:rPr>
          <w:sz w:val="24"/>
          <w:rFonts w:ascii="Times New Roman" w:hAnsi="Times New Roman"/>
        </w:rPr>
        <w:t xml:space="preserve">Instrukser vedrørende specifikke positioner</w:t>
      </w:r>
      <w:bookmarkEnd w:id="32"/>
      <w:bookmarkEnd w:id="3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1AD3F40" w14:textId="77777777" w:rsidTr="00822842">
        <w:trPr>
          <w:trHeight w:val="717"/>
        </w:trPr>
        <w:tc>
          <w:tcPr>
            <w:tcW w:w="9039" w:type="dxa"/>
            <w:gridSpan w:val="2"/>
            <w:shd w:val="clear" w:color="auto" w:fill="D9D9D9" w:themeFill="background1" w:themeFillShade="D9"/>
          </w:tcPr>
          <w:p w14:paraId="1502A629"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Kolonner</w:t>
            </w:r>
          </w:p>
        </w:tc>
      </w:tr>
      <w:tr w:rsidR="00EF74C7" w:rsidRPr="002A677E" w14:paraId="672D2ACD" w14:textId="77777777" w:rsidTr="00822842">
        <w:trPr>
          <w:trHeight w:val="680"/>
        </w:trPr>
        <w:tc>
          <w:tcPr>
            <w:tcW w:w="1384" w:type="dxa"/>
          </w:tcPr>
          <w:p w14:paraId="0E603140" w14:textId="77777777" w:rsidR="00EF74C7" w:rsidRPr="002A677E" w:rsidRDefault="00EF74C7" w:rsidP="00822842">
            <w:pPr>
              <w:pStyle w:val="Applicationdirecte"/>
              <w:spacing w:before="0" w:after="0"/>
            </w:pPr>
            <w:r>
              <w:t xml:space="preserve">0010</w:t>
            </w:r>
          </w:p>
        </w:tc>
        <w:tc>
          <w:tcPr>
            <w:tcW w:w="7655" w:type="dxa"/>
            <w:vAlign w:val="center"/>
          </w:tcPr>
          <w:p w14:paraId="1B4E242B" w14:textId="77777777" w:rsidR="00EF74C7" w:rsidRPr="002A677E" w:rsidRDefault="00EF74C7" w:rsidP="00822842">
            <w:pPr>
              <w:keepNext/>
              <w:spacing w:before="60"/>
              <w:rPr>
                <w:sz w:val="24"/>
                <w:rFonts w:ascii="Times New Roman" w:hAnsi="Times New Roman"/>
              </w:rPr>
            </w:pPr>
            <w:r>
              <w:rPr>
                <w:rStyle w:val="InstructionsTabelleberschrift"/>
                <w:sz w:val="24"/>
                <w:rFonts w:ascii="Times New Roman" w:hAnsi="Times New Roman"/>
              </w:rPr>
              <w:t xml:space="preserve">VALUTA</w:t>
            </w:r>
          </w:p>
          <w:p w14:paraId="1FCE36C7"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For transaktioner, der er henført til kategorien for renterisiko, indberettes transaktionens denomineringsvaluta.</w:t>
            </w:r>
          </w:p>
          <w:p w14:paraId="451829C3"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For transaktioner, der er henført til kategorien for valutakursrisiko, indberettes transaktionens denomineringsvaluta for den ene del af transaktionen.</w:t>
            </w:r>
            <w:r>
              <w:rPr>
                <w:sz w:val="24"/>
                <w:rFonts w:ascii="Times New Roman" w:hAnsi="Times New Roman"/>
              </w:rPr>
              <w:t xml:space="preserve"> </w:t>
            </w:r>
            <w:r>
              <w:rPr>
                <w:sz w:val="24"/>
                <w:rFonts w:ascii="Times New Roman" w:hAnsi="Times New Roman"/>
              </w:rPr>
              <w:t xml:space="preserve">Institutterne indsætter valutaerne i valutaparret i alfabetisk orden, f.eks. for US dollar/Euro udfyldes denne kolonne med EUR og kolonne 0020 med USD.</w:t>
            </w:r>
            <w:r>
              <w:rPr>
                <w:sz w:val="24"/>
                <w:rFonts w:ascii="Times New Roman" w:hAnsi="Times New Roman"/>
              </w:rPr>
              <w:t xml:space="preserve"> </w:t>
            </w:r>
          </w:p>
          <w:p w14:paraId="4B0703E4" w14:textId="77777777" w:rsidR="00EF74C7" w:rsidRPr="002A677E" w:rsidRDefault="00EF74C7" w:rsidP="00822842">
            <w:pPr>
              <w:keepNext/>
              <w:spacing w:before="60"/>
              <w:rPr>
                <w:i/>
                <w:sz w:val="24"/>
                <w:rFonts w:ascii="Times New Roman" w:hAnsi="Times New Roman"/>
              </w:rPr>
            </w:pPr>
            <w:r>
              <w:rPr>
                <w:sz w:val="24"/>
                <w:rFonts w:ascii="Times New Roman" w:hAnsi="Times New Roman"/>
              </w:rPr>
              <w:t xml:space="preserve">Der anvendes</w:t>
            </w:r>
            <w:r>
              <w:t xml:space="preserve"> </w:t>
            </w:r>
            <w:hyperlink r:id="rId10" w:history="1">
              <w:r>
                <w:rPr>
                  <w:sz w:val="24"/>
                  <w:rFonts w:ascii="Times New Roman" w:hAnsi="Times New Roman"/>
                </w:rPr>
                <w:t xml:space="preserve">ISO-valutakoder</w:t>
              </w:r>
            </w:hyperlink>
            <w:r>
              <w:rPr>
                <w:sz w:val="24"/>
                <w:rFonts w:ascii="Times New Roman" w:hAnsi="Times New Roman"/>
              </w:rPr>
              <w:t xml:space="preserve">.</w:t>
            </w:r>
          </w:p>
        </w:tc>
      </w:tr>
      <w:tr w:rsidR="00EF74C7" w:rsidRPr="002A677E" w14:paraId="5C5AF16A" w14:textId="77777777" w:rsidTr="00822842">
        <w:trPr>
          <w:trHeight w:val="680"/>
        </w:trPr>
        <w:tc>
          <w:tcPr>
            <w:tcW w:w="1384" w:type="dxa"/>
          </w:tcPr>
          <w:p w14:paraId="4ACFE6AB" w14:textId="77777777" w:rsidR="00EF74C7" w:rsidRPr="002A677E" w:rsidRDefault="00EF74C7" w:rsidP="00822842">
            <w:pPr>
              <w:pStyle w:val="Applicationdirecte"/>
              <w:spacing w:before="0" w:after="0"/>
            </w:pPr>
            <w:r>
              <w:t xml:space="preserve">0020</w:t>
            </w:r>
          </w:p>
        </w:tc>
        <w:tc>
          <w:tcPr>
            <w:tcW w:w="7655" w:type="dxa"/>
            <w:vAlign w:val="center"/>
          </w:tcPr>
          <w:p w14:paraId="24D1130D"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ANDEN VALUTA I VALUTAPARRET</w:t>
            </w:r>
          </w:p>
          <w:p w14:paraId="03D4A6E7"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For transaktioner, der er henført til kategorien for valutakursrisiko, indberettes transaktionens denomineringsvaluta for den anden del af transaktionen (vedrørende den del, der er anført i kolonne 0010).</w:t>
            </w:r>
            <w:r>
              <w:rPr>
                <w:sz w:val="24"/>
                <w:rFonts w:ascii="Times New Roman" w:hAnsi="Times New Roman"/>
              </w:rPr>
              <w:t xml:space="preserve"> </w:t>
            </w:r>
            <w:r>
              <w:rPr>
                <w:sz w:val="24"/>
                <w:rFonts w:ascii="Times New Roman" w:hAnsi="Times New Roman"/>
              </w:rPr>
              <w:t xml:space="preserve">Institutterne indsætter valutaerne i valutaparret i alfabetisk orden, f.eks. for US dollar/Euro udfyldes denne kolonne med USD og kolonne 0010 med EUR.</w:t>
            </w:r>
          </w:p>
          <w:p w14:paraId="1013A2D8" w14:textId="77777777" w:rsidR="00EF74C7" w:rsidRPr="002A677E" w:rsidRDefault="00EF74C7" w:rsidP="00822842">
            <w:pPr>
              <w:keepNext/>
              <w:spacing w:before="60"/>
              <w:rPr>
                <w:i/>
                <w:sz w:val="24"/>
                <w:rFonts w:ascii="Times New Roman" w:hAnsi="Times New Roman"/>
              </w:rPr>
            </w:pPr>
            <w:r>
              <w:rPr>
                <w:sz w:val="24"/>
                <w:rFonts w:ascii="Times New Roman" w:hAnsi="Times New Roman"/>
              </w:rPr>
              <w:t xml:space="preserve">Der anvendes</w:t>
            </w:r>
            <w:r>
              <w:t xml:space="preserve"> </w:t>
            </w:r>
            <w:hyperlink r:id="rId11" w:history="1">
              <w:r>
                <w:rPr>
                  <w:sz w:val="24"/>
                  <w:rFonts w:ascii="Times New Roman" w:hAnsi="Times New Roman"/>
                </w:rPr>
                <w:t xml:space="preserve">ISO-valutakoder</w:t>
              </w:r>
            </w:hyperlink>
            <w:r>
              <w:rPr>
                <w:sz w:val="24"/>
                <w:rFonts w:ascii="Times New Roman" w:hAnsi="Times New Roman"/>
              </w:rPr>
              <w:t xml:space="preserve">.</w:t>
            </w:r>
          </w:p>
        </w:tc>
      </w:tr>
      <w:tr w:rsidR="00EF74C7" w:rsidRPr="002A677E" w14:paraId="269AB735" w14:textId="77777777" w:rsidTr="00822842">
        <w:trPr>
          <w:trHeight w:val="680"/>
        </w:trPr>
        <w:tc>
          <w:tcPr>
            <w:tcW w:w="1384" w:type="dxa"/>
          </w:tcPr>
          <w:p w14:paraId="27EC4B26" w14:textId="77777777" w:rsidR="00EF74C7" w:rsidRPr="002A677E" w:rsidRDefault="00EF74C7" w:rsidP="00822842">
            <w:pPr>
              <w:pStyle w:val="Applicationdirecte"/>
              <w:spacing w:before="0" w:after="0"/>
            </w:pPr>
            <w:r>
              <w:t xml:space="preserve">0030</w:t>
            </w:r>
          </w:p>
        </w:tc>
        <w:tc>
          <w:tcPr>
            <w:tcW w:w="7655" w:type="dxa"/>
            <w:vAlign w:val="center"/>
          </w:tcPr>
          <w:p w14:paraId="2F0BA9E7"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ANTAL TRANSAKTIONER</w:t>
            </w:r>
          </w:p>
          <w:p w14:paraId="6D81C620" w14:textId="77777777" w:rsidR="00EF74C7" w:rsidRPr="002A677E" w:rsidRDefault="00EF74C7" w:rsidP="00822842">
            <w:pPr>
              <w:keepNext/>
              <w:spacing w:before="60"/>
              <w:rPr>
                <w:i/>
                <w:sz w:val="24"/>
                <w:rFonts w:ascii="Times New Roman" w:hAnsi="Times New Roman"/>
              </w:rPr>
            </w:pPr>
            <w:r>
              <w:rPr>
                <w:sz w:val="24"/>
                <w:rFonts w:ascii="Times New Roman" w:hAnsi="Times New Roman"/>
              </w:rPr>
              <w:t xml:space="preserve">Se instrukserne til kolonne 0020 i skema C 34.02.</w:t>
            </w:r>
          </w:p>
        </w:tc>
      </w:tr>
      <w:tr w:rsidR="00EF74C7" w:rsidRPr="002A677E" w14:paraId="01ECDEDD" w14:textId="77777777" w:rsidTr="00822842">
        <w:trPr>
          <w:trHeight w:val="680"/>
        </w:trPr>
        <w:tc>
          <w:tcPr>
            <w:tcW w:w="1384" w:type="dxa"/>
          </w:tcPr>
          <w:p w14:paraId="18733037" w14:textId="77777777" w:rsidR="00EF74C7" w:rsidRPr="002A677E" w:rsidRDefault="00EF74C7" w:rsidP="00822842">
            <w:pPr>
              <w:pStyle w:val="Applicationdirecte"/>
              <w:spacing w:before="0" w:after="0"/>
            </w:pPr>
            <w:r>
              <w:t xml:space="preserve">0040</w:t>
            </w:r>
          </w:p>
        </w:tc>
        <w:tc>
          <w:tcPr>
            <w:tcW w:w="7655" w:type="dxa"/>
            <w:vAlign w:val="center"/>
          </w:tcPr>
          <w:p w14:paraId="160D7E28"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NOMINEL VÆRDI</w:t>
            </w:r>
          </w:p>
          <w:p w14:paraId="1EAD85A5"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Se instrukserne til kolonne 0030 i skema C 34.02.</w:t>
            </w:r>
          </w:p>
        </w:tc>
      </w:tr>
      <w:tr w:rsidR="00EF74C7" w:rsidRPr="002A677E" w14:paraId="3AC762E1" w14:textId="77777777" w:rsidTr="00822842">
        <w:trPr>
          <w:trHeight w:val="680"/>
        </w:trPr>
        <w:tc>
          <w:tcPr>
            <w:tcW w:w="1384" w:type="dxa"/>
          </w:tcPr>
          <w:p w14:paraId="772E888B" w14:textId="77777777" w:rsidR="00EF74C7" w:rsidRPr="002A677E" w:rsidRDefault="00EF74C7" w:rsidP="00822842">
            <w:pPr>
              <w:pStyle w:val="Applicationdirecte"/>
              <w:spacing w:before="0" w:after="0"/>
            </w:pPr>
            <w:r>
              <w:t xml:space="preserve">0050</w:t>
            </w:r>
          </w:p>
        </w:tc>
        <w:tc>
          <w:tcPr>
            <w:tcW w:w="7655" w:type="dxa"/>
            <w:vAlign w:val="center"/>
          </w:tcPr>
          <w:p w14:paraId="4F39288B"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DEN AKTUELLE MARKEDSVÆRDI (CMV), POSITIV</w:t>
            </w:r>
          </w:p>
          <w:p w14:paraId="5ED54A90"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Summen af de aktuelle markedsværdier (CMV'er) for alle risikoafdækningsgrupper med positive CMV'er i den pågældende risikokategori.</w:t>
            </w:r>
          </w:p>
          <w:p w14:paraId="379A6FFF"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Den aktuelle markedsværdi (CMV) på niveauet for risikoafdækningsgruppen bestemmes ved at modregne positive og negative markedsværdier af transaktionerne inden for en risikoafdækningsgruppe, uden indregning af eventuel modtaget eller stillet sikkerhed.</w:t>
            </w:r>
          </w:p>
        </w:tc>
      </w:tr>
      <w:tr w:rsidR="00EF74C7" w:rsidRPr="002A677E" w14:paraId="08BA8DB4" w14:textId="77777777" w:rsidTr="00822842">
        <w:trPr>
          <w:trHeight w:val="680"/>
        </w:trPr>
        <w:tc>
          <w:tcPr>
            <w:tcW w:w="1384" w:type="dxa"/>
          </w:tcPr>
          <w:p w14:paraId="0E291208" w14:textId="77777777" w:rsidR="00EF74C7" w:rsidRPr="002A677E" w:rsidRDefault="00EF74C7" w:rsidP="00822842">
            <w:pPr>
              <w:pStyle w:val="Applicationdirecte"/>
              <w:spacing w:before="0" w:after="0"/>
            </w:pPr>
            <w:r>
              <w:t xml:space="preserve">0060</w:t>
            </w:r>
          </w:p>
        </w:tc>
        <w:tc>
          <w:tcPr>
            <w:tcW w:w="7655" w:type="dxa"/>
            <w:vAlign w:val="center"/>
          </w:tcPr>
          <w:p w14:paraId="58A56A89"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DEN AKTUELLE MARKEDSVÆRDI (CMV), NEGATIV</w:t>
            </w:r>
          </w:p>
          <w:p w14:paraId="5CF4FB5C"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Summen af de aktuelle markedsværdier (CMV'er) for alle risikoafdækningsgrupper med negative CMV'er i den pågældende risikokategori.</w:t>
            </w:r>
          </w:p>
          <w:p w14:paraId="3D5BE059"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Den aktuelle markedsværdi (CMV) på niveauet for risikoafdækningsgruppen bestemmes ved at modregne positive og negative markedsværdier af transaktionerne inden for en risikoafdækningsgruppe, uden indregning af eventuel modtaget eller stillet sikkerhed.</w:t>
            </w:r>
          </w:p>
        </w:tc>
      </w:tr>
      <w:tr w:rsidR="00EF74C7" w:rsidRPr="002A677E" w14:paraId="345E1772" w14:textId="77777777" w:rsidTr="00822842">
        <w:trPr>
          <w:trHeight w:val="680"/>
        </w:trPr>
        <w:tc>
          <w:tcPr>
            <w:tcW w:w="1384" w:type="dxa"/>
          </w:tcPr>
          <w:p w14:paraId="77DADDEC" w14:textId="77777777" w:rsidR="00EF74C7" w:rsidRPr="002A677E" w:rsidRDefault="00EF74C7" w:rsidP="00822842">
            <w:pPr>
              <w:pStyle w:val="Applicationdirecte"/>
              <w:spacing w:before="0" w:after="0"/>
            </w:pPr>
            <w:r>
              <w:t xml:space="preserve">0070</w:t>
            </w:r>
          </w:p>
        </w:tc>
        <w:tc>
          <w:tcPr>
            <w:tcW w:w="7655" w:type="dxa"/>
            <w:vAlign w:val="center"/>
          </w:tcPr>
          <w:p w14:paraId="22809508" w14:textId="77777777" w:rsidR="00EF74C7" w:rsidRPr="002A677E" w:rsidRDefault="00EF74C7" w:rsidP="00822842">
            <w:pPr>
              <w:keepNext/>
              <w:spacing w:before="60"/>
              <w:rPr>
                <w:sz w:val="24"/>
                <w:rFonts w:ascii="Times New Roman" w:hAnsi="Times New Roman"/>
              </w:rPr>
            </w:pPr>
            <w:r>
              <w:rPr>
                <w:sz w:val="24"/>
                <w:rStyle w:val="InstructionsTabelleberschrift"/>
                <w:rFonts w:ascii="Times New Roman" w:hAnsi="Times New Roman"/>
              </w:rPr>
              <w:t xml:space="preserve">TILLÆG</w:t>
            </w:r>
            <w:r>
              <w:rPr>
                <w:sz w:val="24"/>
                <w:rFonts w:ascii="Times New Roman" w:hAnsi="Times New Roman"/>
              </w:rPr>
              <w:t xml:space="preserve"> </w:t>
            </w:r>
          </w:p>
          <w:p w14:paraId="39E215C5"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Artikel 280a-280f og artikel 281, stk. 2, i forordning (EU) nr. 575/2013</w:t>
            </w:r>
          </w:p>
          <w:p w14:paraId="3169F372"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Instituttet indberetter summen af alle tillæg i den pågældende risikoafdækningsgruppe/risikokategori.</w:t>
            </w:r>
            <w:r>
              <w:rPr>
                <w:sz w:val="24"/>
                <w:rFonts w:ascii="Times New Roman" w:hAnsi="Times New Roman"/>
              </w:rPr>
              <w:t xml:space="preserve"> </w:t>
            </w:r>
          </w:p>
          <w:p w14:paraId="48AD1DD4"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Tillægget for risikokategorien, der anvendes til at bestemme en nettinggruppes potentielle fremtidige eksponering i henhold til artikel 278, stk. 1, eller artikel 281, stk. 2, litra f), i forordning (EU) nr. 575/2013, beregnes i overensstemmelse med artikel 280a-280f i nævnte forordning.</w:t>
            </w:r>
            <w:r>
              <w:rPr>
                <w:sz w:val="24"/>
                <w:rFonts w:ascii="Times New Roman" w:hAnsi="Times New Roman"/>
              </w:rPr>
              <w:t xml:space="preserve"> </w:t>
            </w:r>
            <w:r>
              <w:rPr>
                <w:sz w:val="24"/>
                <w:rFonts w:ascii="Times New Roman" w:hAnsi="Times New Roman"/>
              </w:rPr>
              <w:t xml:space="preserve">For den forenklede SA-CCR finder bestemmelserne i artikel 281, stk. 2, i forordning (EU) nr. 575/2013 anvendelse.</w:t>
            </w:r>
          </w:p>
        </w:tc>
      </w:tr>
      <w:tr w:rsidR="00EF74C7" w:rsidRPr="002A677E" w14:paraId="2456F0C5" w14:textId="77777777" w:rsidTr="00822842">
        <w:trPr>
          <w:trHeight w:val="680"/>
        </w:trPr>
        <w:tc>
          <w:tcPr>
            <w:tcW w:w="9039" w:type="dxa"/>
            <w:gridSpan w:val="2"/>
            <w:tcBorders>
              <w:left w:val="nil"/>
              <w:right w:val="nil"/>
            </w:tcBorders>
          </w:tcPr>
          <w:p w14:paraId="18B64A8E" w14:textId="77777777" w:rsidR="00EF74C7" w:rsidRPr="002A677E" w:rsidDel="00DF07F8" w:rsidRDefault="00EF74C7" w:rsidP="00822842">
            <w:pPr>
              <w:keepNext/>
              <w:spacing w:before="60"/>
              <w:rPr>
                <w:rFonts w:ascii="Times New Roman" w:hAnsi="Times New Roman"/>
                <w:i/>
                <w:szCs w:val="22"/>
                <w:lang w:eastAsia="en-CA"/>
              </w:rPr>
            </w:pPr>
          </w:p>
        </w:tc>
      </w:tr>
      <w:tr w:rsidR="00EF74C7" w:rsidRPr="002A677E" w14:paraId="0883B7AF"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5F7E79" w14:textId="77777777" w:rsidR="00EF74C7" w:rsidRPr="002A677E" w:rsidRDefault="00EF74C7" w:rsidP="00822842">
            <w:pPr>
              <w:pStyle w:val="Applicationdirecte"/>
              <w:spacing w:before="0"/>
              <w:jc w:val="left"/>
              <w:rPr>
                <w:b/>
              </w:rPr>
            </w:pPr>
            <w:r>
              <w:rPr>
                <w:b/>
              </w:rPr>
              <w:t xml:space="preserve">Rækker</w:t>
            </w:r>
            <w:r>
              <w:rPr>
                <w:b/>
              </w:rPr>
              <w:t xml:space="preserve"> </w:t>
            </w:r>
          </w:p>
        </w:tc>
      </w:tr>
      <w:tr w:rsidR="00EF74C7" w:rsidRPr="002A677E" w14:paraId="3248D686" w14:textId="77777777" w:rsidTr="00822842">
        <w:trPr>
          <w:trHeight w:val="680"/>
        </w:trPr>
        <w:tc>
          <w:tcPr>
            <w:tcW w:w="1384" w:type="dxa"/>
          </w:tcPr>
          <w:p w14:paraId="402A723E" w14:textId="77777777" w:rsidR="00EF74C7" w:rsidRPr="002A677E" w:rsidRDefault="00EF74C7" w:rsidP="00822842">
            <w:pPr>
              <w:pStyle w:val="Applicationdirecte"/>
              <w:spacing w:before="0" w:after="0"/>
            </w:pPr>
            <w:r>
              <w:t xml:space="preserve">0050,0120, 0190, 0230, 0270, 0340</w:t>
            </w:r>
          </w:p>
        </w:tc>
        <w:tc>
          <w:tcPr>
            <w:tcW w:w="7655" w:type="dxa"/>
          </w:tcPr>
          <w:p w14:paraId="376D7ACF"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RISIKOKATEGORIER</w:t>
            </w:r>
          </w:p>
          <w:p w14:paraId="7E0D1935"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Artikel 277 og 277a i forordning (EU) nr. 575/2013</w:t>
            </w:r>
          </w:p>
          <w:p w14:paraId="578D076E"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Transaktioner klassificeres i henhold til den risikokategori, de tilhører, jf. artikel 277, stk. 1-4, i forordning (EU) nr. 575/2013.</w:t>
            </w:r>
          </w:p>
          <w:p w14:paraId="5862E67E" w14:textId="77777777" w:rsidR="00EF74C7" w:rsidRPr="002A677E" w:rsidRDefault="00EF74C7" w:rsidP="00822842">
            <w:pPr>
              <w:pStyle w:val="TableMainHeading"/>
              <w:spacing w:before="60"/>
              <w:jc w:val="both"/>
              <w:rPr>
                <w:sz w:val="24"/>
                <w:rFonts w:ascii="Times New Roman" w:hAnsi="Times New Roman"/>
              </w:rPr>
            </w:pPr>
            <w:r>
              <w:rPr>
                <w:sz w:val="24"/>
                <w:rFonts w:ascii="Times New Roman" w:hAnsi="Times New Roman"/>
              </w:rPr>
              <w:t xml:space="preserve">Fordelingen på risikoafdækningsgrupper i henhold til risikokategorien foretages i overensstemmelse med artikel 277a i forordning (EU) nr. 575/2013.</w:t>
            </w:r>
          </w:p>
          <w:p w14:paraId="65316050" w14:textId="77777777" w:rsidR="00EF74C7" w:rsidRPr="002A677E" w:rsidRDefault="00EF74C7" w:rsidP="00822842">
            <w:pPr>
              <w:pStyle w:val="TableMainHeading"/>
              <w:spacing w:before="60"/>
              <w:jc w:val="both"/>
              <w:rPr>
                <w:sz w:val="24"/>
                <w:rFonts w:ascii="Times New Roman" w:hAnsi="Times New Roman"/>
              </w:rPr>
            </w:pPr>
            <w:r>
              <w:rPr>
                <w:sz w:val="24"/>
                <w:rFonts w:ascii="Times New Roman" w:hAnsi="Times New Roman"/>
              </w:rPr>
              <w:t xml:space="preserve">For den forenklede SA-CCR finder bestemmelserne i artikel 281, stk. 2, i forordning (EU) nr. 575/2013 anvendelse.</w:t>
            </w:r>
          </w:p>
        </w:tc>
      </w:tr>
      <w:tr w:rsidR="00EF74C7" w:rsidRPr="002A677E" w14:paraId="21933761" w14:textId="77777777" w:rsidTr="00822842">
        <w:trPr>
          <w:trHeight w:val="680"/>
        </w:trPr>
        <w:tc>
          <w:tcPr>
            <w:tcW w:w="1384" w:type="dxa"/>
          </w:tcPr>
          <w:p w14:paraId="2F5A9704" w14:textId="77777777" w:rsidR="00EF74C7" w:rsidRPr="002A677E" w:rsidRDefault="00EF74C7" w:rsidP="00822842">
            <w:pPr>
              <w:pStyle w:val="Applicationdirecte"/>
              <w:spacing w:before="0" w:after="0"/>
            </w:pPr>
            <w:r>
              <w:t xml:space="preserve">0020-0040</w:t>
            </w:r>
          </w:p>
        </w:tc>
        <w:tc>
          <w:tcPr>
            <w:tcW w:w="7655" w:type="dxa"/>
          </w:tcPr>
          <w:p w14:paraId="4160411B"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Heraf henført til mere end én risikokategori</w:t>
            </w:r>
          </w:p>
          <w:p w14:paraId="24AE7BAE"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Artikel 277, stk. 3, i forordning (EU) nr. 575/2013</w:t>
            </w:r>
          </w:p>
          <w:p w14:paraId="54CB9801" w14:textId="77777777" w:rsidR="00EF74C7" w:rsidRPr="002A677E" w:rsidRDefault="00EF74C7" w:rsidP="00822842">
            <w:pPr>
              <w:pStyle w:val="TableMainHeading"/>
              <w:spacing w:before="60"/>
              <w:jc w:val="both"/>
              <w:rPr>
                <w:i/>
                <w:sz w:val="24"/>
                <w:szCs w:val="24"/>
                <w:rFonts w:ascii="Times New Roman" w:hAnsi="Times New Roman"/>
              </w:rPr>
            </w:pPr>
            <w:r>
              <w:rPr>
                <w:sz w:val="24"/>
                <w:rFonts w:ascii="Times New Roman" w:hAnsi="Times New Roman"/>
              </w:rPr>
              <w:t xml:space="preserve">Derivattransaktioner med mere end én væsentlig risikofaktor, der er henført til to (0020), tre (0030) eller mere end tre (0040) risikokategorier på grundlag af det materiale, som er mest relevant for risikofaktorerne, i hver risikokategori, i overensstemmelse med artikel 277, stk. 3, i forordning (EU) nr. 575/2013 og EBA's reguleringsmæssige tekniske standarder, der er omhandlet i artikel 277, stk. 5, i nævnte forordning.</w:t>
            </w:r>
          </w:p>
        </w:tc>
      </w:tr>
      <w:tr w:rsidR="00EF74C7" w:rsidRPr="002A677E" w14:paraId="5AE04D2C" w14:textId="77777777" w:rsidTr="00822842">
        <w:trPr>
          <w:trHeight w:val="680"/>
        </w:trPr>
        <w:tc>
          <w:tcPr>
            <w:tcW w:w="1384" w:type="dxa"/>
          </w:tcPr>
          <w:p w14:paraId="27C055FD" w14:textId="77777777" w:rsidR="00EF74C7" w:rsidRPr="002A677E" w:rsidRDefault="00EF74C7" w:rsidP="00822842">
            <w:pPr>
              <w:pStyle w:val="Applicationdirecte"/>
              <w:spacing w:before="0" w:after="0"/>
              <w:jc w:val="left"/>
            </w:pPr>
            <w:r>
              <w:t xml:space="preserve">0070-0110 og 0140-0180</w:t>
            </w:r>
          </w:p>
        </w:tc>
        <w:tc>
          <w:tcPr>
            <w:tcW w:w="7655" w:type="dxa"/>
          </w:tcPr>
          <w:p w14:paraId="18AF84E8" w14:textId="77777777" w:rsidR="00EF74C7" w:rsidRPr="002A677E" w:rsidRDefault="00EF74C7" w:rsidP="00822842">
            <w:pPr>
              <w:pStyle w:val="TableMainHeading"/>
              <w:spacing w:before="60"/>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Største valuta og valutapar</w:t>
            </w:r>
          </w:p>
          <w:p w14:paraId="208A8263" w14:textId="77777777" w:rsidR="00EF74C7" w:rsidRPr="002A677E" w:rsidRDefault="00EF74C7" w:rsidP="00822842">
            <w:pPr>
              <w:rPr>
                <w:sz w:val="24"/>
                <w:rFonts w:ascii="Times New Roman" w:hAnsi="Times New Roman"/>
              </w:rPr>
            </w:pPr>
            <w:r>
              <w:rPr>
                <w:sz w:val="24"/>
                <w:rFonts w:ascii="Times New Roman" w:hAnsi="Times New Roman"/>
              </w:rPr>
              <w:t xml:space="preserve">Denne klassifikation foretages på grundlag af den aktuelle markedsværdi (CMV) for instituttets portefølje i henhold til anvendelsesområdet for SA-CCR eller den forenklede SA-CCR, alt efter hvad der er relevant, for transaktioner, der er henført henholdsvis til renterisiko og valutarisiko.</w:t>
            </w:r>
            <w:r>
              <w:rPr>
                <w:sz w:val="24"/>
                <w:rFonts w:ascii="Times New Roman" w:hAnsi="Times New Roman"/>
              </w:rPr>
              <w:t xml:space="preserve"> </w:t>
            </w:r>
          </w:p>
          <w:p w14:paraId="7CB8DC17" w14:textId="77777777" w:rsidR="00EF74C7" w:rsidRPr="002A677E" w:rsidRDefault="00EF74C7" w:rsidP="00822842">
            <w:pPr>
              <w:rPr>
                <w:i/>
                <w:sz w:val="24"/>
                <w:rFonts w:ascii="Times New Roman" w:hAnsi="Times New Roman"/>
              </w:rPr>
            </w:pPr>
            <w:r>
              <w:rPr>
                <w:sz w:val="24"/>
                <w:rFonts w:ascii="Times New Roman" w:hAnsi="Times New Roman"/>
              </w:rPr>
              <w:t xml:space="preserve">Med henblik på klassificeringen</w:t>
            </w:r>
            <w:r>
              <w:rPr>
                <w:sz w:val="24"/>
                <w:rFonts w:ascii="inherit" w:hAnsi="inherit"/>
              </w:rPr>
              <w:t xml:space="preserve"> lægges den absolutte værdi af den aktuelle markedsværdi (CMV) af positionerne sammen.</w:t>
            </w:r>
          </w:p>
        </w:tc>
      </w:tr>
      <w:tr w:rsidR="00EF74C7" w:rsidRPr="002A677E" w14:paraId="2A739349" w14:textId="77777777" w:rsidTr="00822842">
        <w:trPr>
          <w:trHeight w:val="2279"/>
        </w:trPr>
        <w:tc>
          <w:tcPr>
            <w:tcW w:w="1384" w:type="dxa"/>
          </w:tcPr>
          <w:p w14:paraId="69FD83B3" w14:textId="77777777" w:rsidR="00EF74C7" w:rsidRPr="002A677E" w:rsidRDefault="00EF74C7" w:rsidP="00822842">
            <w:pPr>
              <w:pStyle w:val="Applicationdirecte"/>
              <w:spacing w:before="0" w:after="0"/>
            </w:pPr>
            <w:r>
              <w:t xml:space="preserve">0060,0130, 0200,0240, 0280</w:t>
            </w:r>
          </w:p>
        </w:tc>
        <w:tc>
          <w:tcPr>
            <w:tcW w:w="7655" w:type="dxa"/>
          </w:tcPr>
          <w:p w14:paraId="3DB24763"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Eksklusiv henførelse</w:t>
            </w:r>
          </w:p>
          <w:p w14:paraId="7B69873D"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Artikel 277, stk. 1 og 2, i forordning (EU) nr. 575/2013</w:t>
            </w:r>
          </w:p>
          <w:p w14:paraId="1A762D0B"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Derivattransaktioner, der udelukkende er henført til en risikokategori i overensstemmelse med artikel 277, stk. 1, og 2, i forordning (EU) nr. 575/2013.</w:t>
            </w:r>
            <w:r>
              <w:rPr>
                <w:sz w:val="24"/>
                <w:rFonts w:ascii="Times New Roman" w:hAnsi="Times New Roman"/>
              </w:rPr>
              <w:t xml:space="preserve"> </w:t>
            </w:r>
          </w:p>
          <w:p w14:paraId="42AAB877"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Transaktioner, der henføres til forskellige risikokategorier i henhold til artikel 277, stk. 3, i forordning (EU) nr. 575/2013, medregnes ikke.</w:t>
            </w:r>
          </w:p>
        </w:tc>
      </w:tr>
      <w:tr w:rsidR="00EF74C7" w:rsidRPr="002A677E" w14:paraId="17A6F38B" w14:textId="77777777" w:rsidTr="00822842">
        <w:trPr>
          <w:trHeight w:val="680"/>
        </w:trPr>
        <w:tc>
          <w:tcPr>
            <w:tcW w:w="1384" w:type="dxa"/>
          </w:tcPr>
          <w:p w14:paraId="2EE61A22" w14:textId="77777777" w:rsidR="00EF74C7" w:rsidRPr="002A677E" w:rsidRDefault="00EF74C7" w:rsidP="00822842">
            <w:pPr>
              <w:pStyle w:val="Applicationdirecte"/>
              <w:spacing w:before="0" w:after="0"/>
            </w:pPr>
            <w:r>
              <w:t xml:space="preserve">0210, 0250</w:t>
            </w:r>
            <w:r>
              <w:t xml:space="preserve"> </w:t>
            </w:r>
          </w:p>
        </w:tc>
        <w:tc>
          <w:tcPr>
            <w:tcW w:w="7655" w:type="dxa"/>
          </w:tcPr>
          <w:p w14:paraId="4C85502F" w14:textId="77777777" w:rsidR="00EF74C7" w:rsidRPr="00624117" w:rsidRDefault="00EF74C7" w:rsidP="00822842">
            <w:pPr>
              <w:pStyle w:val="TableMainHeading"/>
              <w:spacing w:before="60"/>
              <w:jc w:val="both"/>
              <w:rPr>
                <w:rStyle w:val="InstructionsTabelleberschrift"/>
                <w:sz w:val="24"/>
                <w:rFonts w:ascii="Times New Roman" w:hAnsi="Times New Roman"/>
              </w:rPr>
            </w:pPr>
            <w:r>
              <w:rPr>
                <w:rStyle w:val="InstructionsTabelleberschrift"/>
                <w:sz w:val="24"/>
                <w:rFonts w:ascii="Times New Roman" w:hAnsi="Times New Roman"/>
              </w:rPr>
              <w:t xml:space="preserve">Single name-transaktioner</w:t>
            </w:r>
            <w:r>
              <w:rPr>
                <w:rStyle w:val="InstructionsTabelleberschrift"/>
                <w:sz w:val="24"/>
                <w:rFonts w:ascii="Times New Roman" w:hAnsi="Times New Roman"/>
              </w:rPr>
              <w:t xml:space="preserve"> </w:t>
            </w:r>
          </w:p>
          <w:p w14:paraId="31620001" w14:textId="77777777" w:rsidR="00EF74C7" w:rsidRPr="002A677E" w:rsidRDefault="00EF74C7" w:rsidP="00822842">
            <w:pPr>
              <w:pStyle w:val="TableMainHeading"/>
              <w:spacing w:before="60"/>
              <w:jc w:val="both"/>
              <w:rPr>
                <w:rStyle w:val="InstructionsTabelleberschrift"/>
                <w:sz w:val="24"/>
                <w:rFonts w:ascii="Times New Roman" w:hAnsi="Times New Roman"/>
              </w:rPr>
            </w:pPr>
            <w:r>
              <w:rPr>
                <w:sz w:val="24"/>
                <w:rFonts w:ascii="Times New Roman" w:hAnsi="Times New Roman"/>
              </w:rPr>
              <w:t xml:space="preserve">Single name-transaktioner, der</w:t>
            </w:r>
            <w:r>
              <w:rPr>
                <w:sz w:val="24"/>
                <w:rFonts w:ascii="Times New Roman" w:hAnsi="Times New Roman"/>
              </w:rPr>
              <w:t xml:space="preserve"> henføres til henholdsvis kreditrisiko og aktierisiko.</w:t>
            </w:r>
            <w:r>
              <w:rPr>
                <w:sz w:val="24"/>
                <w:rStyle w:val="InstructionsTabelleberschrift"/>
                <w:rFonts w:ascii="Times New Roman" w:hAnsi="Times New Roman"/>
              </w:rPr>
              <w:t xml:space="preserve"> </w:t>
            </w:r>
          </w:p>
        </w:tc>
      </w:tr>
      <w:tr w:rsidR="00EF74C7" w:rsidRPr="002A677E" w14:paraId="411237CA" w14:textId="77777777" w:rsidTr="00822842">
        <w:trPr>
          <w:trHeight w:val="680"/>
        </w:trPr>
        <w:tc>
          <w:tcPr>
            <w:tcW w:w="1384" w:type="dxa"/>
          </w:tcPr>
          <w:p w14:paraId="7AD9D26A" w14:textId="77777777" w:rsidR="00EF74C7" w:rsidRPr="002A677E" w:rsidRDefault="00EF74C7" w:rsidP="00822842">
            <w:pPr>
              <w:pStyle w:val="Applicationdirecte"/>
              <w:spacing w:before="0" w:after="0"/>
            </w:pPr>
            <w:r>
              <w:t xml:space="preserve">0220, 0260</w:t>
            </w:r>
          </w:p>
        </w:tc>
        <w:tc>
          <w:tcPr>
            <w:tcW w:w="7655" w:type="dxa"/>
          </w:tcPr>
          <w:p w14:paraId="116A322F"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Multi name-transaktioner</w:t>
            </w:r>
          </w:p>
          <w:p w14:paraId="3213EA59"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Multi name-transaktioner, der</w:t>
            </w:r>
            <w:r>
              <w:rPr>
                <w:sz w:val="24"/>
                <w:rFonts w:ascii="Times New Roman" w:hAnsi="Times New Roman"/>
              </w:rPr>
              <w:t xml:space="preserve"> henføres </w:t>
            </w:r>
            <w:r>
              <w:rPr>
                <w:sz w:val="24"/>
                <w:rFonts w:ascii="Times New Roman" w:hAnsi="Times New Roman"/>
              </w:rPr>
              <w:t xml:space="preserve">til henholdsvis kreditrisiko og aktierisiko.</w:t>
            </w:r>
            <w:r>
              <w:rPr>
                <w:sz w:val="24"/>
                <w:rFonts w:ascii="Times New Roman" w:hAnsi="Times New Roman"/>
              </w:rPr>
              <w:t xml:space="preserve"> </w:t>
            </w:r>
          </w:p>
        </w:tc>
      </w:tr>
      <w:tr w:rsidR="00EF74C7" w:rsidRPr="002A677E" w14:paraId="7EFE115E" w14:textId="77777777" w:rsidTr="00822842">
        <w:trPr>
          <w:trHeight w:val="680"/>
        </w:trPr>
        <w:tc>
          <w:tcPr>
            <w:tcW w:w="1384" w:type="dxa"/>
          </w:tcPr>
          <w:p w14:paraId="72F329F4" w14:textId="77777777" w:rsidR="00EF74C7" w:rsidRPr="002A677E" w:rsidRDefault="00EF74C7" w:rsidP="00822842">
            <w:pPr>
              <w:pStyle w:val="Applicationdirecte"/>
              <w:spacing w:before="0" w:after="0"/>
            </w:pPr>
            <w:r>
              <w:t xml:space="preserve">0290-0330</w:t>
            </w:r>
          </w:p>
        </w:tc>
        <w:tc>
          <w:tcPr>
            <w:tcW w:w="7655" w:type="dxa"/>
          </w:tcPr>
          <w:p w14:paraId="759D7338"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Risikoafdækningsgrupper for kategorien for råvarerisiko</w:t>
            </w:r>
          </w:p>
          <w:p w14:paraId="345A15AB"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Derivattransaktioner, der henregnes til risikoafdækningsgrupper for kategorien for råvarerisiko som angivet i artikel 277a, stk. 1, litra e), i forordning (EU) nr. 575/2013.</w:t>
            </w:r>
          </w:p>
        </w:tc>
      </w:tr>
    </w:tbl>
    <w:p w14:paraId="73ED3197" w14:textId="77777777" w:rsidR="00EF74C7" w:rsidRPr="002A677E" w:rsidRDefault="00EF74C7" w:rsidP="00EF74C7">
      <w:pPr>
        <w:tabs>
          <w:tab w:val="left" w:pos="1430"/>
        </w:tabs>
        <w:rPr>
          <w:rFonts w:ascii="Times New Roman" w:hAnsi="Times New Roman"/>
        </w:rPr>
      </w:pPr>
    </w:p>
    <w:p w14:paraId="6D94642A"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34" w:name="_Toc19715812"/>
      <w:bookmarkStart w:id="35" w:name="_Toc151714452"/>
      <w:r>
        <w:rPr>
          <w:sz w:val="24"/>
          <w:rFonts w:ascii="Times New Roman" w:hAnsi="Times New Roman"/>
        </w:rPr>
        <w:t xml:space="preserve">C 34.04 — Modpartsrisikoeksponeringer, der behandles med den oprindelige eksponeringsmetode (OEM)</w:t>
      </w:r>
      <w:bookmarkEnd w:id="34"/>
      <w:bookmarkEnd w:id="35"/>
    </w:p>
    <w:p w14:paraId="70D39844"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36" w:name="_Toc19715813"/>
      <w:bookmarkStart w:id="37" w:name="_Toc151714453"/>
      <w:r>
        <w:rPr>
          <w:sz w:val="24"/>
          <w:rFonts w:ascii="Times New Roman" w:hAnsi="Times New Roman"/>
        </w:rPr>
        <w:t xml:space="preserve">Instrukser vedrørende specifikke positioner</w:t>
      </w:r>
      <w:bookmarkEnd w:id="36"/>
      <w:bookmarkEnd w:id="3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55C08F8" w14:textId="77777777" w:rsidTr="00822842">
        <w:trPr>
          <w:trHeight w:val="238"/>
        </w:trPr>
        <w:tc>
          <w:tcPr>
            <w:tcW w:w="9039" w:type="dxa"/>
            <w:gridSpan w:val="2"/>
            <w:shd w:val="clear" w:color="auto" w:fill="D9D9D9" w:themeFill="background1" w:themeFillShade="D9"/>
          </w:tcPr>
          <w:p w14:paraId="00855009"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Kolonner</w:t>
            </w:r>
          </w:p>
        </w:tc>
      </w:tr>
      <w:tr w:rsidR="00EF74C7" w:rsidRPr="002A677E" w14:paraId="77E289F2" w14:textId="77777777" w:rsidTr="00822842">
        <w:trPr>
          <w:trHeight w:val="680"/>
        </w:trPr>
        <w:tc>
          <w:tcPr>
            <w:tcW w:w="1384" w:type="dxa"/>
          </w:tcPr>
          <w:p w14:paraId="06D0BF35" w14:textId="77777777" w:rsidR="00EF74C7" w:rsidRPr="002A677E" w:rsidRDefault="00EF74C7" w:rsidP="00822842">
            <w:pPr>
              <w:pStyle w:val="Applicationdirecte"/>
              <w:spacing w:before="0" w:after="0"/>
            </w:pPr>
            <w:r>
              <w:t xml:space="preserve">0010 - 0020</w:t>
            </w:r>
          </w:p>
        </w:tc>
        <w:tc>
          <w:tcPr>
            <w:tcW w:w="7655" w:type="dxa"/>
            <w:vAlign w:val="center"/>
          </w:tcPr>
          <w:p w14:paraId="1143FA35"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Instrukserne til kolonne 0010 og 0020 er dem, der er anført i skema C 34.02.</w:t>
            </w:r>
          </w:p>
        </w:tc>
      </w:tr>
      <w:tr w:rsidR="00EF74C7" w:rsidRPr="002A677E" w14:paraId="246DE35A" w14:textId="77777777" w:rsidTr="00822842">
        <w:trPr>
          <w:trHeight w:val="680"/>
        </w:trPr>
        <w:tc>
          <w:tcPr>
            <w:tcW w:w="1384" w:type="dxa"/>
          </w:tcPr>
          <w:p w14:paraId="48D3046F" w14:textId="77777777" w:rsidR="00EF74C7" w:rsidRPr="002A677E" w:rsidRDefault="00EF74C7" w:rsidP="00822842">
            <w:pPr>
              <w:pStyle w:val="Applicationdirecte"/>
              <w:spacing w:before="0" w:after="0"/>
              <w:jc w:val="left"/>
            </w:pPr>
            <w:r>
              <w:t xml:space="preserve">0030</w:t>
            </w:r>
          </w:p>
        </w:tc>
        <w:tc>
          <w:tcPr>
            <w:tcW w:w="7655" w:type="dxa"/>
            <w:vAlign w:val="center"/>
          </w:tcPr>
          <w:p w14:paraId="625DEDC4"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DEN AKTUELLE MARKEDSVÆRDI (CMV), POSITIV</w:t>
            </w:r>
          </w:p>
          <w:p w14:paraId="48775111"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Summen af de aktuelle markedsværdier (CMV'er) for alle transaktioner med positive CMV'er i den pågældende risikokategori.</w:t>
            </w:r>
          </w:p>
        </w:tc>
      </w:tr>
      <w:tr w:rsidR="00EF74C7" w:rsidRPr="002A677E" w14:paraId="755B978D" w14:textId="77777777" w:rsidTr="00822842">
        <w:trPr>
          <w:trHeight w:val="680"/>
        </w:trPr>
        <w:tc>
          <w:tcPr>
            <w:tcW w:w="1384" w:type="dxa"/>
          </w:tcPr>
          <w:p w14:paraId="26B7B5EF" w14:textId="77777777" w:rsidR="00EF74C7" w:rsidRPr="002A677E" w:rsidRDefault="00EF74C7" w:rsidP="00822842">
            <w:pPr>
              <w:pStyle w:val="Applicationdirecte"/>
              <w:spacing w:before="0" w:after="0"/>
              <w:jc w:val="left"/>
            </w:pPr>
            <w:r>
              <w:t xml:space="preserve">0040</w:t>
            </w:r>
          </w:p>
        </w:tc>
        <w:tc>
          <w:tcPr>
            <w:tcW w:w="7655" w:type="dxa"/>
            <w:vAlign w:val="center"/>
          </w:tcPr>
          <w:p w14:paraId="70CB5B2D"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DEN AKTUELLE MARKEDSVÆRDI (CMV), NEGATIV</w:t>
            </w:r>
          </w:p>
          <w:p w14:paraId="4475C6E2" w14:textId="77777777" w:rsidR="00EF74C7" w:rsidRPr="002A677E" w:rsidRDefault="00EF74C7" w:rsidP="00822842">
            <w:pPr>
              <w:keepNext/>
              <w:spacing w:before="60"/>
              <w:rPr>
                <w:rStyle w:val="InstructionsTabelleberschrift"/>
                <w:b w:val="0"/>
                <w:bCs w:val="0"/>
                <w:sz w:val="24"/>
                <w:u w:val="none"/>
                <w:rFonts w:ascii="Times New Roman" w:hAnsi="Times New Roman"/>
              </w:rPr>
            </w:pPr>
            <w:r>
              <w:rPr>
                <w:sz w:val="24"/>
                <w:rFonts w:ascii="Times New Roman" w:hAnsi="Times New Roman"/>
              </w:rPr>
              <w:t xml:space="preserve">Summen af de aktuelle markedsværdier (CMV'er) for alle transaktioner med negative CMV'er i den pågældende risikokategori.</w:t>
            </w:r>
          </w:p>
        </w:tc>
      </w:tr>
      <w:tr w:rsidR="00EF74C7" w:rsidRPr="002A677E" w14:paraId="02760C8A" w14:textId="77777777" w:rsidTr="00822842">
        <w:trPr>
          <w:trHeight w:val="680"/>
        </w:trPr>
        <w:tc>
          <w:tcPr>
            <w:tcW w:w="1384" w:type="dxa"/>
          </w:tcPr>
          <w:p w14:paraId="55D1F90D" w14:textId="77777777" w:rsidR="00EF74C7" w:rsidRPr="002A677E" w:rsidRDefault="00EF74C7" w:rsidP="00822842">
            <w:pPr>
              <w:pStyle w:val="Applicationdirecte"/>
              <w:spacing w:before="0" w:after="0"/>
              <w:jc w:val="left"/>
            </w:pPr>
            <w:r>
              <w:t xml:space="preserve">0050</w:t>
            </w:r>
          </w:p>
        </w:tc>
        <w:tc>
          <w:tcPr>
            <w:tcW w:w="7655" w:type="dxa"/>
            <w:vAlign w:val="center"/>
          </w:tcPr>
          <w:p w14:paraId="734C593C"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DEN POTENTIELLE FREMTIDIGE EKSPONERING (PFE)</w:t>
            </w:r>
          </w:p>
          <w:p w14:paraId="53085A1E"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Instituttet indberetter summen af PFE'er for alle transaktioner i samme risikokategori.</w:t>
            </w:r>
          </w:p>
        </w:tc>
      </w:tr>
      <w:tr w:rsidR="00EF74C7" w:rsidRPr="002A677E" w14:paraId="750D71A5" w14:textId="77777777" w:rsidTr="00822842">
        <w:trPr>
          <w:trHeight w:val="238"/>
        </w:trPr>
        <w:tc>
          <w:tcPr>
            <w:tcW w:w="9039" w:type="dxa"/>
            <w:gridSpan w:val="2"/>
            <w:tcBorders>
              <w:right w:val="single" w:sz="4" w:space="0" w:color="auto"/>
            </w:tcBorders>
            <w:shd w:val="clear" w:color="auto" w:fill="D9D9D9" w:themeFill="background1" w:themeFillShade="D9"/>
          </w:tcPr>
          <w:p w14:paraId="05CBC33B"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Rækker</w:t>
            </w:r>
          </w:p>
        </w:tc>
      </w:tr>
      <w:tr w:rsidR="00EF74C7" w:rsidRPr="002A677E" w14:paraId="753D4ED0" w14:textId="77777777" w:rsidTr="00822842">
        <w:trPr>
          <w:trHeight w:val="680"/>
        </w:trPr>
        <w:tc>
          <w:tcPr>
            <w:tcW w:w="1384" w:type="dxa"/>
          </w:tcPr>
          <w:p w14:paraId="1FCDB527" w14:textId="77777777" w:rsidR="00EF74C7" w:rsidRPr="002A677E" w:rsidRDefault="00EF74C7" w:rsidP="00822842">
            <w:pPr>
              <w:pStyle w:val="Applicationdirecte"/>
              <w:spacing w:before="0" w:after="0"/>
            </w:pPr>
            <w:r>
              <w:t xml:space="preserve">0020 - 0070</w:t>
            </w:r>
          </w:p>
        </w:tc>
        <w:tc>
          <w:tcPr>
            <w:tcW w:w="7655" w:type="dxa"/>
            <w:vAlign w:val="center"/>
          </w:tcPr>
          <w:p w14:paraId="31AB6B37"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RISIKOKATEGORIER</w:t>
            </w:r>
          </w:p>
          <w:p w14:paraId="183CF2DA"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Derivattransaktioner, der er henregnet til risikokategorier som angivet i artikel 282, stk. 4, litra b), i forordning (EU) nr. 575/2013.</w:t>
            </w:r>
          </w:p>
        </w:tc>
      </w:tr>
    </w:tbl>
    <w:p w14:paraId="4C05758D" w14:textId="77777777" w:rsidR="00EF74C7" w:rsidRPr="002A677E" w:rsidRDefault="00EF74C7" w:rsidP="00EF74C7">
      <w:pPr>
        <w:tabs>
          <w:tab w:val="left" w:pos="1430"/>
        </w:tabs>
        <w:rPr>
          <w:rFonts w:ascii="Times New Roman" w:hAnsi="Times New Roman"/>
        </w:rPr>
      </w:pPr>
    </w:p>
    <w:p w14:paraId="087B82F5"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38" w:name="_Toc19715814"/>
      <w:bookmarkStart w:id="39" w:name="_Toc151714454"/>
      <w:r>
        <w:rPr>
          <w:sz w:val="24"/>
          <w:rFonts w:ascii="Times New Roman" w:hAnsi="Times New Roman"/>
        </w:rPr>
        <w:t xml:space="preserve">C 34.05 — Modpartsrisikoeksponeringer, der behandles med metoden med interne modeller (IMM)</w:t>
      </w:r>
      <w:bookmarkEnd w:id="38"/>
      <w:bookmarkEnd w:id="39"/>
    </w:p>
    <w:p w14:paraId="055BB797"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40" w:name="_Toc19715815"/>
      <w:bookmarkStart w:id="41" w:name="_Toc151714455"/>
      <w:r>
        <w:rPr>
          <w:sz w:val="24"/>
          <w:rFonts w:ascii="Times New Roman" w:hAnsi="Times New Roman"/>
        </w:rPr>
        <w:t xml:space="preserve">Instrukser vedrørende specifikke positioner</w:t>
      </w:r>
      <w:bookmarkEnd w:id="40"/>
      <w:bookmarkEnd w:id="4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A1FFA92" w14:textId="77777777" w:rsidTr="00822842">
        <w:trPr>
          <w:trHeight w:val="238"/>
        </w:trPr>
        <w:tc>
          <w:tcPr>
            <w:tcW w:w="9039" w:type="dxa"/>
            <w:gridSpan w:val="2"/>
            <w:shd w:val="clear" w:color="auto" w:fill="D9D9D9" w:themeFill="background1" w:themeFillShade="D9"/>
          </w:tcPr>
          <w:p w14:paraId="2A9ED361"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Kolonner</w:t>
            </w:r>
          </w:p>
        </w:tc>
      </w:tr>
      <w:tr w:rsidR="00EF74C7" w:rsidRPr="002A677E" w14:paraId="38FC6FA5" w14:textId="77777777" w:rsidTr="00822842">
        <w:trPr>
          <w:trHeight w:val="680"/>
        </w:trPr>
        <w:tc>
          <w:tcPr>
            <w:tcW w:w="1384" w:type="dxa"/>
          </w:tcPr>
          <w:p w14:paraId="27DC6DB6" w14:textId="77777777" w:rsidR="00EF74C7" w:rsidRPr="002A677E" w:rsidRDefault="00EF74C7" w:rsidP="00822842">
            <w:pPr>
              <w:pStyle w:val="Applicationdirecte"/>
              <w:spacing w:before="0" w:after="0"/>
            </w:pPr>
            <w:r>
              <w:t xml:space="preserve">00010 - 0080</w:t>
            </w:r>
          </w:p>
        </w:tc>
        <w:tc>
          <w:tcPr>
            <w:tcW w:w="7655" w:type="dxa"/>
            <w:vAlign w:val="center"/>
          </w:tcPr>
          <w:p w14:paraId="4E699B36" w14:textId="77777777" w:rsidR="00EF74C7" w:rsidRPr="002A677E" w:rsidRDefault="00EF74C7" w:rsidP="00822842">
            <w:pPr>
              <w:keepNext/>
              <w:spacing w:before="60"/>
              <w:rPr>
                <w:strike/>
                <w:sz w:val="24"/>
                <w:rFonts w:ascii="Times New Roman" w:hAnsi="Times New Roman"/>
              </w:rPr>
            </w:pPr>
            <w:r>
              <w:rPr>
                <w:rStyle w:val="InstructionsTabelleberschrift"/>
                <w:sz w:val="24"/>
                <w:rFonts w:ascii="Times New Roman" w:hAnsi="Times New Roman"/>
              </w:rPr>
              <w:t xml:space="preserve">MED MARGEN</w:t>
            </w:r>
            <w:r>
              <w:rPr>
                <w:rStyle w:val="InstructionsTabelleberschrift"/>
                <w:sz w:val="24"/>
                <w:rFonts w:ascii="Times New Roman" w:hAnsi="Times New Roman"/>
              </w:rPr>
              <w:t xml:space="preserve"> </w:t>
            </w:r>
          </w:p>
          <w:p w14:paraId="44743405" w14:textId="77777777" w:rsidR="00EF74C7" w:rsidRPr="002A677E" w:rsidRDefault="00EF74C7" w:rsidP="00822842">
            <w:pPr>
              <w:keepNext/>
              <w:spacing w:before="60"/>
              <w:rPr>
                <w:strike/>
                <w:sz w:val="24"/>
                <w:rFonts w:ascii="Times New Roman" w:hAnsi="Times New Roman"/>
              </w:rPr>
            </w:pPr>
            <w:r>
              <w:rPr>
                <w:sz w:val="24"/>
                <w:rFonts w:ascii="Times New Roman" w:hAnsi="Times New Roman"/>
              </w:rPr>
              <w:t xml:space="preserve">Se instrukserne til række 0130 i skema C 34.02.</w:t>
            </w:r>
          </w:p>
        </w:tc>
      </w:tr>
      <w:tr w:rsidR="00EF74C7" w:rsidRPr="002A677E" w14:paraId="2E882AEE" w14:textId="77777777" w:rsidTr="00822842">
        <w:trPr>
          <w:trHeight w:val="680"/>
        </w:trPr>
        <w:tc>
          <w:tcPr>
            <w:tcW w:w="1384" w:type="dxa"/>
          </w:tcPr>
          <w:p w14:paraId="4753DFE3" w14:textId="77777777" w:rsidR="00EF74C7" w:rsidRPr="002A677E" w:rsidRDefault="00EF74C7" w:rsidP="00822842">
            <w:pPr>
              <w:pStyle w:val="Applicationdirecte"/>
              <w:spacing w:before="0" w:after="0"/>
            </w:pPr>
            <w:r>
              <w:t xml:space="preserve">0090 - 0160</w:t>
            </w:r>
          </w:p>
        </w:tc>
        <w:tc>
          <w:tcPr>
            <w:tcW w:w="7655" w:type="dxa"/>
            <w:vAlign w:val="center"/>
          </w:tcPr>
          <w:p w14:paraId="77C0E439" w14:textId="77777777" w:rsidR="00EF74C7" w:rsidRPr="002A677E" w:rsidRDefault="00EF74C7" w:rsidP="00822842">
            <w:pPr>
              <w:keepNext/>
              <w:spacing w:before="60"/>
              <w:rPr>
                <w:rStyle w:val="InstructionsTabelleberschrift"/>
                <w:b w:val="0"/>
                <w:bCs w:val="0"/>
                <w:sz w:val="24"/>
                <w:rFonts w:ascii="Times New Roman" w:hAnsi="Times New Roman"/>
              </w:rPr>
            </w:pPr>
            <w:r>
              <w:rPr>
                <w:rStyle w:val="InstructionsTabelleberschrift"/>
                <w:sz w:val="24"/>
                <w:rFonts w:ascii="Times New Roman" w:hAnsi="Times New Roman"/>
              </w:rPr>
              <w:t xml:space="preserve">UDEN MARGEN</w:t>
            </w:r>
            <w:r>
              <w:rPr>
                <w:rStyle w:val="InstructionsTabelleberschrift"/>
                <w:sz w:val="24"/>
                <w:rFonts w:ascii="Times New Roman" w:hAnsi="Times New Roman"/>
              </w:rPr>
              <w:t xml:space="preserve"> </w:t>
            </w:r>
          </w:p>
          <w:p w14:paraId="3E0059F7" w14:textId="77777777" w:rsidR="00EF74C7" w:rsidRPr="002A677E" w:rsidRDefault="00EF74C7" w:rsidP="00822842">
            <w:pPr>
              <w:keepNext/>
              <w:spacing w:before="60"/>
              <w:rPr>
                <w:strike/>
                <w:sz w:val="24"/>
                <w:rFonts w:ascii="Times New Roman" w:hAnsi="Times New Roman"/>
              </w:rPr>
            </w:pPr>
            <w:r>
              <w:rPr>
                <w:sz w:val="24"/>
                <w:rFonts w:ascii="Times New Roman" w:hAnsi="Times New Roman"/>
              </w:rPr>
              <w:t xml:space="preserve">Se instrukserne til række 0140 i skema C 34.02.</w:t>
            </w:r>
          </w:p>
        </w:tc>
      </w:tr>
      <w:tr w:rsidR="00EF74C7" w:rsidRPr="002A677E" w14:paraId="11088642" w14:textId="77777777" w:rsidTr="00822842">
        <w:trPr>
          <w:trHeight w:val="680"/>
        </w:trPr>
        <w:tc>
          <w:tcPr>
            <w:tcW w:w="1384" w:type="dxa"/>
          </w:tcPr>
          <w:p w14:paraId="38E3A9E7" w14:textId="77777777" w:rsidR="00EF74C7" w:rsidRPr="002A677E" w:rsidRDefault="00EF74C7" w:rsidP="00822842">
            <w:pPr>
              <w:pStyle w:val="Applicationdirecte"/>
              <w:spacing w:before="0" w:after="0"/>
              <w:jc w:val="left"/>
            </w:pPr>
            <w:r>
              <w:t xml:space="preserve">0010,0090</w:t>
            </w:r>
          </w:p>
        </w:tc>
        <w:tc>
          <w:tcPr>
            <w:tcW w:w="7655" w:type="dxa"/>
            <w:vAlign w:val="center"/>
          </w:tcPr>
          <w:p w14:paraId="10F9DAAA"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ANTAL TRANSAKTIONER</w:t>
            </w:r>
            <w:r>
              <w:rPr>
                <w:rStyle w:val="InstructionsTabelleberschrift"/>
                <w:sz w:val="24"/>
                <w:rFonts w:ascii="Times New Roman" w:hAnsi="Times New Roman"/>
              </w:rPr>
              <w:t xml:space="preserve"> </w:t>
            </w:r>
          </w:p>
          <w:p w14:paraId="5C4653C5" w14:textId="77777777" w:rsidR="00EF74C7" w:rsidRPr="002A677E" w:rsidRDefault="00EF74C7" w:rsidP="00822842">
            <w:pPr>
              <w:keepNext/>
              <w:spacing w:before="60"/>
              <w:rPr>
                <w:strike/>
                <w:sz w:val="24"/>
                <w:rFonts w:ascii="Times New Roman" w:hAnsi="Times New Roman"/>
              </w:rPr>
            </w:pPr>
            <w:r>
              <w:rPr>
                <w:sz w:val="24"/>
                <w:rFonts w:ascii="Times New Roman" w:hAnsi="Times New Roman"/>
              </w:rPr>
              <w:t xml:space="preserve">Se instrukserne til kolonne 0020 i skema C 34.02.</w:t>
            </w:r>
          </w:p>
        </w:tc>
      </w:tr>
      <w:tr w:rsidR="00EF74C7" w:rsidRPr="002A677E" w14:paraId="2A1C3305" w14:textId="77777777" w:rsidTr="00822842">
        <w:trPr>
          <w:trHeight w:val="680"/>
        </w:trPr>
        <w:tc>
          <w:tcPr>
            <w:tcW w:w="1384" w:type="dxa"/>
          </w:tcPr>
          <w:p w14:paraId="0F1355B7" w14:textId="77777777" w:rsidR="00EF74C7" w:rsidRPr="002A677E" w:rsidRDefault="00EF74C7" w:rsidP="00822842">
            <w:pPr>
              <w:pStyle w:val="Applicationdirecte"/>
              <w:spacing w:before="0" w:after="0"/>
              <w:jc w:val="left"/>
            </w:pPr>
            <w:r>
              <w:t xml:space="preserve">0020,0100</w:t>
            </w:r>
          </w:p>
        </w:tc>
        <w:tc>
          <w:tcPr>
            <w:tcW w:w="7655" w:type="dxa"/>
            <w:vAlign w:val="center"/>
          </w:tcPr>
          <w:p w14:paraId="73CC08BF" w14:textId="77777777" w:rsidR="00EF74C7" w:rsidRPr="002A677E" w:rsidRDefault="00EF74C7" w:rsidP="00822842">
            <w:pPr>
              <w:keepNext/>
              <w:spacing w:before="60"/>
              <w:rPr>
                <w:rStyle w:val="InstructionsTabelleberschrift"/>
                <w:b w:val="0"/>
                <w:bCs w:val="0"/>
                <w:sz w:val="24"/>
                <w:rFonts w:ascii="Times New Roman" w:hAnsi="Times New Roman"/>
              </w:rPr>
            </w:pPr>
            <w:r>
              <w:rPr>
                <w:rStyle w:val="InstructionsTabelleberschrift"/>
                <w:sz w:val="24"/>
                <w:rFonts w:ascii="Times New Roman" w:hAnsi="Times New Roman"/>
              </w:rPr>
              <w:t xml:space="preserve">NOMINEL VÆRDI</w:t>
            </w:r>
            <w:r>
              <w:rPr>
                <w:rStyle w:val="InstructionsTabelleberschrift"/>
                <w:sz w:val="24"/>
                <w:rFonts w:ascii="Times New Roman" w:hAnsi="Times New Roman"/>
              </w:rPr>
              <w:t xml:space="preserve"> </w:t>
            </w:r>
          </w:p>
          <w:p w14:paraId="75787B39" w14:textId="77777777" w:rsidR="00EF74C7" w:rsidRPr="002A677E" w:rsidRDefault="00EF74C7" w:rsidP="00822842">
            <w:pPr>
              <w:keepNext/>
              <w:spacing w:before="60"/>
              <w:rPr>
                <w:i/>
                <w:strike/>
                <w:sz w:val="24"/>
                <w:rFonts w:ascii="Times New Roman" w:hAnsi="Times New Roman"/>
              </w:rPr>
            </w:pPr>
            <w:r>
              <w:rPr>
                <w:sz w:val="24"/>
                <w:rFonts w:ascii="Times New Roman" w:hAnsi="Times New Roman"/>
              </w:rPr>
              <w:t xml:space="preserve">Se instrukserne til kolonne 0030 i skema C 34.02.</w:t>
            </w:r>
          </w:p>
        </w:tc>
      </w:tr>
      <w:tr w:rsidR="00EF74C7" w:rsidRPr="002A677E" w14:paraId="07CB3F2E" w14:textId="77777777" w:rsidTr="00822842">
        <w:trPr>
          <w:trHeight w:val="680"/>
        </w:trPr>
        <w:tc>
          <w:tcPr>
            <w:tcW w:w="1384" w:type="dxa"/>
          </w:tcPr>
          <w:p w14:paraId="16DDFD4B" w14:textId="77777777" w:rsidR="00EF74C7" w:rsidRPr="002A677E" w:rsidRDefault="00EF74C7" w:rsidP="00822842">
            <w:pPr>
              <w:pStyle w:val="Applicationdirecte"/>
              <w:spacing w:before="0" w:after="0"/>
              <w:jc w:val="left"/>
            </w:pPr>
            <w:r>
              <w:t xml:space="preserve">0030,0110</w:t>
            </w:r>
          </w:p>
        </w:tc>
        <w:tc>
          <w:tcPr>
            <w:tcW w:w="7655" w:type="dxa"/>
            <w:vAlign w:val="center"/>
          </w:tcPr>
          <w:p w14:paraId="5D4ADBBE"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DEN AKTUELLE MARKEDSVÆRDI (CMV), POSITIV</w:t>
            </w:r>
          </w:p>
          <w:p w14:paraId="1BDCFC64"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Summen af de aktuelle markedsværdier (CMV'er) for alle transaktioner med positive CMV'er, der hører til den samme aktivklasse.</w:t>
            </w:r>
          </w:p>
        </w:tc>
      </w:tr>
      <w:tr w:rsidR="00EF74C7" w:rsidRPr="002A677E" w14:paraId="1D55DF7C" w14:textId="77777777" w:rsidTr="00822842">
        <w:trPr>
          <w:trHeight w:val="680"/>
        </w:trPr>
        <w:tc>
          <w:tcPr>
            <w:tcW w:w="1384" w:type="dxa"/>
          </w:tcPr>
          <w:p w14:paraId="1B4379B1" w14:textId="77777777" w:rsidR="00EF74C7" w:rsidRPr="002A677E" w:rsidRDefault="00EF74C7" w:rsidP="00822842">
            <w:pPr>
              <w:pStyle w:val="Applicationdirecte"/>
              <w:spacing w:before="0" w:after="0"/>
              <w:jc w:val="left"/>
            </w:pPr>
            <w:r>
              <w:t xml:space="preserve">0040,0120</w:t>
            </w:r>
          </w:p>
        </w:tc>
        <w:tc>
          <w:tcPr>
            <w:tcW w:w="7655" w:type="dxa"/>
            <w:vAlign w:val="center"/>
          </w:tcPr>
          <w:p w14:paraId="06A034B3"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DEN AKTUELLE MARKEDSVÆRDI (CMV), NEGATIV</w:t>
            </w:r>
          </w:p>
          <w:p w14:paraId="4B126FBF"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Summen af de aktuelle markedsværdier (CMV'er) for alle transaktioner med negative CMV'er, der hører til den samme aktivklasse.</w:t>
            </w:r>
          </w:p>
        </w:tc>
      </w:tr>
      <w:tr w:rsidR="00EF74C7" w:rsidRPr="002A677E" w14:paraId="5443ACE2" w14:textId="77777777" w:rsidTr="00822842">
        <w:trPr>
          <w:trHeight w:val="680"/>
        </w:trPr>
        <w:tc>
          <w:tcPr>
            <w:tcW w:w="1384" w:type="dxa"/>
          </w:tcPr>
          <w:p w14:paraId="026B5D82" w14:textId="77777777" w:rsidR="00EF74C7" w:rsidRPr="002A677E" w:rsidRDefault="00EF74C7" w:rsidP="00822842">
            <w:pPr>
              <w:pStyle w:val="Applicationdirecte"/>
              <w:spacing w:before="0" w:after="0"/>
              <w:jc w:val="left"/>
            </w:pPr>
            <w:r>
              <w:t xml:space="preserve">0050,0130</w:t>
            </w:r>
          </w:p>
        </w:tc>
        <w:tc>
          <w:tcPr>
            <w:tcW w:w="7655" w:type="dxa"/>
            <w:vAlign w:val="center"/>
          </w:tcPr>
          <w:p w14:paraId="6BEF0650"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NUVÆRENDE EKSPONERING</w:t>
            </w:r>
          </w:p>
          <w:p w14:paraId="4BD20CD9" w14:textId="77777777" w:rsidR="00EF74C7" w:rsidRPr="002A677E" w:rsidRDefault="00EF74C7" w:rsidP="00822842">
            <w:pPr>
              <w:keepNext/>
              <w:spacing w:before="60"/>
              <w:rPr>
                <w:strike/>
                <w:sz w:val="24"/>
                <w:rFonts w:ascii="Times New Roman" w:hAnsi="Times New Roman"/>
              </w:rPr>
            </w:pPr>
            <w:r>
              <w:rPr>
                <w:sz w:val="24"/>
                <w:rFonts w:ascii="Times New Roman" w:hAnsi="Times New Roman"/>
              </w:rPr>
              <w:t xml:space="preserve">Se instrukserne til kolonne 0120 i skema C 34.02.</w:t>
            </w:r>
          </w:p>
        </w:tc>
      </w:tr>
      <w:tr w:rsidR="00EF74C7" w:rsidRPr="002A677E" w14:paraId="33A01D3A" w14:textId="77777777" w:rsidTr="00822842">
        <w:trPr>
          <w:trHeight w:val="680"/>
        </w:trPr>
        <w:tc>
          <w:tcPr>
            <w:tcW w:w="1384" w:type="dxa"/>
          </w:tcPr>
          <w:p w14:paraId="434C41F4" w14:textId="77777777" w:rsidR="00EF74C7" w:rsidRPr="002A677E" w:rsidRDefault="00EF74C7" w:rsidP="00822842">
            <w:pPr>
              <w:pStyle w:val="Applicationdirecte"/>
              <w:spacing w:before="0" w:after="0"/>
              <w:jc w:val="left"/>
            </w:pPr>
            <w:r>
              <w:t xml:space="preserve">0060,0140</w:t>
            </w:r>
          </w:p>
        </w:tc>
        <w:tc>
          <w:tcPr>
            <w:tcW w:w="7655" w:type="dxa"/>
            <w:vAlign w:val="center"/>
          </w:tcPr>
          <w:p w14:paraId="5F8AFE09"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FAKTISK FORVENTET POSITIV EKSPONERING (DEN FAKTISKE EPE)</w:t>
            </w:r>
          </w:p>
          <w:p w14:paraId="72409BA6" w14:textId="77777777" w:rsidR="00EF74C7" w:rsidRPr="002A677E" w:rsidRDefault="00EF74C7" w:rsidP="00822842">
            <w:pPr>
              <w:pStyle w:val="Default"/>
              <w:spacing w:after="120"/>
              <w:jc w:val="both"/>
              <w:rPr>
                <w:strike/>
                <w:color w:val="auto"/>
                <w:rFonts w:ascii="Times New Roman" w:hAnsi="Times New Roman" w:cs="Times New Roman"/>
              </w:rPr>
            </w:pPr>
            <w:r>
              <w:rPr>
                <w:color w:val="auto"/>
                <w:rFonts w:ascii="Times New Roman" w:hAnsi="Times New Roman"/>
              </w:rPr>
              <w:t xml:space="preserve">Se instrukserne til kolonne 0130 i skema C 34.02.</w:t>
            </w:r>
          </w:p>
        </w:tc>
      </w:tr>
      <w:tr w:rsidR="00EF74C7" w:rsidRPr="002A677E" w14:paraId="1D10918D" w14:textId="77777777" w:rsidTr="00822842">
        <w:trPr>
          <w:trHeight w:val="680"/>
        </w:trPr>
        <w:tc>
          <w:tcPr>
            <w:tcW w:w="1384" w:type="dxa"/>
          </w:tcPr>
          <w:p w14:paraId="208DFF88" w14:textId="77777777" w:rsidR="00EF74C7" w:rsidRPr="002A677E" w:rsidRDefault="00EF74C7" w:rsidP="00822842">
            <w:pPr>
              <w:pStyle w:val="Applicationdirecte"/>
              <w:spacing w:before="0" w:after="0"/>
              <w:jc w:val="left"/>
            </w:pPr>
            <w:r>
              <w:t xml:space="preserve">0070,0150</w:t>
            </w:r>
          </w:p>
        </w:tc>
        <w:tc>
          <w:tcPr>
            <w:tcW w:w="7655" w:type="dxa"/>
            <w:vAlign w:val="center"/>
          </w:tcPr>
          <w:p w14:paraId="0290C67F"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DEN FAKTISKE EPE UNDER STRESSBETINGELSER</w:t>
            </w:r>
          </w:p>
          <w:p w14:paraId="071BB18F"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Artikel 284, 6 og artikel 292, stk. 2, i forordning (EU) nr. 575/2013</w:t>
            </w:r>
          </w:p>
          <w:p w14:paraId="4C777000"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Den faktiske EPE under stressbetingelser beregnes analogt med den faktiske EPE (artikel 284, stk. 6, i forordning (EU) nr. 575/2013), men der anvendes en stresskalibrering i overensstemmelse med artikel 292, stk. 2, i forordning (EU) nr. 575/2013.</w:t>
            </w:r>
          </w:p>
        </w:tc>
      </w:tr>
      <w:tr w:rsidR="00EF74C7" w:rsidRPr="002A677E" w14:paraId="2950463C" w14:textId="77777777" w:rsidTr="00822842">
        <w:trPr>
          <w:trHeight w:val="680"/>
        </w:trPr>
        <w:tc>
          <w:tcPr>
            <w:tcW w:w="1384" w:type="dxa"/>
          </w:tcPr>
          <w:p w14:paraId="1FAC8572" w14:textId="77777777" w:rsidR="00EF74C7" w:rsidRPr="002A677E" w:rsidRDefault="00EF74C7" w:rsidP="00822842">
            <w:pPr>
              <w:pStyle w:val="Applicationdirecte"/>
              <w:spacing w:before="0" w:after="0"/>
              <w:jc w:val="left"/>
            </w:pPr>
            <w:r>
              <w:t xml:space="preserve">0080, 0160,0170</w:t>
            </w:r>
          </w:p>
        </w:tc>
        <w:tc>
          <w:tcPr>
            <w:tcW w:w="7655" w:type="dxa"/>
            <w:vAlign w:val="center"/>
          </w:tcPr>
          <w:p w14:paraId="38883B3C"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EKSPONERINGSVÆRDI</w:t>
            </w:r>
          </w:p>
          <w:p w14:paraId="5D5537F3"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Se instrukserne til kolonne 0170 i skema C 34.02.</w:t>
            </w:r>
          </w:p>
        </w:tc>
      </w:tr>
      <w:tr w:rsidR="00EF74C7" w:rsidRPr="00403B9F" w14:paraId="1DF28D0B" w14:textId="77777777" w:rsidTr="00822842">
        <w:trPr>
          <w:trHeight w:val="680"/>
        </w:trPr>
        <w:tc>
          <w:tcPr>
            <w:tcW w:w="9039" w:type="dxa"/>
            <w:gridSpan w:val="2"/>
            <w:tcBorders>
              <w:left w:val="nil"/>
              <w:right w:val="nil"/>
            </w:tcBorders>
          </w:tcPr>
          <w:p w14:paraId="07A3474A" w14:textId="77777777" w:rsidR="00EF74C7" w:rsidRPr="00D768D3" w:rsidDel="00291448" w:rsidRDefault="00EF74C7" w:rsidP="00822842">
            <w:pPr>
              <w:rPr>
                <w:rFonts w:ascii="Times New Roman" w:hAnsi="Times New Roman"/>
                <w:sz w:val="24"/>
              </w:rPr>
            </w:pPr>
          </w:p>
        </w:tc>
      </w:tr>
      <w:tr w:rsidR="00EF74C7" w:rsidRPr="002A677E" w14:paraId="6D57400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9AA72" w14:textId="77777777" w:rsidR="00EF74C7" w:rsidRPr="002A677E" w:rsidRDefault="00EF74C7" w:rsidP="00822842">
            <w:pPr>
              <w:pStyle w:val="Applicationdirecte"/>
              <w:spacing w:before="0"/>
              <w:jc w:val="left"/>
              <w:rPr>
                <w:b/>
              </w:rPr>
            </w:pPr>
            <w:r>
              <w:rPr>
                <w:b/>
              </w:rPr>
              <w:t xml:space="preserve">Række</w:t>
            </w:r>
            <w:r>
              <w:rPr>
                <w:b/>
              </w:rPr>
              <w:t xml:space="preserve">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CD43E" w14:textId="77777777" w:rsidR="00EF74C7" w:rsidRPr="002A677E" w:rsidRDefault="00EF74C7" w:rsidP="00822842">
            <w:pPr>
              <w:pStyle w:val="TableMainHeading"/>
              <w:spacing w:before="60"/>
              <w:rPr>
                <w:b/>
                <w:sz w:val="24"/>
                <w:szCs w:val="24"/>
                <w:rFonts w:ascii="Times New Roman" w:hAnsi="Times New Roman"/>
              </w:rPr>
            </w:pPr>
            <w:r>
              <w:rPr>
                <w:b/>
                <w:sz w:val="24"/>
                <w:rFonts w:ascii="Times New Roman" w:hAnsi="Times New Roman"/>
              </w:rPr>
              <w:t xml:space="preserve">Forklaring</w:t>
            </w:r>
            <w:r>
              <w:rPr>
                <w:b/>
                <w:sz w:val="24"/>
                <w:rFonts w:ascii="Times New Roman" w:hAnsi="Times New Roman"/>
              </w:rPr>
              <w:t xml:space="preserve"> </w:t>
            </w:r>
          </w:p>
        </w:tc>
      </w:tr>
      <w:tr w:rsidR="00EF74C7" w:rsidRPr="002A677E" w14:paraId="09B9D5F2" w14:textId="77777777" w:rsidTr="00822842">
        <w:trPr>
          <w:trHeight w:val="426"/>
        </w:trPr>
        <w:tc>
          <w:tcPr>
            <w:tcW w:w="1384" w:type="dxa"/>
          </w:tcPr>
          <w:p w14:paraId="4740A097" w14:textId="77777777" w:rsidR="00EF74C7" w:rsidRPr="002A677E" w:rsidRDefault="00EF74C7" w:rsidP="00822842">
            <w:pPr>
              <w:pStyle w:val="Applicationdirecte"/>
              <w:spacing w:before="0" w:after="0"/>
            </w:pPr>
            <w:r>
              <w:t xml:space="preserve">0010</w:t>
            </w:r>
          </w:p>
        </w:tc>
        <w:tc>
          <w:tcPr>
            <w:tcW w:w="7655" w:type="dxa"/>
          </w:tcPr>
          <w:p w14:paraId="155D9C7F"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I ALT</w:t>
            </w:r>
            <w:r>
              <w:rPr>
                <w:rStyle w:val="InstructionsTabelleberschrift"/>
                <w:sz w:val="24"/>
                <w:rFonts w:ascii="Times New Roman" w:hAnsi="Times New Roman"/>
              </w:rPr>
              <w:t xml:space="preserve"> </w:t>
            </w:r>
          </w:p>
          <w:p w14:paraId="43496D3B" w14:textId="77777777" w:rsidR="00EF74C7" w:rsidRPr="002A677E" w:rsidRDefault="00EF74C7" w:rsidP="00822842">
            <w:pPr>
              <w:keepNext/>
              <w:spacing w:before="60"/>
              <w:rPr>
                <w:sz w:val="24"/>
              </w:rPr>
            </w:pPr>
            <w:r>
              <w:rPr>
                <w:sz w:val="24"/>
                <w:rFonts w:ascii="Times New Roman" w:hAnsi="Times New Roman"/>
              </w:rPr>
              <w:t xml:space="preserve">Artikel 283 i forordning (EU) nr. 575/2013</w:t>
            </w:r>
          </w:p>
          <w:p w14:paraId="72F05A01" w14:textId="77777777" w:rsidR="00EF74C7" w:rsidRPr="002A677E" w:rsidRDefault="00EF74C7" w:rsidP="00822842">
            <w:pPr>
              <w:rPr>
                <w:sz w:val="24"/>
              </w:rPr>
            </w:pPr>
            <w:r>
              <w:rPr>
                <w:sz w:val="24"/>
                <w:rFonts w:ascii="Times New Roman" w:hAnsi="Times New Roman"/>
              </w:rPr>
              <w:t xml:space="preserve">Instituttet indberetter relevante oplysninger om derivater, terminsforretninger og værdipapirfinansieringstransaktioner, for hvilke det er tilladt at fastsætte eksponeringsværdien beregnet ved hjælp af metoden med interne modeller i overensstemmelse med artikel 283 i forordning (EU) nr. 575/2013.</w:t>
            </w:r>
          </w:p>
        </w:tc>
      </w:tr>
      <w:tr w:rsidR="00EF74C7" w:rsidRPr="002A677E" w14:paraId="61D3022A" w14:textId="77777777" w:rsidTr="00822842">
        <w:trPr>
          <w:trHeight w:val="829"/>
        </w:trPr>
        <w:tc>
          <w:tcPr>
            <w:tcW w:w="1384" w:type="dxa"/>
          </w:tcPr>
          <w:p w14:paraId="395168E0" w14:textId="77777777" w:rsidR="00EF74C7" w:rsidRPr="002A677E" w:rsidRDefault="00EF74C7" w:rsidP="00822842">
            <w:pPr>
              <w:pStyle w:val="Applicationdirecte"/>
              <w:spacing w:before="0" w:after="0"/>
            </w:pPr>
            <w:r>
              <w:t xml:space="preserve">0020</w:t>
            </w:r>
          </w:p>
        </w:tc>
        <w:tc>
          <w:tcPr>
            <w:tcW w:w="7655" w:type="dxa"/>
          </w:tcPr>
          <w:p w14:paraId="0331298D"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Heraf: SWWR-positioner</w:t>
            </w:r>
          </w:p>
          <w:p w14:paraId="1013C757" w14:textId="77777777" w:rsidR="00EF74C7" w:rsidRPr="002A677E" w:rsidRDefault="00EF74C7" w:rsidP="00822842">
            <w:pPr>
              <w:rPr>
                <w:sz w:val="24"/>
                <w:rFonts w:ascii="Times New Roman" w:hAnsi="Times New Roman"/>
              </w:rPr>
            </w:pPr>
            <w:r>
              <w:rPr>
                <w:sz w:val="24"/>
                <w:rFonts w:ascii="Times New Roman" w:hAnsi="Times New Roman"/>
              </w:rPr>
              <w:t xml:space="preserve">Se instrukserne til række 0120 i skema C 34.02.</w:t>
            </w:r>
          </w:p>
        </w:tc>
      </w:tr>
      <w:tr w:rsidR="00EF74C7" w:rsidRPr="002A677E" w14:paraId="53E2F2D0" w14:textId="77777777" w:rsidTr="00822842">
        <w:trPr>
          <w:trHeight w:val="842"/>
        </w:trPr>
        <w:tc>
          <w:tcPr>
            <w:tcW w:w="1384" w:type="dxa"/>
          </w:tcPr>
          <w:p w14:paraId="7706E084" w14:textId="77777777" w:rsidR="00EF74C7" w:rsidRPr="002A677E" w:rsidRDefault="00EF74C7" w:rsidP="00822842">
            <w:pPr>
              <w:pStyle w:val="Applicationdirecte"/>
              <w:spacing w:before="0" w:after="0"/>
              <w:jc w:val="left"/>
            </w:pPr>
            <w:r>
              <w:t xml:space="preserve">0030</w:t>
            </w:r>
          </w:p>
        </w:tc>
        <w:tc>
          <w:tcPr>
            <w:tcW w:w="7655" w:type="dxa"/>
          </w:tcPr>
          <w:p w14:paraId="5DE0314C"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Nettinggrupper behandlet med CR-standardmetoden</w:t>
            </w:r>
          </w:p>
          <w:p w14:paraId="7CD0087F" w14:textId="77777777" w:rsidR="00EF74C7" w:rsidRPr="002A677E" w:rsidRDefault="00EF74C7" w:rsidP="00822842">
            <w:pPr>
              <w:rPr>
                <w:rStyle w:val="InstructionsTabelleberschrift"/>
                <w:b w:val="0"/>
                <w:bCs w:val="0"/>
                <w:sz w:val="24"/>
                <w:rFonts w:ascii="Times New Roman" w:hAnsi="Times New Roman" w:cstheme="minorBidi"/>
              </w:rPr>
            </w:pPr>
            <w:r>
              <w:rPr>
                <w:sz w:val="24"/>
                <w:rFonts w:ascii="Times New Roman" w:hAnsi="Times New Roman"/>
              </w:rPr>
              <w:t xml:space="preserve">Se instrukserne til kolonne 0180 i skema C 34.02.</w:t>
            </w:r>
          </w:p>
        </w:tc>
      </w:tr>
      <w:tr w:rsidR="00EF74C7" w:rsidRPr="002A677E" w14:paraId="246949FB" w14:textId="77777777" w:rsidTr="00822842">
        <w:trPr>
          <w:trHeight w:val="839"/>
        </w:trPr>
        <w:tc>
          <w:tcPr>
            <w:tcW w:w="1384" w:type="dxa"/>
          </w:tcPr>
          <w:p w14:paraId="4489E702" w14:textId="77777777" w:rsidR="00EF74C7" w:rsidRPr="002A677E" w:rsidRDefault="00EF74C7" w:rsidP="00822842">
            <w:pPr>
              <w:pStyle w:val="Applicationdirecte"/>
              <w:spacing w:before="0" w:after="0"/>
              <w:jc w:val="left"/>
            </w:pPr>
            <w:r>
              <w:t xml:space="preserve">0040</w:t>
            </w:r>
          </w:p>
        </w:tc>
        <w:tc>
          <w:tcPr>
            <w:tcW w:w="7655" w:type="dxa"/>
          </w:tcPr>
          <w:p w14:paraId="79702292"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Nettinggrupper behandlet med CR IRB-metoden</w:t>
            </w:r>
          </w:p>
          <w:p w14:paraId="5DEB3BFD" w14:textId="77777777" w:rsidR="00EF74C7" w:rsidRPr="002A677E" w:rsidRDefault="00EF74C7" w:rsidP="00822842">
            <w:pPr>
              <w:rPr>
                <w:rStyle w:val="InstructionsTabelleberschrift"/>
                <w:b w:val="0"/>
                <w:bCs w:val="0"/>
                <w:sz w:val="24"/>
                <w:rFonts w:ascii="Times New Roman" w:hAnsi="Times New Roman" w:cstheme="minorBidi"/>
              </w:rPr>
            </w:pPr>
            <w:r>
              <w:rPr>
                <w:sz w:val="24"/>
                <w:rFonts w:ascii="Times New Roman" w:hAnsi="Times New Roman"/>
              </w:rPr>
              <w:t xml:space="preserve">Se instrukserne til kolonne 0190 i skema C 34.02.</w:t>
            </w:r>
          </w:p>
        </w:tc>
      </w:tr>
      <w:tr w:rsidR="00EF74C7" w:rsidRPr="002A677E" w14:paraId="6C69A9B4" w14:textId="77777777" w:rsidTr="00822842">
        <w:trPr>
          <w:trHeight w:val="1971"/>
        </w:trPr>
        <w:tc>
          <w:tcPr>
            <w:tcW w:w="1384" w:type="dxa"/>
          </w:tcPr>
          <w:p w14:paraId="7647D954" w14:textId="77777777" w:rsidR="00EF74C7" w:rsidRPr="002A677E" w:rsidRDefault="00EF74C7" w:rsidP="00822842">
            <w:pPr>
              <w:pStyle w:val="Applicationdirecte"/>
              <w:spacing w:before="0" w:after="0"/>
              <w:jc w:val="left"/>
            </w:pPr>
            <w:r>
              <w:t xml:space="preserve">0050 - 0110</w:t>
            </w:r>
          </w:p>
        </w:tc>
        <w:tc>
          <w:tcPr>
            <w:tcW w:w="7655" w:type="dxa"/>
          </w:tcPr>
          <w:p w14:paraId="3D695FBB"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OTC-DERIVATER</w:t>
            </w:r>
          </w:p>
          <w:p w14:paraId="0E8A5849" w14:textId="77777777" w:rsidR="00EF74C7" w:rsidRPr="002A677E" w:rsidRDefault="00EF74C7" w:rsidP="00822842">
            <w:pPr>
              <w:rPr>
                <w:sz w:val="24"/>
                <w:rFonts w:ascii="Times New Roman" w:hAnsi="Times New Roman"/>
              </w:rPr>
            </w:pPr>
            <w:r>
              <w:rPr>
                <w:sz w:val="24"/>
                <w:rFonts w:ascii="Times New Roman" w:hAnsi="Times New Roman"/>
              </w:rPr>
              <w:t xml:space="preserve">Instituttet indberetter relevante oplysninger om nettinggrupper, der kun indeholder OTC-derivater eller terminsforretninger, for hvilke det har fået tilladelse til at fastsætte eksponeringsværdien ved hjælp af metoden med interne modeller opdelt efter de forskellige aktivklasser for så vidt angår det underliggende aktiv (rente, valuta, kredit, egenkapital, råvare eller andet).</w:t>
            </w:r>
          </w:p>
        </w:tc>
      </w:tr>
      <w:tr w:rsidR="00EF74C7" w:rsidRPr="002A677E" w14:paraId="32F0A14D" w14:textId="77777777" w:rsidTr="00822842">
        <w:trPr>
          <w:trHeight w:val="1970"/>
        </w:trPr>
        <w:tc>
          <w:tcPr>
            <w:tcW w:w="1384" w:type="dxa"/>
          </w:tcPr>
          <w:p w14:paraId="2CA05FA5" w14:textId="77777777" w:rsidR="00EF74C7" w:rsidRPr="002A677E" w:rsidRDefault="00EF74C7" w:rsidP="00822842">
            <w:pPr>
              <w:pStyle w:val="Applicationdirecte"/>
              <w:spacing w:before="0" w:after="0"/>
            </w:pPr>
            <w:r>
              <w:t xml:space="preserve">0120 - 0180</w:t>
            </w:r>
          </w:p>
        </w:tc>
        <w:tc>
          <w:tcPr>
            <w:tcW w:w="7655" w:type="dxa"/>
          </w:tcPr>
          <w:p w14:paraId="1F81FD28"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BØRSHANDLEDE DERIVATER</w:t>
            </w:r>
          </w:p>
          <w:p w14:paraId="58D9B48E" w14:textId="77777777" w:rsidR="00EF74C7" w:rsidRPr="002A677E" w:rsidRDefault="00EF74C7" w:rsidP="00822842">
            <w:pPr>
              <w:rPr>
                <w:sz w:val="24"/>
                <w:rFonts w:ascii="Times New Roman" w:hAnsi="Times New Roman"/>
              </w:rPr>
            </w:pPr>
            <w:r>
              <w:rPr>
                <w:sz w:val="24"/>
                <w:rFonts w:ascii="Times New Roman" w:hAnsi="Times New Roman"/>
              </w:rPr>
              <w:t xml:space="preserve">Instituttet indberetter relevante oplysninger om nettinggrupper, der kun indeholder børshandlede derivater eller terminsforretninger, for hvilke det har fået tilladelse til at fastsætte eksponeringsværdien ved hjælp af metoden med interne modeller opdelt efter de forskellige aktivklasser for så vidt angår det underliggende aktiv (rente, valuta, kredit, egenkapital, råvare eller andet).</w:t>
            </w:r>
          </w:p>
        </w:tc>
      </w:tr>
      <w:tr w:rsidR="00EF74C7" w:rsidRPr="002A677E" w14:paraId="3A390CF4" w14:textId="77777777" w:rsidTr="00822842">
        <w:trPr>
          <w:trHeight w:val="1701"/>
        </w:trPr>
        <w:tc>
          <w:tcPr>
            <w:tcW w:w="1384" w:type="dxa"/>
          </w:tcPr>
          <w:p w14:paraId="5468C829" w14:textId="77777777" w:rsidR="00EF74C7" w:rsidRPr="002A677E" w:rsidRDefault="00EF74C7" w:rsidP="00822842">
            <w:pPr>
              <w:pStyle w:val="Applicationdirecte"/>
              <w:spacing w:before="0" w:after="0"/>
            </w:pPr>
            <w:r>
              <w:t xml:space="preserve">0190 - 0220</w:t>
            </w:r>
          </w:p>
        </w:tc>
        <w:tc>
          <w:tcPr>
            <w:tcW w:w="7655" w:type="dxa"/>
          </w:tcPr>
          <w:p w14:paraId="52D3A7C8"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VÆRDIPAPIRFINANSIERINGSTRANSAKTIONER</w:t>
            </w:r>
          </w:p>
          <w:p w14:paraId="1CD88A29" w14:textId="77777777" w:rsidR="00EF74C7" w:rsidRPr="002A677E" w:rsidRDefault="00EF74C7" w:rsidP="00822842">
            <w:pPr>
              <w:rPr>
                <w:sz w:val="24"/>
                <w:rFonts w:ascii="Times New Roman" w:hAnsi="Times New Roman"/>
              </w:rPr>
            </w:pPr>
            <w:r>
              <w:rPr>
                <w:sz w:val="24"/>
                <w:rFonts w:ascii="Times New Roman" w:hAnsi="Times New Roman"/>
              </w:rPr>
              <w:t xml:space="preserve">Instituttet indberetter relevante oplysninger om nettinggrupper, der kun indeholder værdipapirfinansieringstransaktioner, for hvilke det har fået tilladelse til at fastsætte eksponeringsværdien ved hjælp af metoden med interne modeller opdelt efter det underliggende aktiv i sikkerhedsdelen af værdipapirfinansieringstransaktionen (obligation, aktie eller andet).</w:t>
            </w:r>
          </w:p>
        </w:tc>
      </w:tr>
      <w:tr w:rsidR="00EF74C7" w:rsidRPr="002A677E" w14:paraId="64C592C4" w14:textId="77777777" w:rsidTr="00822842">
        <w:trPr>
          <w:trHeight w:val="833"/>
        </w:trPr>
        <w:tc>
          <w:tcPr>
            <w:tcW w:w="1384" w:type="dxa"/>
          </w:tcPr>
          <w:p w14:paraId="39B2C01D" w14:textId="77777777" w:rsidR="00EF74C7" w:rsidRPr="002A677E" w:rsidRDefault="00EF74C7" w:rsidP="00822842">
            <w:pPr>
              <w:pStyle w:val="Applicationdirecte"/>
              <w:spacing w:before="0" w:after="0"/>
            </w:pPr>
            <w:r>
              <w:t xml:space="preserve">0230</w:t>
            </w:r>
          </w:p>
        </w:tc>
        <w:tc>
          <w:tcPr>
            <w:tcW w:w="7655" w:type="dxa"/>
          </w:tcPr>
          <w:p w14:paraId="1980D95A"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AFTALER OM NETTINGGRUPPER PÅ TVÆRS AF PRODUKTER</w:t>
            </w:r>
          </w:p>
          <w:p w14:paraId="7F1F09BD" w14:textId="77777777" w:rsidR="00EF74C7" w:rsidRPr="002A677E" w:rsidRDefault="00EF74C7" w:rsidP="00822842">
            <w:pPr>
              <w:rPr>
                <w:sz w:val="24"/>
                <w:rFonts w:ascii="Times New Roman" w:hAnsi="Times New Roman"/>
              </w:rPr>
            </w:pPr>
            <w:r>
              <w:rPr>
                <w:sz w:val="24"/>
                <w:rFonts w:ascii="Times New Roman" w:hAnsi="Times New Roman"/>
              </w:rPr>
              <w:t xml:space="preserve">Se instrukserne til række 0070 i skema C 34.02.</w:t>
            </w:r>
          </w:p>
        </w:tc>
      </w:tr>
    </w:tbl>
    <w:p w14:paraId="0A9C53D4" w14:textId="77777777" w:rsidR="00EF74C7" w:rsidRPr="002A677E" w:rsidRDefault="00EF74C7" w:rsidP="00EF74C7">
      <w:pPr>
        <w:tabs>
          <w:tab w:val="left" w:pos="1430"/>
        </w:tabs>
        <w:rPr>
          <w:rFonts w:ascii="Times New Roman" w:hAnsi="Times New Roman"/>
        </w:rPr>
      </w:pPr>
    </w:p>
    <w:p w14:paraId="2A48B1B3"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42" w:name="_Toc19715816"/>
      <w:bookmarkStart w:id="43" w:name="_Toc151714456"/>
      <w:r>
        <w:rPr>
          <w:sz w:val="24"/>
          <w:rFonts w:ascii="Times New Roman" w:hAnsi="Times New Roman"/>
        </w:rPr>
        <w:t xml:space="preserve">C 34.06 — De 20 største modparter</w:t>
      </w:r>
      <w:bookmarkEnd w:id="42"/>
      <w:bookmarkEnd w:id="43"/>
    </w:p>
    <w:p w14:paraId="41D5F705"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44" w:name="_Toc19715817"/>
      <w:bookmarkStart w:id="45" w:name="_Toc151714457"/>
      <w:r>
        <w:rPr>
          <w:sz w:val="24"/>
          <w:rFonts w:ascii="Times New Roman" w:hAnsi="Times New Roman"/>
        </w:rPr>
        <w:t xml:space="preserve">Generelle bemærkninger</w:t>
      </w:r>
      <w:bookmarkEnd w:id="44"/>
      <w:bookmarkEnd w:id="45"/>
    </w:p>
    <w:p w14:paraId="4872503C" w14:textId="005C8DB1"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t xml:space="preserve">126</w:t>
      </w:r>
      <w:r>
        <w:fldChar w:fldCharType="end"/>
      </w:r>
      <w:r>
        <w:t xml:space="preserve">.</w:t>
      </w:r>
      <w:r>
        <w:t xml:space="preserve"> </w:t>
      </w:r>
      <w:r>
        <w:t xml:space="preserve">Institutterne skal indberette oplysninger om de 20 største modparter, med hvilke de har de højeste modpartsrisikoeksponeringer.</w:t>
      </w:r>
      <w:r>
        <w:t xml:space="preserve"> </w:t>
      </w:r>
      <w:r>
        <w:t xml:space="preserve">Rækkefølgen opstilles ved hjælp af modpartsrisikoeksponeringsværdier som indberettet i kolonne 0120 i dette skema for alle nettinggrupper med de respektive modparter.</w:t>
      </w:r>
      <w:r>
        <w:t xml:space="preserve"> </w:t>
      </w:r>
      <w:r>
        <w:t xml:space="preserve">Koncerninterne eksponeringer eller andre eksponeringer, der giver anledning til modpartsrisiko, men hvor institutterne tildeler en risikovægt på nul for beregningen af kapitalgrundlaget i overensstemmelse med artikel 113, stk. 6, og artikel 113, stk. 7, i forordning (EU) nr. 575/2013, tages stadig i betragtning ved fastlæggelsen af listen over de 20 største modparter.</w:t>
      </w:r>
    </w:p>
    <w:p w14:paraId="647CEA55" w14:textId="4D261834"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t xml:space="preserve">127</w:t>
      </w:r>
      <w:r>
        <w:fldChar w:fldCharType="end"/>
      </w:r>
      <w:r>
        <w:t xml:space="preserve">.</w:t>
      </w:r>
      <w:r>
        <w:t xml:space="preserve"> </w:t>
      </w:r>
      <w:r>
        <w:t xml:space="preserve">Institutter, der anvender standardmetoden (SA-CCR) eller metoden med interne modeller (IMM) til beregning af modpartsrisikoeksponeringer, jf. tredje del, afsnit II, kapitel 6, afdeling 3 og 6, i forordning (EU) nr. 575/2013 indberetter dette skema kvartalsvis.</w:t>
      </w:r>
      <w:r>
        <w:t xml:space="preserve"> </w:t>
      </w:r>
      <w:r>
        <w:t xml:space="preserve">Institutter, der anvender den forenklede standardmetode eller den oprindelige eksponeringsmetode (OEM) til beregning af modpartsrisikoeksponeringer, jf. tredje del, afsnit II, kapitel 6, afdeling 4 og 5, i forordning (EU) nr. 575/2013 indberetter dette skema halvårligt.</w:t>
      </w:r>
      <w:r>
        <w:t xml:space="preserve"> </w:t>
      </w:r>
      <w:r>
        <w:t xml:space="preserve">Instrukser vedrørende specifikke positioner</w:t>
      </w:r>
      <w:bookmarkStart w:id="46" w:name="_Toc19715818"/>
      <w:bookmarkEnd w:id="46"/>
    </w:p>
    <w:p w14:paraId="2736A53C"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47" w:name="_Toc151714458"/>
      <w:r>
        <w:rPr>
          <w:sz w:val="24"/>
          <w:rFonts w:ascii="Times New Roman" w:hAnsi="Times New Roman"/>
        </w:rPr>
        <w:t xml:space="preserve">Instrukser vedrørende specifikke positioner</w:t>
      </w:r>
      <w:bookmarkEnd w:id="4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7A96115" w14:textId="77777777" w:rsidTr="00822842">
        <w:trPr>
          <w:trHeight w:val="238"/>
        </w:trPr>
        <w:tc>
          <w:tcPr>
            <w:tcW w:w="9039" w:type="dxa"/>
            <w:gridSpan w:val="2"/>
            <w:tcBorders>
              <w:right w:val="single" w:sz="4" w:space="0" w:color="auto"/>
            </w:tcBorders>
            <w:shd w:val="clear" w:color="auto" w:fill="D9D9D9" w:themeFill="background1" w:themeFillShade="D9"/>
          </w:tcPr>
          <w:p w14:paraId="766DA6EA"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Kolonner</w:t>
            </w:r>
          </w:p>
        </w:tc>
      </w:tr>
      <w:tr w:rsidR="00EF74C7" w:rsidRPr="002A677E" w14:paraId="1E5ECC03" w14:textId="77777777" w:rsidTr="00822842">
        <w:trPr>
          <w:trHeight w:val="680"/>
        </w:trPr>
        <w:tc>
          <w:tcPr>
            <w:tcW w:w="1384" w:type="dxa"/>
          </w:tcPr>
          <w:p w14:paraId="67FE490E" w14:textId="77777777" w:rsidR="00EF74C7" w:rsidRPr="002A677E" w:rsidRDefault="00EF74C7" w:rsidP="00822842">
            <w:pPr>
              <w:pStyle w:val="Applicationdirecte"/>
              <w:spacing w:before="0" w:after="0"/>
            </w:pPr>
            <w:r>
              <w:t xml:space="preserve">0011</w:t>
            </w:r>
          </w:p>
        </w:tc>
        <w:tc>
          <w:tcPr>
            <w:tcW w:w="7655" w:type="dxa"/>
            <w:vAlign w:val="center"/>
          </w:tcPr>
          <w:p w14:paraId="2145838B"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NAVN</w:t>
            </w:r>
          </w:p>
          <w:p w14:paraId="02D41CBA" w14:textId="77777777" w:rsidR="00EF74C7" w:rsidRPr="002A677E" w:rsidRDefault="00EF74C7" w:rsidP="00822842">
            <w:pPr>
              <w:keepNext/>
              <w:spacing w:before="60"/>
              <w:rPr>
                <w:szCs w:val="22"/>
                <w:rFonts w:ascii="Times New Roman" w:hAnsi="Times New Roman"/>
              </w:rPr>
            </w:pPr>
            <w:r>
              <w:rPr>
                <w:sz w:val="24"/>
                <w:rFonts w:ascii="Times New Roman" w:hAnsi="Times New Roman"/>
              </w:rPr>
              <w:t xml:space="preserve">Modpartens navn</w:t>
            </w:r>
          </w:p>
        </w:tc>
      </w:tr>
      <w:tr w:rsidR="00EF74C7" w:rsidRPr="002A677E" w14:paraId="4B2EA2C4" w14:textId="77777777" w:rsidTr="00822842">
        <w:trPr>
          <w:trHeight w:val="680"/>
        </w:trPr>
        <w:tc>
          <w:tcPr>
            <w:tcW w:w="1384" w:type="dxa"/>
          </w:tcPr>
          <w:p w14:paraId="35C54AA9" w14:textId="77777777" w:rsidR="00EF74C7" w:rsidRPr="002A677E" w:rsidRDefault="00EF74C7" w:rsidP="00822842">
            <w:pPr>
              <w:pStyle w:val="Applicationdirecte"/>
              <w:spacing w:before="0" w:after="0"/>
            </w:pPr>
            <w:r>
              <w:t xml:space="preserve">0020</w:t>
            </w:r>
          </w:p>
        </w:tc>
        <w:tc>
          <w:tcPr>
            <w:tcW w:w="7655" w:type="dxa"/>
            <w:vAlign w:val="center"/>
          </w:tcPr>
          <w:p w14:paraId="6CCE0F62"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KODE</w:t>
            </w:r>
          </w:p>
          <w:p w14:paraId="38310236" w14:textId="77777777" w:rsidR="00EF74C7" w:rsidRPr="002A677E" w:rsidRDefault="00EF74C7" w:rsidP="00822842">
            <w:pPr>
              <w:keepNext/>
              <w:spacing w:before="60"/>
              <w:rPr>
                <w:sz w:val="24"/>
                <w:u w:val="single"/>
                <w:rFonts w:ascii="Times New Roman" w:hAnsi="Times New Roman"/>
              </w:rPr>
            </w:pPr>
            <w:r>
              <w:rPr>
                <w:sz w:val="24"/>
                <w:rFonts w:ascii="Times New Roman" w:hAnsi="Times New Roman"/>
              </w:rPr>
              <w:t xml:space="preserve">Koden skal som del af en ID-kode for en række være unik for hver indberettet enhed.</w:t>
            </w:r>
            <w:r>
              <w:rPr>
                <w:sz w:val="24"/>
                <w:rFonts w:ascii="Times New Roman" w:hAnsi="Times New Roman"/>
              </w:rPr>
              <w:t xml:space="preserve"> </w:t>
            </w:r>
            <w:r>
              <w:rPr>
                <w:sz w:val="24"/>
                <w:rFonts w:ascii="Times New Roman" w:hAnsi="Times New Roman"/>
              </w:rPr>
              <w:t xml:space="preserve">For institutter og forsikringsselskaber skal koden være LEI-koden.</w:t>
            </w:r>
            <w:r>
              <w:rPr>
                <w:sz w:val="24"/>
                <w:rFonts w:ascii="Times New Roman" w:hAnsi="Times New Roman"/>
              </w:rPr>
              <w:t xml:space="preserve"> </w:t>
            </w:r>
            <w:r>
              <w:rPr>
                <w:sz w:val="24"/>
                <w:rFonts w:ascii="Times New Roman" w:hAnsi="Times New Roman"/>
              </w:rPr>
              <w:t xml:space="preserve">For andre enheder skal koden være LEI-koden, eller, hvis en sådan ikke foreligger, en ikke-LEI-kode.</w:t>
            </w:r>
            <w:r>
              <w:rPr>
                <w:sz w:val="24"/>
                <w:rFonts w:ascii="Times New Roman" w:hAnsi="Times New Roman"/>
              </w:rPr>
              <w:t xml:space="preserve"> </w:t>
            </w:r>
            <w:r>
              <w:rPr>
                <w:sz w:val="24"/>
                <w:rFonts w:ascii="Times New Roman" w:hAnsi="Times New Roman"/>
              </w:rPr>
              <w:t xml:space="preserve">Koden skal være unik og skal anvendes konsekvent i skemaerne og over tid.</w:t>
            </w:r>
            <w:r>
              <w:rPr>
                <w:sz w:val="24"/>
                <w:rFonts w:ascii="Times New Roman" w:hAnsi="Times New Roman"/>
              </w:rPr>
              <w:t xml:space="preserve"> </w:t>
            </w:r>
            <w:r>
              <w:rPr>
                <w:sz w:val="24"/>
                <w:rFonts w:ascii="Times New Roman" w:hAnsi="Times New Roman"/>
              </w:rPr>
              <w:t xml:space="preserve">Koden skal altid have en værdi.</w:t>
            </w:r>
          </w:p>
        </w:tc>
      </w:tr>
      <w:tr w:rsidR="00EF74C7" w:rsidRPr="002A677E" w14:paraId="2DAA4B2D" w14:textId="77777777" w:rsidTr="00822842">
        <w:trPr>
          <w:trHeight w:val="680"/>
        </w:trPr>
        <w:tc>
          <w:tcPr>
            <w:tcW w:w="1384" w:type="dxa"/>
          </w:tcPr>
          <w:p w14:paraId="5727082D" w14:textId="77777777" w:rsidR="00EF74C7" w:rsidRPr="002A677E" w:rsidRDefault="00EF74C7" w:rsidP="00822842">
            <w:pPr>
              <w:pStyle w:val="Applicationdirecte"/>
              <w:spacing w:before="0" w:after="0"/>
            </w:pPr>
            <w:r>
              <w:t xml:space="preserve">0030</w:t>
            </w:r>
          </w:p>
        </w:tc>
        <w:tc>
          <w:tcPr>
            <w:tcW w:w="7655" w:type="dxa"/>
            <w:vAlign w:val="center"/>
          </w:tcPr>
          <w:p w14:paraId="0F71916C"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KODETYPE</w:t>
            </w:r>
          </w:p>
          <w:p w14:paraId="12E4A55E" w14:textId="77777777" w:rsidR="00EF74C7" w:rsidRPr="002A677E" w:rsidRDefault="00EF74C7" w:rsidP="00822842">
            <w:pPr>
              <w:rPr>
                <w:rStyle w:val="FormatvorlageInstructionsTabelleText"/>
                <w:rFonts w:ascii="Calibri" w:hAnsi="Calibri" w:cs="Calibri"/>
              </w:rPr>
            </w:pPr>
            <w:r>
              <w:rPr>
                <w:sz w:val="24"/>
                <w:rFonts w:ascii="Times New Roman" w:hAnsi="Times New Roman"/>
              </w:rPr>
              <w:t xml:space="preserve">Instituttet skal identificere kodetypen, der er indberettet i </w:t>
            </w:r>
            <w:r>
              <w:rPr>
                <w:sz w:val="24"/>
                <w:rStyle w:val="FormatvorlageInstructionsTabelleText"/>
                <w:rFonts w:ascii="Times New Roman" w:hAnsi="Times New Roman"/>
              </w:rPr>
              <w:t xml:space="preserve">kolonne 0020 som en "LEI-kode" eller "National kode"</w:t>
            </w:r>
            <w:r>
              <w:rPr>
                <w:sz w:val="24"/>
                <w:rFonts w:ascii="Times New Roman" w:hAnsi="Times New Roman"/>
              </w:rPr>
              <w:t xml:space="preserve">.</w:t>
            </w:r>
          </w:p>
          <w:p w14:paraId="68A8C569" w14:textId="77777777" w:rsidR="00EF74C7" w:rsidRPr="002A677E" w:rsidRDefault="00EF74C7" w:rsidP="00822842">
            <w:pPr>
              <w:rPr>
                <w:bCs/>
                <w:sz w:val="24"/>
                <w:rFonts w:ascii="Times New Roman" w:hAnsi="Times New Roman"/>
              </w:rPr>
            </w:pPr>
            <w:r>
              <w:rPr>
                <w:sz w:val="24"/>
                <w:rFonts w:ascii="Times New Roman" w:hAnsi="Times New Roman"/>
              </w:rPr>
              <w:t xml:space="preserve">Kodetypen skal altid indberettes.</w:t>
            </w:r>
          </w:p>
        </w:tc>
      </w:tr>
      <w:tr w:rsidR="00EF74C7" w:rsidRPr="002A677E" w14:paraId="5CE3DDA8" w14:textId="77777777" w:rsidTr="00822842">
        <w:trPr>
          <w:trHeight w:val="680"/>
        </w:trPr>
        <w:tc>
          <w:tcPr>
            <w:tcW w:w="1384" w:type="dxa"/>
          </w:tcPr>
          <w:p w14:paraId="7912C4C0" w14:textId="77777777" w:rsidR="00EF74C7" w:rsidRPr="002A677E" w:rsidRDefault="00EF74C7" w:rsidP="00822842">
            <w:pPr>
              <w:pStyle w:val="Applicationdirecte"/>
              <w:spacing w:before="0" w:after="0"/>
            </w:pPr>
            <w:r>
              <w:t xml:space="preserve">0035</w:t>
            </w:r>
          </w:p>
        </w:tc>
        <w:tc>
          <w:tcPr>
            <w:tcW w:w="7655" w:type="dxa"/>
            <w:vAlign w:val="center"/>
          </w:tcPr>
          <w:p w14:paraId="6012FDEC"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NATIONAL KODE</w:t>
            </w:r>
          </w:p>
          <w:p w14:paraId="53A43075" w14:textId="77777777" w:rsidR="00EF74C7" w:rsidRPr="002A677E" w:rsidRDefault="00EF74C7" w:rsidP="00822842">
            <w:pPr>
              <w:pStyle w:val="ListParagraph"/>
              <w:ind w:left="65"/>
              <w:rPr>
                <w:b/>
                <w:sz w:val="24"/>
                <w:u w:val="single"/>
                <w:rFonts w:ascii="Times New Roman" w:hAnsi="Times New Roman"/>
              </w:rPr>
            </w:pPr>
            <w:r>
              <w:rPr>
                <w:sz w:val="24"/>
                <w:rFonts w:ascii="Times New Roman" w:hAnsi="Times New Roman"/>
              </w:rPr>
              <w:t xml:space="preserve">Instituttet kan også indberette den nationale kode, når det indberetter LEI-koden som ID-kode i "Kode"-kolonnen 0020.</w:t>
            </w:r>
          </w:p>
        </w:tc>
      </w:tr>
      <w:tr w:rsidR="00EF74C7" w:rsidRPr="002A677E" w14:paraId="224798DC" w14:textId="77777777" w:rsidTr="00822842">
        <w:trPr>
          <w:trHeight w:val="680"/>
        </w:trPr>
        <w:tc>
          <w:tcPr>
            <w:tcW w:w="1384" w:type="dxa"/>
          </w:tcPr>
          <w:p w14:paraId="2CBB581D" w14:textId="77777777" w:rsidR="00EF74C7" w:rsidRPr="002A677E" w:rsidRDefault="00EF74C7" w:rsidP="00822842">
            <w:pPr>
              <w:pStyle w:val="Applicationdirecte"/>
              <w:spacing w:before="0" w:after="0"/>
            </w:pPr>
            <w:r>
              <w:t xml:space="preserve">0040</w:t>
            </w:r>
          </w:p>
        </w:tc>
        <w:tc>
          <w:tcPr>
            <w:tcW w:w="7655" w:type="dxa"/>
            <w:vAlign w:val="center"/>
          </w:tcPr>
          <w:p w14:paraId="2A302176"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MODPARTENS SEKTOR</w:t>
            </w:r>
          </w:p>
          <w:p w14:paraId="138065F1"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Der vælges én sektor for hver modpart på grundlag af FINREP's økonomiske sektorklasser, angivet i det følgende (jf. del 3 i bilag V til denne gennemførelsesforordning):</w:t>
            </w:r>
          </w:p>
          <w:p w14:paraId="3FD37943"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w:t>
            </w:r>
            <w:r>
              <w:rPr>
                <w:sz w:val="24"/>
                <w:rFonts w:ascii="Times New Roman" w:hAnsi="Times New Roman"/>
              </w:rPr>
              <w:t xml:space="preserve"> </w:t>
            </w:r>
            <w:r>
              <w:tab/>
            </w:r>
            <w:r>
              <w:rPr>
                <w:sz w:val="24"/>
                <w:rFonts w:ascii="Times New Roman" w:hAnsi="Times New Roman"/>
              </w:rPr>
              <w:t xml:space="preserve">centralbanker</w:t>
            </w:r>
          </w:p>
          <w:p w14:paraId="2EDFC759"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ii)</w:t>
            </w:r>
            <w:r>
              <w:tab/>
            </w:r>
            <w:r>
              <w:rPr>
                <w:sz w:val="24"/>
                <w:rFonts w:ascii="Times New Roman" w:hAnsi="Times New Roman"/>
              </w:rPr>
              <w:t xml:space="preserve">offentlig forvaltning og service</w:t>
            </w:r>
          </w:p>
          <w:p w14:paraId="59EF6A29"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iii)</w:t>
            </w:r>
            <w:r>
              <w:tab/>
            </w:r>
            <w:r>
              <w:rPr>
                <w:sz w:val="24"/>
                <w:rFonts w:ascii="Times New Roman" w:hAnsi="Times New Roman"/>
              </w:rPr>
              <w:t xml:space="preserve">kreditinstitutter</w:t>
            </w:r>
          </w:p>
          <w:p w14:paraId="50C89603"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iv)</w:t>
            </w:r>
            <w:r>
              <w:tab/>
            </w:r>
            <w:r>
              <w:rPr>
                <w:sz w:val="24"/>
                <w:rFonts w:ascii="Times New Roman" w:hAnsi="Times New Roman"/>
              </w:rPr>
              <w:t xml:space="preserve">investeringsvirksomheder som defineret i artikel 4, stk. 1, nr. 2), i forordning (EU) nr. 575/2013</w:t>
            </w:r>
          </w:p>
          <w:p w14:paraId="3A2FD93E"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v)</w:t>
            </w:r>
            <w:r>
              <w:tab/>
            </w:r>
            <w:r>
              <w:rPr>
                <w:sz w:val="24"/>
                <w:rFonts w:ascii="Times New Roman" w:hAnsi="Times New Roman"/>
              </w:rPr>
              <w:t xml:space="preserve">andre finansielle virksomheder (undtagen investeringsselskaber)</w:t>
            </w:r>
          </w:p>
          <w:p w14:paraId="58ADE56E"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vi)</w:t>
            </w:r>
            <w:r>
              <w:tab/>
            </w:r>
            <w:r>
              <w:rPr>
                <w:sz w:val="24"/>
                <w:rFonts w:ascii="Times New Roman" w:hAnsi="Times New Roman"/>
              </w:rPr>
              <w:t xml:space="preserve">ikkefinansielle virksomheder.</w:t>
            </w:r>
          </w:p>
        </w:tc>
      </w:tr>
      <w:tr w:rsidR="00EF74C7" w:rsidRPr="002A677E" w14:paraId="24F599F8" w14:textId="77777777" w:rsidTr="00822842">
        <w:trPr>
          <w:trHeight w:val="680"/>
        </w:trPr>
        <w:tc>
          <w:tcPr>
            <w:tcW w:w="1384" w:type="dxa"/>
          </w:tcPr>
          <w:p w14:paraId="2FBFF8FA" w14:textId="77777777" w:rsidR="00EF74C7" w:rsidRPr="002A677E" w:rsidRDefault="00EF74C7" w:rsidP="00822842">
            <w:pPr>
              <w:pStyle w:val="Applicationdirecte"/>
              <w:spacing w:before="0" w:after="0"/>
            </w:pPr>
            <w:r>
              <w:t xml:space="preserve">0050</w:t>
            </w:r>
          </w:p>
        </w:tc>
        <w:tc>
          <w:tcPr>
            <w:tcW w:w="7655" w:type="dxa"/>
            <w:vAlign w:val="center"/>
          </w:tcPr>
          <w:p w14:paraId="72BF6C7A"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MODPARTSTYPE</w:t>
            </w:r>
          </w:p>
          <w:p w14:paraId="34B18679"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Instituttet angiver modpartstypen, som kan være:</w:t>
            </w:r>
          </w:p>
          <w:p w14:paraId="19809711"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 QCCP:</w:t>
            </w:r>
            <w:r>
              <w:rPr>
                <w:sz w:val="24"/>
                <w:rFonts w:ascii="Times New Roman" w:hAnsi="Times New Roman"/>
              </w:rPr>
              <w:t xml:space="preserve"> </w:t>
            </w:r>
            <w:r>
              <w:rPr>
                <w:sz w:val="24"/>
                <w:rFonts w:ascii="Times New Roman" w:hAnsi="Times New Roman"/>
              </w:rPr>
              <w:t xml:space="preserve">når modparten er en kvalificeret CCP</w:t>
            </w:r>
          </w:p>
          <w:p w14:paraId="7530291C"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 IKKE-QCCP:</w:t>
            </w:r>
            <w:r>
              <w:rPr>
                <w:sz w:val="24"/>
                <w:rFonts w:ascii="Times New Roman" w:hAnsi="Times New Roman"/>
              </w:rPr>
              <w:t xml:space="preserve"> </w:t>
            </w:r>
            <w:r>
              <w:rPr>
                <w:sz w:val="24"/>
                <w:rFonts w:ascii="Times New Roman" w:hAnsi="Times New Roman"/>
              </w:rPr>
              <w:t xml:space="preserve">når modparten er en ikkekvalificeret CCP</w:t>
            </w:r>
          </w:p>
          <w:p w14:paraId="53A61161"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 Ikke-CCP:</w:t>
            </w:r>
            <w:r>
              <w:rPr>
                <w:sz w:val="24"/>
                <w:rFonts w:ascii="Times New Roman" w:hAnsi="Times New Roman"/>
              </w:rPr>
              <w:t xml:space="preserve"> </w:t>
            </w:r>
            <w:r>
              <w:rPr>
                <w:sz w:val="24"/>
                <w:rFonts w:ascii="Times New Roman" w:hAnsi="Times New Roman"/>
              </w:rPr>
              <w:t xml:space="preserve">når modparten ikke er en CCP</w:t>
            </w:r>
            <w:r>
              <w:rPr>
                <w:sz w:val="24"/>
                <w:rFonts w:ascii="Times New Roman" w:hAnsi="Times New Roman"/>
              </w:rPr>
              <w:t xml:space="preserve"> </w:t>
            </w:r>
          </w:p>
        </w:tc>
      </w:tr>
      <w:tr w:rsidR="00EF74C7" w:rsidRPr="002A677E" w14:paraId="7138E79A" w14:textId="77777777" w:rsidTr="00822842">
        <w:trPr>
          <w:trHeight w:val="680"/>
        </w:trPr>
        <w:tc>
          <w:tcPr>
            <w:tcW w:w="1384" w:type="dxa"/>
          </w:tcPr>
          <w:p w14:paraId="7D208FDD" w14:textId="77777777" w:rsidR="00EF74C7" w:rsidRPr="002A677E" w:rsidRDefault="00EF74C7" w:rsidP="00822842">
            <w:pPr>
              <w:pStyle w:val="Applicationdirecte"/>
              <w:spacing w:before="0" w:after="0"/>
            </w:pPr>
            <w:r>
              <w:t xml:space="preserve">0060</w:t>
            </w:r>
          </w:p>
        </w:tc>
        <w:tc>
          <w:tcPr>
            <w:tcW w:w="7655" w:type="dxa"/>
            <w:vAlign w:val="center"/>
          </w:tcPr>
          <w:p w14:paraId="653C0A24"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MODPARTENS HJEMSTED</w:t>
            </w:r>
          </w:p>
          <w:p w14:paraId="4B5E06D5"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ISO-koden 3166-1-alpha-2 for det land, hvor modparten har sit hovedsæde, anvendes (herunder pseudo-ISO-koder for internationale organisationer, som er anført i Eurostats "Balance of Payments Vademecum").</w:t>
            </w:r>
          </w:p>
        </w:tc>
      </w:tr>
      <w:tr w:rsidR="00EF74C7" w:rsidRPr="002A677E" w14:paraId="27926B1D" w14:textId="77777777" w:rsidTr="00822842">
        <w:trPr>
          <w:trHeight w:val="680"/>
        </w:trPr>
        <w:tc>
          <w:tcPr>
            <w:tcW w:w="1384" w:type="dxa"/>
          </w:tcPr>
          <w:p w14:paraId="2F19F110" w14:textId="77777777" w:rsidR="00EF74C7" w:rsidRPr="002A677E" w:rsidRDefault="00EF74C7" w:rsidP="00822842">
            <w:pPr>
              <w:pStyle w:val="Applicationdirecte"/>
              <w:spacing w:before="0" w:after="0"/>
            </w:pPr>
            <w:r>
              <w:t xml:space="preserve">0070</w:t>
            </w:r>
          </w:p>
        </w:tc>
        <w:tc>
          <w:tcPr>
            <w:tcW w:w="7655" w:type="dxa"/>
            <w:vAlign w:val="center"/>
          </w:tcPr>
          <w:p w14:paraId="1141BEDE"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ANTAL TRANSAKTIONER</w:t>
            </w:r>
          </w:p>
          <w:p w14:paraId="22440C23" w14:textId="77777777" w:rsidR="00EF74C7" w:rsidRPr="002A677E" w:rsidRDefault="00EF74C7" w:rsidP="00822842">
            <w:pPr>
              <w:keepNext/>
              <w:spacing w:before="60"/>
              <w:rPr>
                <w:b/>
                <w:sz w:val="24"/>
                <w:u w:val="single"/>
                <w:rFonts w:ascii="Times New Roman" w:hAnsi="Times New Roman"/>
              </w:rPr>
            </w:pPr>
            <w:r>
              <w:rPr>
                <w:sz w:val="24"/>
                <w:rFonts w:ascii="Times New Roman" w:hAnsi="Times New Roman"/>
              </w:rPr>
              <w:t xml:space="preserve">Se instrukserne til kolonne 0020 i skema C 34.02.</w:t>
            </w:r>
          </w:p>
        </w:tc>
      </w:tr>
      <w:tr w:rsidR="00EF74C7" w:rsidRPr="002A677E" w14:paraId="41609849" w14:textId="77777777" w:rsidTr="00822842">
        <w:trPr>
          <w:trHeight w:val="426"/>
        </w:trPr>
        <w:tc>
          <w:tcPr>
            <w:tcW w:w="1384" w:type="dxa"/>
          </w:tcPr>
          <w:p w14:paraId="37240D8E" w14:textId="77777777" w:rsidR="00EF74C7" w:rsidRPr="002A677E" w:rsidRDefault="00EF74C7" w:rsidP="00822842">
            <w:pPr>
              <w:pStyle w:val="Applicationdirecte"/>
              <w:spacing w:before="0" w:after="0"/>
            </w:pPr>
            <w:r>
              <w:t xml:space="preserve">0080</w:t>
            </w:r>
          </w:p>
        </w:tc>
        <w:tc>
          <w:tcPr>
            <w:tcW w:w="7655" w:type="dxa"/>
            <w:vAlign w:val="center"/>
          </w:tcPr>
          <w:p w14:paraId="7D28C824"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NOMINEL VÆRDI</w:t>
            </w:r>
          </w:p>
          <w:p w14:paraId="2092F8D4"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Se instrukserne til kolonne 0030 i skema C 34.02.</w:t>
            </w:r>
          </w:p>
        </w:tc>
      </w:tr>
      <w:tr w:rsidR="00EF74C7" w:rsidRPr="002A677E" w14:paraId="6B0D6FEC" w14:textId="77777777" w:rsidTr="00822842">
        <w:trPr>
          <w:trHeight w:val="680"/>
        </w:trPr>
        <w:tc>
          <w:tcPr>
            <w:tcW w:w="1384" w:type="dxa"/>
          </w:tcPr>
          <w:p w14:paraId="31BEF5FF" w14:textId="77777777" w:rsidR="00EF74C7" w:rsidRPr="002A677E" w:rsidRDefault="00EF74C7" w:rsidP="00822842">
            <w:pPr>
              <w:pStyle w:val="Applicationdirecte"/>
              <w:spacing w:before="0" w:after="0"/>
            </w:pPr>
            <w:r>
              <w:t xml:space="preserve">0090</w:t>
            </w:r>
          </w:p>
        </w:tc>
        <w:tc>
          <w:tcPr>
            <w:tcW w:w="7655" w:type="dxa"/>
            <w:vAlign w:val="center"/>
          </w:tcPr>
          <w:p w14:paraId="05F00A70"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DEN AKTUELLE MARKEDSVÆRDI (CMV), positiv</w:t>
            </w:r>
          </w:p>
          <w:p w14:paraId="64CD1326"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Se instrukserne til kolonne 0040 i skema C 34.02.</w:t>
            </w:r>
          </w:p>
          <w:p w14:paraId="2A6475F1" w14:textId="77777777" w:rsidR="00EF74C7" w:rsidRPr="002A677E" w:rsidRDefault="00EF74C7" w:rsidP="00822842">
            <w:pPr>
              <w:keepNext/>
              <w:spacing w:before="60"/>
              <w:rPr>
                <w:b/>
                <w:sz w:val="24"/>
                <w:u w:val="single"/>
                <w:rFonts w:ascii="Times New Roman" w:hAnsi="Times New Roman"/>
              </w:rPr>
            </w:pPr>
            <w:r>
              <w:rPr>
                <w:sz w:val="24"/>
                <w:rFonts w:ascii="Times New Roman" w:hAnsi="Times New Roman"/>
              </w:rPr>
              <w:t xml:space="preserve">Instituttet indberetter summen af nettinggrupper med positive CMV'er, hvis der er flere nettinggrupper for den samme modpart.</w:t>
            </w:r>
          </w:p>
        </w:tc>
      </w:tr>
      <w:tr w:rsidR="00EF74C7" w:rsidRPr="002A677E" w14:paraId="11A7EB1F" w14:textId="77777777" w:rsidTr="00822842">
        <w:trPr>
          <w:trHeight w:val="680"/>
        </w:trPr>
        <w:tc>
          <w:tcPr>
            <w:tcW w:w="1384" w:type="dxa"/>
          </w:tcPr>
          <w:p w14:paraId="7D8B949C" w14:textId="77777777" w:rsidR="00EF74C7" w:rsidRPr="002A677E" w:rsidRDefault="00EF74C7" w:rsidP="00822842">
            <w:pPr>
              <w:pStyle w:val="Applicationdirecte"/>
              <w:spacing w:before="0" w:after="0"/>
            </w:pPr>
            <w:r>
              <w:t xml:space="preserve">0100</w:t>
            </w:r>
          </w:p>
        </w:tc>
        <w:tc>
          <w:tcPr>
            <w:tcW w:w="7655" w:type="dxa"/>
            <w:vAlign w:val="center"/>
          </w:tcPr>
          <w:p w14:paraId="6ED129D1"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DEN AKTUELLE MARKEDSVÆRDI (CMV), negativ</w:t>
            </w:r>
          </w:p>
          <w:p w14:paraId="693E2E96"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Se instrukserne til kolonne 0040 i skema C 34.02.</w:t>
            </w:r>
          </w:p>
          <w:p w14:paraId="118E0D7B" w14:textId="77777777" w:rsidR="00EF74C7" w:rsidRPr="002A677E" w:rsidRDefault="00EF74C7" w:rsidP="00822842">
            <w:pPr>
              <w:keepNext/>
              <w:spacing w:before="60"/>
              <w:rPr>
                <w:b/>
                <w:sz w:val="24"/>
                <w:u w:val="single"/>
                <w:rFonts w:ascii="Times New Roman" w:hAnsi="Times New Roman"/>
              </w:rPr>
            </w:pPr>
            <w:r>
              <w:rPr>
                <w:sz w:val="24"/>
                <w:rFonts w:ascii="Times New Roman" w:hAnsi="Times New Roman"/>
              </w:rPr>
              <w:t xml:space="preserve">Instituttet indberetter den absolutte sum af nettinggrupper med negative CMV'er, hvis der er flere nettinggrupper for den samme modpart.</w:t>
            </w:r>
          </w:p>
        </w:tc>
      </w:tr>
      <w:tr w:rsidR="00EF74C7" w:rsidRPr="002A677E" w14:paraId="733474D0" w14:textId="77777777" w:rsidTr="00822842">
        <w:trPr>
          <w:trHeight w:val="680"/>
        </w:trPr>
        <w:tc>
          <w:tcPr>
            <w:tcW w:w="1384" w:type="dxa"/>
          </w:tcPr>
          <w:p w14:paraId="71F3CA04" w14:textId="77777777" w:rsidR="00EF74C7" w:rsidRPr="002A677E" w:rsidRDefault="00EF74C7" w:rsidP="00822842">
            <w:pPr>
              <w:pStyle w:val="Applicationdirecte"/>
              <w:spacing w:before="0" w:after="0"/>
            </w:pPr>
            <w:r>
              <w:t xml:space="preserve">0110</w:t>
            </w:r>
          </w:p>
        </w:tc>
        <w:tc>
          <w:tcPr>
            <w:tcW w:w="7655" w:type="dxa"/>
            <w:vAlign w:val="center"/>
          </w:tcPr>
          <w:p w14:paraId="3099FFC7"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EKSPONERINGSVÆRDI EFTER ANVENDELSE AF KREDITRISIKOREDUKTIONSTEKNIKKER</w:t>
            </w:r>
          </w:p>
          <w:p w14:paraId="1EF646BE"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Se instrukserne til kolonne 0160 i skema C 34.02.</w:t>
            </w:r>
            <w:r>
              <w:rPr>
                <w:sz w:val="24"/>
                <w:rFonts w:ascii="Times New Roman" w:hAnsi="Times New Roman"/>
              </w:rPr>
              <w:t xml:space="preserve"> </w:t>
            </w:r>
          </w:p>
          <w:p w14:paraId="6904AB81" w14:textId="77777777" w:rsidR="00EF74C7" w:rsidRPr="002A677E" w:rsidRDefault="00EF74C7" w:rsidP="00822842">
            <w:pPr>
              <w:keepNext/>
              <w:spacing w:before="60"/>
              <w:rPr>
                <w:b/>
                <w:sz w:val="24"/>
                <w:u w:val="single"/>
                <w:rFonts w:ascii="Times New Roman" w:hAnsi="Times New Roman"/>
              </w:rPr>
            </w:pPr>
            <w:r>
              <w:rPr>
                <w:sz w:val="24"/>
                <w:rFonts w:ascii="Times New Roman" w:hAnsi="Times New Roman"/>
              </w:rPr>
              <w:t xml:space="preserve">Instituttet indberetter summen af nettinggruppernes eksponeringsværdi efter anvendelsen af kreditrisikoreduktionsteknikker, hvis der er flere nettinggrupper for den samme modpart.</w:t>
            </w:r>
          </w:p>
        </w:tc>
      </w:tr>
      <w:tr w:rsidR="00EF74C7" w:rsidRPr="002A677E" w14:paraId="2DC25145" w14:textId="77777777" w:rsidTr="00822842">
        <w:trPr>
          <w:trHeight w:val="680"/>
        </w:trPr>
        <w:tc>
          <w:tcPr>
            <w:tcW w:w="1384" w:type="dxa"/>
          </w:tcPr>
          <w:p w14:paraId="3E72408E" w14:textId="77777777" w:rsidR="00EF74C7" w:rsidRPr="002A677E" w:rsidRDefault="00EF74C7" w:rsidP="00822842">
            <w:pPr>
              <w:pStyle w:val="Applicationdirecte"/>
              <w:spacing w:before="0" w:after="0"/>
            </w:pPr>
            <w:r>
              <w:t xml:space="preserve">0120</w:t>
            </w:r>
          </w:p>
        </w:tc>
        <w:tc>
          <w:tcPr>
            <w:tcW w:w="7655" w:type="dxa"/>
            <w:vAlign w:val="center"/>
          </w:tcPr>
          <w:p w14:paraId="40235E21"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EKSPONERINGSVÆRDI</w:t>
            </w:r>
          </w:p>
          <w:p w14:paraId="27DEE9F6" w14:textId="77777777" w:rsidR="00EF74C7" w:rsidRPr="002A677E" w:rsidRDefault="00EF74C7" w:rsidP="00822842">
            <w:pPr>
              <w:keepNext/>
              <w:spacing w:before="60"/>
              <w:rPr>
                <w:b/>
                <w:sz w:val="24"/>
                <w:u w:val="single"/>
                <w:rFonts w:ascii="Times New Roman" w:hAnsi="Times New Roman"/>
              </w:rPr>
            </w:pPr>
            <w:r>
              <w:rPr>
                <w:sz w:val="24"/>
                <w:rFonts w:ascii="Times New Roman" w:hAnsi="Times New Roman"/>
              </w:rPr>
              <w:t xml:space="preserve">Se instrukserne til kolonne 0170 i skema C 34.02.</w:t>
            </w:r>
          </w:p>
        </w:tc>
      </w:tr>
      <w:tr w:rsidR="00EF74C7" w:rsidRPr="002A677E" w14:paraId="00801519" w14:textId="77777777" w:rsidTr="00822842">
        <w:trPr>
          <w:trHeight w:val="680"/>
        </w:trPr>
        <w:tc>
          <w:tcPr>
            <w:tcW w:w="1384" w:type="dxa"/>
          </w:tcPr>
          <w:p w14:paraId="12B481CF" w14:textId="77777777" w:rsidR="00EF74C7" w:rsidRPr="002A677E" w:rsidRDefault="00EF74C7" w:rsidP="00822842">
            <w:pPr>
              <w:pStyle w:val="Applicationdirecte"/>
              <w:spacing w:before="0" w:after="0"/>
            </w:pPr>
            <w:r>
              <w:t xml:space="preserve">0130</w:t>
            </w:r>
          </w:p>
        </w:tc>
        <w:tc>
          <w:tcPr>
            <w:tcW w:w="7655" w:type="dxa"/>
            <w:vAlign w:val="center"/>
          </w:tcPr>
          <w:p w14:paraId="31E4AF74"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RISIKOVÆGTEDE EKSPONERINGER</w:t>
            </w:r>
          </w:p>
          <w:p w14:paraId="2D2BB308" w14:textId="77777777" w:rsidR="00EF74C7" w:rsidRPr="002A677E" w:rsidRDefault="00EF74C7" w:rsidP="00822842">
            <w:pPr>
              <w:keepNext/>
              <w:spacing w:before="60"/>
              <w:rPr>
                <w:b/>
                <w:sz w:val="24"/>
                <w:u w:val="single"/>
                <w:rFonts w:ascii="Times New Roman" w:hAnsi="Times New Roman"/>
              </w:rPr>
            </w:pPr>
            <w:r>
              <w:rPr>
                <w:sz w:val="24"/>
                <w:rFonts w:ascii="Times New Roman" w:hAnsi="Times New Roman"/>
              </w:rPr>
              <w:t xml:space="preserve">Se instrukserne til kolonne 0200 i skema C 34.02.</w:t>
            </w:r>
          </w:p>
        </w:tc>
      </w:tr>
    </w:tbl>
    <w:p w14:paraId="4CB615BB" w14:textId="77777777" w:rsidR="00EF74C7" w:rsidRPr="002A677E" w:rsidRDefault="00EF74C7" w:rsidP="00EF74C7">
      <w:pPr>
        <w:pStyle w:val="Titlelevel2"/>
        <w:spacing w:before="120" w:after="120"/>
        <w:jc w:val="both"/>
        <w:rPr>
          <w:rFonts w:ascii="Times New Roman" w:hAnsi="Times New Roman" w:cs="Times New Roman"/>
          <w:color w:val="auto"/>
          <w:sz w:val="24"/>
          <w:lang w:val="en-GB"/>
        </w:rPr>
      </w:pPr>
    </w:p>
    <w:p w14:paraId="006C82E0"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48" w:name="_Toc19715819"/>
      <w:bookmarkStart w:id="49" w:name="_Toc151714459"/>
      <w:r>
        <w:rPr>
          <w:sz w:val="24"/>
          <w:rFonts w:ascii="Times New Roman" w:hAnsi="Times New Roman"/>
        </w:rPr>
        <w:t xml:space="preserve">C 34.07 — IRB-metoden — modpartsrisikoeksponeringer efter eksponeringsklasse og PD-skala</w:t>
      </w:r>
      <w:bookmarkEnd w:id="48"/>
      <w:bookmarkEnd w:id="49"/>
      <w:r>
        <w:rPr>
          <w:sz w:val="24"/>
          <w:rFonts w:ascii="Times New Roman" w:hAnsi="Times New Roman"/>
        </w:rPr>
        <w:t xml:space="preserve"> </w:t>
      </w:r>
    </w:p>
    <w:p w14:paraId="5DE58571"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50" w:name="_Toc19715820"/>
      <w:bookmarkStart w:id="51" w:name="_Toc151714460"/>
      <w:r>
        <w:rPr>
          <w:sz w:val="24"/>
          <w:rFonts w:ascii="Times New Roman" w:hAnsi="Times New Roman"/>
        </w:rPr>
        <w:t xml:space="preserve">Generelle bemærkninger</w:t>
      </w:r>
      <w:bookmarkEnd w:id="50"/>
      <w:bookmarkEnd w:id="51"/>
    </w:p>
    <w:p w14:paraId="493D377D" w14:textId="08D4F1D7"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t xml:space="preserve">128</w:t>
      </w:r>
      <w:r>
        <w:fldChar w:fldCharType="end"/>
      </w:r>
      <w:r>
        <w:t xml:space="preserve">.</w:t>
      </w:r>
      <w:r>
        <w:t xml:space="preserve"> </w:t>
      </w:r>
      <w:r>
        <w:t xml:space="preserve">Dette skema indberettes af institutter, der anvender enten den avancerede eller den grundlæggende IRB-metode til beregning af risikovægtede eksponeringer for alle eller dele af deres modpartsrisikoeksponeringer i overensstemmelse med artikel 107 i forordning (EU) nr. 575/2013, uanset den CCR-metode, der anvendes til at bestemme eksponeringers størrelse i overensstemmelse med tredje del, afsnit II, kapitel 4 og 6, i forordning (EU) nr. 575/2013.</w:t>
      </w:r>
      <w:r>
        <w:t xml:space="preserve"> </w:t>
      </w:r>
    </w:p>
    <w:p w14:paraId="4C8689E1" w14:textId="222A66BC"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t xml:space="preserve">129</w:t>
      </w:r>
      <w:r>
        <w:fldChar w:fldCharType="end"/>
      </w:r>
      <w:r>
        <w:t xml:space="preserve">.</w:t>
      </w:r>
      <w:r>
        <w:t xml:space="preserve"> </w:t>
      </w:r>
      <w:r>
        <w:t xml:space="preserve">Skemaet indberettes separat for den samlede eksponering i alle eksponeringsklasser og separat for hver af de eksponeringsklasser, der er anført i artikel 147 i forordning (EU) nr. 575/2013.</w:t>
      </w:r>
      <w:r>
        <w:t xml:space="preserve"> </w:t>
      </w:r>
      <w:r>
        <w:t xml:space="preserve">Dette skema udelukker eksponeringer, der er clearet gennem en CCP.</w:t>
      </w:r>
      <w:r>
        <w:t xml:space="preserve"> </w:t>
      </w:r>
    </w:p>
    <w:p w14:paraId="606463EA" w14:textId="4FB3F052"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t xml:space="preserve">130</w:t>
      </w:r>
      <w:r>
        <w:fldChar w:fldCharType="end"/>
      </w:r>
      <w:r>
        <w:t xml:space="preserve">.</w:t>
      </w:r>
      <w:r>
        <w:t xml:space="preserve"> </w:t>
      </w:r>
      <w:r>
        <w:t xml:space="preserve">For at præcisere, om instituttet bruger sine egne estimater over tab givet misligholdelse (LGD) og/eller kreditkonverteringsfaktorer, anføres følgende oplysning for hver indberettet eksponeringsklasse:</w:t>
      </w:r>
    </w:p>
    <w:p w14:paraId="0659E66C" w14:textId="77777777" w:rsidR="00EF74C7" w:rsidRPr="002A677E" w:rsidRDefault="00EF74C7" w:rsidP="00EF74C7">
      <w:pPr>
        <w:autoSpaceDE w:val="0"/>
        <w:autoSpaceDN w:val="0"/>
        <w:adjustRightInd w:val="0"/>
        <w:spacing w:after="240"/>
        <w:ind w:left="709"/>
        <w:rPr>
          <w:sz w:val="24"/>
          <w:rFonts w:ascii="Times New Roman" w:hAnsi="Times New Roman"/>
        </w:rPr>
      </w:pPr>
      <w:r>
        <w:rPr>
          <w:sz w:val="24"/>
          <w:rFonts w:ascii="Times New Roman" w:hAnsi="Times New Roman"/>
        </w:rPr>
        <w:t xml:space="preserve">"NEJ" = hvis myndighedens estimater over tab givet misligholdelse og kreditkonverteringsfaktorer anvendes (grundlæggende IRB)</w:t>
      </w:r>
    </w:p>
    <w:p w14:paraId="41E96B9D" w14:textId="77777777" w:rsidR="00EF74C7" w:rsidRPr="002A677E" w:rsidRDefault="00EF74C7" w:rsidP="00EF74C7">
      <w:pPr>
        <w:autoSpaceDE w:val="0"/>
        <w:autoSpaceDN w:val="0"/>
        <w:adjustRightInd w:val="0"/>
        <w:spacing w:after="240"/>
        <w:ind w:left="709"/>
        <w:rPr>
          <w:sz w:val="24"/>
          <w:rFonts w:ascii="Times New Roman" w:hAnsi="Times New Roman"/>
        </w:rPr>
      </w:pPr>
      <w:r>
        <w:rPr>
          <w:sz w:val="24"/>
          <w:rFonts w:ascii="Times New Roman" w:hAnsi="Times New Roman"/>
        </w:rPr>
        <w:t xml:space="preserve">"JA" = hvis egne estimater over tab givet misligholdelse og kreditkonverteringsfaktorer anvendes (udbygget IRB)</w:t>
      </w:r>
      <w:r>
        <w:rPr>
          <w:sz w:val="24"/>
          <w:rFonts w:ascii="Times New Roman" w:hAnsi="Times New Roman"/>
        </w:rPr>
        <w:t xml:space="preserve"> </w:t>
      </w:r>
    </w:p>
    <w:p w14:paraId="32D25096"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52" w:name="_Toc19715821"/>
      <w:bookmarkStart w:id="53" w:name="_Toc151714461"/>
      <w:r>
        <w:rPr>
          <w:sz w:val="24"/>
          <w:rFonts w:ascii="Times New Roman" w:hAnsi="Times New Roman"/>
        </w:rPr>
        <w:t xml:space="preserve">Instrukser vedrørende specifikke positioner</w:t>
      </w:r>
      <w:bookmarkEnd w:id="52"/>
      <w:bookmarkEnd w:id="5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EF74C7" w:rsidRPr="002A677E" w14:paraId="0D87515F" w14:textId="77777777" w:rsidTr="00822842">
        <w:trPr>
          <w:trHeight w:val="238"/>
        </w:trPr>
        <w:tc>
          <w:tcPr>
            <w:tcW w:w="9067" w:type="dxa"/>
            <w:shd w:val="clear" w:color="auto" w:fill="D9D9D9" w:themeFill="background1" w:themeFillShade="D9"/>
          </w:tcPr>
          <w:p w14:paraId="496A4935"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Kolonner</w:t>
            </w:r>
          </w:p>
        </w:tc>
      </w:tr>
    </w:tbl>
    <w:tbl>
      <w:tblPr>
        <w:tblStyle w:val="TableGrid"/>
        <w:tblW w:w="9067" w:type="dxa"/>
        <w:tblLook w:val="04A0" w:firstRow="1" w:lastRow="0" w:firstColumn="1" w:lastColumn="0" w:noHBand="0" w:noVBand="1"/>
      </w:tblPr>
      <w:tblGrid>
        <w:gridCol w:w="1413"/>
        <w:gridCol w:w="7654"/>
      </w:tblGrid>
      <w:tr w:rsidR="00EF74C7" w:rsidRPr="002A677E" w14:paraId="5CB4A790" w14:textId="77777777" w:rsidTr="00822842">
        <w:tc>
          <w:tcPr>
            <w:tcW w:w="1413" w:type="dxa"/>
          </w:tcPr>
          <w:p w14:paraId="1B495832" w14:textId="77777777" w:rsidR="00EF74C7" w:rsidRPr="002A677E" w:rsidRDefault="00EF74C7" w:rsidP="00822842">
            <w:pPr>
              <w:spacing w:before="60" w:after="240"/>
              <w:rPr>
                <w:sz w:val="24"/>
                <w:szCs w:val="22"/>
                <w:rFonts w:ascii="Times New Roman" w:hAnsi="Times New Roman"/>
              </w:rPr>
            </w:pPr>
            <w:r>
              <w:rPr>
                <w:sz w:val="24"/>
                <w:rFonts w:ascii="Times New Roman" w:hAnsi="Times New Roman"/>
              </w:rPr>
              <w:t xml:space="preserve">0010</w:t>
            </w:r>
          </w:p>
        </w:tc>
        <w:tc>
          <w:tcPr>
            <w:tcW w:w="7654" w:type="dxa"/>
          </w:tcPr>
          <w:p w14:paraId="67C92FDB" w14:textId="77777777" w:rsidR="00EF74C7" w:rsidRPr="001235ED"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Eksponeringsværdi</w:t>
            </w:r>
            <w:r>
              <w:rPr>
                <w:rStyle w:val="InstructionsTabelleberschrift"/>
                <w:sz w:val="24"/>
                <w:rFonts w:ascii="Times New Roman" w:hAnsi="Times New Roman"/>
              </w:rPr>
              <w:t xml:space="preserve"> </w:t>
            </w:r>
          </w:p>
          <w:p w14:paraId="2C3DDF84" w14:textId="77777777" w:rsidR="00EF74C7" w:rsidRPr="002A677E" w:rsidRDefault="00EF74C7" w:rsidP="00822842">
            <w:pPr>
              <w:spacing w:before="60" w:after="240"/>
              <w:rPr>
                <w:sz w:val="24"/>
                <w:rFonts w:ascii="Times New Roman" w:hAnsi="Times New Roman"/>
              </w:rPr>
            </w:pPr>
            <w:r>
              <w:rPr>
                <w:sz w:val="24"/>
                <w:rFonts w:ascii="Times New Roman" w:hAnsi="Times New Roman"/>
              </w:rPr>
              <w:t xml:space="preserve">Eksponeringsværdien (se instrukserne til kolonne 0170 i skema C 34.02 ) opdelt efter den pågældende PD-skala</w:t>
            </w:r>
          </w:p>
        </w:tc>
      </w:tr>
      <w:tr w:rsidR="00EF74C7" w:rsidRPr="002A677E" w14:paraId="7A3BA614" w14:textId="77777777" w:rsidTr="00822842">
        <w:tc>
          <w:tcPr>
            <w:tcW w:w="1413" w:type="dxa"/>
          </w:tcPr>
          <w:p w14:paraId="198D2CA3" w14:textId="77777777" w:rsidR="00EF74C7" w:rsidRPr="002A677E" w:rsidRDefault="00EF74C7" w:rsidP="00822842">
            <w:pPr>
              <w:spacing w:before="60" w:after="240"/>
              <w:rPr>
                <w:sz w:val="24"/>
                <w:szCs w:val="22"/>
                <w:rFonts w:ascii="Times New Roman" w:hAnsi="Times New Roman"/>
              </w:rPr>
            </w:pPr>
            <w:r>
              <w:rPr>
                <w:sz w:val="24"/>
                <w:rFonts w:ascii="Times New Roman" w:hAnsi="Times New Roman"/>
              </w:rPr>
              <w:t xml:space="preserve">0020</w:t>
            </w:r>
          </w:p>
        </w:tc>
        <w:tc>
          <w:tcPr>
            <w:tcW w:w="7654" w:type="dxa"/>
          </w:tcPr>
          <w:p w14:paraId="57F61D37" w14:textId="77777777" w:rsidR="00EF74C7" w:rsidRPr="001235ED" w:rsidRDefault="00EF74C7" w:rsidP="00822842">
            <w:pPr>
              <w:spacing w:before="60" w:after="240"/>
              <w:rPr>
                <w:rStyle w:val="InstructionsTabelleberschrift"/>
                <w:sz w:val="24"/>
                <w:rFonts w:ascii="Times New Roman" w:hAnsi="Times New Roman"/>
              </w:rPr>
            </w:pPr>
            <w:r>
              <w:rPr>
                <w:rStyle w:val="InstructionsTabelleberschrift"/>
                <w:sz w:val="24"/>
                <w:rFonts w:ascii="Times New Roman" w:hAnsi="Times New Roman"/>
              </w:rPr>
              <w:t xml:space="preserve">Eksponeringsvægtet gennemsnitlig PD (%)</w:t>
            </w:r>
          </w:p>
          <w:p w14:paraId="17CBA312" w14:textId="77777777" w:rsidR="00EF74C7" w:rsidRPr="002A677E" w:rsidRDefault="00EF74C7" w:rsidP="00822842">
            <w:pPr>
              <w:spacing w:before="60" w:after="240"/>
              <w:rPr>
                <w:sz w:val="24"/>
                <w:rFonts w:ascii="Times New Roman" w:hAnsi="Times New Roman"/>
              </w:rPr>
            </w:pPr>
            <w:r>
              <w:rPr>
                <w:sz w:val="24"/>
                <w:rFonts w:ascii="Times New Roman" w:hAnsi="Times New Roman"/>
              </w:rPr>
              <w:t xml:space="preserve">Gennemsnitlig sandsynlighed for misligholdelse for den enkelte låntagerklasse, vægtet med den tilsvarende eksponeringsværdi som defineret i kolonne 0010</w:t>
            </w:r>
          </w:p>
        </w:tc>
      </w:tr>
      <w:tr w:rsidR="00EF74C7" w:rsidRPr="002A677E" w14:paraId="463531AA" w14:textId="77777777" w:rsidTr="00822842">
        <w:tc>
          <w:tcPr>
            <w:tcW w:w="1413" w:type="dxa"/>
          </w:tcPr>
          <w:p w14:paraId="5D5F447A" w14:textId="77777777" w:rsidR="00EF74C7" w:rsidRPr="002A677E" w:rsidRDefault="00EF74C7" w:rsidP="00822842">
            <w:pPr>
              <w:spacing w:before="60" w:after="240"/>
              <w:rPr>
                <w:sz w:val="24"/>
                <w:szCs w:val="22"/>
                <w:rFonts w:ascii="Times New Roman" w:hAnsi="Times New Roman"/>
              </w:rPr>
            </w:pPr>
            <w:r>
              <w:rPr>
                <w:sz w:val="24"/>
                <w:rFonts w:ascii="Times New Roman" w:hAnsi="Times New Roman"/>
              </w:rPr>
              <w:t xml:space="preserve">0030</w:t>
            </w:r>
          </w:p>
        </w:tc>
        <w:tc>
          <w:tcPr>
            <w:tcW w:w="7654" w:type="dxa"/>
          </w:tcPr>
          <w:p w14:paraId="2AD2D5DC" w14:textId="77777777" w:rsidR="00EF74C7" w:rsidRPr="001235ED"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Antal låntagere</w:t>
            </w:r>
            <w:r>
              <w:rPr>
                <w:rStyle w:val="InstructionsTabelleberschrift"/>
                <w:sz w:val="24"/>
                <w:rFonts w:ascii="Times New Roman" w:hAnsi="Times New Roman"/>
              </w:rPr>
              <w:t xml:space="preserve"> </w:t>
            </w:r>
          </w:p>
          <w:p w14:paraId="75633515" w14:textId="77777777" w:rsidR="00EF74C7" w:rsidRPr="002A677E" w:rsidRDefault="00EF74C7" w:rsidP="00822842">
            <w:pPr>
              <w:rPr>
                <w:sz w:val="24"/>
                <w:rFonts w:ascii="Times New Roman" w:hAnsi="Times New Roman"/>
              </w:rPr>
            </w:pPr>
            <w:r>
              <w:rPr>
                <w:sz w:val="24"/>
                <w:rFonts w:ascii="Times New Roman" w:hAnsi="Times New Roman"/>
              </w:rPr>
              <w:t xml:space="preserve">Antallet af juridiske enheder eller låntagere, der er fordelt på hver undergruppe af den fastsatte PD-skala, som blev vurderet særskilt, uanset antallet af de forskellige bevilgede lån eller eksponeringer</w:t>
            </w:r>
          </w:p>
          <w:p w14:paraId="79F85080" w14:textId="77777777" w:rsidR="00EF74C7" w:rsidRPr="002A677E" w:rsidRDefault="00EF74C7" w:rsidP="00822842">
            <w:pPr>
              <w:rPr>
                <w:sz w:val="24"/>
                <w:rFonts w:ascii="Times New Roman" w:hAnsi="Times New Roman"/>
              </w:rPr>
            </w:pPr>
            <w:r>
              <w:rPr>
                <w:sz w:val="24"/>
                <w:rFonts w:ascii="Times New Roman" w:hAnsi="Times New Roman"/>
              </w:rPr>
              <w:t xml:space="preserve">Hvis forskellige eksponeringer mod samme låntager vurderes særskilt, tælles de hver for sig.</w:t>
            </w:r>
            <w:r>
              <w:rPr>
                <w:sz w:val="24"/>
                <w:rFonts w:ascii="Times New Roman" w:hAnsi="Times New Roman"/>
              </w:rPr>
              <w:t xml:space="preserve"> </w:t>
            </w:r>
            <w:r>
              <w:rPr>
                <w:sz w:val="24"/>
                <w:rFonts w:ascii="Times New Roman" w:hAnsi="Times New Roman"/>
              </w:rPr>
              <w:t xml:space="preserve">En sådan situation kan finde sted, hvis særskilte eksponeringer mod den samme låntager henføres til forskellige låntagerklasser i overensstemmelse med artikel 172, stk. 1, andet punktum, litra e), i forordning (EU) nr. 575/2013.</w:t>
            </w:r>
          </w:p>
        </w:tc>
      </w:tr>
      <w:tr w:rsidR="00EF74C7" w:rsidRPr="002A677E" w14:paraId="239943F5" w14:textId="77777777" w:rsidTr="00822842">
        <w:tc>
          <w:tcPr>
            <w:tcW w:w="1413" w:type="dxa"/>
          </w:tcPr>
          <w:p w14:paraId="01BF27A5" w14:textId="77777777" w:rsidR="00EF74C7" w:rsidRPr="002A677E" w:rsidRDefault="00EF74C7" w:rsidP="00822842">
            <w:pPr>
              <w:spacing w:before="60" w:after="240"/>
              <w:rPr>
                <w:sz w:val="24"/>
                <w:szCs w:val="22"/>
                <w:rFonts w:ascii="Times New Roman" w:hAnsi="Times New Roman"/>
              </w:rPr>
            </w:pPr>
            <w:r>
              <w:rPr>
                <w:sz w:val="24"/>
                <w:rFonts w:ascii="Times New Roman" w:hAnsi="Times New Roman"/>
              </w:rPr>
              <w:t xml:space="preserve">0040</w:t>
            </w:r>
          </w:p>
        </w:tc>
        <w:tc>
          <w:tcPr>
            <w:tcW w:w="7654" w:type="dxa"/>
          </w:tcPr>
          <w:p w14:paraId="1D60931A" w14:textId="77777777" w:rsidR="00EF74C7" w:rsidRPr="001235ED" w:rsidRDefault="00EF74C7" w:rsidP="00822842">
            <w:pPr>
              <w:spacing w:before="60" w:after="240"/>
              <w:rPr>
                <w:rStyle w:val="InstructionsTabelleberschrift"/>
                <w:sz w:val="24"/>
                <w:rFonts w:ascii="Times New Roman" w:hAnsi="Times New Roman"/>
              </w:rPr>
            </w:pPr>
            <w:r>
              <w:rPr>
                <w:rStyle w:val="InstructionsTabelleberschrift"/>
                <w:sz w:val="24"/>
                <w:rFonts w:ascii="Times New Roman" w:hAnsi="Times New Roman"/>
              </w:rPr>
              <w:t xml:space="preserve">Eksponeringsvægtet gennemsnitligt LGD (%)</w:t>
            </w:r>
          </w:p>
          <w:p w14:paraId="1CF7FBBB" w14:textId="77777777" w:rsidR="00EF74C7" w:rsidRPr="002A677E" w:rsidRDefault="00EF74C7" w:rsidP="00822842">
            <w:pPr>
              <w:spacing w:before="60" w:after="240"/>
              <w:rPr>
                <w:sz w:val="24"/>
                <w:rFonts w:ascii="Times New Roman" w:hAnsi="Times New Roman"/>
              </w:rPr>
            </w:pPr>
            <w:r>
              <w:rPr>
                <w:sz w:val="24"/>
                <w:rFonts w:ascii="Times New Roman" w:hAnsi="Times New Roman"/>
              </w:rPr>
              <w:t xml:space="preserve">Gennemsnitlig LGD'er for låntagerklassen, vægtet med den tilsvarende eksponeringsværdi som defineret i kolonne 0010</w:t>
            </w:r>
          </w:p>
          <w:p w14:paraId="7080F0A6" w14:textId="080029A0" w:rsidR="00EF74C7" w:rsidRPr="002A677E" w:rsidRDefault="00EF74C7" w:rsidP="00822842">
            <w:pPr>
              <w:rPr>
                <w:sz w:val="24"/>
                <w:rFonts w:ascii="Times New Roman" w:hAnsi="Times New Roman"/>
              </w:rPr>
            </w:pPr>
            <w:r>
              <w:rPr>
                <w:sz w:val="24"/>
                <w:rFonts w:ascii="Times New Roman" w:hAnsi="Times New Roman"/>
              </w:rPr>
              <w:t xml:space="preserve">Det indberettede LGD skal svare til det endelige LGD-estimat, der er anvendt til beregningen af risikovægtede eksponeringer, der fremkommer efter hensyntagen til eventuelle virkninger af kreditrisikoreduktionsteknikker og, hvor det er relevant, økonomiske nedgangsperioder, som anført i tredje del, afsnit II, kapitel 3 og 4, i forordning (EU) nr. 575/2013.</w:t>
            </w:r>
            <w:r>
              <w:rPr>
                <w:sz w:val="24"/>
                <w:rFonts w:ascii="Times New Roman" w:hAnsi="Times New Roman"/>
              </w:rPr>
              <w:t xml:space="preserve"> </w:t>
            </w:r>
            <w:r>
              <w:rPr>
                <w:sz w:val="24"/>
                <w:rFonts w:ascii="Times New Roman" w:hAnsi="Times New Roman"/>
              </w:rPr>
              <w:t xml:space="preserve">Navnlig for institutter, der anvender IRB-metoden, men som ikke anvender deres egne estimater af LGD, afspejles den risikoreducerende virkning af finansiel sikkerhed i E*, den fuldt justerede værdi af eksponeringen, og afspejles derefter i LGD*, jf. artikel 230 i forordning (EU) nr. 575/2013.</w:t>
            </w:r>
            <w:r>
              <w:rPr>
                <w:sz w:val="24"/>
                <w:rFonts w:ascii="Times New Roman" w:hAnsi="Times New Roman"/>
              </w:rPr>
              <w:t xml:space="preserve"> </w:t>
            </w:r>
            <w:r>
              <w:rPr>
                <w:sz w:val="24"/>
                <w:rFonts w:ascii="Times New Roman" w:hAnsi="Times New Roman"/>
              </w:rPr>
              <w:t xml:space="preserve">Hvis egne estimater af LGD anvendes, tages artikel 175 og artikel 181, stk. 1 og 2, i forordning (EU) nr. 575/2013 i betragtning.</w:t>
            </w:r>
          </w:p>
          <w:p w14:paraId="1D9D0798" w14:textId="77777777" w:rsidR="00EF74C7" w:rsidRPr="002A677E" w:rsidRDefault="00EF74C7" w:rsidP="00822842">
            <w:pPr>
              <w:rPr>
                <w:sz w:val="24"/>
                <w:rFonts w:ascii="Times New Roman" w:hAnsi="Times New Roman"/>
              </w:rPr>
            </w:pPr>
            <w:r>
              <w:rPr>
                <w:sz w:val="24"/>
                <w:rFonts w:ascii="Times New Roman" w:hAnsi="Times New Roman"/>
              </w:rPr>
              <w:t xml:space="preserve">Hvis eksponeringer er underlagt double default-behandling, skal det indberettede LGD svare til det, der er valgt i henhold til artikel 161, stk. 4, i forordning (EU) nr. 575/2013.</w:t>
            </w:r>
          </w:p>
          <w:p w14:paraId="2C390C4A" w14:textId="77777777" w:rsidR="00EF74C7" w:rsidRPr="002A677E" w:rsidRDefault="00EF74C7" w:rsidP="00822842">
            <w:pPr>
              <w:spacing w:before="60" w:after="240"/>
              <w:rPr>
                <w:strike/>
                <w:sz w:val="24"/>
                <w:rFonts w:ascii="Times New Roman" w:hAnsi="Times New Roman"/>
              </w:rPr>
            </w:pPr>
            <w:r>
              <w:rPr>
                <w:sz w:val="24"/>
                <w:rFonts w:ascii="Times New Roman" w:hAnsi="Times New Roman"/>
              </w:rPr>
              <w:t xml:space="preserve">For misligholdte eksponeringer i henhold til A-IRB-metoden tages der hensyn til de bestemmelser, der er fastsat i artikel 181, stk. 1, litra h), i forordning (EU) nr. 575/2013.</w:t>
            </w:r>
            <w:r>
              <w:rPr>
                <w:sz w:val="24"/>
                <w:rFonts w:ascii="Times New Roman" w:hAnsi="Times New Roman"/>
              </w:rPr>
              <w:t xml:space="preserve"> </w:t>
            </w:r>
            <w:r>
              <w:rPr>
                <w:sz w:val="24"/>
                <w:rFonts w:ascii="Times New Roman" w:hAnsi="Times New Roman"/>
              </w:rPr>
              <w:t xml:space="preserve">De indberettede LGD skal svare til estimatet for tab givet misligholdelse (LGD).</w:t>
            </w:r>
            <w:r>
              <w:rPr>
                <w:sz w:val="24"/>
                <w:rFonts w:ascii="Times New Roman" w:hAnsi="Times New Roman"/>
              </w:rPr>
              <w:t xml:space="preserve"> </w:t>
            </w:r>
          </w:p>
        </w:tc>
      </w:tr>
      <w:tr w:rsidR="00EF74C7" w:rsidRPr="002A677E" w14:paraId="6EA42417" w14:textId="77777777" w:rsidTr="00822842">
        <w:tc>
          <w:tcPr>
            <w:tcW w:w="1413" w:type="dxa"/>
          </w:tcPr>
          <w:p w14:paraId="49D0D602" w14:textId="77777777" w:rsidR="00EF74C7" w:rsidRPr="002A677E" w:rsidRDefault="00EF74C7" w:rsidP="00822842">
            <w:pPr>
              <w:spacing w:before="60" w:after="240"/>
              <w:rPr>
                <w:sz w:val="24"/>
                <w:rFonts w:ascii="Times New Roman" w:hAnsi="Times New Roman"/>
              </w:rPr>
            </w:pPr>
            <w:r>
              <w:rPr>
                <w:sz w:val="24"/>
                <w:rFonts w:ascii="Times New Roman" w:hAnsi="Times New Roman"/>
              </w:rPr>
              <w:t xml:space="preserve">0050</w:t>
            </w:r>
          </w:p>
        </w:tc>
        <w:tc>
          <w:tcPr>
            <w:tcW w:w="7654" w:type="dxa"/>
          </w:tcPr>
          <w:p w14:paraId="6BAEF9EB" w14:textId="77777777" w:rsidR="00EF74C7" w:rsidRPr="001235ED"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Eksponeringsvægtet gennemsnitlig løbetid (år)</w:t>
            </w:r>
          </w:p>
          <w:p w14:paraId="32B69B7E" w14:textId="77777777" w:rsidR="00EF74C7" w:rsidRPr="002A677E" w:rsidRDefault="00EF74C7" w:rsidP="00822842">
            <w:pPr>
              <w:spacing w:before="60"/>
              <w:rPr>
                <w:sz w:val="24"/>
                <w:rFonts w:ascii="Times New Roman" w:hAnsi="Times New Roman"/>
              </w:rPr>
            </w:pPr>
            <w:r>
              <w:rPr>
                <w:sz w:val="24"/>
                <w:rStyle w:val="InstructionsTabelleberschrift"/>
                <w:b w:val="0"/>
                <w:u w:val="none"/>
                <w:rFonts w:ascii="Times New Roman" w:hAnsi="Times New Roman"/>
              </w:rPr>
              <w:t xml:space="preserve">Gennemsnitlig</w:t>
            </w:r>
            <w:r>
              <w:rPr>
                <w:sz w:val="24"/>
                <w:rFonts w:ascii="Times New Roman" w:hAnsi="Times New Roman"/>
              </w:rPr>
              <w:t xml:space="preserve"> løbetid for låntager udtrykt i år, vægtet med den tilsvarende eksponeringsværdi som defineret i kolonne 0010.</w:t>
            </w:r>
          </w:p>
          <w:p w14:paraId="2277F2A3" w14:textId="77777777" w:rsidR="00EF74C7" w:rsidRPr="002A677E" w:rsidRDefault="00EF74C7" w:rsidP="00822842">
            <w:pPr>
              <w:rPr>
                <w:sz w:val="24"/>
                <w:rFonts w:ascii="Times New Roman" w:hAnsi="Times New Roman"/>
              </w:rPr>
            </w:pPr>
            <w:r>
              <w:rPr>
                <w:sz w:val="24"/>
                <w:rFonts w:ascii="Times New Roman" w:hAnsi="Times New Roman"/>
              </w:rPr>
              <w:t xml:space="preserve">Løbetiden fastsættes i overensstemmelse med artikel 162, i forordning (EU) nr. 575/2013.</w:t>
            </w:r>
            <w:r>
              <w:rPr>
                <w:sz w:val="24"/>
                <w:rFonts w:ascii="Times New Roman" w:hAnsi="Times New Roman"/>
              </w:rPr>
              <w:t xml:space="preserve"> </w:t>
            </w:r>
          </w:p>
        </w:tc>
      </w:tr>
      <w:tr w:rsidR="00EF74C7" w:rsidRPr="002A677E" w14:paraId="5B18C05A" w14:textId="77777777" w:rsidTr="00822842">
        <w:tc>
          <w:tcPr>
            <w:tcW w:w="1413" w:type="dxa"/>
          </w:tcPr>
          <w:p w14:paraId="2A096E22" w14:textId="77777777" w:rsidR="00EF74C7" w:rsidRPr="002A677E" w:rsidRDefault="00EF74C7" w:rsidP="00822842">
            <w:pPr>
              <w:spacing w:before="60" w:after="240"/>
              <w:rPr>
                <w:sz w:val="24"/>
              </w:rPr>
            </w:pPr>
            <w:r>
              <w:rPr>
                <w:sz w:val="24"/>
                <w:rFonts w:ascii="Times New Roman" w:hAnsi="Times New Roman"/>
              </w:rPr>
              <w:t xml:space="preserve">0060</w:t>
            </w:r>
          </w:p>
        </w:tc>
        <w:tc>
          <w:tcPr>
            <w:tcW w:w="7654" w:type="dxa"/>
          </w:tcPr>
          <w:p w14:paraId="46D2D7DB" w14:textId="77777777" w:rsidR="00EF74C7" w:rsidRPr="002A677E" w:rsidRDefault="00EF74C7" w:rsidP="00822842">
            <w:pPr>
              <w:spacing w:before="60"/>
              <w:rPr>
                <w:sz w:val="24"/>
                <w:rFonts w:ascii="Times New Roman" w:hAnsi="Times New Roman"/>
              </w:rPr>
            </w:pPr>
            <w:r>
              <w:rPr>
                <w:sz w:val="24"/>
                <w:rStyle w:val="InstructionsTabelleberschrift"/>
                <w:rFonts w:ascii="Times New Roman" w:hAnsi="Times New Roman"/>
              </w:rPr>
              <w:t xml:space="preserve">Risikovægtede eksponeringer</w:t>
            </w:r>
            <w:r>
              <w:rPr>
                <w:sz w:val="24"/>
                <w:i/>
                <w:rFonts w:ascii="Times New Roman" w:hAnsi="Times New Roman"/>
              </w:rPr>
              <w:t xml:space="preserve"> </w:t>
            </w:r>
          </w:p>
          <w:p w14:paraId="21AFCDAB" w14:textId="09499DC5" w:rsidR="00EF74C7" w:rsidRPr="002A677E" w:rsidRDefault="00EF74C7" w:rsidP="00822842">
            <w:pPr>
              <w:spacing w:before="60"/>
              <w:rPr>
                <w:sz w:val="24"/>
                <w:rFonts w:ascii="Times New Roman" w:hAnsi="Times New Roman"/>
              </w:rPr>
            </w:pPr>
            <w:r>
              <w:rPr>
                <w:sz w:val="24"/>
                <w:rFonts w:ascii="Times New Roman" w:hAnsi="Times New Roman"/>
              </w:rPr>
              <w:t xml:space="preserve">Risikovægtede eksponeringer som defineret i artikel 92, stk. 3, i forordning (EU) nr. 575/2013 for positioner, hvis risikovægtning er estimeret på grundlag af kravene i tredje del, afsnit II, kapitel 3, i forordning (EU) nr. 575/2013, og for hvilke eksponeringsværdien for CCR-relateret forretningsaktivitet beregnes i overensstemmelse med tredje del, afsnit II, kapitel 4 og 6, i nævnte forordning.</w:t>
            </w:r>
            <w:r>
              <w:rPr>
                <w:sz w:val="24"/>
                <w:rFonts w:ascii="Times New Roman" w:hAnsi="Times New Roman"/>
              </w:rPr>
              <w:t xml:space="preserve"> </w:t>
            </w:r>
          </w:p>
          <w:p w14:paraId="7071DC2E" w14:textId="77777777" w:rsidR="00EF74C7" w:rsidRPr="002A677E" w:rsidRDefault="00EF74C7" w:rsidP="00822842">
            <w:pPr>
              <w:spacing w:before="60" w:after="240"/>
              <w:rPr>
                <w:i/>
                <w:sz w:val="24"/>
                <w:rFonts w:ascii="Times New Roman" w:hAnsi="Times New Roman"/>
              </w:rPr>
            </w:pPr>
            <w:r>
              <w:rPr>
                <w:sz w:val="24"/>
                <w:rFonts w:ascii="Times New Roman" w:hAnsi="Times New Roman"/>
              </w:rPr>
              <w:t xml:space="preserve">Støttefaktorerne for SMV'er og infrastruktur, som fastlagt i artikel 501 og 501a i forordning (EU) nr. 575/2013, indregnes.</w:t>
            </w:r>
            <w:r>
              <w:rPr>
                <w:sz w:val="24"/>
                <w:rFonts w:ascii="Times New Roman" w:hAnsi="Times New Roman"/>
              </w:rPr>
              <w:t xml:space="preserve"> </w:t>
            </w:r>
          </w:p>
        </w:tc>
      </w:tr>
      <w:tr w:rsidR="00EF74C7" w:rsidRPr="002A677E" w14:paraId="4BA3B7AB" w14:textId="77777777" w:rsidTr="00822842">
        <w:tc>
          <w:tcPr>
            <w:tcW w:w="1413" w:type="dxa"/>
          </w:tcPr>
          <w:p w14:paraId="5F982F69" w14:textId="77777777" w:rsidR="00EF74C7" w:rsidRPr="002A677E" w:rsidRDefault="00EF74C7" w:rsidP="00822842">
            <w:pPr>
              <w:spacing w:before="60" w:after="240"/>
              <w:rPr>
                <w:sz w:val="24"/>
              </w:rPr>
            </w:pPr>
            <w:r>
              <w:rPr>
                <w:sz w:val="24"/>
                <w:rFonts w:ascii="Times New Roman" w:hAnsi="Times New Roman"/>
              </w:rPr>
              <w:t xml:space="preserve">0070</w:t>
            </w:r>
          </w:p>
        </w:tc>
        <w:tc>
          <w:tcPr>
            <w:tcW w:w="7654" w:type="dxa"/>
          </w:tcPr>
          <w:p w14:paraId="6C5FAC81" w14:textId="77777777" w:rsidR="00EF74C7" w:rsidRPr="001235ED"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Densitet af risikovægtede eksponeringer</w:t>
            </w:r>
            <w:r>
              <w:rPr>
                <w:rStyle w:val="InstructionsTabelleberschrift"/>
                <w:sz w:val="24"/>
                <w:rFonts w:ascii="Times New Roman" w:hAnsi="Times New Roman"/>
              </w:rPr>
              <w:t xml:space="preserve"> </w:t>
            </w:r>
          </w:p>
          <w:p w14:paraId="2D69B724" w14:textId="77777777" w:rsidR="00EF74C7" w:rsidRPr="002A677E" w:rsidDel="00291448" w:rsidRDefault="00EF74C7" w:rsidP="00822842">
            <w:pPr>
              <w:spacing w:before="60"/>
              <w:rPr>
                <w:sz w:val="24"/>
                <w:rFonts w:ascii="Times New Roman" w:hAnsi="Times New Roman"/>
              </w:rPr>
            </w:pPr>
            <w:r>
              <w:rPr>
                <w:sz w:val="24"/>
                <w:rFonts w:ascii="Times New Roman" w:hAnsi="Times New Roman"/>
              </w:rPr>
              <w:t xml:space="preserve">Forholdet mellem de samlede risikovægtede eksponeringer (indberettet i kolonne 0060) og eksponeringsværdien (indberettet i kolonne 0010).</w:t>
            </w:r>
          </w:p>
        </w:tc>
      </w:tr>
    </w:tbl>
    <w:p w14:paraId="62CA01EC" w14:textId="77777777" w:rsidR="00EF74C7" w:rsidRPr="002A677E" w:rsidRDefault="00EF74C7" w:rsidP="00EF74C7">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75F0F1C" w14:textId="77777777" w:rsidTr="00822842">
        <w:trPr>
          <w:trHeight w:val="720"/>
        </w:trPr>
        <w:tc>
          <w:tcPr>
            <w:tcW w:w="9039" w:type="dxa"/>
            <w:gridSpan w:val="2"/>
            <w:shd w:val="clear" w:color="auto" w:fill="D9D9D9" w:themeFill="background1" w:themeFillShade="D9"/>
          </w:tcPr>
          <w:p w14:paraId="7AB89CAA" w14:textId="77777777" w:rsidR="00EF74C7" w:rsidRPr="002A677E" w:rsidRDefault="00EF74C7" w:rsidP="00822842">
            <w:pPr>
              <w:autoSpaceDE w:val="0"/>
              <w:autoSpaceDN w:val="0"/>
              <w:adjustRightInd w:val="0"/>
              <w:rPr>
                <w:sz w:val="24"/>
                <w:rFonts w:ascii="Times New Roman" w:hAnsi="Times New Roman"/>
              </w:rPr>
            </w:pPr>
            <w:r>
              <w:rPr>
                <w:b/>
                <w:sz w:val="24"/>
                <w:rFonts w:ascii="Times New Roman" w:hAnsi="Times New Roman"/>
              </w:rPr>
              <w:t xml:space="preserve">Rækker</w:t>
            </w:r>
            <w:r>
              <w:rPr>
                <w:b/>
                <w:sz w:val="24"/>
                <w:rFonts w:ascii="Times New Roman" w:hAnsi="Times New Roman"/>
              </w:rPr>
              <w:t xml:space="preserve"> </w:t>
            </w:r>
          </w:p>
        </w:tc>
      </w:tr>
      <w:tr w:rsidR="00EF74C7" w:rsidRPr="002A677E" w14:paraId="68004F65" w14:textId="77777777" w:rsidTr="00822842">
        <w:trPr>
          <w:trHeight w:val="680"/>
        </w:trPr>
        <w:tc>
          <w:tcPr>
            <w:tcW w:w="1384" w:type="dxa"/>
          </w:tcPr>
          <w:p w14:paraId="34D367A2" w14:textId="77777777" w:rsidR="00EF74C7" w:rsidRPr="002A677E" w:rsidRDefault="00EF74C7" w:rsidP="00822842">
            <w:pPr>
              <w:pStyle w:val="Applicationdirecte"/>
              <w:spacing w:before="60" w:after="0"/>
              <w:jc w:val="center"/>
            </w:pPr>
            <w:r>
              <w:t xml:space="preserve">0010 - 0170</w:t>
            </w:r>
          </w:p>
        </w:tc>
        <w:tc>
          <w:tcPr>
            <w:tcW w:w="7655" w:type="dxa"/>
            <w:vAlign w:val="center"/>
          </w:tcPr>
          <w:p w14:paraId="2D3B901D" w14:textId="77777777" w:rsidR="00EF74C7" w:rsidRPr="002A677E" w:rsidRDefault="00EF74C7" w:rsidP="00822842">
            <w:pPr>
              <w:spacing w:before="60"/>
              <w:rPr>
                <w:b/>
                <w:bCs/>
                <w:sz w:val="24"/>
                <w:u w:val="single"/>
                <w:rFonts w:ascii="Times New Roman" w:hAnsi="Times New Roman"/>
              </w:rPr>
            </w:pPr>
            <w:r>
              <w:rPr>
                <w:rStyle w:val="InstructionsTabelleberschrift"/>
                <w:sz w:val="24"/>
                <w:rFonts w:ascii="Times New Roman" w:hAnsi="Times New Roman"/>
              </w:rPr>
              <w:t xml:space="preserve">PD-skala</w:t>
            </w:r>
          </w:p>
          <w:p w14:paraId="61146F57" w14:textId="68363C58" w:rsidR="00EF74C7" w:rsidRPr="002A677E" w:rsidRDefault="00EF74C7" w:rsidP="00822842">
            <w:pPr>
              <w:spacing w:before="60"/>
              <w:rPr>
                <w:sz w:val="24"/>
                <w:rFonts w:ascii="Times New Roman" w:hAnsi="Times New Roman"/>
              </w:rPr>
            </w:pPr>
            <w:r>
              <w:rPr>
                <w:sz w:val="24"/>
                <w:rFonts w:ascii="Times New Roman" w:hAnsi="Times New Roman"/>
              </w:rPr>
              <w:t xml:space="preserve">Modpartsrisikoeksponeringer (bestemt på modpartsniveau) fordeles på den passende undergruppe af den fastsatte PD-skala baseret på den PD, der er estimeret for hver låntager, der er tildelt denne eksponeringsklasse (under hensyntagen til substitution som følge af forekomsten af en garanti eller et kreditderivat).</w:t>
            </w:r>
            <w:r>
              <w:rPr>
                <w:sz w:val="24"/>
                <w:rFonts w:ascii="Times New Roman" w:hAnsi="Times New Roman"/>
              </w:rPr>
              <w:t xml:space="preserve"> </w:t>
            </w:r>
            <w:r>
              <w:rPr>
                <w:sz w:val="24"/>
                <w:rFonts w:ascii="Times New Roman" w:hAnsi="Times New Roman"/>
              </w:rPr>
              <w:t xml:space="preserve">Institutterne henfører de enkelte eksponeringer til den PD-skala, der er angivet i skemaet, idet der også tages hensyn til en kontinuerlig ratingskala.</w:t>
            </w:r>
            <w:r>
              <w:rPr>
                <w:sz w:val="24"/>
                <w:rFonts w:ascii="Times New Roman" w:hAnsi="Times New Roman"/>
              </w:rPr>
              <w:t xml:space="preserve"> </w:t>
            </w:r>
            <w:r>
              <w:rPr>
                <w:sz w:val="24"/>
                <w:rFonts w:ascii="Times New Roman" w:hAnsi="Times New Roman"/>
              </w:rPr>
              <w:t xml:space="preserve">Alle misligholdte eksponeringer medregnes i den undergruppe, der repræsenterer en PD på 100 %.</w:t>
            </w:r>
          </w:p>
        </w:tc>
      </w:tr>
    </w:tbl>
    <w:p w14:paraId="6EF2BA05"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54" w:name="_Toc19715822"/>
      <w:bookmarkStart w:id="55" w:name="_Toc151714462"/>
      <w:r>
        <w:rPr>
          <w:sz w:val="24"/>
          <w:rFonts w:ascii="Times New Roman" w:hAnsi="Times New Roman"/>
        </w:rPr>
        <w:t xml:space="preserve">C 34.08 — Sammensætningen af sikkerhedsstillelse for modpartsrisikoeksponeringer</w:t>
      </w:r>
      <w:bookmarkEnd w:id="54"/>
      <w:bookmarkEnd w:id="55"/>
    </w:p>
    <w:p w14:paraId="70D733F8"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56" w:name="_Toc19715823"/>
      <w:bookmarkStart w:id="57" w:name="_Toc151714463"/>
      <w:r>
        <w:rPr>
          <w:sz w:val="24"/>
          <w:rFonts w:ascii="Times New Roman" w:hAnsi="Times New Roman"/>
        </w:rPr>
        <w:t xml:space="preserve">Generelle bemærkninger</w:t>
      </w:r>
      <w:bookmarkEnd w:id="56"/>
      <w:bookmarkEnd w:id="57"/>
    </w:p>
    <w:p w14:paraId="0AF1AF80" w14:textId="794CBD92"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t xml:space="preserve">131</w:t>
      </w:r>
      <w:r>
        <w:fldChar w:fldCharType="end"/>
      </w:r>
      <w:r>
        <w:t xml:space="preserve">.</w:t>
      </w:r>
      <w:r>
        <w:t xml:space="preserve"> </w:t>
      </w:r>
      <w:r>
        <w:t xml:space="preserve">Dette skema udfyldes med dagsværdier for sikkerhedsstillelse (stillet eller modtaget) anvendt i modpartsrisikoeksponeringer i relation til derivattransaktioner, terminsforretninger eller værdipapirfinansieringstransaktioner, uanset om transaktionerne cleares gennem en CCP, og uanset om sikkerhedsstillelse sker til en CCP.</w:t>
      </w:r>
      <w:r>
        <w:t xml:space="preserve"> </w:t>
      </w:r>
    </w:p>
    <w:p w14:paraId="74E68575"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58" w:name="_Toc19715824"/>
      <w:bookmarkStart w:id="59" w:name="_Toc151714464"/>
      <w:r>
        <w:rPr>
          <w:sz w:val="24"/>
          <w:rFonts w:ascii="Times New Roman" w:hAnsi="Times New Roman"/>
        </w:rPr>
        <w:t xml:space="preserve">Instrukser vedrørende specifikke positioner</w:t>
      </w:r>
      <w:bookmarkEnd w:id="58"/>
      <w:bookmarkEnd w:id="5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302BF743"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9AD00A" w14:textId="77777777" w:rsidR="00EF74C7" w:rsidRPr="002A677E" w:rsidRDefault="00EF74C7" w:rsidP="00822842">
            <w:pPr>
              <w:pStyle w:val="TableMainHeading"/>
              <w:spacing w:before="60"/>
              <w:rPr>
                <w:b/>
                <w:sz w:val="24"/>
                <w:szCs w:val="24"/>
                <w:rFonts w:ascii="Times New Roman" w:hAnsi="Times New Roman"/>
              </w:rPr>
            </w:pPr>
            <w:r>
              <w:rPr>
                <w:b/>
                <w:sz w:val="24"/>
                <w:rFonts w:ascii="Times New Roman" w:hAnsi="Times New Roman"/>
              </w:rPr>
              <w:t xml:space="preserve">Kolonner</w:t>
            </w:r>
            <w:r>
              <w:rPr>
                <w:b/>
                <w:sz w:val="24"/>
                <w:rFonts w:ascii="Times New Roman" w:hAnsi="Times New Roman"/>
              </w:rPr>
              <w:t xml:space="preserve"> </w:t>
            </w:r>
          </w:p>
        </w:tc>
      </w:tr>
      <w:tr w:rsidR="00EF74C7" w:rsidRPr="002A677E" w14:paraId="26586561" w14:textId="77777777" w:rsidTr="00822842">
        <w:trPr>
          <w:trHeight w:val="680"/>
        </w:trPr>
        <w:tc>
          <w:tcPr>
            <w:tcW w:w="1384" w:type="dxa"/>
          </w:tcPr>
          <w:p w14:paraId="21B980D6" w14:textId="77777777" w:rsidR="00EF74C7" w:rsidRPr="002A677E" w:rsidRDefault="00EF74C7" w:rsidP="00822842">
            <w:pPr>
              <w:pStyle w:val="Applicationdirecte"/>
              <w:spacing w:before="60" w:after="0"/>
            </w:pPr>
            <w:r>
              <w:t xml:space="preserve">0010 - 0080</w:t>
            </w:r>
          </w:p>
        </w:tc>
        <w:tc>
          <w:tcPr>
            <w:tcW w:w="7655" w:type="dxa"/>
            <w:vAlign w:val="center"/>
          </w:tcPr>
          <w:p w14:paraId="64904DC2"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Sikkerhedsstillelse anvendt i derivattransaktioner</w:t>
            </w:r>
            <w:r>
              <w:rPr>
                <w:rStyle w:val="InstructionsTabelleberschrift"/>
                <w:sz w:val="24"/>
                <w:rFonts w:ascii="Times New Roman" w:hAnsi="Times New Roman"/>
              </w:rPr>
              <w:t xml:space="preserve"> </w:t>
            </w:r>
          </w:p>
          <w:p w14:paraId="0F03F847" w14:textId="77777777" w:rsidR="00EF74C7" w:rsidRPr="002A677E" w:rsidRDefault="00EF74C7" w:rsidP="00822842">
            <w:pPr>
              <w:pStyle w:val="numberedparagraph"/>
              <w:numPr>
                <w:ilvl w:val="0"/>
                <w:numId w:val="0"/>
              </w:numPr>
              <w:spacing w:before="60" w:line="240" w:lineRule="auto"/>
              <w:rPr>
                <w:sz w:val="24"/>
                <w:rFonts w:ascii="Times New Roman" w:hAnsi="Times New Roman" w:cs="Times New Roman"/>
              </w:rPr>
            </w:pPr>
            <w:r>
              <w:rPr>
                <w:sz w:val="24"/>
                <w:rFonts w:ascii="Times New Roman" w:hAnsi="Times New Roman"/>
              </w:rPr>
              <w:t xml:space="preserve">Institutterne skal indberette sikkerhedsstillelsen (herunder sikkerhedsstillelse i form af initialmargen og variationsmargen), der anvendes i modpartsrisikoeksponeringer i forbindelse med et hvilket som helst af de derivater, der er anført i bilag II til forordning (EU) nr. 575/2013, eller en terminsforretning i henhold til samme forordnings artikel 272, stk. 2, og som ikke kan betegnes som en værdipapirfinansieringstransaktion.</w:t>
            </w:r>
            <w:r>
              <w:rPr>
                <w:sz w:val="24"/>
                <w:rFonts w:ascii="Times New Roman" w:hAnsi="Times New Roman"/>
              </w:rPr>
              <w:t xml:space="preserve"> </w:t>
            </w:r>
          </w:p>
        </w:tc>
      </w:tr>
      <w:tr w:rsidR="00EF74C7" w:rsidRPr="002A677E" w14:paraId="1B7CDC53" w14:textId="77777777" w:rsidTr="00822842">
        <w:trPr>
          <w:trHeight w:val="680"/>
        </w:trPr>
        <w:tc>
          <w:tcPr>
            <w:tcW w:w="1384" w:type="dxa"/>
          </w:tcPr>
          <w:p w14:paraId="28360CD0" w14:textId="77777777" w:rsidR="00EF74C7" w:rsidRPr="002A677E" w:rsidRDefault="00EF74C7" w:rsidP="00822842">
            <w:pPr>
              <w:pStyle w:val="Applicationdirecte"/>
              <w:spacing w:before="60" w:after="0"/>
            </w:pPr>
            <w:r>
              <w:t xml:space="preserve">0090 - 0180</w:t>
            </w:r>
          </w:p>
        </w:tc>
        <w:tc>
          <w:tcPr>
            <w:tcW w:w="7655" w:type="dxa"/>
            <w:vAlign w:val="center"/>
          </w:tcPr>
          <w:p w14:paraId="3C96417C"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Sikkerhedsstillelse anvendt i værdipapirfinansieringstransaktioner</w:t>
            </w:r>
            <w:r>
              <w:rPr>
                <w:rStyle w:val="InstructionsTabelleberschrift"/>
                <w:sz w:val="24"/>
                <w:rFonts w:ascii="Times New Roman" w:hAnsi="Times New Roman"/>
              </w:rPr>
              <w:t xml:space="preserve"> </w:t>
            </w:r>
          </w:p>
          <w:p w14:paraId="6B5AF52E" w14:textId="77777777" w:rsidR="00EF74C7" w:rsidRPr="002A677E" w:rsidRDefault="00EF74C7" w:rsidP="00822842">
            <w:pPr>
              <w:pStyle w:val="numberedparagraph"/>
              <w:numPr>
                <w:ilvl w:val="0"/>
                <w:numId w:val="0"/>
              </w:numPr>
              <w:spacing w:before="60" w:line="240" w:lineRule="auto"/>
              <w:rPr>
                <w:sz w:val="24"/>
                <w:rFonts w:ascii="Times New Roman" w:hAnsi="Times New Roman" w:cs="Times New Roman"/>
              </w:rPr>
            </w:pPr>
            <w:r>
              <w:rPr>
                <w:sz w:val="24"/>
                <w:rFonts w:ascii="Times New Roman" w:hAnsi="Times New Roman"/>
              </w:rPr>
              <w:t xml:space="preserve">Institutterne skal indberette den sikkerhedsstillelse (herunder sikkerhedsstillelse i form af initialmargen og variationsmargen samt sikkerhedsstillelse, der optræder som sikkerhed i værdipapirfinansieringstransaktionen), der anvendes i modpartsrisikoeksponeringer i forbindelse med en værdipapirfinansieringstransaktion eller en terminsforretning, der ikke betragtes som et derivat.</w:t>
            </w:r>
            <w:r>
              <w:rPr>
                <w:sz w:val="24"/>
                <w:rFonts w:ascii="Times New Roman" w:hAnsi="Times New Roman"/>
              </w:rPr>
              <w:t xml:space="preserve"> </w:t>
            </w:r>
          </w:p>
        </w:tc>
      </w:tr>
      <w:tr w:rsidR="00EF74C7" w:rsidRPr="002A677E" w14:paraId="0B6009FC" w14:textId="77777777" w:rsidTr="00822842">
        <w:trPr>
          <w:trHeight w:val="416"/>
        </w:trPr>
        <w:tc>
          <w:tcPr>
            <w:tcW w:w="1384" w:type="dxa"/>
          </w:tcPr>
          <w:p w14:paraId="201D2450" w14:textId="77777777" w:rsidR="00EF74C7" w:rsidRPr="002A677E" w:rsidRDefault="00EF74C7" w:rsidP="00822842">
            <w:pPr>
              <w:pStyle w:val="Applicationdirecte"/>
              <w:spacing w:before="60" w:after="0"/>
            </w:pPr>
            <w:r>
              <w:t xml:space="preserve">0010, 0020, 0050, 0060, 0090, 0100, 0140, 0150</w:t>
            </w:r>
          </w:p>
        </w:tc>
        <w:tc>
          <w:tcPr>
            <w:tcW w:w="7655" w:type="dxa"/>
            <w:vAlign w:val="center"/>
          </w:tcPr>
          <w:p w14:paraId="1906C178"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Adskilt</w:t>
            </w:r>
          </w:p>
          <w:p w14:paraId="3338D91C" w14:textId="77777777" w:rsidR="00EF74C7" w:rsidRPr="002A677E" w:rsidRDefault="00EF74C7" w:rsidP="00822842">
            <w:pPr>
              <w:spacing w:before="60"/>
              <w:rPr>
                <w:rStyle w:val="InstructionsTabelleberschrift"/>
                <w:sz w:val="24"/>
                <w:rFonts w:ascii="Times New Roman" w:hAnsi="Times New Roman"/>
              </w:rPr>
            </w:pPr>
            <w:r>
              <w:rPr>
                <w:sz w:val="24"/>
                <w:rFonts w:ascii="Times New Roman" w:hAnsi="Times New Roman"/>
              </w:rPr>
              <w:t xml:space="preserve">Artikel 300, nr. 1), i forordning (EU) nr. 575/2013</w:t>
            </w:r>
          </w:p>
          <w:p w14:paraId="26EDC9B6"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Institutterne skal indberette den sikkerhedsstillelse, der er konkursbeskyttet som defineret i artikel 300, stk. 1, i forordning (EU) nr. 575/2013, yderligere opdelt i sikkerhedsstillelse i form af initial- eller variationsmargen.</w:t>
            </w:r>
          </w:p>
        </w:tc>
      </w:tr>
      <w:tr w:rsidR="00EF74C7" w:rsidRPr="002A677E" w14:paraId="72806B64" w14:textId="77777777" w:rsidTr="00822842">
        <w:trPr>
          <w:trHeight w:val="680"/>
        </w:trPr>
        <w:tc>
          <w:tcPr>
            <w:tcW w:w="1384" w:type="dxa"/>
          </w:tcPr>
          <w:p w14:paraId="7E6BCB3B" w14:textId="77777777" w:rsidR="00EF74C7" w:rsidRPr="002A677E" w:rsidRDefault="00EF74C7" w:rsidP="00822842">
            <w:pPr>
              <w:pStyle w:val="Applicationdirecte"/>
              <w:spacing w:before="60" w:after="0"/>
            </w:pPr>
            <w:r>
              <w:t xml:space="preserve">0030, 0040, 0070, 0080, 0110, 0120, 0130, 0160, 0170, 0180</w:t>
            </w:r>
            <w:r>
              <w:t xml:space="preserve"> </w:t>
            </w:r>
          </w:p>
        </w:tc>
        <w:tc>
          <w:tcPr>
            <w:tcW w:w="7655" w:type="dxa"/>
          </w:tcPr>
          <w:p w14:paraId="0860899A"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Ikkeadskilt</w:t>
            </w:r>
            <w:r>
              <w:rPr>
                <w:rStyle w:val="InstructionsTabelleberschrift"/>
                <w:sz w:val="24"/>
                <w:rFonts w:ascii="Times New Roman" w:hAnsi="Times New Roman"/>
              </w:rPr>
              <w:t xml:space="preserve"> </w:t>
            </w:r>
          </w:p>
          <w:p w14:paraId="7A8B9376" w14:textId="77777777" w:rsidR="00EF74C7" w:rsidRPr="002A677E" w:rsidRDefault="00EF74C7" w:rsidP="00822842">
            <w:pPr>
              <w:spacing w:before="60"/>
              <w:rPr>
                <w:rStyle w:val="InstructionsTabelleberschrift"/>
                <w:sz w:val="24"/>
                <w:rFonts w:ascii="Times New Roman" w:hAnsi="Times New Roman"/>
              </w:rPr>
            </w:pPr>
            <w:r>
              <w:rPr>
                <w:sz w:val="24"/>
                <w:rFonts w:ascii="Times New Roman" w:hAnsi="Times New Roman"/>
              </w:rPr>
              <w:t xml:space="preserve">Artikel 300, nr. 1), i forordning (EU) nr. 575/2013</w:t>
            </w:r>
          </w:p>
          <w:p w14:paraId="57A510C0" w14:textId="77777777" w:rsidR="00EF74C7" w:rsidRPr="002A677E" w:rsidRDefault="00EF74C7" w:rsidP="00822842">
            <w:pPr>
              <w:rPr>
                <w:sz w:val="24"/>
                <w:rFonts w:ascii="Times New Roman" w:hAnsi="Times New Roman"/>
              </w:rPr>
            </w:pPr>
            <w:r>
              <w:rPr>
                <w:sz w:val="24"/>
                <w:rFonts w:ascii="Times New Roman" w:hAnsi="Times New Roman"/>
              </w:rPr>
              <w:t xml:space="preserve">Institutterne skal indberette den sikkerhedsstillelse, der ikke er konkursbeskyttet som defineret i artikel 300, stk. 1, i forordning (EU) nr. 575/2013, yderligere opdelt i initialmargen, variationsmargen og sikkerhed ved værdipapirfinansieringstransaktion.</w:t>
            </w:r>
          </w:p>
        </w:tc>
      </w:tr>
      <w:tr w:rsidR="00EF74C7" w:rsidRPr="002A677E" w14:paraId="10122572" w14:textId="77777777" w:rsidTr="00822842">
        <w:trPr>
          <w:trHeight w:val="680"/>
        </w:trPr>
        <w:tc>
          <w:tcPr>
            <w:tcW w:w="1384" w:type="dxa"/>
          </w:tcPr>
          <w:p w14:paraId="43A4CCC5" w14:textId="77777777" w:rsidR="00EF74C7" w:rsidRPr="002A677E" w:rsidRDefault="00EF74C7" w:rsidP="00822842">
            <w:pPr>
              <w:pStyle w:val="Applicationdirecte"/>
              <w:spacing w:before="60" w:after="0"/>
            </w:pPr>
            <w:r>
              <w:t xml:space="preserve">0010, 0030, 0050, 0070, 0090, 0110, 0140, 0160</w:t>
            </w:r>
          </w:p>
        </w:tc>
        <w:tc>
          <w:tcPr>
            <w:tcW w:w="7655" w:type="dxa"/>
            <w:vAlign w:val="center"/>
          </w:tcPr>
          <w:p w14:paraId="24507BB5"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Initialmargen</w:t>
            </w:r>
          </w:p>
          <w:p w14:paraId="3EA695F0"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Artikel 4, stk. 1, nr. 140), i forordning (EU) nr. 575/2013</w:t>
            </w:r>
          </w:p>
          <w:p w14:paraId="17D2E11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Institutterne skal indberette dagsværdien af den sikkerhed, der er modtaget eller stillet som initialmargen (defineret i artikel 4, stk. 1, nr. 140), i forordning (EU) nr. 575/2013).</w:t>
            </w:r>
          </w:p>
        </w:tc>
      </w:tr>
      <w:tr w:rsidR="00EF74C7" w:rsidRPr="002A677E" w14:paraId="32DE18A2" w14:textId="77777777" w:rsidTr="00822842">
        <w:trPr>
          <w:trHeight w:val="680"/>
        </w:trPr>
        <w:tc>
          <w:tcPr>
            <w:tcW w:w="1384" w:type="dxa"/>
          </w:tcPr>
          <w:p w14:paraId="23334415" w14:textId="77777777" w:rsidR="00EF74C7" w:rsidRPr="002A677E" w:rsidRDefault="00EF74C7" w:rsidP="00822842">
            <w:pPr>
              <w:pStyle w:val="Applicationdirecte"/>
              <w:spacing w:before="60" w:after="0"/>
            </w:pPr>
            <w:r>
              <w:t xml:space="preserve">0020, 0040, 0060, 0080, 0100, 0120, 0150, 0170</w:t>
            </w:r>
          </w:p>
        </w:tc>
        <w:tc>
          <w:tcPr>
            <w:tcW w:w="7655" w:type="dxa"/>
            <w:vAlign w:val="center"/>
          </w:tcPr>
          <w:p w14:paraId="00C79FEA"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Variationsmargen</w:t>
            </w:r>
          </w:p>
          <w:p w14:paraId="054E9606"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Institutterne skal indberette dagsværdien af den sikkerhed, der er modtaget eller stillet som variationsmargen.</w:t>
            </w:r>
          </w:p>
        </w:tc>
      </w:tr>
      <w:tr w:rsidR="00EF74C7" w:rsidRPr="002A677E" w14:paraId="1FB544F3" w14:textId="77777777" w:rsidTr="00822842">
        <w:trPr>
          <w:trHeight w:val="680"/>
        </w:trPr>
        <w:tc>
          <w:tcPr>
            <w:tcW w:w="1384" w:type="dxa"/>
          </w:tcPr>
          <w:p w14:paraId="0D63C386" w14:textId="77777777" w:rsidR="00EF74C7" w:rsidRPr="002A677E" w:rsidRDefault="00EF74C7" w:rsidP="00822842">
            <w:pPr>
              <w:pStyle w:val="Applicationdirecte"/>
              <w:spacing w:before="60" w:after="0"/>
            </w:pPr>
            <w:r>
              <w:t xml:space="preserve">0130, 0180</w:t>
            </w:r>
          </w:p>
        </w:tc>
        <w:tc>
          <w:tcPr>
            <w:tcW w:w="7655" w:type="dxa"/>
            <w:vAlign w:val="center"/>
          </w:tcPr>
          <w:p w14:paraId="47509680"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Sikkerhed ved værdipapirfinansieringstransaktion</w:t>
            </w:r>
            <w:r>
              <w:rPr>
                <w:rStyle w:val="InstructionsTabelleberschrift"/>
                <w:sz w:val="24"/>
                <w:rFonts w:ascii="Times New Roman" w:hAnsi="Times New Roman"/>
              </w:rPr>
              <w:t xml:space="preserve"> </w:t>
            </w:r>
          </w:p>
          <w:p w14:paraId="79AA9223" w14:textId="77777777" w:rsidR="00EF74C7" w:rsidRPr="002A677E" w:rsidRDefault="00EF74C7" w:rsidP="00822842">
            <w:pPr>
              <w:spacing w:before="60"/>
              <w:rPr>
                <w:i/>
                <w:sz w:val="24"/>
                <w:rFonts w:ascii="Times New Roman" w:eastAsia="Calibri" w:hAnsi="Times New Roman"/>
              </w:rPr>
            </w:pPr>
            <w:r>
              <w:rPr>
                <w:sz w:val="24"/>
                <w:rFonts w:ascii="Times New Roman" w:hAnsi="Times New Roman"/>
              </w:rPr>
              <w:t xml:space="preserve">Institutterne skal indberette dagsværdien af sikkerhedsstillelsen for sikkerhedsdelen i værdipapirfinansieringstransaktioner (f.eks. sikkerhedsdelen af den værdipapirfinansieringstransaktion, der er modtaget i kolonne 0130, eller stillet i kolonne 0180).</w:t>
            </w:r>
          </w:p>
        </w:tc>
      </w:tr>
    </w:tbl>
    <w:p w14:paraId="0822D80D" w14:textId="77777777" w:rsidR="00EF74C7" w:rsidRPr="002A677E" w:rsidRDefault="00EF74C7" w:rsidP="00EF74C7">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1207939" w14:textId="77777777" w:rsidTr="00822842">
        <w:trPr>
          <w:trHeight w:val="238"/>
        </w:trPr>
        <w:tc>
          <w:tcPr>
            <w:tcW w:w="9039" w:type="dxa"/>
            <w:gridSpan w:val="2"/>
            <w:shd w:val="clear" w:color="auto" w:fill="D9D9D9" w:themeFill="background1" w:themeFillShade="D9"/>
          </w:tcPr>
          <w:p w14:paraId="3BC71FEC" w14:textId="77777777" w:rsidR="00EF74C7" w:rsidRPr="002A677E" w:rsidRDefault="00EF74C7" w:rsidP="00822842">
            <w:pPr>
              <w:autoSpaceDE w:val="0"/>
              <w:autoSpaceDN w:val="0"/>
              <w:adjustRightInd w:val="0"/>
              <w:rPr>
                <w:sz w:val="24"/>
                <w:rFonts w:ascii="Times New Roman" w:hAnsi="Times New Roman"/>
              </w:rPr>
            </w:pPr>
            <w:r>
              <w:rPr>
                <w:b/>
                <w:sz w:val="24"/>
                <w:rFonts w:ascii="Times New Roman" w:hAnsi="Times New Roman"/>
              </w:rPr>
              <w:t xml:space="preserve">Rækker</w:t>
            </w:r>
            <w:r>
              <w:rPr>
                <w:b/>
                <w:sz w:val="24"/>
                <w:rFonts w:ascii="Times New Roman" w:hAnsi="Times New Roman"/>
              </w:rPr>
              <w:t xml:space="preserve"> </w:t>
            </w:r>
          </w:p>
        </w:tc>
      </w:tr>
      <w:tr w:rsidR="00EF74C7" w:rsidRPr="002A677E" w14:paraId="69BA6111"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D76D67"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8CDF43" w14:textId="77777777" w:rsidR="00EF74C7" w:rsidRPr="002A677E" w:rsidRDefault="00EF74C7" w:rsidP="00822842">
            <w:pPr>
              <w:autoSpaceDE w:val="0"/>
              <w:autoSpaceDN w:val="0"/>
              <w:adjustRightInd w:val="0"/>
              <w:rPr>
                <w:rStyle w:val="InstructionsTabelleberschrift"/>
                <w:sz w:val="24"/>
                <w:rFonts w:ascii="Times New Roman" w:hAnsi="Times New Roman"/>
              </w:rPr>
            </w:pPr>
            <w:r>
              <w:rPr>
                <w:rStyle w:val="InstructionsTabelleberschrift"/>
                <w:sz w:val="24"/>
                <w:rFonts w:ascii="Times New Roman" w:hAnsi="Times New Roman"/>
              </w:rPr>
              <w:t xml:space="preserve">Sikkerhedsstillelsestype</w:t>
            </w:r>
          </w:p>
          <w:p w14:paraId="4B5DD4D2"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Opdeling efter forskellige sikkerhedsstillelsestyper</w:t>
            </w:r>
          </w:p>
        </w:tc>
      </w:tr>
    </w:tbl>
    <w:p w14:paraId="2E2AAEC8" w14:textId="77777777" w:rsidR="00EF74C7" w:rsidRPr="002A677E" w:rsidRDefault="00EF74C7" w:rsidP="00EF74C7">
      <w:pPr>
        <w:pStyle w:val="Titlelevel2"/>
        <w:spacing w:before="120" w:after="120"/>
        <w:rPr>
          <w:rFonts w:ascii="Times New Roman" w:hAnsi="Times New Roman" w:cs="Times New Roman"/>
          <w:color w:val="auto"/>
          <w:sz w:val="24"/>
        </w:rPr>
      </w:pPr>
    </w:p>
    <w:p w14:paraId="367FEDD2"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60" w:name="_Toc19715825"/>
      <w:bookmarkStart w:id="61" w:name="_Toc151714465"/>
      <w:r>
        <w:rPr>
          <w:sz w:val="24"/>
          <w:rFonts w:ascii="Times New Roman" w:hAnsi="Times New Roman"/>
        </w:rPr>
        <w:t xml:space="preserve">C 34.09 – Eksponering for kreditderivater</w:t>
      </w:r>
      <w:bookmarkEnd w:id="60"/>
      <w:bookmarkEnd w:id="61"/>
    </w:p>
    <w:p w14:paraId="64D36FD9"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62" w:name="_Toc19715826"/>
      <w:bookmarkStart w:id="63" w:name="_Toc151714466"/>
      <w:r>
        <w:rPr>
          <w:sz w:val="24"/>
          <w:rFonts w:ascii="Times New Roman" w:hAnsi="Times New Roman"/>
        </w:rPr>
        <w:t xml:space="preserve">Instrukser vedrørende specifikke positioner</w:t>
      </w:r>
      <w:bookmarkEnd w:id="62"/>
      <w:bookmarkEnd w:id="6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BDE15E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76BA84"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Kolonner</w:t>
            </w:r>
            <w:r>
              <w:rPr>
                <w:b/>
                <w:sz w:val="24"/>
                <w:rFonts w:ascii="Times New Roman" w:hAnsi="Times New Roman"/>
              </w:rPr>
              <w:t xml:space="preserve"> </w:t>
            </w:r>
          </w:p>
        </w:tc>
      </w:tr>
      <w:tr w:rsidR="00EF74C7" w:rsidRPr="002A677E" w14:paraId="09C3983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FAD805"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3E0BE3" w14:textId="77777777" w:rsidR="00EF74C7" w:rsidRPr="002A677E" w:rsidRDefault="00EF74C7" w:rsidP="00822842">
            <w:pPr>
              <w:autoSpaceDE w:val="0"/>
              <w:autoSpaceDN w:val="0"/>
              <w:adjustRightInd w:val="0"/>
              <w:rPr>
                <w:rStyle w:val="InstructionsTabelleberschrift"/>
                <w:sz w:val="24"/>
                <w:rFonts w:ascii="Times New Roman" w:hAnsi="Times New Roman"/>
              </w:rPr>
            </w:pPr>
            <w:r>
              <w:rPr>
                <w:rStyle w:val="InstructionsTabelleberschrift"/>
                <w:sz w:val="24"/>
                <w:rFonts w:ascii="Times New Roman" w:hAnsi="Times New Roman"/>
              </w:rPr>
              <w:t xml:space="preserve">AFDÆKNING AF KREDITDERIVATER</w:t>
            </w:r>
          </w:p>
          <w:p w14:paraId="7A5AD5A8" w14:textId="77777777" w:rsidR="00EF74C7" w:rsidRPr="002A677E" w:rsidRDefault="00EF74C7" w:rsidP="00822842">
            <w:pPr>
              <w:autoSpaceDE w:val="0"/>
              <w:autoSpaceDN w:val="0"/>
              <w:adjustRightInd w:val="0"/>
              <w:spacing w:before="60"/>
              <w:rPr>
                <w:b/>
                <w:sz w:val="24"/>
                <w:rFonts w:ascii="Times New Roman" w:hAnsi="Times New Roman"/>
              </w:rPr>
            </w:pPr>
            <w:r>
              <w:rPr>
                <w:sz w:val="24"/>
                <w:rFonts w:ascii="Times New Roman" w:hAnsi="Times New Roman"/>
              </w:rPr>
              <w:t xml:space="preserve">Købt eller solgt afdækning af kreditderivater.</w:t>
            </w:r>
          </w:p>
        </w:tc>
      </w:tr>
      <w:tr w:rsidR="00EF74C7" w:rsidRPr="002A677E" w14:paraId="3E4575D5"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B2B445"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BA8970" w14:textId="77777777" w:rsidR="00EF74C7" w:rsidRPr="002A677E" w:rsidRDefault="00EF74C7" w:rsidP="00822842">
            <w:pPr>
              <w:autoSpaceDE w:val="0"/>
              <w:autoSpaceDN w:val="0"/>
              <w:adjustRightInd w:val="0"/>
              <w:rPr>
                <w:rStyle w:val="InstructionsTabelleberschrift"/>
                <w:sz w:val="24"/>
                <w:rFonts w:ascii="Times New Roman" w:hAnsi="Times New Roman"/>
              </w:rPr>
            </w:pPr>
            <w:r>
              <w:rPr>
                <w:rStyle w:val="InstructionsTabelleberschrift"/>
                <w:sz w:val="24"/>
                <w:rFonts w:ascii="Times New Roman" w:hAnsi="Times New Roman"/>
              </w:rPr>
              <w:t xml:space="preserve">NOMINEL VÆRDI</w:t>
            </w:r>
            <w:r>
              <w:rPr>
                <w:rStyle w:val="InstructionsTabelleberschrift"/>
                <w:sz w:val="24"/>
                <w:rFonts w:ascii="Times New Roman" w:hAnsi="Times New Roman"/>
              </w:rPr>
              <w:t xml:space="preserve"> </w:t>
            </w:r>
          </w:p>
          <w:p w14:paraId="10378DBE" w14:textId="77777777" w:rsidR="00EF74C7" w:rsidRPr="002A677E" w:rsidRDefault="00EF74C7" w:rsidP="00822842">
            <w:pPr>
              <w:autoSpaceDE w:val="0"/>
              <w:autoSpaceDN w:val="0"/>
              <w:adjustRightInd w:val="0"/>
              <w:spacing w:before="60"/>
              <w:rPr>
                <w:i/>
                <w:sz w:val="24"/>
                <w:rFonts w:ascii="Times New Roman" w:hAnsi="Times New Roman"/>
              </w:rPr>
            </w:pPr>
            <w:r>
              <w:rPr>
                <w:sz w:val="24"/>
                <w:rFonts w:ascii="Times New Roman" w:hAnsi="Times New Roman"/>
              </w:rPr>
              <w:t xml:space="preserve">Summen af de nominelle værdier for derivater før netting, opdelt efter produkttype.</w:t>
            </w:r>
          </w:p>
        </w:tc>
      </w:tr>
      <w:tr w:rsidR="00EF74C7" w:rsidRPr="002A677E" w14:paraId="77CA12A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C654FC"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8B6EA8B" w14:textId="77777777" w:rsidR="00EF74C7" w:rsidRPr="002A677E" w:rsidRDefault="00EF74C7" w:rsidP="00822842">
            <w:pPr>
              <w:autoSpaceDE w:val="0"/>
              <w:autoSpaceDN w:val="0"/>
              <w:adjustRightInd w:val="0"/>
              <w:spacing w:before="60"/>
              <w:rPr>
                <w:rStyle w:val="InstructionsTabelleberschrift"/>
                <w:sz w:val="24"/>
                <w:rFonts w:ascii="Times New Roman" w:hAnsi="Times New Roman"/>
              </w:rPr>
            </w:pPr>
            <w:r>
              <w:rPr>
                <w:rStyle w:val="InstructionsTabelleberschrift"/>
                <w:sz w:val="24"/>
                <w:rFonts w:ascii="Times New Roman" w:hAnsi="Times New Roman"/>
              </w:rPr>
              <w:t xml:space="preserve">DAGSVÆRDIER</w:t>
            </w:r>
          </w:p>
          <w:p w14:paraId="3C50834E" w14:textId="77777777" w:rsidR="00EF74C7" w:rsidRPr="002A677E" w:rsidRDefault="00EF74C7" w:rsidP="00822842">
            <w:pPr>
              <w:autoSpaceDE w:val="0"/>
              <w:autoSpaceDN w:val="0"/>
              <w:adjustRightInd w:val="0"/>
              <w:spacing w:before="60"/>
              <w:rPr>
                <w:i/>
                <w:sz w:val="24"/>
                <w:rFonts w:ascii="Times New Roman" w:hAnsi="Times New Roman"/>
              </w:rPr>
            </w:pPr>
            <w:r>
              <w:rPr>
                <w:sz w:val="24"/>
                <w:rFonts w:ascii="Times New Roman" w:hAnsi="Times New Roman"/>
              </w:rPr>
              <w:t xml:space="preserve">Summen af dagsværdier opdelt på købt afdækning og solgt afdækning.</w:t>
            </w:r>
            <w:r>
              <w:rPr>
                <w:sz w:val="24"/>
                <w:rFonts w:ascii="Times New Roman" w:hAnsi="Times New Roman"/>
              </w:rPr>
              <w:t xml:space="preserve"> </w:t>
            </w:r>
          </w:p>
        </w:tc>
      </w:tr>
    </w:tbl>
    <w:p w14:paraId="1E39E61C" w14:textId="77777777" w:rsidR="00EF74C7" w:rsidRPr="002A677E" w:rsidRDefault="00EF74C7" w:rsidP="00EF74C7">
      <w:pPr>
        <w:pStyle w:val="InstructionsText2"/>
        <w:numPr>
          <w:ilvl w:val="0"/>
          <w:numId w:val="0"/>
        </w:numPr>
        <w:ind w:left="993"/>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0B4D4225" w14:textId="77777777" w:rsidTr="00822842">
        <w:trPr>
          <w:trHeight w:val="238"/>
        </w:trPr>
        <w:tc>
          <w:tcPr>
            <w:tcW w:w="9039" w:type="dxa"/>
            <w:gridSpan w:val="2"/>
            <w:shd w:val="clear" w:color="auto" w:fill="D9D9D9" w:themeFill="background1" w:themeFillShade="D9"/>
          </w:tcPr>
          <w:p w14:paraId="2E3D936B" w14:textId="77777777" w:rsidR="00EF74C7" w:rsidRPr="002A677E" w:rsidRDefault="00EF74C7" w:rsidP="00822842">
            <w:pPr>
              <w:autoSpaceDE w:val="0"/>
              <w:autoSpaceDN w:val="0"/>
              <w:adjustRightInd w:val="0"/>
              <w:rPr>
                <w:sz w:val="24"/>
                <w:rFonts w:ascii="Times New Roman" w:hAnsi="Times New Roman"/>
              </w:rPr>
            </w:pPr>
            <w:r>
              <w:rPr>
                <w:b/>
                <w:sz w:val="24"/>
                <w:rFonts w:ascii="Times New Roman" w:hAnsi="Times New Roman"/>
              </w:rPr>
              <w:t xml:space="preserve">Rækker</w:t>
            </w:r>
            <w:r>
              <w:rPr>
                <w:b/>
                <w:sz w:val="24"/>
                <w:rFonts w:ascii="Times New Roman" w:hAnsi="Times New Roman"/>
              </w:rPr>
              <w:t xml:space="preserve"> </w:t>
            </w:r>
          </w:p>
        </w:tc>
      </w:tr>
      <w:tr w:rsidR="00EF74C7" w:rsidRPr="002A677E" w14:paraId="7760BE0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EF49DA"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F103D1" w14:textId="77777777" w:rsidR="00EF74C7" w:rsidRPr="002A677E" w:rsidRDefault="00EF74C7" w:rsidP="00822842">
            <w:pPr>
              <w:autoSpaceDE w:val="0"/>
              <w:autoSpaceDN w:val="0"/>
              <w:adjustRightInd w:val="0"/>
              <w:rPr>
                <w:rStyle w:val="InstructionsTabelleberschrift"/>
                <w:sz w:val="24"/>
                <w:rFonts w:ascii="Times New Roman" w:hAnsi="Times New Roman"/>
              </w:rPr>
            </w:pPr>
            <w:r>
              <w:rPr>
                <w:rStyle w:val="InstructionsTabelleberschrift"/>
                <w:sz w:val="24"/>
                <w:rFonts w:ascii="Times New Roman" w:hAnsi="Times New Roman"/>
              </w:rPr>
              <w:t xml:space="preserve">Produkttype</w:t>
            </w:r>
          </w:p>
          <w:p w14:paraId="6C2C37AC"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Opdeling efter produkttype af kreditderivater.</w:t>
            </w:r>
          </w:p>
        </w:tc>
      </w:tr>
      <w:tr w:rsidR="00EF74C7" w:rsidRPr="002A677E" w14:paraId="4256109A"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667518"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A70B3C" w14:textId="77777777" w:rsidR="00EF74C7" w:rsidRPr="002A677E" w:rsidRDefault="00EF74C7" w:rsidP="00822842">
            <w:pPr>
              <w:autoSpaceDE w:val="0"/>
              <w:autoSpaceDN w:val="0"/>
              <w:adjustRightInd w:val="0"/>
              <w:rPr>
                <w:rStyle w:val="InstructionsTabelleberschrift"/>
                <w:sz w:val="24"/>
                <w:rFonts w:ascii="Times New Roman" w:hAnsi="Times New Roman"/>
              </w:rPr>
            </w:pPr>
            <w:r>
              <w:rPr>
                <w:rStyle w:val="InstructionsTabelleberschrift"/>
                <w:sz w:val="24"/>
                <w:rFonts w:ascii="Times New Roman" w:hAnsi="Times New Roman"/>
              </w:rPr>
              <w:t xml:space="preserve">I alt</w:t>
            </w:r>
          </w:p>
          <w:p w14:paraId="6166DDC1" w14:textId="77777777" w:rsidR="00EF74C7" w:rsidRPr="002A677E" w:rsidRDefault="00EF74C7" w:rsidP="00822842">
            <w:pPr>
              <w:autoSpaceDE w:val="0"/>
              <w:autoSpaceDN w:val="0"/>
              <w:adjustRightInd w:val="0"/>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Summen af alle produkttyper.</w:t>
            </w:r>
          </w:p>
        </w:tc>
      </w:tr>
      <w:tr w:rsidR="00EF74C7" w:rsidRPr="002A677E" w14:paraId="32F011E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C7B577"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89880C" w14:textId="77777777" w:rsidR="00EF74C7" w:rsidRPr="002A677E" w:rsidRDefault="00EF74C7" w:rsidP="00822842">
            <w:pPr>
              <w:autoSpaceDE w:val="0"/>
              <w:autoSpaceDN w:val="0"/>
              <w:adjustRightInd w:val="0"/>
              <w:rPr>
                <w:rStyle w:val="InstructionsTabelleberschrift"/>
                <w:sz w:val="24"/>
                <w:rFonts w:ascii="Times New Roman" w:hAnsi="Times New Roman"/>
              </w:rPr>
            </w:pPr>
            <w:r>
              <w:rPr>
                <w:rStyle w:val="InstructionsTabelleberschrift"/>
                <w:sz w:val="24"/>
                <w:rFonts w:ascii="Times New Roman" w:hAnsi="Times New Roman"/>
              </w:rPr>
              <w:t xml:space="preserve">Dagsværdier</w:t>
            </w:r>
          </w:p>
          <w:p w14:paraId="69350AE6" w14:textId="77777777" w:rsidR="00EF74C7" w:rsidRPr="002A677E" w:rsidRDefault="00EF74C7" w:rsidP="00822842">
            <w:pPr>
              <w:autoSpaceDE w:val="0"/>
              <w:autoSpaceDN w:val="0"/>
              <w:adjustRightInd w:val="0"/>
              <w:rPr>
                <w:bCs/>
                <w:sz w:val="24"/>
                <w:rFonts w:ascii="Times New Roman" w:hAnsi="Times New Roman"/>
              </w:rPr>
            </w:pPr>
            <w:r>
              <w:rPr>
                <w:sz w:val="24"/>
                <w:rFonts w:ascii="Times New Roman" w:hAnsi="Times New Roman"/>
              </w:rPr>
              <w:t xml:space="preserve">Dagsværdier fordelt på produkttype og aktiver (positive dagsværdier) og forpligtelser (negative dagsværdier).</w:t>
            </w:r>
          </w:p>
        </w:tc>
      </w:tr>
    </w:tbl>
    <w:p w14:paraId="3EEB26BA" w14:textId="77777777" w:rsidR="00EF74C7" w:rsidRPr="002A677E" w:rsidRDefault="00EF74C7" w:rsidP="00EF74C7">
      <w:pPr>
        <w:pStyle w:val="Titlelevel2"/>
        <w:spacing w:before="120" w:after="120"/>
        <w:rPr>
          <w:rFonts w:ascii="Times New Roman" w:hAnsi="Times New Roman" w:cs="Times New Roman"/>
          <w:b/>
          <w:color w:val="auto"/>
          <w:sz w:val="24"/>
        </w:rPr>
      </w:pPr>
    </w:p>
    <w:p w14:paraId="5E3991AC"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64" w:name="_Toc19715827"/>
      <w:bookmarkStart w:id="65" w:name="_Toc151714467"/>
      <w:r>
        <w:rPr>
          <w:sz w:val="24"/>
          <w:rFonts w:ascii="Times New Roman" w:hAnsi="Times New Roman"/>
        </w:rPr>
        <w:t xml:space="preserve">C 34.10 — Eksponeringer mod CCP'er</w:t>
      </w:r>
      <w:bookmarkEnd w:id="64"/>
      <w:bookmarkEnd w:id="65"/>
    </w:p>
    <w:p w14:paraId="61966719"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66" w:name="_Toc19715828"/>
      <w:bookmarkStart w:id="67" w:name="_Toc151714468"/>
      <w:r>
        <w:rPr>
          <w:sz w:val="24"/>
          <w:rFonts w:ascii="Times New Roman" w:hAnsi="Times New Roman"/>
        </w:rPr>
        <w:t xml:space="preserve">Generelle bemærkninger</w:t>
      </w:r>
      <w:bookmarkEnd w:id="66"/>
      <w:bookmarkEnd w:id="67"/>
    </w:p>
    <w:p w14:paraId="61FE0E56" w14:textId="36BE8166"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t xml:space="preserve">132</w:t>
      </w:r>
      <w:r>
        <w:fldChar w:fldCharType="end"/>
      </w:r>
      <w:r>
        <w:t xml:space="preserve">.</w:t>
      </w:r>
      <w:r>
        <w:t xml:space="preserve"> </w:t>
      </w:r>
      <w:r>
        <w:t xml:space="preserve">Institutterne skal indberette oplysninger om eksponeringer mod CCP'er, dvs. kontrakter og transaktioner anført i artikel 301, stk. 1, i forordning (EU) nr. 575/2013, så længe de er udestående hos en CCP, og eksponeringer fra CCP-relaterede transaktioner, i overensstemmelse med artikel 300, nr. 2), i nævnte forordning, for hvilke kapitalgrundlagskravene beregnes i overensstemmelse med tredje del, afsnit II, kapitel 6, afdeling 9, i nævnte forordning.</w:t>
      </w:r>
      <w:r>
        <w:t xml:space="preserve"> </w:t>
      </w:r>
    </w:p>
    <w:p w14:paraId="6A78D46D"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68" w:name="_Toc19715829"/>
      <w:bookmarkStart w:id="69" w:name="_Toc151714469"/>
      <w:r>
        <w:rPr>
          <w:sz w:val="24"/>
          <w:rFonts w:ascii="Times New Roman" w:hAnsi="Times New Roman"/>
        </w:rPr>
        <w:t xml:space="preserve">Instrukser vedrørende specifikke positioner</w:t>
      </w:r>
      <w:bookmarkEnd w:id="68"/>
      <w:bookmarkEnd w:id="6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9273B6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7A5BF9"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Kolonner</w:t>
            </w:r>
            <w:r>
              <w:rPr>
                <w:b/>
                <w:sz w:val="24"/>
                <w:rFonts w:ascii="Times New Roman" w:hAnsi="Times New Roman"/>
              </w:rPr>
              <w:t xml:space="preserve"> </w:t>
            </w:r>
          </w:p>
        </w:tc>
      </w:tr>
      <w:tr w:rsidR="00EF74C7" w:rsidRPr="002A677E" w14:paraId="124AAA9B" w14:textId="77777777" w:rsidTr="00822842">
        <w:trPr>
          <w:trHeight w:val="680"/>
        </w:trPr>
        <w:tc>
          <w:tcPr>
            <w:tcW w:w="1384" w:type="dxa"/>
          </w:tcPr>
          <w:p w14:paraId="011E66AA" w14:textId="77777777" w:rsidR="00EF74C7" w:rsidRPr="002A677E" w:rsidRDefault="00EF74C7" w:rsidP="00822842">
            <w:pPr>
              <w:pStyle w:val="Applicationdirecte"/>
              <w:spacing w:before="0" w:after="0"/>
            </w:pPr>
            <w:r>
              <w:t xml:space="preserve">0010</w:t>
            </w:r>
          </w:p>
        </w:tc>
        <w:tc>
          <w:tcPr>
            <w:tcW w:w="7655" w:type="dxa"/>
            <w:vAlign w:val="center"/>
          </w:tcPr>
          <w:p w14:paraId="06553A7D"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EKSPONERINGSVÆRDI</w:t>
            </w:r>
            <w:r>
              <w:rPr>
                <w:rStyle w:val="InstructionsTabelleberschrift"/>
                <w:sz w:val="24"/>
                <w:rFonts w:ascii="Times New Roman" w:hAnsi="Times New Roman"/>
              </w:rPr>
              <w:t xml:space="preserve"> </w:t>
            </w:r>
          </w:p>
          <w:p w14:paraId="0EB17FC4"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Eksponeringsværdien for transaktioner, der er omfattet af anvendelsesområdet for tredje del, afsnit II, kapitel 6, afdeling 9, i forordning (EU) nr. 575/2013, beregnet i overensstemmelse med de relevante metoder fastsat i nævnte kapitel og navnlig i afdeling 9.</w:t>
            </w:r>
          </w:p>
          <w:p w14:paraId="4A7F4393"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Den indberettede eksponeringsværdi skal være det beløb, der er relevant for beregningen af kapitalgrundlagskravene i overensstemmelse med tredje del, afsnit II, kapitel 6, afdeling 9, i forordning (EU) nr. 575/2013, under hensyntagen til kravene i nævnte forordnings artikel 497 i den overgangsperiode, der er fastsat i nævnte artikel.</w:t>
            </w:r>
          </w:p>
          <w:p w14:paraId="0F502FE9"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En eksponering kan være en handelseksponering som defineret i artikel 4, stk. 1, nr. 91), i forordning (EU) nr. 575/2013.</w:t>
            </w:r>
          </w:p>
        </w:tc>
      </w:tr>
      <w:tr w:rsidR="00EF74C7" w:rsidRPr="002A677E" w14:paraId="774930E7" w14:textId="77777777" w:rsidTr="00822842">
        <w:trPr>
          <w:trHeight w:val="680"/>
        </w:trPr>
        <w:tc>
          <w:tcPr>
            <w:tcW w:w="1384" w:type="dxa"/>
          </w:tcPr>
          <w:p w14:paraId="557FAF2F" w14:textId="77777777" w:rsidR="00EF74C7" w:rsidRPr="002A677E" w:rsidRDefault="00EF74C7" w:rsidP="00822842">
            <w:pPr>
              <w:pStyle w:val="Applicationdirecte"/>
              <w:spacing w:before="0" w:after="0"/>
            </w:pPr>
            <w:r>
              <w:t xml:space="preserve">0020</w:t>
            </w:r>
          </w:p>
        </w:tc>
        <w:tc>
          <w:tcPr>
            <w:tcW w:w="7655" w:type="dxa"/>
            <w:vAlign w:val="center"/>
          </w:tcPr>
          <w:p w14:paraId="1E7084BA" w14:textId="77777777" w:rsidR="00EF74C7" w:rsidRPr="002A677E" w:rsidRDefault="00EF74C7" w:rsidP="00822842">
            <w:pPr>
              <w:keepNext/>
              <w:tabs>
                <w:tab w:val="left" w:pos="6983"/>
              </w:tabs>
              <w:spacing w:before="60"/>
              <w:rPr>
                <w:rStyle w:val="InstructionsTabelleberschrift"/>
                <w:sz w:val="24"/>
                <w:rFonts w:ascii="Times New Roman" w:hAnsi="Times New Roman"/>
              </w:rPr>
            </w:pPr>
            <w:r>
              <w:rPr>
                <w:rStyle w:val="InstructionsTabelleberschrift"/>
                <w:sz w:val="24"/>
                <w:rFonts w:ascii="Times New Roman" w:hAnsi="Times New Roman"/>
              </w:rPr>
              <w:t xml:space="preserve">RISIKOVÆGTEDE EKSPONERINGER</w:t>
            </w:r>
          </w:p>
          <w:p w14:paraId="5DA0A790" w14:textId="77777777" w:rsidR="00EF74C7" w:rsidRPr="002A677E" w:rsidRDefault="00EF74C7" w:rsidP="00822842">
            <w:pPr>
              <w:keepNext/>
              <w:spacing w:before="60"/>
              <w:rPr>
                <w:strike/>
                <w:sz w:val="24"/>
                <w:rFonts w:ascii="Times New Roman" w:hAnsi="Times New Roman"/>
              </w:rPr>
            </w:pPr>
            <w:r>
              <w:rPr>
                <w:sz w:val="24"/>
                <w:rFonts w:ascii="Times New Roman" w:hAnsi="Times New Roman"/>
              </w:rPr>
              <w:t xml:space="preserve">Risikovægtede eksponeringer fastsat i overensstemmelse med tredje del, afsnit II, kapitel 6, afdeling 9, i forordning (EU) nr. 575/2013, under hensyntagen til kravene i nævnte forordnings artikel 497 i den overgangsperiode, der er fastsat i nævnte artikel.</w:t>
            </w:r>
          </w:p>
        </w:tc>
      </w:tr>
    </w:tbl>
    <w:p w14:paraId="4DE5F5D8" w14:textId="77777777" w:rsidR="00EF74C7" w:rsidRPr="002A677E" w:rsidRDefault="00EF74C7" w:rsidP="00EF74C7">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AE86182" w14:textId="77777777" w:rsidTr="00822842">
        <w:trPr>
          <w:trHeight w:val="238"/>
        </w:trPr>
        <w:tc>
          <w:tcPr>
            <w:tcW w:w="9039" w:type="dxa"/>
            <w:gridSpan w:val="2"/>
            <w:shd w:val="clear" w:color="auto" w:fill="D9D9D9" w:themeFill="background1" w:themeFillShade="D9"/>
          </w:tcPr>
          <w:p w14:paraId="0A1536EA" w14:textId="77777777" w:rsidR="00EF74C7" w:rsidRPr="002A677E" w:rsidRDefault="00EF74C7" w:rsidP="00822842">
            <w:pPr>
              <w:autoSpaceDE w:val="0"/>
              <w:autoSpaceDN w:val="0"/>
              <w:adjustRightInd w:val="0"/>
              <w:rPr>
                <w:sz w:val="24"/>
                <w:rFonts w:ascii="Times New Roman" w:hAnsi="Times New Roman"/>
              </w:rPr>
            </w:pPr>
            <w:r>
              <w:rPr>
                <w:b/>
                <w:sz w:val="24"/>
                <w:rFonts w:ascii="Times New Roman" w:hAnsi="Times New Roman"/>
              </w:rPr>
              <w:t xml:space="preserve">Rækker</w:t>
            </w:r>
            <w:r>
              <w:rPr>
                <w:b/>
                <w:sz w:val="24"/>
                <w:rFonts w:ascii="Times New Roman" w:hAnsi="Times New Roman"/>
              </w:rPr>
              <w:t xml:space="preserve"> </w:t>
            </w:r>
          </w:p>
        </w:tc>
      </w:tr>
      <w:tr w:rsidR="00EF74C7" w:rsidRPr="002A677E" w14:paraId="2D4AF3E6" w14:textId="77777777" w:rsidTr="00822842">
        <w:trPr>
          <w:trHeight w:val="680"/>
        </w:trPr>
        <w:tc>
          <w:tcPr>
            <w:tcW w:w="1384" w:type="dxa"/>
          </w:tcPr>
          <w:p w14:paraId="6FF1A266" w14:textId="77777777" w:rsidR="00EF74C7" w:rsidRPr="002A677E" w:rsidRDefault="00EF74C7" w:rsidP="00822842">
            <w:pPr>
              <w:pStyle w:val="Applicationdirecte"/>
              <w:spacing w:before="0" w:after="0"/>
            </w:pPr>
            <w:r>
              <w:t xml:space="preserve">0010-0100</w:t>
            </w:r>
          </w:p>
        </w:tc>
        <w:tc>
          <w:tcPr>
            <w:tcW w:w="7655" w:type="dxa"/>
            <w:vAlign w:val="center"/>
          </w:tcPr>
          <w:p w14:paraId="23F00BBB" w14:textId="77777777" w:rsidR="00EF74C7" w:rsidRPr="002A677E" w:rsidRDefault="00EF74C7" w:rsidP="00822842">
            <w:pPr>
              <w:spacing w:beforeLines="60" w:before="144" w:afterLines="60" w:after="144"/>
              <w:rPr>
                <w:sz w:val="24"/>
                <w:rFonts w:ascii="Times New Roman" w:hAnsi="Times New Roman"/>
              </w:rPr>
            </w:pPr>
            <w:r>
              <w:rPr>
                <w:sz w:val="24"/>
                <w:rStyle w:val="InstructionsTabelleberschrift"/>
                <w:rFonts w:ascii="Times New Roman" w:hAnsi="Times New Roman"/>
              </w:rPr>
              <w:t xml:space="preserve">Kvalificerende CCP (QCCP)</w:t>
            </w:r>
            <w:r>
              <w:rPr>
                <w:sz w:val="24"/>
                <w:rFonts w:ascii="Times New Roman" w:hAnsi="Times New Roman"/>
              </w:rPr>
              <w:t xml:space="preserve"> </w:t>
            </w:r>
          </w:p>
          <w:p w14:paraId="4AFED555"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En kvalificerende central modpart eller "QCCP" som defineret i artikel 4, stk. 1, nr. 88), i forordning (EU) nr. 575/2013.</w:t>
            </w:r>
            <w:r>
              <w:rPr>
                <w:sz w:val="24"/>
                <w:rFonts w:ascii="Times New Roman" w:hAnsi="Times New Roman"/>
              </w:rPr>
              <w:t xml:space="preserve"> </w:t>
            </w:r>
          </w:p>
        </w:tc>
      </w:tr>
      <w:tr w:rsidR="00EF74C7" w:rsidRPr="002A677E" w14:paraId="4EE07156" w14:textId="77777777" w:rsidTr="00822842">
        <w:trPr>
          <w:trHeight w:val="680"/>
        </w:trPr>
        <w:tc>
          <w:tcPr>
            <w:tcW w:w="1384" w:type="dxa"/>
          </w:tcPr>
          <w:p w14:paraId="2F7B861D" w14:textId="77777777" w:rsidR="00EF74C7" w:rsidRPr="002A677E" w:rsidRDefault="00EF74C7" w:rsidP="00822842">
            <w:pPr>
              <w:pStyle w:val="Applicationdirecte"/>
              <w:spacing w:before="0" w:after="0"/>
            </w:pPr>
            <w:r>
              <w:t xml:space="preserve">0070, 0080</w:t>
            </w:r>
          </w:p>
          <w:p w14:paraId="30D4CBEC" w14:textId="77777777" w:rsidR="00EF74C7" w:rsidRPr="002A677E" w:rsidRDefault="00EF74C7" w:rsidP="00822842">
            <w:pPr>
              <w:pStyle w:val="Fait"/>
            </w:pPr>
            <w:r>
              <w:t xml:space="preserve">0170, 0180</w:t>
            </w:r>
          </w:p>
        </w:tc>
        <w:tc>
          <w:tcPr>
            <w:tcW w:w="7655" w:type="dxa"/>
            <w:vAlign w:val="center"/>
          </w:tcPr>
          <w:p w14:paraId="6E9FD7DA" w14:textId="77777777" w:rsidR="00EF74C7" w:rsidRPr="002A677E" w:rsidRDefault="00EF74C7" w:rsidP="00822842">
            <w:pPr>
              <w:keepNext/>
              <w:spacing w:before="60"/>
              <w:rPr>
                <w:rStyle w:val="InstructionsTabelleberschrift"/>
                <w:b w:val="0"/>
                <w:sz w:val="24"/>
                <w:rFonts w:ascii="Times New Roman" w:hAnsi="Times New Roman"/>
              </w:rPr>
            </w:pPr>
            <w:r>
              <w:rPr>
                <w:rStyle w:val="InstructionsTabelleberschrift"/>
                <w:sz w:val="24"/>
                <w:rFonts w:ascii="Times New Roman" w:hAnsi="Times New Roman"/>
              </w:rPr>
              <w:t xml:space="preserve">Initialmargen</w:t>
            </w:r>
          </w:p>
          <w:p w14:paraId="0528AC1A"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Se instrukser til skema C 34.08.</w:t>
            </w:r>
          </w:p>
          <w:p w14:paraId="045F1620" w14:textId="77777777" w:rsidR="00EF74C7" w:rsidRPr="002A677E" w:rsidRDefault="00EF74C7" w:rsidP="00822842">
            <w:pPr>
              <w:keepNext/>
              <w:spacing w:before="60"/>
              <w:rPr>
                <w:i/>
                <w:sz w:val="24"/>
                <w:rFonts w:ascii="Times New Roman" w:hAnsi="Times New Roman"/>
              </w:rPr>
            </w:pPr>
            <w:r>
              <w:rPr>
                <w:sz w:val="24"/>
                <w:rFonts w:ascii="Times New Roman" w:hAnsi="Times New Roman"/>
              </w:rPr>
              <w:t xml:space="preserve">Med henblik på dette skema omfatter initialmargenen ikke bidrag til en CCP for gensidige tabsdelingsordninger (dvs. i tilfælde, hvor en CCP anvender initialmargen til at gensidiggøre tab blandt clearingmedlemmerne, behandles den som en misligholdelsesfondseksponering).</w:t>
            </w:r>
            <w:r>
              <w:rPr>
                <w:sz w:val="24"/>
                <w:rFonts w:ascii="Times New Roman" w:hAnsi="Times New Roman"/>
              </w:rPr>
              <w:t xml:space="preserve"> </w:t>
            </w:r>
          </w:p>
        </w:tc>
      </w:tr>
      <w:tr w:rsidR="00EF74C7" w:rsidRPr="002A677E" w14:paraId="678BD1FD" w14:textId="77777777" w:rsidTr="00822842">
        <w:trPr>
          <w:trHeight w:val="680"/>
        </w:trPr>
        <w:tc>
          <w:tcPr>
            <w:tcW w:w="1384" w:type="dxa"/>
          </w:tcPr>
          <w:p w14:paraId="1368D46D" w14:textId="77777777" w:rsidR="00EF74C7" w:rsidRPr="002A677E" w:rsidRDefault="00EF74C7" w:rsidP="00822842">
            <w:pPr>
              <w:pStyle w:val="Applicationdirecte"/>
              <w:spacing w:before="0" w:after="0"/>
            </w:pPr>
            <w:r>
              <w:t xml:space="preserve">0090, 0190</w:t>
            </w:r>
          </w:p>
        </w:tc>
        <w:tc>
          <w:tcPr>
            <w:tcW w:w="7655" w:type="dxa"/>
            <w:vAlign w:val="center"/>
          </w:tcPr>
          <w:p w14:paraId="37AA0774"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Indbetalte bidrag til misligholdelsesfonde</w:t>
            </w:r>
          </w:p>
          <w:p w14:paraId="10ECCD47"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Artikel 308 og 309 i forordning (EU) nr. 575/2013, en misligholdelsesfond, som defineret i artikel 4, stk. 1, nr. 89), i forordning (EU) nr. 575/2013, bidraget til en CCP's misligholdelsesfond, som instituttet har indbetalt</w:t>
            </w:r>
          </w:p>
        </w:tc>
      </w:tr>
      <w:tr w:rsidR="00EF74C7" w:rsidRPr="002A677E" w14:paraId="7BD4821D" w14:textId="77777777" w:rsidTr="00822842">
        <w:trPr>
          <w:trHeight w:val="680"/>
        </w:trPr>
        <w:tc>
          <w:tcPr>
            <w:tcW w:w="1384" w:type="dxa"/>
          </w:tcPr>
          <w:p w14:paraId="7A03D5C3" w14:textId="77777777" w:rsidR="00EF74C7" w:rsidRPr="002A677E" w:rsidRDefault="00EF74C7" w:rsidP="00822842">
            <w:pPr>
              <w:pStyle w:val="Applicationdirecte"/>
              <w:spacing w:before="0" w:after="0"/>
            </w:pPr>
            <w:r>
              <w:t xml:space="preserve">0100, 0200</w:t>
            </w:r>
          </w:p>
        </w:tc>
        <w:tc>
          <w:tcPr>
            <w:tcW w:w="7655" w:type="dxa"/>
            <w:vAlign w:val="center"/>
          </w:tcPr>
          <w:p w14:paraId="002C878A"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Ikke-indbetalte bidrag til misligholdelsesfonde</w:t>
            </w:r>
          </w:p>
          <w:p w14:paraId="4758699C" w14:textId="77777777" w:rsidR="00EF74C7" w:rsidRPr="002A677E" w:rsidRDefault="00EF74C7" w:rsidP="00822842">
            <w:pPr>
              <w:keepNext/>
              <w:spacing w:before="60"/>
              <w:rPr>
                <w:rStyle w:val="InstructionsTabelleberschrift"/>
                <w:b w:val="0"/>
                <w:bCs w:val="0"/>
                <w:sz w:val="24"/>
                <w:rFonts w:ascii="Times New Roman" w:hAnsi="Times New Roman"/>
              </w:rPr>
            </w:pPr>
            <w:r>
              <w:rPr>
                <w:sz w:val="24"/>
                <w:rFonts w:ascii="Times New Roman" w:hAnsi="Times New Roman"/>
              </w:rPr>
              <w:t xml:space="preserve">Artikel 309 og 310 i forordning (EU) nr. 575/2013, en misligholdelsesfond, som defineret i artikel 4, stk. 1, nr. 89), i forordning (EU) nr. 575/2013</w:t>
            </w:r>
          </w:p>
          <w:p w14:paraId="25D87385"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Institutterne skal indberette bidrag, som et institut, der fungerer som clearingmedlem, ved kontrakt har forpligtet sig til at yde til en CCP, efter at CCP'en har opbrugt misligholdelsesfonden til at dække tab, der er opstået som følge af en eller flere af dens clearingmedlemmers misligholdelse.</w:t>
            </w:r>
          </w:p>
        </w:tc>
      </w:tr>
      <w:tr w:rsidR="00EF74C7" w:rsidRPr="002A677E" w14:paraId="7623E425" w14:textId="77777777" w:rsidTr="00822842">
        <w:trPr>
          <w:trHeight w:val="680"/>
        </w:trPr>
        <w:tc>
          <w:tcPr>
            <w:tcW w:w="1384" w:type="dxa"/>
          </w:tcPr>
          <w:p w14:paraId="229099B5" w14:textId="77777777" w:rsidR="00EF74C7" w:rsidRPr="002A677E" w:rsidRDefault="00EF74C7" w:rsidP="00822842">
            <w:pPr>
              <w:pStyle w:val="Applicationdirecte"/>
              <w:spacing w:before="0" w:after="0"/>
            </w:pPr>
            <w:r>
              <w:t xml:space="preserve">0070, 0170</w:t>
            </w:r>
          </w:p>
        </w:tc>
        <w:tc>
          <w:tcPr>
            <w:tcW w:w="7655" w:type="dxa"/>
            <w:vAlign w:val="center"/>
          </w:tcPr>
          <w:p w14:paraId="2065824F"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Adskilt</w:t>
            </w:r>
          </w:p>
          <w:p w14:paraId="7144C419"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Se instrukser til skema C 34.08.</w:t>
            </w:r>
          </w:p>
        </w:tc>
      </w:tr>
      <w:tr w:rsidR="00EF74C7" w:rsidRPr="002A677E" w14:paraId="26D915DB" w14:textId="77777777" w:rsidTr="00822842">
        <w:trPr>
          <w:trHeight w:val="680"/>
        </w:trPr>
        <w:tc>
          <w:tcPr>
            <w:tcW w:w="1384" w:type="dxa"/>
          </w:tcPr>
          <w:p w14:paraId="59F46364" w14:textId="77777777" w:rsidR="00EF74C7" w:rsidRPr="002A677E" w:rsidRDefault="00EF74C7" w:rsidP="00822842">
            <w:pPr>
              <w:pStyle w:val="Applicationdirecte"/>
              <w:spacing w:before="0" w:after="0"/>
            </w:pPr>
            <w:r>
              <w:t xml:space="preserve">0080, 0180</w:t>
            </w:r>
          </w:p>
        </w:tc>
        <w:tc>
          <w:tcPr>
            <w:tcW w:w="7655" w:type="dxa"/>
            <w:vAlign w:val="center"/>
          </w:tcPr>
          <w:p w14:paraId="0F95C83A"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Ikkeadskilt</w:t>
            </w:r>
          </w:p>
          <w:p w14:paraId="002F04D5"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Se instrukser til skema C 34.08.</w:t>
            </w:r>
          </w:p>
        </w:tc>
      </w:tr>
    </w:tbl>
    <w:p w14:paraId="7128280E"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70" w:name="_Toc19715830"/>
      <w:bookmarkStart w:id="71" w:name="_Toc151714470"/>
      <w:r>
        <w:rPr>
          <w:sz w:val="24"/>
          <w:rFonts w:ascii="Times New Roman" w:hAnsi="Times New Roman"/>
        </w:rPr>
        <w:t xml:space="preserve">C 34.11 — "flowtabeller" over risikovægtede eksponeringer (RWEA) for modpartsrisikoeksponeringer i henhold til metoden med interne modeller</w:t>
      </w:r>
      <w:bookmarkEnd w:id="70"/>
      <w:bookmarkEnd w:id="71"/>
    </w:p>
    <w:p w14:paraId="2C95A3D6"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72" w:name="_Toc19715831"/>
      <w:bookmarkStart w:id="73" w:name="_Toc151714471"/>
      <w:r>
        <w:rPr>
          <w:sz w:val="24"/>
          <w:rFonts w:ascii="Times New Roman" w:hAnsi="Times New Roman"/>
        </w:rPr>
        <w:t xml:space="preserve">Generelle bemærkninger</w:t>
      </w:r>
      <w:bookmarkEnd w:id="72"/>
      <w:bookmarkEnd w:id="73"/>
    </w:p>
    <w:p w14:paraId="03BB213D" w14:textId="647FCB93"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t xml:space="preserve">133</w:t>
      </w:r>
      <w:r>
        <w:fldChar w:fldCharType="end"/>
      </w:r>
      <w:r>
        <w:t xml:space="preserve">.</w:t>
      </w:r>
      <w:r>
        <w:t xml:space="preserve"> </w:t>
      </w:r>
      <w:r>
        <w:t xml:space="preserve">Institutter, som anvender metoden med interne modeller til beregning af risikovægtede eksponeringer for alle eller en del af deres modpartsrisikoeksponeringer i overensstemmelse med tredje del, afsnit II, kapitel 6, i forordning (EU) nr. 575/2013, skal, uanset den kreditrisikometode, der er anvendt til at bestemme den tilsvarende risikovægtning, indberette dette skema med flowtabellen og redegøre for ændringer i risikovægtede eksponeringer for derivater og værdipapirfinansieringstransaktioner i relation til metoden med interne modeller, hvorved der skelnes mellem de vigtigste faktorer og tages udgangspunkt i rimelige skøn.</w:t>
      </w:r>
    </w:p>
    <w:p w14:paraId="3CF6C221" w14:textId="3050BF14"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t xml:space="preserve">134</w:t>
      </w:r>
      <w:r>
        <w:fldChar w:fldCharType="end"/>
      </w:r>
      <w:r>
        <w:t xml:space="preserve">.</w:t>
      </w:r>
      <w:r>
        <w:t xml:space="preserve"> </w:t>
      </w:r>
      <w:r>
        <w:t xml:space="preserve">Institutter, der indberetter dette skema kvartalsvist, udfylder kun kolonne 0010.</w:t>
      </w:r>
      <w:r>
        <w:t xml:space="preserve"> </w:t>
      </w:r>
      <w:r>
        <w:t xml:space="preserve">Institutter, der indberetter dette skema kvartalsvist, udfylder kun kolonne 0020.</w:t>
      </w:r>
      <w:r>
        <w:t xml:space="preserve"> </w:t>
      </w:r>
    </w:p>
    <w:p w14:paraId="618242D4" w14:textId="24BF40AD"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t xml:space="preserve">135</w:t>
      </w:r>
      <w:r>
        <w:fldChar w:fldCharType="end"/>
      </w:r>
      <w:r>
        <w:t xml:space="preserve">.</w:t>
      </w:r>
      <w:r>
        <w:t xml:space="preserve"> </w:t>
      </w:r>
      <w:r>
        <w:t xml:space="preserve">Dette skema udelukker risikovægtede eksponeringer for eksponeringer mod en central modpart (tredje del, afsnit II, kapitel 6, afdeling 9, i forordning (EU) nr. 575/2013).</w:t>
      </w:r>
    </w:p>
    <w:p w14:paraId="5D4AACDC"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74" w:name="_Toc19715832"/>
      <w:bookmarkStart w:id="75" w:name="_Toc151714472"/>
      <w:r>
        <w:rPr>
          <w:sz w:val="24"/>
          <w:rFonts w:ascii="Times New Roman" w:hAnsi="Times New Roman"/>
        </w:rPr>
        <w:t xml:space="preserve">Instrukser vedrørende specifikke positioner</w:t>
      </w:r>
      <w:bookmarkEnd w:id="74"/>
      <w:bookmarkEnd w:id="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7E15B0A0"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D658B4" w14:textId="77777777" w:rsidR="00EF74C7" w:rsidRPr="002A677E" w:rsidRDefault="00EF74C7" w:rsidP="00822842">
            <w:pPr>
              <w:rPr>
                <w:b/>
                <w:sz w:val="24"/>
                <w:rFonts w:ascii="Times New Roman" w:hAnsi="Times New Roman"/>
              </w:rPr>
            </w:pPr>
            <w:r>
              <w:rPr>
                <w:b/>
                <w:sz w:val="24"/>
                <w:rFonts w:ascii="Times New Roman" w:hAnsi="Times New Roman"/>
              </w:rPr>
              <w:t xml:space="preserve">Kolonner</w:t>
            </w:r>
          </w:p>
        </w:tc>
      </w:tr>
      <w:tr w:rsidR="00EF74C7" w:rsidRPr="002A677E" w14:paraId="535FF70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25F605" w14:textId="77777777" w:rsidR="00EF74C7" w:rsidRPr="002A677E" w:rsidRDefault="00EF74C7" w:rsidP="00822842">
            <w:pPr>
              <w:pStyle w:val="Applicationdirecte"/>
              <w:spacing w:before="0" w:after="0"/>
            </w:pPr>
            <w:r>
              <w:t xml:space="preserve">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5BD616"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RISIKOVÆGTEDE EKSPONERINGER</w:t>
            </w:r>
          </w:p>
          <w:p w14:paraId="0630F3A5" w14:textId="03B5FB80" w:rsidR="00EF74C7" w:rsidRPr="002A677E" w:rsidRDefault="00EF74C7" w:rsidP="00822842">
            <w:pPr>
              <w:rPr>
                <w:sz w:val="24"/>
                <w:rFonts w:ascii="Times New Roman" w:hAnsi="Times New Roman"/>
              </w:rPr>
            </w:pPr>
            <w:r>
              <w:rPr>
                <w:sz w:val="24"/>
                <w:rFonts w:ascii="Times New Roman" w:hAnsi="Times New Roman"/>
              </w:rPr>
              <w:t xml:space="preserve">Risikovægtede eksponeringer som defineret i artikel 92, stk. 3, i CRR for positioner, hvis risikovægtning er estimeret på grundlag af kravene i tredje del, afsnit II, kapitel 2 og 3, i forordning (EU) nr. 575/2013, og for hvilke instituttet har fået tilladelse til at beregne eksponeringsværdien ved hjælp af metoden med interne modeller i overensstemmelse med tredje del, afsnit II, kapitel 6, afdeling 6, i nævnte forordning.</w:t>
            </w:r>
            <w:r>
              <w:rPr>
                <w:sz w:val="24"/>
                <w:rFonts w:ascii="Times New Roman" w:hAnsi="Times New Roman"/>
              </w:rPr>
              <w:t xml:space="preserve"> </w:t>
            </w:r>
          </w:p>
          <w:p w14:paraId="1EFFB8C4"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Støttefaktorerne for SMV'er og infrastruktur, som fastlagt i artikel 501 og 501a i forordning (EU) nr. 575/2013, indregnes.</w:t>
            </w:r>
          </w:p>
        </w:tc>
      </w:tr>
    </w:tbl>
    <w:p w14:paraId="2395318C" w14:textId="77777777" w:rsidR="00EF74C7" w:rsidRPr="002A677E" w:rsidRDefault="00EF74C7" w:rsidP="00EF74C7">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BFE7275"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A8574" w14:textId="77777777" w:rsidR="00EF74C7" w:rsidRPr="002A677E" w:rsidRDefault="00EF74C7" w:rsidP="00822842">
            <w:pPr>
              <w:rPr>
                <w:b/>
                <w:sz w:val="24"/>
                <w:rFonts w:ascii="Times New Roman" w:hAnsi="Times New Roman"/>
              </w:rPr>
            </w:pPr>
            <w:r>
              <w:rPr>
                <w:b/>
                <w:sz w:val="24"/>
                <w:rFonts w:ascii="Times New Roman" w:hAnsi="Times New Roman"/>
              </w:rPr>
              <w:t xml:space="preserve">Rækker</w:t>
            </w:r>
          </w:p>
        </w:tc>
      </w:tr>
      <w:tr w:rsidR="00EF74C7" w:rsidRPr="002A677E" w14:paraId="605493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79B8A4" w14:textId="77777777" w:rsidR="00EF74C7" w:rsidRPr="002A677E" w:rsidRDefault="00EF74C7" w:rsidP="00822842">
            <w:pPr>
              <w:pStyle w:val="Applicationdirecte"/>
              <w:spacing w:before="0" w:after="0"/>
            </w:pPr>
            <w:r>
              <w:t xml:space="preserve">0010</w:t>
            </w:r>
          </w:p>
        </w:tc>
        <w:tc>
          <w:tcPr>
            <w:tcW w:w="7655" w:type="dxa"/>
            <w:tcBorders>
              <w:top w:val="single" w:sz="4" w:space="0" w:color="auto"/>
              <w:left w:val="single" w:sz="4" w:space="0" w:color="auto"/>
              <w:bottom w:val="single" w:sz="4" w:space="0" w:color="auto"/>
              <w:right w:val="single" w:sz="4" w:space="0" w:color="auto"/>
            </w:tcBorders>
            <w:vAlign w:val="center"/>
          </w:tcPr>
          <w:p w14:paraId="57AD1FA7"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Risikovægtet eksponering ved udgangen af den foregående indberetningsperiode</w:t>
            </w:r>
          </w:p>
          <w:p w14:paraId="27A42CBA"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Risikovægtet eksponering for modpartsrisikoeksponeringer ved anvendelse af metoden med interne modeller ved udgangen af den foregående indberetningsperiode</w:t>
            </w:r>
          </w:p>
        </w:tc>
      </w:tr>
      <w:tr w:rsidR="00EF74C7" w:rsidRPr="002A677E" w14:paraId="07E271D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27BE487F" w14:textId="77777777" w:rsidR="00EF74C7" w:rsidRPr="002A677E" w:rsidRDefault="00EF74C7" w:rsidP="00822842">
            <w:pPr>
              <w:pStyle w:val="Applicationdirecte"/>
              <w:spacing w:before="0" w:after="0"/>
            </w:pPr>
            <w:r>
              <w:t xml:space="preserve">0020</w:t>
            </w:r>
          </w:p>
        </w:tc>
        <w:tc>
          <w:tcPr>
            <w:tcW w:w="7655" w:type="dxa"/>
            <w:tcBorders>
              <w:top w:val="single" w:sz="4" w:space="0" w:color="auto"/>
              <w:left w:val="single" w:sz="4" w:space="0" w:color="auto"/>
              <w:bottom w:val="single" w:sz="4" w:space="0" w:color="auto"/>
              <w:right w:val="single" w:sz="4" w:space="0" w:color="auto"/>
            </w:tcBorders>
            <w:vAlign w:val="center"/>
          </w:tcPr>
          <w:p w14:paraId="49F00614"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Aktivernes størrelse</w:t>
            </w:r>
          </w:p>
          <w:p w14:paraId="1826143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Ændringer i den risikovægtede eksponering (positive eller negative), der skyldes ændringer i størrelsen og sammensætningen af porteføljen, der følger af sædvanlige forretningsaktiviteter (herunder etablering af nye virksomheder og eksponeringer, der udløber), men ekskl. ændringer i porteføljens størrelse som følge af anskaffelser og afhændelser af enheder.</w:t>
            </w:r>
          </w:p>
        </w:tc>
      </w:tr>
      <w:tr w:rsidR="00EF74C7" w:rsidRPr="002A677E" w14:paraId="530A19A1"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53672F1" w14:textId="77777777" w:rsidR="00EF74C7" w:rsidRPr="002A677E" w:rsidRDefault="00EF74C7" w:rsidP="00822842">
            <w:pPr>
              <w:pStyle w:val="Applicationdirecte"/>
              <w:spacing w:before="0" w:after="0"/>
            </w:pPr>
            <w:r>
              <w:t xml:space="preserve">0030</w:t>
            </w:r>
          </w:p>
        </w:tc>
        <w:tc>
          <w:tcPr>
            <w:tcW w:w="7655" w:type="dxa"/>
            <w:tcBorders>
              <w:top w:val="single" w:sz="4" w:space="0" w:color="auto"/>
              <w:left w:val="single" w:sz="4" w:space="0" w:color="auto"/>
              <w:bottom w:val="single" w:sz="4" w:space="0" w:color="auto"/>
              <w:right w:val="single" w:sz="4" w:space="0" w:color="auto"/>
            </w:tcBorders>
            <w:vAlign w:val="center"/>
          </w:tcPr>
          <w:p w14:paraId="64E44A9C"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Modparternes kreditkvalitet</w:t>
            </w:r>
            <w:r>
              <w:rPr>
                <w:rStyle w:val="InstructionsTabelleberschrift"/>
                <w:sz w:val="24"/>
                <w:rFonts w:ascii="Times New Roman" w:hAnsi="Times New Roman"/>
              </w:rPr>
              <w:t xml:space="preserve"> </w:t>
            </w:r>
          </w:p>
          <w:p w14:paraId="250F3251"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Ændringer i risikovægtede eksponeringer (positive eller negative) som følge af ændringer i den vurderede kvalitet af instituttets modparter, som måles inden for rammerne af kreditrisikorammen, uanset hvilken metode instituttet anvender.</w:t>
            </w:r>
            <w:r>
              <w:rPr>
                <w:sz w:val="24"/>
                <w:rFonts w:ascii="Times New Roman" w:hAnsi="Times New Roman"/>
              </w:rPr>
              <w:t xml:space="preserve"> </w:t>
            </w:r>
            <w:r>
              <w:rPr>
                <w:sz w:val="24"/>
                <w:rFonts w:ascii="Times New Roman" w:hAnsi="Times New Roman"/>
              </w:rPr>
              <w:t xml:space="preserve">Denne række omfatter også potentielle ændringer i risikovægtede eksponeringer som følge af IRB-modeller, når instituttet anvender en IRB-metode.</w:t>
            </w:r>
          </w:p>
        </w:tc>
      </w:tr>
      <w:tr w:rsidR="00EF74C7" w:rsidRPr="002A677E" w14:paraId="2E1CAD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458604EA" w14:textId="77777777" w:rsidR="00EF74C7" w:rsidRPr="002A677E" w:rsidRDefault="00EF74C7" w:rsidP="00822842">
            <w:pPr>
              <w:pStyle w:val="Applicationdirecte"/>
              <w:spacing w:before="0" w:after="0"/>
            </w:pPr>
            <w:r>
              <w:t xml:space="preserve">0040</w:t>
            </w:r>
          </w:p>
        </w:tc>
        <w:tc>
          <w:tcPr>
            <w:tcW w:w="7655" w:type="dxa"/>
            <w:tcBorders>
              <w:top w:val="single" w:sz="4" w:space="0" w:color="auto"/>
              <w:left w:val="single" w:sz="4" w:space="0" w:color="auto"/>
              <w:bottom w:val="single" w:sz="4" w:space="0" w:color="auto"/>
              <w:right w:val="single" w:sz="4" w:space="0" w:color="auto"/>
            </w:tcBorders>
            <w:vAlign w:val="center"/>
          </w:tcPr>
          <w:p w14:paraId="41774D2A"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Opdateringer af modeller (kun metoden med interne modeller)</w:t>
            </w:r>
          </w:p>
          <w:p w14:paraId="18D81B07"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Ændringer i risikovægtede eksponeringer (positive eller negative) som følge af gennemførelse af modeller, ændringer i anvendelsesområdet for modeller eller enhver ændring, der har til formål at afhjælpe svagheder i forbindelse med modeller.</w:t>
            </w:r>
          </w:p>
          <w:p w14:paraId="35919C0F"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Denne række vedrører kun ændringer i metoden med interne modeller.</w:t>
            </w:r>
          </w:p>
        </w:tc>
      </w:tr>
      <w:tr w:rsidR="00EF74C7" w:rsidRPr="002A677E" w14:paraId="0A0C826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D4B81C7" w14:textId="77777777" w:rsidR="00EF74C7" w:rsidRPr="002A677E" w:rsidRDefault="00EF74C7" w:rsidP="00822842">
            <w:pPr>
              <w:pStyle w:val="Applicationdirecte"/>
              <w:spacing w:before="0" w:after="0"/>
            </w:pPr>
            <w:r>
              <w:t xml:space="preserve">0050</w:t>
            </w:r>
          </w:p>
        </w:tc>
        <w:tc>
          <w:tcPr>
            <w:tcW w:w="7655" w:type="dxa"/>
            <w:tcBorders>
              <w:top w:val="single" w:sz="4" w:space="0" w:color="auto"/>
              <w:left w:val="single" w:sz="4" w:space="0" w:color="auto"/>
              <w:bottom w:val="single" w:sz="4" w:space="0" w:color="auto"/>
              <w:right w:val="single" w:sz="4" w:space="0" w:color="auto"/>
            </w:tcBorders>
            <w:vAlign w:val="center"/>
          </w:tcPr>
          <w:p w14:paraId="74BE71FA"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Metodologi og politik (kun metoden med interne modeller)</w:t>
            </w:r>
          </w:p>
          <w:p w14:paraId="492776FC"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Ændringer i risikovægtede eksponeringer (positive eller negative), der skyldes ændringer som følge af metodologiske ændringer i beregninger forårsaget af reguleringsmæssige ændringer, som f.eks. nye regulativer (kun i metoden med interne modeller).</w:t>
            </w:r>
          </w:p>
        </w:tc>
      </w:tr>
      <w:tr w:rsidR="00EF74C7" w:rsidRPr="002A677E" w14:paraId="2F18F45C"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CF48A7C" w14:textId="77777777" w:rsidR="00EF74C7" w:rsidRPr="002A677E" w:rsidRDefault="00EF74C7" w:rsidP="00822842">
            <w:pPr>
              <w:pStyle w:val="Applicationdirecte"/>
              <w:spacing w:before="0" w:after="0"/>
            </w:pPr>
            <w:r>
              <w:t xml:space="preserve">0060</w:t>
            </w:r>
          </w:p>
        </w:tc>
        <w:tc>
          <w:tcPr>
            <w:tcW w:w="7655" w:type="dxa"/>
            <w:tcBorders>
              <w:top w:val="single" w:sz="4" w:space="0" w:color="auto"/>
              <w:left w:val="single" w:sz="4" w:space="0" w:color="auto"/>
              <w:bottom w:val="single" w:sz="4" w:space="0" w:color="auto"/>
              <w:right w:val="single" w:sz="4" w:space="0" w:color="auto"/>
            </w:tcBorders>
            <w:vAlign w:val="center"/>
          </w:tcPr>
          <w:p w14:paraId="6C716653"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Anskaffelser og afhændelser</w:t>
            </w:r>
          </w:p>
          <w:p w14:paraId="556F6F9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Ændringer i risikovægtede eksponeringer (positive eller negative), der skyldes ændringer i porteføljen som følge af anskaffelser og afhændelser af enheder.</w:t>
            </w:r>
          </w:p>
        </w:tc>
      </w:tr>
      <w:tr w:rsidR="00EF74C7" w:rsidRPr="002A677E" w14:paraId="29CBD54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B63349A" w14:textId="77777777" w:rsidR="00EF74C7" w:rsidRPr="002A677E" w:rsidRDefault="00EF74C7" w:rsidP="00822842">
            <w:pPr>
              <w:pStyle w:val="Applicationdirecte"/>
              <w:spacing w:before="0" w:after="0"/>
            </w:pPr>
            <w:r>
              <w:t xml:space="preserve">0070</w:t>
            </w:r>
          </w:p>
        </w:tc>
        <w:tc>
          <w:tcPr>
            <w:tcW w:w="7655" w:type="dxa"/>
            <w:tcBorders>
              <w:top w:val="single" w:sz="4" w:space="0" w:color="auto"/>
              <w:left w:val="single" w:sz="4" w:space="0" w:color="auto"/>
              <w:bottom w:val="single" w:sz="4" w:space="0" w:color="auto"/>
              <w:right w:val="single" w:sz="4" w:space="0" w:color="auto"/>
            </w:tcBorders>
            <w:vAlign w:val="center"/>
          </w:tcPr>
          <w:p w14:paraId="57E5E736"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Valutakursændringer</w:t>
            </w:r>
          </w:p>
          <w:p w14:paraId="29E3F8C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Ændringer i risikovægtede eksponeringer (positive eller negative), der skyldes ændringer som følge af bevægelser i valutakurserne.</w:t>
            </w:r>
            <w:r>
              <w:rPr>
                <w:sz w:val="24"/>
                <w:rFonts w:ascii="Times New Roman" w:hAnsi="Times New Roman"/>
              </w:rPr>
              <w:t xml:space="preserve"> </w:t>
            </w:r>
          </w:p>
        </w:tc>
      </w:tr>
      <w:tr w:rsidR="00EF74C7" w:rsidRPr="002A677E" w14:paraId="6EB9C3F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C26069" w14:textId="77777777" w:rsidR="00EF74C7" w:rsidRPr="002A677E" w:rsidRDefault="00EF74C7" w:rsidP="00822842">
            <w:pPr>
              <w:pStyle w:val="Applicationdirecte"/>
              <w:spacing w:before="0" w:after="0"/>
            </w:pPr>
            <w:r>
              <w:t xml:space="preserve">0080</w:t>
            </w:r>
          </w:p>
        </w:tc>
        <w:tc>
          <w:tcPr>
            <w:tcW w:w="7655" w:type="dxa"/>
            <w:tcBorders>
              <w:top w:val="single" w:sz="4" w:space="0" w:color="auto"/>
              <w:left w:val="single" w:sz="4" w:space="0" w:color="auto"/>
              <w:bottom w:val="single" w:sz="4" w:space="0" w:color="auto"/>
              <w:right w:val="single" w:sz="4" w:space="0" w:color="auto"/>
            </w:tcBorders>
            <w:vAlign w:val="center"/>
          </w:tcPr>
          <w:p w14:paraId="3AF95E88"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Andre</w:t>
            </w:r>
          </w:p>
          <w:p w14:paraId="0BAC5EB4"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Denne kategori anvendes til at opfange de risikovægtede eksponeringer (positive eller negative), som ikke kan tilskrives ovenstående kategorier.</w:t>
            </w:r>
            <w:r>
              <w:rPr>
                <w:sz w:val="24"/>
                <w:rFonts w:ascii="Times New Roman" w:hAnsi="Times New Roman"/>
              </w:rPr>
              <w:t xml:space="preserve"> </w:t>
            </w:r>
          </w:p>
        </w:tc>
      </w:tr>
      <w:tr w:rsidR="00EF74C7" w:rsidRPr="002A677E" w14:paraId="2BDFC76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79F5A0E" w14:textId="77777777" w:rsidR="00EF74C7" w:rsidRPr="002A677E" w:rsidRDefault="00EF74C7" w:rsidP="00822842">
            <w:pPr>
              <w:pStyle w:val="Applicationdirecte"/>
              <w:spacing w:before="0" w:after="0"/>
            </w:pPr>
            <w:r>
              <w:t xml:space="preserve">0090</w:t>
            </w:r>
          </w:p>
        </w:tc>
        <w:tc>
          <w:tcPr>
            <w:tcW w:w="7655" w:type="dxa"/>
            <w:tcBorders>
              <w:top w:val="single" w:sz="4" w:space="0" w:color="auto"/>
              <w:left w:val="single" w:sz="4" w:space="0" w:color="auto"/>
              <w:bottom w:val="single" w:sz="4" w:space="0" w:color="auto"/>
              <w:right w:val="single" w:sz="4" w:space="0" w:color="auto"/>
            </w:tcBorders>
            <w:vAlign w:val="center"/>
          </w:tcPr>
          <w:p w14:paraId="674EB302"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Risikovægtede eksponeringer ved udgangen af den indeværende indberetningsperiode</w:t>
            </w:r>
          </w:p>
          <w:p w14:paraId="51365175"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Risikovægtede eksponeringer for modpartsrisikoeksponeringer ved anvendelse af metoden med interne modeller ved udgangen af den indeværende indberetningsperiode</w:t>
            </w:r>
          </w:p>
        </w:tc>
      </w:tr>
    </w:tbl>
    <w:p w14:paraId="46880A2A" w14:textId="77777777" w:rsidR="00EF74C7" w:rsidRDefault="00EF74C7"/>
    <w:p w14:paraId="0CA113AF" w14:textId="77777777" w:rsidR="00EF74C7" w:rsidRDefault="00EF74C7"/>
    <w:sectPr w:rsidR="00EF74C7">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inherit">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0"/>
  </w:num>
  <w:num w:numId="3" w16cid:durableId="286200695">
    <w:abstractNumId w:val="28"/>
  </w:num>
  <w:num w:numId="4" w16cid:durableId="487287975">
    <w:abstractNumId w:val="15"/>
  </w:num>
  <w:num w:numId="5" w16cid:durableId="1754350949">
    <w:abstractNumId w:val="23"/>
  </w:num>
  <w:num w:numId="6" w16cid:durableId="1507597667">
    <w:abstractNumId w:val="12"/>
  </w:num>
  <w:num w:numId="7" w16cid:durableId="139271283">
    <w:abstractNumId w:val="27"/>
  </w:num>
  <w:num w:numId="8" w16cid:durableId="763764270">
    <w:abstractNumId w:val="5"/>
  </w:num>
  <w:num w:numId="9" w16cid:durableId="1561986968">
    <w:abstractNumId w:val="21"/>
  </w:num>
  <w:num w:numId="10" w16cid:durableId="1349260748">
    <w:abstractNumId w:val="10"/>
  </w:num>
  <w:num w:numId="11" w16cid:durableId="1097991330">
    <w:abstractNumId w:val="17"/>
  </w:num>
  <w:num w:numId="12" w16cid:durableId="858469680">
    <w:abstractNumId w:val="6"/>
  </w:num>
  <w:num w:numId="13" w16cid:durableId="1485394352">
    <w:abstractNumId w:val="22"/>
  </w:num>
  <w:num w:numId="14" w16cid:durableId="881021889">
    <w:abstractNumId w:val="19"/>
  </w:num>
  <w:num w:numId="15" w16cid:durableId="1923681300">
    <w:abstractNumId w:val="9"/>
  </w:num>
  <w:num w:numId="16" w16cid:durableId="211188018">
    <w:abstractNumId w:val="16"/>
  </w:num>
  <w:num w:numId="17" w16cid:durableId="373817584">
    <w:abstractNumId w:val="8"/>
  </w:num>
  <w:num w:numId="18" w16cid:durableId="1615165847">
    <w:abstractNumId w:val="24"/>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6"/>
  </w:num>
  <w:num w:numId="24" w16cid:durableId="166527561">
    <w:abstractNumId w:val="1"/>
  </w:num>
  <w:num w:numId="25" w16cid:durableId="1544101633">
    <w:abstractNumId w:val="25"/>
  </w:num>
  <w:num w:numId="26" w16cid:durableId="44380249">
    <w:abstractNumId w:val="18"/>
  </w:num>
  <w:num w:numId="27" w16cid:durableId="1838038624">
    <w:abstractNumId w:val="0"/>
  </w:num>
  <w:num w:numId="28" w16cid:durableId="1856265522">
    <w:abstractNumId w:val="7"/>
  </w:num>
  <w:num w:numId="29" w16cid:durableId="208171315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122B"/>
    <w:rsid w:val="00013986"/>
    <w:rsid w:val="00074AC8"/>
    <w:rsid w:val="00631623"/>
    <w:rsid w:val="00632962"/>
    <w:rsid w:val="00793BDE"/>
    <w:rsid w:val="007D3B3D"/>
    <w:rsid w:val="00A6002C"/>
    <w:rsid w:val="00B5223F"/>
    <w:rsid w:val="00B71F25"/>
    <w:rsid w:val="00BD63AA"/>
    <w:rsid w:val="00D57F80"/>
    <w:rsid w:val="00DE7FB9"/>
    <w:rsid w:val="00E26A90"/>
    <w:rsid w:val="00EF07A1"/>
    <w:rsid w:val="00EF74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15:docId w15:val="{9763B1B4-A265-4636-BFE7-4B5FDE4C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4C7"/>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EF74C7"/>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F74C7"/>
    <w:pPr>
      <w:keepNext/>
      <w:spacing w:before="240"/>
      <w:outlineLvl w:val="1"/>
    </w:pPr>
    <w:rPr>
      <w:rFonts w:eastAsia="Arial"/>
      <w:b/>
      <w:sz w:val="24"/>
      <w:u w:val="single"/>
      <w:lang w:val="da-DK" w:eastAsia="x-none"/>
    </w:rPr>
  </w:style>
  <w:style w:type="paragraph" w:styleId="Heading3">
    <w:name w:val="heading 3"/>
    <w:aliases w:val="Title 2"/>
    <w:basedOn w:val="Normal"/>
    <w:next w:val="Normal"/>
    <w:link w:val="Heading3Char1"/>
    <w:autoRedefine/>
    <w:uiPriority w:val="99"/>
    <w:qFormat/>
    <w:rsid w:val="00EF74C7"/>
    <w:pPr>
      <w:keepNext/>
      <w:spacing w:before="180"/>
      <w:outlineLvl w:val="2"/>
    </w:pPr>
    <w:rPr>
      <w:rFonts w:ascii="Arial" w:eastAsia="Arial" w:hAnsi="Arial"/>
      <w:b/>
      <w:szCs w:val="20"/>
      <w:lang w:val="da-DK" w:eastAsia="de-DE"/>
    </w:rPr>
  </w:style>
  <w:style w:type="paragraph" w:styleId="Heading4">
    <w:name w:val="heading 4"/>
    <w:basedOn w:val="Normal"/>
    <w:next w:val="Normal"/>
    <w:link w:val="Heading4Char"/>
    <w:autoRedefine/>
    <w:uiPriority w:val="99"/>
    <w:qFormat/>
    <w:rsid w:val="00EF74C7"/>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EF74C7"/>
    <w:pPr>
      <w:keepNext/>
      <w:spacing w:before="140"/>
      <w:outlineLvl w:val="4"/>
    </w:pPr>
    <w:rPr>
      <w:rFonts w:ascii="Arial" w:eastAsia="Arial" w:hAnsi="Arial"/>
      <w:b/>
      <w:i/>
      <w:szCs w:val="20"/>
      <w:lang w:val="da-DK" w:eastAsia="de-DE"/>
    </w:rPr>
  </w:style>
  <w:style w:type="paragraph" w:styleId="Heading6">
    <w:name w:val="heading 6"/>
    <w:basedOn w:val="Normal"/>
    <w:next w:val="Normal"/>
    <w:link w:val="Heading6Char"/>
    <w:qFormat/>
    <w:rsid w:val="00EF74C7"/>
    <w:pPr>
      <w:spacing w:before="240" w:after="60"/>
      <w:outlineLvl w:val="5"/>
    </w:pPr>
    <w:rPr>
      <w:rFonts w:ascii="Times New Roman" w:eastAsia="Arial" w:hAnsi="Times New Roman"/>
      <w:b/>
      <w:bCs/>
      <w:szCs w:val="20"/>
      <w:lang w:val="da-DK" w:eastAsia="de-DE"/>
    </w:rPr>
  </w:style>
  <w:style w:type="paragraph" w:styleId="Heading7">
    <w:name w:val="heading 7"/>
    <w:basedOn w:val="Normal"/>
    <w:next w:val="Normal"/>
    <w:link w:val="Heading7Char"/>
    <w:qFormat/>
    <w:rsid w:val="00EF74C7"/>
    <w:pPr>
      <w:spacing w:before="240" w:after="60"/>
      <w:outlineLvl w:val="6"/>
    </w:pPr>
    <w:rPr>
      <w:rFonts w:ascii="Times New Roman" w:eastAsia="Arial" w:hAnsi="Times New Roman"/>
      <w:szCs w:val="20"/>
      <w:lang w:val="da-DK" w:eastAsia="de-DE"/>
    </w:rPr>
  </w:style>
  <w:style w:type="paragraph" w:styleId="Heading8">
    <w:name w:val="heading 8"/>
    <w:basedOn w:val="Normal"/>
    <w:next w:val="Normal"/>
    <w:link w:val="Heading8Char"/>
    <w:qFormat/>
    <w:rsid w:val="00EF74C7"/>
    <w:pPr>
      <w:spacing w:before="240" w:after="60"/>
      <w:outlineLvl w:val="7"/>
    </w:pPr>
    <w:rPr>
      <w:rFonts w:ascii="Times New Roman" w:eastAsia="Arial" w:hAnsi="Times New Roman"/>
      <w:i/>
      <w:iCs/>
      <w:szCs w:val="20"/>
      <w:lang w:val="da-DK" w:eastAsia="de-DE"/>
    </w:rPr>
  </w:style>
  <w:style w:type="paragraph" w:styleId="Heading9">
    <w:name w:val="heading 9"/>
    <w:basedOn w:val="Normal"/>
    <w:next w:val="Normal"/>
    <w:link w:val="Heading9Char"/>
    <w:qFormat/>
    <w:rsid w:val="00EF74C7"/>
    <w:pPr>
      <w:spacing w:before="240" w:after="60"/>
      <w:outlineLvl w:val="8"/>
    </w:pPr>
    <w:rPr>
      <w:rFonts w:ascii="Arial" w:eastAsia="Arial" w:hAnsi="Arial"/>
      <w:szCs w:val="20"/>
      <w:lang w:val="da-DK"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EF74C7"/>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EF74C7"/>
    <w:rPr>
      <w:rFonts w:ascii="Verdana" w:eastAsia="Arial" w:hAnsi="Verdana" w:cs="Times New Roman"/>
      <w:b/>
      <w:kern w:val="0"/>
      <w:sz w:val="24"/>
      <w:szCs w:val="24"/>
      <w:u w:val="single"/>
      <w:lang w:val="da-DK" w:eastAsia="x-none"/>
      <w14:ligatures w14:val="none"/>
    </w:rPr>
  </w:style>
  <w:style w:type="character" w:customStyle="1" w:styleId="Heading3Char">
    <w:name w:val="Heading 3 Char"/>
    <w:aliases w:val="Title 2 Char"/>
    <w:basedOn w:val="DefaultParagraphFont"/>
    <w:uiPriority w:val="99"/>
    <w:rsid w:val="00EF74C7"/>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EF74C7"/>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EF74C7"/>
    <w:rPr>
      <w:rFonts w:ascii="Arial" w:eastAsia="Arial" w:hAnsi="Arial" w:cs="Times New Roman"/>
      <w:b/>
      <w:i/>
      <w:kern w:val="0"/>
      <w:sz w:val="20"/>
      <w:szCs w:val="20"/>
      <w:lang w:val="da-DK" w:eastAsia="de-DE"/>
      <w14:ligatures w14:val="none"/>
    </w:rPr>
  </w:style>
  <w:style w:type="character" w:customStyle="1" w:styleId="Heading6Char">
    <w:name w:val="Heading 6 Char"/>
    <w:basedOn w:val="DefaultParagraphFont"/>
    <w:link w:val="Heading6"/>
    <w:rsid w:val="00EF74C7"/>
    <w:rPr>
      <w:rFonts w:ascii="Times New Roman" w:eastAsia="Arial" w:hAnsi="Times New Roman" w:cs="Times New Roman"/>
      <w:b/>
      <w:bCs/>
      <w:kern w:val="0"/>
      <w:sz w:val="20"/>
      <w:szCs w:val="20"/>
      <w:lang w:val="da-DK" w:eastAsia="de-DE"/>
      <w14:ligatures w14:val="none"/>
    </w:rPr>
  </w:style>
  <w:style w:type="character" w:customStyle="1" w:styleId="Heading7Char">
    <w:name w:val="Heading 7 Char"/>
    <w:basedOn w:val="DefaultParagraphFont"/>
    <w:link w:val="Heading7"/>
    <w:rsid w:val="00EF74C7"/>
    <w:rPr>
      <w:rFonts w:ascii="Times New Roman" w:eastAsia="Arial" w:hAnsi="Times New Roman" w:cs="Times New Roman"/>
      <w:kern w:val="0"/>
      <w:sz w:val="20"/>
      <w:szCs w:val="20"/>
      <w:lang w:val="da-DK" w:eastAsia="de-DE"/>
      <w14:ligatures w14:val="none"/>
    </w:rPr>
  </w:style>
  <w:style w:type="character" w:customStyle="1" w:styleId="Heading8Char">
    <w:name w:val="Heading 8 Char"/>
    <w:basedOn w:val="DefaultParagraphFont"/>
    <w:link w:val="Heading8"/>
    <w:rsid w:val="00EF74C7"/>
    <w:rPr>
      <w:rFonts w:ascii="Times New Roman" w:eastAsia="Arial" w:hAnsi="Times New Roman" w:cs="Times New Roman"/>
      <w:i/>
      <w:iCs/>
      <w:kern w:val="0"/>
      <w:sz w:val="20"/>
      <w:szCs w:val="20"/>
      <w:lang w:val="da-DK" w:eastAsia="de-DE"/>
      <w14:ligatures w14:val="none"/>
    </w:rPr>
  </w:style>
  <w:style w:type="character" w:customStyle="1" w:styleId="Heading9Char">
    <w:name w:val="Heading 9 Char"/>
    <w:basedOn w:val="DefaultParagraphFont"/>
    <w:link w:val="Heading9"/>
    <w:rsid w:val="00EF74C7"/>
    <w:rPr>
      <w:rFonts w:ascii="Arial" w:eastAsia="Arial" w:hAnsi="Arial" w:cs="Times New Roman"/>
      <w:kern w:val="0"/>
      <w:sz w:val="20"/>
      <w:szCs w:val="20"/>
      <w:lang w:val="da-DK" w:eastAsia="de-DE"/>
      <w14:ligatures w14:val="none"/>
    </w:rPr>
  </w:style>
  <w:style w:type="paragraph" w:styleId="TableofFigures">
    <w:name w:val="table of figures"/>
    <w:basedOn w:val="Normal"/>
    <w:next w:val="Normal"/>
    <w:qFormat/>
    <w:rsid w:val="00EF74C7"/>
    <w:pPr>
      <w:ind w:left="440" w:hanging="440"/>
    </w:pPr>
  </w:style>
  <w:style w:type="paragraph" w:customStyle="1" w:styleId="Aufzhlungszeichen1">
    <w:name w:val="Aufzählungszeichen1"/>
    <w:basedOn w:val="Normal"/>
    <w:uiPriority w:val="1"/>
    <w:qFormat/>
    <w:rsid w:val="00EF74C7"/>
    <w:pPr>
      <w:numPr>
        <w:numId w:val="1"/>
      </w:numPr>
      <w:spacing w:line="240" w:lineRule="exact"/>
    </w:pPr>
  </w:style>
  <w:style w:type="paragraph" w:customStyle="1" w:styleId="Aufzhlungszeichen2">
    <w:name w:val="Aufzählungszeichen2"/>
    <w:basedOn w:val="Normal"/>
    <w:uiPriority w:val="1"/>
    <w:qFormat/>
    <w:rsid w:val="00EF74C7"/>
    <w:pPr>
      <w:numPr>
        <w:numId w:val="2"/>
      </w:numPr>
      <w:spacing w:line="240" w:lineRule="exact"/>
    </w:pPr>
  </w:style>
  <w:style w:type="paragraph" w:customStyle="1" w:styleId="Aufzhlungszeichen3">
    <w:name w:val="Aufzählungszeichen3"/>
    <w:basedOn w:val="Normal"/>
    <w:uiPriority w:val="1"/>
    <w:qFormat/>
    <w:rsid w:val="00EF74C7"/>
    <w:pPr>
      <w:numPr>
        <w:numId w:val="3"/>
      </w:numPr>
      <w:spacing w:line="240" w:lineRule="exact"/>
    </w:pPr>
  </w:style>
  <w:style w:type="paragraph" w:customStyle="1" w:styleId="Aufzhlungszeichen4">
    <w:name w:val="Aufzählungszeichen4"/>
    <w:basedOn w:val="Normal"/>
    <w:uiPriority w:val="1"/>
    <w:qFormat/>
    <w:rsid w:val="00EF74C7"/>
    <w:pPr>
      <w:numPr>
        <w:numId w:val="4"/>
      </w:numPr>
      <w:spacing w:line="240" w:lineRule="exact"/>
    </w:pPr>
  </w:style>
  <w:style w:type="paragraph" w:styleId="FootnoteText">
    <w:name w:val="footnote text"/>
    <w:basedOn w:val="Normal"/>
    <w:link w:val="FootnoteTextChar"/>
    <w:qFormat/>
    <w:rsid w:val="00EF74C7"/>
    <w:pPr>
      <w:spacing w:line="180" w:lineRule="exact"/>
      <w:ind w:left="142" w:hanging="142"/>
    </w:pPr>
    <w:rPr>
      <w:rFonts w:ascii="Arial" w:eastAsia="Arial" w:hAnsi="Arial"/>
      <w:sz w:val="16"/>
      <w:szCs w:val="16"/>
      <w:lang w:val="da-DK" w:eastAsia="de-DE"/>
    </w:rPr>
  </w:style>
  <w:style w:type="character" w:customStyle="1" w:styleId="FootnoteTextChar">
    <w:name w:val="Footnote Text Char"/>
    <w:basedOn w:val="DefaultParagraphFont"/>
    <w:link w:val="FootnoteText"/>
    <w:rsid w:val="00EF74C7"/>
    <w:rPr>
      <w:rFonts w:ascii="Arial" w:eastAsia="Arial" w:hAnsi="Arial" w:cs="Times New Roman"/>
      <w:kern w:val="0"/>
      <w:sz w:val="16"/>
      <w:szCs w:val="16"/>
      <w:lang w:val="da-DK"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EF74C7"/>
    <w:rPr>
      <w:rFonts w:ascii="Arial" w:hAnsi="Arial" w:cs="Times New Roman"/>
      <w:kern w:val="0"/>
      <w:position w:val="4"/>
      <w:sz w:val="12"/>
      <w:szCs w:val="12"/>
      <w:vertAlign w:val="baseline"/>
    </w:rPr>
  </w:style>
  <w:style w:type="paragraph" w:styleId="Footer">
    <w:name w:val="footer"/>
    <w:basedOn w:val="Normal"/>
    <w:link w:val="FooterChar"/>
    <w:uiPriority w:val="99"/>
    <w:rsid w:val="00EF74C7"/>
    <w:pPr>
      <w:tabs>
        <w:tab w:val="center" w:pos="4536"/>
        <w:tab w:val="right" w:pos="9072"/>
      </w:tabs>
    </w:pPr>
    <w:rPr>
      <w:rFonts w:ascii="Arial" w:eastAsia="Arial" w:hAnsi="Arial"/>
      <w:sz w:val="14"/>
      <w:szCs w:val="14"/>
      <w:lang w:val="da-DK" w:eastAsia="de-DE"/>
    </w:rPr>
  </w:style>
  <w:style w:type="character" w:customStyle="1" w:styleId="FooterChar">
    <w:name w:val="Footer Char"/>
    <w:basedOn w:val="DefaultParagraphFont"/>
    <w:link w:val="Footer"/>
    <w:uiPriority w:val="99"/>
    <w:rsid w:val="00EF74C7"/>
    <w:rPr>
      <w:rFonts w:ascii="Arial" w:eastAsia="Arial" w:hAnsi="Arial" w:cs="Times New Roman"/>
      <w:kern w:val="0"/>
      <w:sz w:val="14"/>
      <w:szCs w:val="14"/>
      <w:lang w:val="da-DK" w:eastAsia="de-DE"/>
      <w14:ligatures w14:val="none"/>
    </w:rPr>
  </w:style>
  <w:style w:type="paragraph" w:customStyle="1" w:styleId="GliederungmitAufzhlung">
    <w:name w:val="Gliederung mit Aufzählung"/>
    <w:basedOn w:val="Normal"/>
    <w:uiPriority w:val="1"/>
    <w:qFormat/>
    <w:rsid w:val="00EF74C7"/>
    <w:pPr>
      <w:numPr>
        <w:numId w:val="7"/>
      </w:numPr>
      <w:spacing w:line="312" w:lineRule="auto"/>
    </w:pPr>
  </w:style>
  <w:style w:type="paragraph" w:customStyle="1" w:styleId="GliederungmitNummerierung">
    <w:name w:val="Gliederung mit Nummerierung"/>
    <w:basedOn w:val="Normal"/>
    <w:uiPriority w:val="1"/>
    <w:qFormat/>
    <w:rsid w:val="00EF74C7"/>
    <w:pPr>
      <w:numPr>
        <w:numId w:val="8"/>
      </w:numPr>
      <w:spacing w:line="312" w:lineRule="auto"/>
    </w:pPr>
  </w:style>
  <w:style w:type="paragraph" w:customStyle="1" w:styleId="HngEinrckung1">
    <w:name w:val="Häng. Einrückung1"/>
    <w:basedOn w:val="Normal"/>
    <w:uiPriority w:val="1"/>
    <w:qFormat/>
    <w:rsid w:val="00EF74C7"/>
    <w:pPr>
      <w:spacing w:line="312" w:lineRule="auto"/>
      <w:ind w:left="567" w:hanging="567"/>
    </w:pPr>
  </w:style>
  <w:style w:type="paragraph" w:customStyle="1" w:styleId="HngEinrckung2">
    <w:name w:val="Häng. Einrückung2"/>
    <w:basedOn w:val="Normal"/>
    <w:uiPriority w:val="1"/>
    <w:qFormat/>
    <w:rsid w:val="00EF74C7"/>
    <w:pPr>
      <w:spacing w:line="312" w:lineRule="auto"/>
      <w:ind w:left="1134" w:hanging="567"/>
    </w:pPr>
  </w:style>
  <w:style w:type="paragraph" w:customStyle="1" w:styleId="HngEinrckung3">
    <w:name w:val="Häng. Einrückung3"/>
    <w:basedOn w:val="Normal"/>
    <w:uiPriority w:val="1"/>
    <w:qFormat/>
    <w:rsid w:val="00EF74C7"/>
    <w:pPr>
      <w:spacing w:line="312" w:lineRule="auto"/>
      <w:ind w:left="1701" w:hanging="567"/>
    </w:pPr>
  </w:style>
  <w:style w:type="character" w:styleId="Hyperlink">
    <w:name w:val="Hyperlink"/>
    <w:uiPriority w:val="99"/>
    <w:rsid w:val="00EF74C7"/>
    <w:rPr>
      <w:rFonts w:cs="Times New Roman"/>
      <w:color w:val="0000FF"/>
      <w:u w:val="single"/>
    </w:rPr>
  </w:style>
  <w:style w:type="paragraph" w:customStyle="1" w:styleId="Marginalspalte">
    <w:name w:val="Marginalspalte"/>
    <w:basedOn w:val="Normal"/>
    <w:uiPriority w:val="1"/>
    <w:qFormat/>
    <w:rsid w:val="00EF74C7"/>
    <w:pPr>
      <w:framePr w:w="851" w:h="851" w:hSpace="284" w:wrap="around" w:vAnchor="text" w:hAnchor="page" w:y="1"/>
    </w:pPr>
    <w:rPr>
      <w:i/>
      <w:szCs w:val="22"/>
    </w:rPr>
  </w:style>
  <w:style w:type="paragraph" w:customStyle="1" w:styleId="Nummerierungsart1">
    <w:name w:val="Nummerierungsart1"/>
    <w:basedOn w:val="Normal"/>
    <w:uiPriority w:val="1"/>
    <w:qFormat/>
    <w:rsid w:val="00EF74C7"/>
    <w:pPr>
      <w:numPr>
        <w:numId w:val="9"/>
      </w:numPr>
    </w:pPr>
  </w:style>
  <w:style w:type="paragraph" w:customStyle="1" w:styleId="Nummerierungsart2">
    <w:name w:val="Nummerierungsart2"/>
    <w:basedOn w:val="Normal"/>
    <w:uiPriority w:val="1"/>
    <w:qFormat/>
    <w:rsid w:val="00EF74C7"/>
    <w:pPr>
      <w:numPr>
        <w:numId w:val="10"/>
      </w:numPr>
    </w:pPr>
  </w:style>
  <w:style w:type="paragraph" w:customStyle="1" w:styleId="Nummerierungsart3">
    <w:name w:val="Nummerierungsart3"/>
    <w:basedOn w:val="Normal"/>
    <w:uiPriority w:val="1"/>
    <w:qFormat/>
    <w:rsid w:val="00EF74C7"/>
    <w:pPr>
      <w:numPr>
        <w:numId w:val="11"/>
      </w:numPr>
    </w:pPr>
  </w:style>
  <w:style w:type="paragraph" w:customStyle="1" w:styleId="Nummerierungsart4">
    <w:name w:val="Nummerierungsart4"/>
    <w:basedOn w:val="Normal"/>
    <w:uiPriority w:val="1"/>
    <w:qFormat/>
    <w:rsid w:val="00EF74C7"/>
    <w:pPr>
      <w:numPr>
        <w:numId w:val="12"/>
      </w:numPr>
    </w:pPr>
  </w:style>
  <w:style w:type="character" w:styleId="PageNumber">
    <w:name w:val="page number"/>
    <w:uiPriority w:val="99"/>
    <w:rsid w:val="00EF74C7"/>
    <w:rPr>
      <w:rFonts w:ascii="Arial" w:hAnsi="Arial" w:cs="Times New Roman"/>
      <w:sz w:val="22"/>
    </w:rPr>
  </w:style>
  <w:style w:type="character" w:customStyle="1" w:styleId="Heading3Char1">
    <w:name w:val="Heading 3 Char1"/>
    <w:aliases w:val="Title 2 Char1"/>
    <w:link w:val="Heading3"/>
    <w:uiPriority w:val="99"/>
    <w:locked/>
    <w:rsid w:val="00EF74C7"/>
    <w:rPr>
      <w:rFonts w:ascii="Arial" w:eastAsia="Arial" w:hAnsi="Arial" w:cs="Times New Roman"/>
      <w:b/>
      <w:kern w:val="0"/>
      <w:sz w:val="20"/>
      <w:szCs w:val="20"/>
      <w:lang w:val="da-DK" w:eastAsia="de-DE"/>
      <w14:ligatures w14:val="none"/>
    </w:rPr>
  </w:style>
  <w:style w:type="paragraph" w:styleId="TOC1">
    <w:name w:val="toc 1"/>
    <w:basedOn w:val="Normal"/>
    <w:next w:val="Normal"/>
    <w:autoRedefine/>
    <w:uiPriority w:val="39"/>
    <w:qFormat/>
    <w:rsid w:val="00EF74C7"/>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F74C7"/>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EF74C7"/>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EF74C7"/>
    <w:pPr>
      <w:tabs>
        <w:tab w:val="left" w:pos="2058"/>
        <w:tab w:val="right" w:leader="dot" w:pos="9071"/>
      </w:tabs>
      <w:ind w:left="1134" w:hanging="1134"/>
    </w:pPr>
    <w:rPr>
      <w:noProof/>
      <w:sz w:val="16"/>
    </w:rPr>
  </w:style>
  <w:style w:type="paragraph" w:styleId="TOC7">
    <w:name w:val="toc 7"/>
    <w:basedOn w:val="Normal"/>
    <w:next w:val="Normal"/>
    <w:autoRedefine/>
    <w:uiPriority w:val="39"/>
    <w:rsid w:val="00EF74C7"/>
    <w:pPr>
      <w:tabs>
        <w:tab w:val="right" w:leader="dot" w:pos="9071"/>
      </w:tabs>
      <w:ind w:left="1134" w:hanging="1134"/>
    </w:pPr>
    <w:rPr>
      <w:sz w:val="16"/>
    </w:rPr>
  </w:style>
  <w:style w:type="paragraph" w:styleId="TOC8">
    <w:name w:val="toc 8"/>
    <w:basedOn w:val="Normal"/>
    <w:next w:val="Normal"/>
    <w:autoRedefine/>
    <w:uiPriority w:val="39"/>
    <w:rsid w:val="00EF74C7"/>
    <w:pPr>
      <w:tabs>
        <w:tab w:val="left" w:pos="2758"/>
        <w:tab w:val="right" w:leader="dot" w:pos="9071"/>
      </w:tabs>
      <w:ind w:left="1361" w:hanging="1361"/>
    </w:pPr>
    <w:rPr>
      <w:noProof/>
      <w:sz w:val="16"/>
    </w:rPr>
  </w:style>
  <w:style w:type="paragraph" w:styleId="TOC9">
    <w:name w:val="toc 9"/>
    <w:basedOn w:val="Normal"/>
    <w:next w:val="Normal"/>
    <w:autoRedefine/>
    <w:uiPriority w:val="39"/>
    <w:rsid w:val="00EF74C7"/>
    <w:pPr>
      <w:tabs>
        <w:tab w:val="right" w:leader="dot" w:pos="9071"/>
      </w:tabs>
      <w:ind w:left="1361" w:hanging="1361"/>
    </w:pPr>
    <w:rPr>
      <w:sz w:val="16"/>
    </w:rPr>
  </w:style>
  <w:style w:type="paragraph" w:styleId="Quote">
    <w:name w:val="Quote"/>
    <w:basedOn w:val="Normal"/>
    <w:next w:val="Normal"/>
    <w:link w:val="QuoteChar"/>
    <w:uiPriority w:val="29"/>
    <w:qFormat/>
    <w:rsid w:val="00EF74C7"/>
    <w:rPr>
      <w:rFonts w:ascii="Arial" w:eastAsia="Arial" w:hAnsi="Arial"/>
      <w:i/>
      <w:iCs/>
      <w:color w:val="000000"/>
      <w:szCs w:val="20"/>
      <w:lang w:val="da-DK" w:eastAsia="de-DE"/>
    </w:rPr>
  </w:style>
  <w:style w:type="character" w:customStyle="1" w:styleId="QuoteChar">
    <w:name w:val="Quote Char"/>
    <w:basedOn w:val="DefaultParagraphFont"/>
    <w:link w:val="Quote"/>
    <w:uiPriority w:val="29"/>
    <w:rsid w:val="00EF74C7"/>
    <w:rPr>
      <w:rFonts w:ascii="Arial" w:eastAsia="Arial" w:hAnsi="Arial" w:cs="Times New Roman"/>
      <w:i/>
      <w:iCs/>
      <w:color w:val="000000"/>
      <w:kern w:val="0"/>
      <w:sz w:val="20"/>
      <w:szCs w:val="20"/>
      <w:lang w:val="da-DK" w:eastAsia="de-DE"/>
      <w14:ligatures w14:val="none"/>
    </w:rPr>
  </w:style>
  <w:style w:type="paragraph" w:styleId="TOCHeading">
    <w:name w:val="TOC Heading"/>
    <w:basedOn w:val="Heading1"/>
    <w:next w:val="Normal"/>
    <w:uiPriority w:val="39"/>
    <w:qFormat/>
    <w:rsid w:val="00EF74C7"/>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EF74C7"/>
    <w:pPr>
      <w:spacing w:line="180" w:lineRule="exact"/>
      <w:ind w:left="142" w:hanging="142"/>
    </w:pPr>
    <w:rPr>
      <w:rFonts w:ascii="Arial" w:eastAsia="Arial" w:hAnsi="Arial"/>
      <w:szCs w:val="20"/>
      <w:lang w:val="da-DK" w:eastAsia="de-DE"/>
    </w:rPr>
  </w:style>
  <w:style w:type="character" w:customStyle="1" w:styleId="EndnoteTextChar">
    <w:name w:val="Endnote Text Char"/>
    <w:basedOn w:val="DefaultParagraphFont"/>
    <w:link w:val="EndnoteText"/>
    <w:uiPriority w:val="1"/>
    <w:rsid w:val="00EF74C7"/>
    <w:rPr>
      <w:rFonts w:ascii="Arial" w:eastAsia="Arial" w:hAnsi="Arial" w:cs="Times New Roman"/>
      <w:kern w:val="0"/>
      <w:sz w:val="20"/>
      <w:szCs w:val="20"/>
      <w:lang w:val="da-DK" w:eastAsia="de-DE"/>
      <w14:ligatures w14:val="none"/>
    </w:rPr>
  </w:style>
  <w:style w:type="character" w:styleId="EndnoteReference">
    <w:name w:val="endnote reference"/>
    <w:uiPriority w:val="1"/>
    <w:rsid w:val="00EF74C7"/>
    <w:rPr>
      <w:rFonts w:ascii="Arial" w:hAnsi="Arial" w:cs="Times New Roman"/>
      <w:color w:val="auto"/>
      <w:position w:val="4"/>
      <w:sz w:val="12"/>
      <w:vertAlign w:val="baseline"/>
    </w:rPr>
  </w:style>
  <w:style w:type="paragraph" w:customStyle="1" w:styleId="Ballontekst">
    <w:name w:val="Ballontekst"/>
    <w:basedOn w:val="Normal"/>
    <w:uiPriority w:val="99"/>
    <w:semiHidden/>
    <w:rsid w:val="00EF74C7"/>
    <w:rPr>
      <w:rFonts w:ascii="Tahoma" w:hAnsi="Tahoma" w:cs="Tahoma"/>
      <w:sz w:val="16"/>
      <w:szCs w:val="16"/>
    </w:rPr>
  </w:style>
  <w:style w:type="character" w:styleId="CommentReference">
    <w:name w:val="annotation reference"/>
    <w:uiPriority w:val="99"/>
    <w:rsid w:val="00EF74C7"/>
    <w:rPr>
      <w:rFonts w:cs="Times New Roman"/>
      <w:sz w:val="16"/>
      <w:szCs w:val="16"/>
    </w:rPr>
  </w:style>
  <w:style w:type="paragraph" w:styleId="CommentText">
    <w:name w:val="annotation text"/>
    <w:basedOn w:val="Normal"/>
    <w:link w:val="CommentTextChar"/>
    <w:uiPriority w:val="99"/>
    <w:rsid w:val="00EF74C7"/>
    <w:rPr>
      <w:rFonts w:eastAsia="Arial"/>
      <w:szCs w:val="20"/>
      <w:lang w:val="da-DK" w:eastAsia="x-none"/>
    </w:rPr>
  </w:style>
  <w:style w:type="character" w:customStyle="1" w:styleId="CommentTextChar">
    <w:name w:val="Comment Text Char"/>
    <w:basedOn w:val="DefaultParagraphFont"/>
    <w:link w:val="CommentText"/>
    <w:uiPriority w:val="99"/>
    <w:rsid w:val="00EF74C7"/>
    <w:rPr>
      <w:rFonts w:ascii="Verdana" w:eastAsia="Arial" w:hAnsi="Verdana" w:cs="Times New Roman"/>
      <w:kern w:val="0"/>
      <w:sz w:val="20"/>
      <w:szCs w:val="20"/>
      <w:lang w:val="da-DK" w:eastAsia="x-none"/>
      <w14:ligatures w14:val="none"/>
    </w:rPr>
  </w:style>
  <w:style w:type="paragraph" w:customStyle="1" w:styleId="Onderwerpvanopmerking">
    <w:name w:val="Onderwerp van opmerking"/>
    <w:basedOn w:val="CommentText"/>
    <w:next w:val="CommentText"/>
    <w:uiPriority w:val="99"/>
    <w:semiHidden/>
    <w:rsid w:val="00EF74C7"/>
    <w:rPr>
      <w:b/>
      <w:bCs/>
    </w:rPr>
  </w:style>
  <w:style w:type="character" w:styleId="FollowedHyperlink">
    <w:name w:val="FollowedHyperlink"/>
    <w:uiPriority w:val="99"/>
    <w:rsid w:val="00EF74C7"/>
    <w:rPr>
      <w:rFonts w:cs="Times New Roman"/>
      <w:color w:val="606420"/>
      <w:u w:val="single"/>
    </w:rPr>
  </w:style>
  <w:style w:type="paragraph" w:styleId="BalloonText">
    <w:name w:val="Balloon Text"/>
    <w:basedOn w:val="Normal"/>
    <w:link w:val="BalloonTextChar"/>
    <w:uiPriority w:val="99"/>
    <w:rsid w:val="00EF74C7"/>
    <w:rPr>
      <w:rFonts w:ascii="Tahoma" w:eastAsia="Arial" w:hAnsi="Tahoma"/>
      <w:sz w:val="16"/>
      <w:szCs w:val="16"/>
      <w:lang w:val="da-DK" w:eastAsia="x-none"/>
    </w:rPr>
  </w:style>
  <w:style w:type="character" w:customStyle="1" w:styleId="BalloonTextChar">
    <w:name w:val="Balloon Text Char"/>
    <w:basedOn w:val="DefaultParagraphFont"/>
    <w:link w:val="BalloonText"/>
    <w:uiPriority w:val="99"/>
    <w:rsid w:val="00EF74C7"/>
    <w:rPr>
      <w:rFonts w:ascii="Tahoma" w:eastAsia="Arial" w:hAnsi="Tahoma" w:cs="Times New Roman"/>
      <w:kern w:val="0"/>
      <w:sz w:val="16"/>
      <w:szCs w:val="16"/>
      <w:lang w:val="da-DK" w:eastAsia="x-none"/>
      <w14:ligatures w14:val="none"/>
    </w:rPr>
  </w:style>
  <w:style w:type="paragraph" w:styleId="CommentSubject">
    <w:name w:val="annotation subject"/>
    <w:basedOn w:val="CommentText"/>
    <w:next w:val="CommentText"/>
    <w:link w:val="CommentSubjectChar"/>
    <w:uiPriority w:val="99"/>
    <w:rsid w:val="00EF74C7"/>
    <w:rPr>
      <w:b/>
      <w:bCs/>
    </w:rPr>
  </w:style>
  <w:style w:type="character" w:customStyle="1" w:styleId="CommentSubjectChar">
    <w:name w:val="Comment Subject Char"/>
    <w:basedOn w:val="CommentTextChar"/>
    <w:link w:val="CommentSubject"/>
    <w:uiPriority w:val="99"/>
    <w:rsid w:val="00EF74C7"/>
    <w:rPr>
      <w:rFonts w:ascii="Verdana" w:eastAsia="Arial" w:hAnsi="Verdana" w:cs="Times New Roman"/>
      <w:b/>
      <w:bCs/>
      <w:kern w:val="0"/>
      <w:sz w:val="20"/>
      <w:szCs w:val="20"/>
      <w:lang w:val="da-DK" w:eastAsia="x-none"/>
      <w14:ligatures w14:val="none"/>
    </w:rPr>
  </w:style>
  <w:style w:type="table" w:styleId="TableGrid">
    <w:name w:val="Table Grid"/>
    <w:aliases w:val="Tabla CUADROS"/>
    <w:basedOn w:val="TableNormal"/>
    <w:uiPriority w:val="59"/>
    <w:rsid w:val="00EF74C7"/>
    <w:pPr>
      <w:spacing w:after="0" w:line="240" w:lineRule="auto"/>
    </w:pPr>
    <w:rPr>
      <w:rFonts w:ascii="Times New Roman" w:eastAsia="Times New Roman" w:hAnsi="Times New Roman" w:cs="Times New Roman"/>
      <w:kern w:val="0"/>
      <w:sz w:val="20"/>
      <w:szCs w:val="20"/>
      <w:lang w:val="da-DK"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EF74C7"/>
    <w:pPr>
      <w:spacing w:before="240" w:after="60"/>
    </w:pPr>
    <w:rPr>
      <w:iCs/>
      <w:szCs w:val="28"/>
    </w:rPr>
  </w:style>
  <w:style w:type="character" w:customStyle="1" w:styleId="Formatvorlageberschrift4Char">
    <w:name w:val="Formatvorlage Überschrift 4 Char"/>
    <w:link w:val="Formatvorlageberschrift4"/>
    <w:uiPriority w:val="99"/>
    <w:locked/>
    <w:rsid w:val="00EF74C7"/>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EF74C7"/>
    <w:pPr>
      <w:tabs>
        <w:tab w:val="num" w:pos="540"/>
      </w:tabs>
      <w:spacing w:before="240"/>
      <w:ind w:left="540" w:hanging="540"/>
    </w:pPr>
    <w:rPr>
      <w:b w:val="0"/>
      <w:kern w:val="32"/>
    </w:rPr>
  </w:style>
  <w:style w:type="paragraph" w:customStyle="1" w:styleId="Instructionsberschrift2">
    <w:name w:val="Instructions Überschrift 2"/>
    <w:basedOn w:val="Heading2"/>
    <w:rsid w:val="00EF74C7"/>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EF74C7"/>
    <w:pPr>
      <w:numPr>
        <w:numId w:val="14"/>
      </w:numPr>
      <w:spacing w:before="240" w:after="60" w:line="360" w:lineRule="auto"/>
    </w:pPr>
    <w:rPr>
      <w:rFonts w:ascii="Verdana" w:eastAsia="Times New Roman" w:hAnsi="Verdana"/>
      <w:szCs w:val="26"/>
      <w:u w:val="single"/>
      <w:lang w:val="da-DK" w:eastAsia="en-US"/>
    </w:rPr>
  </w:style>
  <w:style w:type="character" w:customStyle="1" w:styleId="Instructionsberschrift3Zchn">
    <w:name w:val="Instructions Überschrift 3 Zchn"/>
    <w:link w:val="Instructionsberschrift3"/>
    <w:locked/>
    <w:rsid w:val="00EF74C7"/>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EF74C7"/>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F74C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EF74C7"/>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EF74C7"/>
    <w:rPr>
      <w:rFonts w:ascii="Verdana" w:hAnsi="Verdana" w:cs="Times New Roman"/>
      <w:b/>
      <w:bCs/>
      <w:sz w:val="20"/>
      <w:u w:val="single"/>
    </w:rPr>
  </w:style>
  <w:style w:type="character" w:customStyle="1" w:styleId="InstructionsTabelleText">
    <w:name w:val="Instructions Tabelle Text"/>
    <w:rsid w:val="00EF74C7"/>
    <w:rPr>
      <w:rFonts w:ascii="Verdana" w:hAnsi="Verdana" w:cs="Times New Roman"/>
      <w:sz w:val="20"/>
    </w:rPr>
  </w:style>
  <w:style w:type="character" w:customStyle="1" w:styleId="FormatvorlageInstructionsTabelleText">
    <w:name w:val="Formatvorlage Instructions Tabelle Text"/>
    <w:uiPriority w:val="99"/>
    <w:qFormat/>
    <w:rsid w:val="00EF74C7"/>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EF74C7"/>
    <w:pPr>
      <w:ind w:left="0" w:firstLine="0"/>
    </w:pPr>
    <w:rPr>
      <w:szCs w:val="20"/>
    </w:rPr>
  </w:style>
  <w:style w:type="paragraph" w:customStyle="1" w:styleId="Texte2">
    <w:name w:val="Texte 2"/>
    <w:basedOn w:val="Normal"/>
    <w:uiPriority w:val="99"/>
    <w:rsid w:val="00EF74C7"/>
    <w:pPr>
      <w:spacing w:after="0"/>
      <w:ind w:left="567"/>
    </w:pPr>
    <w:rPr>
      <w:sz w:val="22"/>
      <w:szCs w:val="20"/>
      <w:lang w:eastAsia="fr-FR"/>
    </w:rPr>
  </w:style>
  <w:style w:type="paragraph" w:customStyle="1" w:styleId="Prrafodelista1">
    <w:name w:val="Párrafo de lista1"/>
    <w:basedOn w:val="Normal"/>
    <w:uiPriority w:val="99"/>
    <w:rsid w:val="00EF74C7"/>
    <w:pPr>
      <w:ind w:left="720"/>
    </w:pPr>
  </w:style>
  <w:style w:type="paragraph" w:customStyle="1" w:styleId="Prrafodelista2">
    <w:name w:val="Párrafo de lista2"/>
    <w:basedOn w:val="Normal"/>
    <w:uiPriority w:val="99"/>
    <w:rsid w:val="00EF74C7"/>
    <w:pPr>
      <w:ind w:left="708"/>
    </w:pPr>
  </w:style>
  <w:style w:type="paragraph" w:styleId="PlainText">
    <w:name w:val="Plain Text"/>
    <w:basedOn w:val="Normal"/>
    <w:link w:val="PlainTextChar"/>
    <w:uiPriority w:val="99"/>
    <w:rsid w:val="00EF74C7"/>
    <w:pPr>
      <w:spacing w:before="0" w:after="0"/>
      <w:jc w:val="left"/>
    </w:pPr>
    <w:rPr>
      <w:rFonts w:eastAsia="Arial"/>
      <w:szCs w:val="20"/>
      <w:lang w:val="da-DK" w:eastAsia="es-ES_tradnl"/>
    </w:rPr>
  </w:style>
  <w:style w:type="character" w:customStyle="1" w:styleId="PlainTextChar">
    <w:name w:val="Plain Text Char"/>
    <w:basedOn w:val="DefaultParagraphFont"/>
    <w:link w:val="PlainText"/>
    <w:uiPriority w:val="99"/>
    <w:rsid w:val="00EF74C7"/>
    <w:rPr>
      <w:rFonts w:ascii="Verdana" w:eastAsia="Arial" w:hAnsi="Verdana" w:cs="Times New Roman"/>
      <w:kern w:val="0"/>
      <w:sz w:val="20"/>
      <w:szCs w:val="20"/>
      <w:lang w:val="da-DK" w:eastAsia="es-ES_tradnl"/>
      <w14:ligatures w14:val="none"/>
    </w:rPr>
  </w:style>
  <w:style w:type="paragraph" w:customStyle="1" w:styleId="Listenabsatz1">
    <w:name w:val="Listenabsatz1"/>
    <w:basedOn w:val="Normal"/>
    <w:uiPriority w:val="99"/>
    <w:rsid w:val="00EF74C7"/>
    <w:pPr>
      <w:ind w:left="708"/>
    </w:pPr>
  </w:style>
  <w:style w:type="character" w:customStyle="1" w:styleId="InstructionsTextChar">
    <w:name w:val="Instructions Text Char"/>
    <w:link w:val="InstructionsText"/>
    <w:locked/>
    <w:rsid w:val="00EF74C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EF74C7"/>
    <w:pPr>
      <w:spacing w:after="0" w:line="240" w:lineRule="auto"/>
    </w:pPr>
    <w:rPr>
      <w:rFonts w:ascii="Verdana" w:eastAsia="Times New Roman" w:hAnsi="Verdana" w:cs="Times New Roman"/>
      <w:kern w:val="0"/>
      <w:sz w:val="20"/>
      <w:szCs w:val="24"/>
      <w:lang w:val="da-DK"/>
      <w14:ligatures w14:val="none"/>
    </w:rPr>
  </w:style>
  <w:style w:type="paragraph" w:styleId="ListParagraph">
    <w:name w:val="List Paragraph"/>
    <w:basedOn w:val="Normal"/>
    <w:link w:val="ListParagraphChar"/>
    <w:uiPriority w:val="34"/>
    <w:qFormat/>
    <w:rsid w:val="00EF74C7"/>
    <w:pPr>
      <w:ind w:left="708"/>
    </w:pPr>
  </w:style>
  <w:style w:type="character" w:styleId="PlaceholderText">
    <w:name w:val="Placeholder Text"/>
    <w:uiPriority w:val="99"/>
    <w:semiHidden/>
    <w:rsid w:val="00EF74C7"/>
    <w:rPr>
      <w:rFonts w:cs="Times New Roman"/>
      <w:color w:val="808080"/>
    </w:rPr>
  </w:style>
  <w:style w:type="paragraph" w:customStyle="1" w:styleId="InstructionsText2">
    <w:name w:val="Instructions Text 2"/>
    <w:basedOn w:val="InstructionsText"/>
    <w:qFormat/>
    <w:rsid w:val="00EF74C7"/>
    <w:pPr>
      <w:numPr>
        <w:numId w:val="15"/>
      </w:numPr>
      <w:spacing w:after="240"/>
    </w:pPr>
  </w:style>
  <w:style w:type="character" w:customStyle="1" w:styleId="Instructionsberschrift3Char">
    <w:name w:val="Instructions Überschrift 3 Char"/>
    <w:locked/>
    <w:rsid w:val="00EF74C7"/>
    <w:rPr>
      <w:rFonts w:ascii="Verdana" w:hAnsi="Verdana" w:cs="Arial"/>
      <w:b/>
      <w:bCs/>
      <w:sz w:val="26"/>
      <w:szCs w:val="26"/>
      <w:u w:val="single"/>
      <w:lang w:val="da-DK" w:eastAsia="en-US" w:bidi="ar-SA"/>
    </w:rPr>
  </w:style>
  <w:style w:type="paragraph" w:customStyle="1" w:styleId="CM4">
    <w:name w:val="CM4"/>
    <w:basedOn w:val="Normal"/>
    <w:next w:val="Normal"/>
    <w:uiPriority w:val="99"/>
    <w:rsid w:val="00EF74C7"/>
    <w:pPr>
      <w:autoSpaceDE w:val="0"/>
      <w:autoSpaceDN w:val="0"/>
      <w:adjustRightInd w:val="0"/>
      <w:spacing w:before="0" w:after="0"/>
      <w:jc w:val="left"/>
    </w:pPr>
    <w:rPr>
      <w:rFonts w:ascii="Times New Roman" w:eastAsia="Arial" w:hAnsi="Times New Roman"/>
      <w:sz w:val="24"/>
      <w:lang w:val="da-DK"/>
    </w:rPr>
  </w:style>
  <w:style w:type="paragraph" w:styleId="DocumentMap">
    <w:name w:val="Document Map"/>
    <w:basedOn w:val="Normal"/>
    <w:link w:val="DocumentMapChar"/>
    <w:uiPriority w:val="99"/>
    <w:semiHidden/>
    <w:rsid w:val="00EF74C7"/>
    <w:pPr>
      <w:spacing w:before="0" w:after="0"/>
    </w:pPr>
    <w:rPr>
      <w:rFonts w:ascii="Tahoma" w:eastAsia="Arial" w:hAnsi="Tahoma"/>
      <w:sz w:val="16"/>
      <w:szCs w:val="16"/>
      <w:lang w:val="da-DK" w:eastAsia="x-none"/>
    </w:rPr>
  </w:style>
  <w:style w:type="character" w:customStyle="1" w:styleId="DocumentMapChar">
    <w:name w:val="Document Map Char"/>
    <w:basedOn w:val="DefaultParagraphFont"/>
    <w:link w:val="DocumentMap"/>
    <w:uiPriority w:val="99"/>
    <w:semiHidden/>
    <w:rsid w:val="00EF74C7"/>
    <w:rPr>
      <w:rFonts w:ascii="Tahoma" w:eastAsia="Arial" w:hAnsi="Tahoma" w:cs="Times New Roman"/>
      <w:kern w:val="0"/>
      <w:sz w:val="16"/>
      <w:szCs w:val="16"/>
      <w:lang w:val="da-DK" w:eastAsia="x-none"/>
      <w14:ligatures w14:val="none"/>
    </w:rPr>
  </w:style>
  <w:style w:type="paragraph" w:customStyle="1" w:styleId="Titrearticle">
    <w:name w:val="Titre article"/>
    <w:basedOn w:val="Normal"/>
    <w:next w:val="Normal"/>
    <w:rsid w:val="00EF74C7"/>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EF74C7"/>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EF74C7"/>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EF74C7"/>
    <w:rPr>
      <w:rFonts w:cs="Times New Roman"/>
      <w:sz w:val="24"/>
      <w:szCs w:val="24"/>
      <w:lang w:eastAsia="de-DE"/>
    </w:rPr>
  </w:style>
  <w:style w:type="paragraph" w:customStyle="1" w:styleId="NumPar1">
    <w:name w:val="NumPar 1"/>
    <w:basedOn w:val="Normal"/>
    <w:next w:val="Normal"/>
    <w:link w:val="NumPar1Char"/>
    <w:uiPriority w:val="99"/>
    <w:rsid w:val="00EF74C7"/>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EF74C7"/>
    <w:rPr>
      <w:rFonts w:cs="Times New Roman"/>
      <w:sz w:val="24"/>
      <w:szCs w:val="24"/>
    </w:rPr>
  </w:style>
  <w:style w:type="paragraph" w:customStyle="1" w:styleId="Point1letter">
    <w:name w:val="Point 1 (letter)"/>
    <w:basedOn w:val="Normal"/>
    <w:link w:val="Point1letterChar"/>
    <w:uiPriority w:val="99"/>
    <w:rsid w:val="00EF74C7"/>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EF74C7"/>
    <w:pPr>
      <w:numPr>
        <w:numId w:val="6"/>
      </w:numPr>
    </w:pPr>
  </w:style>
  <w:style w:type="numbering" w:customStyle="1" w:styleId="Formatvorlage3">
    <w:name w:val="Formatvorlage3"/>
    <w:uiPriority w:val="99"/>
    <w:rsid w:val="00EF74C7"/>
    <w:pPr>
      <w:numPr>
        <w:numId w:val="16"/>
      </w:numPr>
    </w:pPr>
  </w:style>
  <w:style w:type="numbering" w:customStyle="1" w:styleId="Formatvorlage1">
    <w:name w:val="Formatvorlage1"/>
    <w:uiPriority w:val="99"/>
    <w:rsid w:val="00EF74C7"/>
    <w:pPr>
      <w:numPr>
        <w:numId w:val="5"/>
      </w:numPr>
    </w:pPr>
  </w:style>
  <w:style w:type="numbering" w:customStyle="1" w:styleId="Formatvorlage4">
    <w:name w:val="Formatvorlage4"/>
    <w:uiPriority w:val="99"/>
    <w:rsid w:val="00EF74C7"/>
    <w:pPr>
      <w:numPr>
        <w:numId w:val="18"/>
      </w:numPr>
    </w:pPr>
  </w:style>
  <w:style w:type="paragraph" w:customStyle="1" w:styleId="ListParagraph1">
    <w:name w:val="List Paragraph1"/>
    <w:basedOn w:val="Normal"/>
    <w:uiPriority w:val="99"/>
    <w:qFormat/>
    <w:rsid w:val="00EF74C7"/>
    <w:pPr>
      <w:ind w:left="708"/>
    </w:pPr>
  </w:style>
  <w:style w:type="paragraph" w:customStyle="1" w:styleId="Anfhrungszeichen1">
    <w:name w:val="Anführungszeichen1"/>
    <w:basedOn w:val="Normal"/>
    <w:next w:val="Normal"/>
    <w:link w:val="AnfhrungszeichenZchn"/>
    <w:uiPriority w:val="29"/>
    <w:semiHidden/>
    <w:rsid w:val="00EF74C7"/>
    <w:rPr>
      <w:i/>
      <w:iCs/>
      <w:color w:val="000000"/>
    </w:rPr>
  </w:style>
  <w:style w:type="character" w:customStyle="1" w:styleId="AnfhrungszeichenZchn">
    <w:name w:val="Anführungszeichen Zchn"/>
    <w:link w:val="Anfhrungszeichen1"/>
    <w:uiPriority w:val="29"/>
    <w:semiHidden/>
    <w:rsid w:val="00EF74C7"/>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EF74C7"/>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EF74C7"/>
    <w:pPr>
      <w:spacing w:after="0" w:line="240" w:lineRule="auto"/>
    </w:pPr>
    <w:rPr>
      <w:rFonts w:ascii="Verdana" w:eastAsia="Times New Roman" w:hAnsi="Verdana" w:cs="Times New Roman"/>
      <w:kern w:val="0"/>
      <w:sz w:val="20"/>
      <w:szCs w:val="24"/>
      <w:lang w:val="da-DK"/>
      <w14:ligatures w14:val="none"/>
    </w:rPr>
  </w:style>
  <w:style w:type="paragraph" w:customStyle="1" w:styleId="Listenabsatz2">
    <w:name w:val="Listenabsatz2"/>
    <w:basedOn w:val="Normal"/>
    <w:uiPriority w:val="99"/>
    <w:qFormat/>
    <w:rsid w:val="00EF74C7"/>
    <w:pPr>
      <w:ind w:left="708"/>
    </w:pPr>
  </w:style>
  <w:style w:type="character" w:customStyle="1" w:styleId="Platzhaltertext1">
    <w:name w:val="Platzhaltertext1"/>
    <w:uiPriority w:val="99"/>
    <w:semiHidden/>
    <w:rsid w:val="00EF74C7"/>
    <w:rPr>
      <w:color w:val="808080"/>
    </w:rPr>
  </w:style>
  <w:style w:type="paragraph" w:customStyle="1" w:styleId="Default">
    <w:name w:val="Default"/>
    <w:rsid w:val="00EF74C7"/>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EF74C7"/>
    <w:rPr>
      <w:rFonts w:ascii="EU Albertina" w:hAnsi="EU Albertina" w:cs="Times New Roman"/>
      <w:color w:val="auto"/>
    </w:rPr>
  </w:style>
  <w:style w:type="paragraph" w:customStyle="1" w:styleId="CM3">
    <w:name w:val="CM3"/>
    <w:basedOn w:val="Default"/>
    <w:next w:val="Default"/>
    <w:uiPriority w:val="99"/>
    <w:rsid w:val="00EF74C7"/>
    <w:rPr>
      <w:rFonts w:ascii="EU Albertina" w:hAnsi="EU Albertina" w:cs="Times New Roman"/>
      <w:color w:val="auto"/>
    </w:rPr>
  </w:style>
  <w:style w:type="paragraph" w:styleId="NormalWeb">
    <w:name w:val="Normal (Web)"/>
    <w:basedOn w:val="Normal"/>
    <w:uiPriority w:val="99"/>
    <w:unhideWhenUsed/>
    <w:rsid w:val="00EF74C7"/>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EF74C7"/>
    <w:rPr>
      <w:i/>
      <w:iCs/>
    </w:rPr>
  </w:style>
  <w:style w:type="paragraph" w:customStyle="1" w:styleId="TableMainHeading">
    <w:name w:val="TableMainHeading"/>
    <w:basedOn w:val="Normal"/>
    <w:next w:val="Normal"/>
    <w:uiPriority w:val="99"/>
    <w:rsid w:val="00EF74C7"/>
    <w:pPr>
      <w:jc w:val="left"/>
    </w:pPr>
    <w:rPr>
      <w:rFonts w:ascii="Segoe UI" w:hAnsi="Segoe UI"/>
      <w:sz w:val="22"/>
      <w:szCs w:val="20"/>
    </w:rPr>
  </w:style>
  <w:style w:type="paragraph" w:customStyle="1" w:styleId="body">
    <w:name w:val="body"/>
    <w:qFormat/>
    <w:rsid w:val="00EF74C7"/>
    <w:pPr>
      <w:spacing w:before="240" w:after="120" w:line="276" w:lineRule="auto"/>
      <w:jc w:val="both"/>
    </w:pPr>
    <w:rPr>
      <w:rFonts w:eastAsiaTheme="minorEastAsia"/>
      <w:kern w:val="0"/>
      <w:szCs w:val="24"/>
      <w:lang w:val="da-DK"/>
      <w14:ligatures w14:val="none"/>
    </w:rPr>
  </w:style>
  <w:style w:type="paragraph" w:customStyle="1" w:styleId="Applicationdirecte">
    <w:name w:val="Application directe"/>
    <w:basedOn w:val="Normal"/>
    <w:next w:val="Fait"/>
    <w:rsid w:val="00EF74C7"/>
    <w:pPr>
      <w:spacing w:before="480"/>
    </w:pPr>
    <w:rPr>
      <w:rFonts w:ascii="Times New Roman" w:hAnsi="Times New Roman"/>
      <w:sz w:val="24"/>
    </w:rPr>
  </w:style>
  <w:style w:type="paragraph" w:customStyle="1" w:styleId="Fait">
    <w:name w:val="Fait à"/>
    <w:basedOn w:val="Normal"/>
    <w:next w:val="Normal"/>
    <w:rsid w:val="00EF74C7"/>
    <w:pPr>
      <w:keepNext/>
      <w:spacing w:after="0"/>
    </w:pPr>
    <w:rPr>
      <w:rFonts w:ascii="Times New Roman" w:hAnsi="Times New Roman"/>
      <w:sz w:val="24"/>
    </w:rPr>
  </w:style>
  <w:style w:type="paragraph" w:customStyle="1" w:styleId="Numberedtilelevel1">
    <w:name w:val="Numbered tile level 1"/>
    <w:basedOn w:val="Titlelevel1"/>
    <w:qFormat/>
    <w:rsid w:val="00EF74C7"/>
    <w:pPr>
      <w:numPr>
        <w:numId w:val="25"/>
      </w:numPr>
    </w:pPr>
  </w:style>
  <w:style w:type="paragraph" w:customStyle="1" w:styleId="Numberedtitlelevel2">
    <w:name w:val="Numbered title level 2"/>
    <w:basedOn w:val="Titlelevel2"/>
    <w:next w:val="body"/>
    <w:qFormat/>
    <w:rsid w:val="00EF74C7"/>
    <w:pPr>
      <w:numPr>
        <w:ilvl w:val="1"/>
        <w:numId w:val="25"/>
      </w:numPr>
    </w:pPr>
  </w:style>
  <w:style w:type="paragraph" w:customStyle="1" w:styleId="Titlelevel2">
    <w:name w:val="Title level 2"/>
    <w:qFormat/>
    <w:rsid w:val="00EF74C7"/>
    <w:pPr>
      <w:spacing w:before="240" w:after="240" w:line="240" w:lineRule="auto"/>
    </w:pPr>
    <w:rPr>
      <w:rFonts w:asciiTheme="majorHAnsi" w:eastAsiaTheme="majorEastAsia" w:hAnsiTheme="majorHAnsi" w:cstheme="majorBidi"/>
      <w:bCs/>
      <w:color w:val="44546A" w:themeColor="text2"/>
      <w:kern w:val="0"/>
      <w:sz w:val="32"/>
      <w:szCs w:val="24"/>
      <w:lang w:val="da-DK"/>
      <w14:ligatures w14:val="none"/>
    </w:rPr>
  </w:style>
  <w:style w:type="paragraph" w:customStyle="1" w:styleId="Tableheader">
    <w:name w:val="Table header"/>
    <w:next w:val="Tabledata"/>
    <w:qFormat/>
    <w:rsid w:val="00EF74C7"/>
    <w:pPr>
      <w:spacing w:after="80" w:line="240" w:lineRule="auto"/>
    </w:pPr>
    <w:rPr>
      <w:rFonts w:ascii="Calibri" w:eastAsia="Times New Roman" w:hAnsi="Calibri" w:cs="Times New Roman"/>
      <w:b/>
      <w:color w:val="000000"/>
      <w:kern w:val="0"/>
      <w:lang w:val="da-DK"/>
      <w14:ligatures w14:val="none"/>
    </w:rPr>
  </w:style>
  <w:style w:type="paragraph" w:customStyle="1" w:styleId="Tabledata">
    <w:name w:val="Table data"/>
    <w:basedOn w:val="body"/>
    <w:qFormat/>
    <w:rsid w:val="00EF74C7"/>
    <w:pPr>
      <w:spacing w:before="120" w:line="240" w:lineRule="auto"/>
    </w:pPr>
    <w:rPr>
      <w:rFonts w:eastAsia="Times New Roman" w:cstheme="minorHAnsi"/>
      <w:bCs/>
      <w:color w:val="000000"/>
      <w:sz w:val="20"/>
      <w:szCs w:val="22"/>
      <w:lang w:val="da-DK" w:eastAsia="en-GB"/>
    </w:rPr>
  </w:style>
  <w:style w:type="paragraph" w:customStyle="1" w:styleId="List1">
    <w:name w:val="List1"/>
    <w:autoRedefine/>
    <w:qFormat/>
    <w:rsid w:val="00EF74C7"/>
    <w:pPr>
      <w:numPr>
        <w:numId w:val="23"/>
      </w:numPr>
      <w:spacing w:after="0" w:line="240" w:lineRule="auto"/>
    </w:pPr>
    <w:rPr>
      <w:rFonts w:eastAsiaTheme="minorEastAsia"/>
      <w:kern w:val="0"/>
      <w:lang w:val="da-DK"/>
      <w14:ligatures w14:val="none"/>
    </w:rPr>
  </w:style>
  <w:style w:type="table" w:styleId="TableProfessional">
    <w:name w:val="Table Professional"/>
    <w:basedOn w:val="TableNormal"/>
    <w:uiPriority w:val="99"/>
    <w:semiHidden/>
    <w:unhideWhenUsed/>
    <w:rsid w:val="00EF74C7"/>
    <w:pPr>
      <w:spacing w:after="0" w:line="240" w:lineRule="auto"/>
    </w:pPr>
    <w:rPr>
      <w:rFonts w:eastAsiaTheme="minorEastAsia"/>
      <w:kern w:val="0"/>
      <w:sz w:val="24"/>
      <w:szCs w:val="24"/>
      <w:lang w:val="da-DK"/>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F74C7"/>
    <w:pPr>
      <w:numPr>
        <w:numId w:val="24"/>
      </w:numPr>
      <w:spacing w:before="240" w:after="120" w:line="240" w:lineRule="auto"/>
      <w:contextualSpacing/>
    </w:pPr>
    <w:rPr>
      <w:rFonts w:eastAsiaTheme="minorEastAsia"/>
      <w:kern w:val="0"/>
      <w:szCs w:val="24"/>
      <w:lang w:val="da-DK"/>
      <w14:ligatures w14:val="none"/>
    </w:rPr>
  </w:style>
  <w:style w:type="paragraph" w:customStyle="1" w:styleId="Titlelevel1">
    <w:name w:val="Title level 1"/>
    <w:autoRedefine/>
    <w:qFormat/>
    <w:rsid w:val="00EF74C7"/>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da-DK"/>
      <w14:ligatures w14:val="none"/>
    </w:rPr>
  </w:style>
  <w:style w:type="paragraph" w:customStyle="1" w:styleId="Titlelevel3">
    <w:name w:val="Title level 3"/>
    <w:qFormat/>
    <w:rsid w:val="00EF74C7"/>
    <w:pPr>
      <w:spacing w:before="240" w:after="240" w:line="240" w:lineRule="auto"/>
    </w:pPr>
    <w:rPr>
      <w:rFonts w:eastAsiaTheme="minorEastAsia"/>
      <w:b/>
      <w:color w:val="44546A" w:themeColor="text2"/>
      <w:kern w:val="0"/>
      <w:sz w:val="24"/>
      <w:szCs w:val="24"/>
      <w:lang w:val="da-DK"/>
      <w14:ligatures w14:val="none"/>
    </w:rPr>
  </w:style>
  <w:style w:type="paragraph" w:customStyle="1" w:styleId="Titlelevel4">
    <w:name w:val="Title level 4"/>
    <w:next w:val="body"/>
    <w:qFormat/>
    <w:rsid w:val="00EF74C7"/>
    <w:pPr>
      <w:spacing w:before="240" w:after="240" w:line="240" w:lineRule="auto"/>
    </w:pPr>
    <w:rPr>
      <w:rFonts w:eastAsiaTheme="minorEastAsia"/>
      <w:color w:val="E7E6E6" w:themeColor="background2"/>
      <w:kern w:val="0"/>
      <w:sz w:val="24"/>
      <w:szCs w:val="24"/>
      <w:lang w:val="da-DK"/>
      <w14:ligatures w14:val="none"/>
    </w:rPr>
  </w:style>
  <w:style w:type="paragraph" w:customStyle="1" w:styleId="Figuretitle">
    <w:name w:val="Figure title"/>
    <w:basedOn w:val="body"/>
    <w:next w:val="Normal"/>
    <w:autoRedefine/>
    <w:qFormat/>
    <w:rsid w:val="00EF74C7"/>
    <w:pPr>
      <w:keepNext/>
      <w:spacing w:before="360" w:after="360"/>
    </w:pPr>
    <w:rPr>
      <w:rFonts w:eastAsia="Times New Roman" w:cs="Times New Roman"/>
      <w:bCs/>
      <w:noProof/>
      <w:color w:val="44546A" w:themeColor="text2"/>
      <w:szCs w:val="20"/>
      <w:lang w:val="da-DK" w:eastAsia="en-GB"/>
    </w:rPr>
  </w:style>
  <w:style w:type="table" w:customStyle="1" w:styleId="EBAtable">
    <w:name w:val="EBA table"/>
    <w:basedOn w:val="TableNormal"/>
    <w:uiPriority w:val="99"/>
    <w:rsid w:val="00EF74C7"/>
    <w:pPr>
      <w:spacing w:after="0" w:line="240" w:lineRule="auto"/>
    </w:pPr>
    <w:rPr>
      <w:rFonts w:eastAsiaTheme="minorEastAsia"/>
      <w:kern w:val="0"/>
      <w:sz w:val="24"/>
      <w:szCs w:val="24"/>
      <w:lang w:val="da-DK"/>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EF74C7"/>
    <w:pPr>
      <w:spacing w:after="0" w:line="240" w:lineRule="auto"/>
    </w:pPr>
    <w:rPr>
      <w:rFonts w:eastAsiaTheme="minorEastAsia"/>
      <w:caps/>
      <w:kern w:val="0"/>
      <w:sz w:val="16"/>
      <w:szCs w:val="18"/>
      <w:lang w:val="da-DK"/>
      <w14:ligatures w14:val="none"/>
    </w:rPr>
  </w:style>
  <w:style w:type="paragraph" w:customStyle="1" w:styleId="bullet1">
    <w:name w:val="bullet 1"/>
    <w:basedOn w:val="body"/>
    <w:next w:val="body"/>
    <w:qFormat/>
    <w:rsid w:val="00EF74C7"/>
    <w:pPr>
      <w:numPr>
        <w:numId w:val="21"/>
      </w:numPr>
    </w:pPr>
    <w:rPr>
      <w:szCs w:val="22"/>
    </w:rPr>
  </w:style>
  <w:style w:type="paragraph" w:customStyle="1" w:styleId="bullet2">
    <w:name w:val="bullet 2"/>
    <w:basedOn w:val="body"/>
    <w:qFormat/>
    <w:rsid w:val="00EF74C7"/>
    <w:pPr>
      <w:numPr>
        <w:numId w:val="20"/>
      </w:numPr>
    </w:pPr>
    <w:rPr>
      <w:szCs w:val="22"/>
    </w:rPr>
  </w:style>
  <w:style w:type="paragraph" w:customStyle="1" w:styleId="Numberedtitlelevel3">
    <w:name w:val="Numbered title level 3"/>
    <w:basedOn w:val="Titlelevel3"/>
    <w:next w:val="body"/>
    <w:qFormat/>
    <w:rsid w:val="00EF74C7"/>
    <w:pPr>
      <w:numPr>
        <w:ilvl w:val="2"/>
        <w:numId w:val="25"/>
      </w:numPr>
    </w:pPr>
  </w:style>
  <w:style w:type="table" w:styleId="LightShading">
    <w:name w:val="Light Shading"/>
    <w:basedOn w:val="TableNormal"/>
    <w:uiPriority w:val="60"/>
    <w:rsid w:val="00EF74C7"/>
    <w:pPr>
      <w:spacing w:after="0" w:line="240" w:lineRule="auto"/>
    </w:pPr>
    <w:rPr>
      <w:rFonts w:eastAsiaTheme="minorEastAsia"/>
      <w:color w:val="000000" w:themeColor="text1" w:themeShade="BF"/>
      <w:kern w:val="0"/>
      <w:sz w:val="24"/>
      <w:szCs w:val="24"/>
      <w:lang w:val="da-DK"/>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F74C7"/>
    <w:pPr>
      <w:spacing w:after="0" w:line="240" w:lineRule="auto"/>
    </w:pPr>
    <w:rPr>
      <w:rFonts w:eastAsiaTheme="minorEastAsia"/>
      <w:color w:val="2F5496" w:themeColor="accent1" w:themeShade="BF"/>
      <w:kern w:val="0"/>
      <w:sz w:val="24"/>
      <w:szCs w:val="24"/>
      <w:lang w:val="da-DK"/>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EF74C7"/>
  </w:style>
  <w:style w:type="paragraph" w:customStyle="1" w:styleId="Numberedtitlelevel4">
    <w:name w:val="Numbered title level 4"/>
    <w:basedOn w:val="Titlelevel4"/>
    <w:qFormat/>
    <w:rsid w:val="00EF74C7"/>
    <w:pPr>
      <w:numPr>
        <w:numId w:val="22"/>
      </w:numPr>
    </w:pPr>
  </w:style>
  <w:style w:type="paragraph" w:styleId="Title">
    <w:name w:val="Title"/>
    <w:basedOn w:val="Normal"/>
    <w:next w:val="Normal"/>
    <w:link w:val="TitleChar"/>
    <w:qFormat/>
    <w:rsid w:val="00EF74C7"/>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da-DK"/>
    </w:rPr>
  </w:style>
  <w:style w:type="character" w:customStyle="1" w:styleId="TitleChar">
    <w:name w:val="Title Char"/>
    <w:basedOn w:val="DefaultParagraphFont"/>
    <w:link w:val="Title"/>
    <w:rsid w:val="00EF74C7"/>
    <w:rPr>
      <w:rFonts w:asciiTheme="majorHAnsi" w:eastAsiaTheme="majorEastAsia" w:hAnsiTheme="majorHAnsi" w:cstheme="majorBidi"/>
      <w:color w:val="44546A" w:themeColor="text2"/>
      <w:spacing w:val="5"/>
      <w:kern w:val="28"/>
      <w:sz w:val="52"/>
      <w:szCs w:val="52"/>
      <w:lang w:val="da-DK"/>
      <w14:ligatures w14:val="none"/>
    </w:rPr>
  </w:style>
  <w:style w:type="paragraph" w:styleId="Subtitle">
    <w:name w:val="Subtitle"/>
    <w:next w:val="Normal"/>
    <w:link w:val="SubtitleChar"/>
    <w:autoRedefine/>
    <w:uiPriority w:val="11"/>
    <w:qFormat/>
    <w:rsid w:val="00EF74C7"/>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EF74C7"/>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EF74C7"/>
    <w:rPr>
      <w:b/>
      <w:bCs/>
      <w:smallCaps/>
      <w:spacing w:val="5"/>
    </w:rPr>
  </w:style>
  <w:style w:type="character" w:customStyle="1" w:styleId="Highlighttext">
    <w:name w:val="Highlight text"/>
    <w:basedOn w:val="DefaultParagraphFont"/>
    <w:uiPriority w:val="1"/>
    <w:semiHidden/>
    <w:qFormat/>
    <w:rsid w:val="00EF74C7"/>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EF74C7"/>
    <w:rPr>
      <w:bCs/>
      <w:lang w:val="da-DK" w:eastAsia="en-GB"/>
    </w:rPr>
  </w:style>
  <w:style w:type="paragraph" w:styleId="ListBullet">
    <w:name w:val="List Bullet"/>
    <w:basedOn w:val="Normal"/>
    <w:semiHidden/>
    <w:qFormat/>
    <w:rsid w:val="00EF74C7"/>
    <w:pPr>
      <w:numPr>
        <w:numId w:val="27"/>
      </w:numPr>
      <w:spacing w:before="0" w:after="0"/>
      <w:contextualSpacing/>
      <w:jc w:val="left"/>
    </w:pPr>
    <w:rPr>
      <w:rFonts w:asciiTheme="minorHAnsi" w:eastAsiaTheme="minorEastAsia" w:hAnsiTheme="minorHAnsi" w:cstheme="minorBidi"/>
      <w:sz w:val="22"/>
      <w:lang w:val="da-DK"/>
    </w:rPr>
  </w:style>
  <w:style w:type="paragraph" w:customStyle="1" w:styleId="numberedparagraph">
    <w:name w:val="numbered paragraph"/>
    <w:basedOn w:val="body"/>
    <w:qFormat/>
    <w:rsid w:val="00EF74C7"/>
    <w:pPr>
      <w:numPr>
        <w:numId w:val="26"/>
      </w:numPr>
    </w:pPr>
  </w:style>
  <w:style w:type="character" w:customStyle="1" w:styleId="Marker">
    <w:name w:val="Marker"/>
    <w:rsid w:val="00EF74C7"/>
    <w:rPr>
      <w:color w:val="0000FF"/>
      <w:shd w:val="clear" w:color="auto" w:fill="auto"/>
    </w:rPr>
  </w:style>
  <w:style w:type="character" w:customStyle="1" w:styleId="Marker2">
    <w:name w:val="Marker2"/>
    <w:rsid w:val="00EF74C7"/>
    <w:rPr>
      <w:color w:val="FF0000"/>
      <w:shd w:val="clear" w:color="auto" w:fill="auto"/>
    </w:rPr>
  </w:style>
  <w:style w:type="paragraph" w:customStyle="1" w:styleId="Annexetitre">
    <w:name w:val="Annexe titre"/>
    <w:basedOn w:val="Normal"/>
    <w:next w:val="Normal"/>
    <w:rsid w:val="00EF74C7"/>
    <w:pPr>
      <w:jc w:val="center"/>
    </w:pPr>
    <w:rPr>
      <w:rFonts w:ascii="Times New Roman" w:hAnsi="Times New Roman"/>
      <w:b/>
      <w:sz w:val="24"/>
      <w:u w:val="single"/>
    </w:rPr>
  </w:style>
  <w:style w:type="paragraph" w:customStyle="1" w:styleId="Considrant">
    <w:name w:val="Considérant"/>
    <w:basedOn w:val="Normal"/>
    <w:rsid w:val="00EF74C7"/>
    <w:pPr>
      <w:numPr>
        <w:numId w:val="28"/>
      </w:numPr>
    </w:pPr>
    <w:rPr>
      <w:rFonts w:ascii="Times New Roman" w:hAnsi="Times New Roman"/>
      <w:sz w:val="24"/>
    </w:rPr>
  </w:style>
  <w:style w:type="paragraph" w:customStyle="1" w:styleId="Datedadoption">
    <w:name w:val="Date d'adoption"/>
    <w:basedOn w:val="Normal"/>
    <w:next w:val="Titreobjet"/>
    <w:rsid w:val="00EF74C7"/>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EF74C7"/>
    <w:pPr>
      <w:keepNext/>
    </w:pPr>
    <w:rPr>
      <w:rFonts w:ascii="Times New Roman" w:hAnsi="Times New Roman"/>
      <w:sz w:val="24"/>
    </w:rPr>
  </w:style>
  <w:style w:type="paragraph" w:customStyle="1" w:styleId="Institutionquisigne">
    <w:name w:val="Institution qui signe"/>
    <w:basedOn w:val="Normal"/>
    <w:next w:val="Personnequisigne"/>
    <w:rsid w:val="00EF74C7"/>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EF74C7"/>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EF74C7"/>
    <w:pPr>
      <w:spacing w:before="360" w:after="360"/>
      <w:jc w:val="center"/>
    </w:pPr>
    <w:rPr>
      <w:rFonts w:ascii="Times New Roman" w:hAnsi="Times New Roman"/>
      <w:b/>
      <w:sz w:val="24"/>
    </w:rPr>
  </w:style>
  <w:style w:type="paragraph" w:customStyle="1" w:styleId="Typedudocument">
    <w:name w:val="Type du document"/>
    <w:basedOn w:val="Normal"/>
    <w:next w:val="Titreobjet"/>
    <w:rsid w:val="00EF74C7"/>
    <w:pPr>
      <w:spacing w:before="360" w:after="0"/>
      <w:jc w:val="center"/>
    </w:pPr>
    <w:rPr>
      <w:rFonts w:ascii="Times New Roman" w:hAnsi="Times New Roman"/>
      <w:b/>
      <w:sz w:val="24"/>
    </w:rPr>
  </w:style>
  <w:style w:type="paragraph" w:customStyle="1" w:styleId="Pagedecouverture">
    <w:name w:val="Page de couverture"/>
    <w:basedOn w:val="Normal"/>
    <w:next w:val="Normal"/>
    <w:rsid w:val="00EF74C7"/>
    <w:rPr>
      <w:rFonts w:ascii="Times New Roman" w:hAnsi="Times New Roman"/>
      <w:sz w:val="24"/>
    </w:rPr>
  </w:style>
  <w:style w:type="paragraph" w:customStyle="1" w:styleId="Institutionquiagit">
    <w:name w:val="Institution qui agit"/>
    <w:basedOn w:val="Normal"/>
    <w:next w:val="Normal"/>
    <w:rsid w:val="00EF74C7"/>
    <w:pPr>
      <w:keepNext/>
      <w:spacing w:before="600"/>
    </w:pPr>
    <w:rPr>
      <w:rFonts w:ascii="Times New Roman" w:hAnsi="Times New Roman"/>
      <w:sz w:val="24"/>
    </w:rPr>
  </w:style>
  <w:style w:type="paragraph" w:styleId="Caption">
    <w:name w:val="caption"/>
    <w:basedOn w:val="Normal"/>
    <w:next w:val="Normal"/>
    <w:uiPriority w:val="35"/>
    <w:unhideWhenUsed/>
    <w:qFormat/>
    <w:rsid w:val="00EF74C7"/>
    <w:pPr>
      <w:spacing w:before="0" w:after="200"/>
      <w:jc w:val="left"/>
    </w:pPr>
    <w:rPr>
      <w:rFonts w:asciiTheme="minorHAnsi" w:eastAsiaTheme="minorEastAsia" w:hAnsiTheme="minorHAnsi" w:cstheme="minorBidi"/>
      <w:b/>
      <w:bCs/>
      <w:color w:val="4472C4" w:themeColor="accent1"/>
      <w:sz w:val="18"/>
      <w:szCs w:val="18"/>
      <w:lang w:val="da-DK"/>
    </w:rPr>
  </w:style>
  <w:style w:type="paragraph" w:customStyle="1" w:styleId="TableNote">
    <w:name w:val="TableNote"/>
    <w:basedOn w:val="Normal"/>
    <w:rsid w:val="00EF74C7"/>
    <w:pPr>
      <w:spacing w:before="60"/>
    </w:pPr>
    <w:rPr>
      <w:rFonts w:ascii="Segoe UI" w:hAnsi="Segoe UI"/>
      <w:sz w:val="15"/>
      <w:szCs w:val="20"/>
    </w:rPr>
  </w:style>
  <w:style w:type="paragraph" w:customStyle="1" w:styleId="CM11">
    <w:name w:val="CM1+1"/>
    <w:basedOn w:val="Default"/>
    <w:next w:val="Default"/>
    <w:uiPriority w:val="99"/>
    <w:rsid w:val="00EF74C7"/>
    <w:rPr>
      <w:rFonts w:ascii="EUAlbertina" w:eastAsiaTheme="minorEastAsia" w:hAnsi="EUAlbertina" w:cstheme="minorBidi"/>
      <w:color w:val="auto"/>
      <w:lang w:val="da-DK" w:eastAsia="en-US"/>
    </w:rPr>
  </w:style>
  <w:style w:type="paragraph" w:customStyle="1" w:styleId="CM31">
    <w:name w:val="CM3+1"/>
    <w:basedOn w:val="Default"/>
    <w:next w:val="Default"/>
    <w:uiPriority w:val="99"/>
    <w:rsid w:val="00EF74C7"/>
    <w:rPr>
      <w:rFonts w:ascii="EUAlbertina" w:eastAsiaTheme="minorEastAsia" w:hAnsi="EUAlbertina" w:cstheme="minorBidi"/>
      <w:color w:val="auto"/>
      <w:lang w:val="da-DK" w:eastAsia="en-US"/>
    </w:rPr>
  </w:style>
  <w:style w:type="paragraph" w:customStyle="1" w:styleId="CM13">
    <w:name w:val="CM1+3"/>
    <w:basedOn w:val="Default"/>
    <w:next w:val="Default"/>
    <w:uiPriority w:val="99"/>
    <w:rsid w:val="00EF74C7"/>
    <w:rPr>
      <w:rFonts w:ascii="EUAlbertina" w:eastAsiaTheme="minorEastAsia" w:hAnsi="EUAlbertina" w:cstheme="minorBidi"/>
      <w:color w:val="auto"/>
      <w:lang w:val="da-DK" w:eastAsia="en-US"/>
    </w:rPr>
  </w:style>
  <w:style w:type="paragraph" w:customStyle="1" w:styleId="CM33">
    <w:name w:val="CM3+3"/>
    <w:basedOn w:val="Default"/>
    <w:next w:val="Default"/>
    <w:uiPriority w:val="99"/>
    <w:rsid w:val="00EF74C7"/>
    <w:rPr>
      <w:rFonts w:ascii="EUAlbertina" w:eastAsiaTheme="minorEastAsia" w:hAnsi="EUAlbertina" w:cstheme="minorBidi"/>
      <w:color w:val="auto"/>
      <w:lang w:val="da-DK" w:eastAsia="en-US"/>
    </w:rPr>
  </w:style>
  <w:style w:type="character" w:customStyle="1" w:styleId="ListParagraphChar">
    <w:name w:val="List Paragraph Char"/>
    <w:basedOn w:val="DefaultParagraphFont"/>
    <w:link w:val="ListParagraph"/>
    <w:uiPriority w:val="34"/>
    <w:locked/>
    <w:rsid w:val="00EF74C7"/>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EF74C7"/>
    <w:rPr>
      <w:color w:val="605E5C"/>
      <w:shd w:val="clear" w:color="auto" w:fill="E1DFDD"/>
    </w:rPr>
  </w:style>
  <w:style w:type="character" w:styleId="Mention">
    <w:name w:val="Mention"/>
    <w:basedOn w:val="DefaultParagraphFont"/>
    <w:uiPriority w:val="99"/>
    <w:unhideWhenUsed/>
    <w:rsid w:val="00EF74C7"/>
    <w:rPr>
      <w:color w:val="2B579A"/>
      <w:shd w:val="clear" w:color="auto" w:fill="E1DFDD"/>
    </w:rPr>
  </w:style>
  <w:style w:type="paragraph" w:customStyle="1" w:styleId="pf0">
    <w:name w:val="pf0"/>
    <w:basedOn w:val="Normal"/>
    <w:rsid w:val="00EF74C7"/>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EF74C7"/>
  </w:style>
  <w:style w:type="character" w:customStyle="1" w:styleId="cf01">
    <w:name w:val="cf01"/>
    <w:basedOn w:val="DefaultParagraphFont"/>
    <w:rsid w:val="00EF74C7"/>
    <w:rPr>
      <w:rFonts w:ascii="Segoe UI" w:hAnsi="Segoe UI" w:cs="Segoe UI" w:hint="default"/>
      <w:sz w:val="18"/>
      <w:szCs w:val="18"/>
    </w:rPr>
  </w:style>
  <w:style w:type="paragraph" w:styleId="BodyText">
    <w:name w:val="Body Text"/>
    <w:basedOn w:val="Normal"/>
    <w:link w:val="BodyTextChar"/>
    <w:rsid w:val="00EF74C7"/>
    <w:pPr>
      <w:spacing w:before="0" w:after="140" w:line="259" w:lineRule="auto"/>
      <w:jc w:val="left"/>
    </w:pPr>
    <w:rPr>
      <w:rFonts w:ascii="Liberation Serif" w:eastAsia="SimSun" w:hAnsi="Liberation Serif" w:cs="Lucida Sans"/>
      <w:sz w:val="24"/>
      <w:lang w:val="da-DK" w:eastAsia="zh-CN" w:bidi="hi-IN"/>
    </w:rPr>
  </w:style>
  <w:style w:type="character" w:customStyle="1" w:styleId="BodyTextChar">
    <w:name w:val="Body Text Char"/>
    <w:basedOn w:val="DefaultParagraphFont"/>
    <w:link w:val="BodyText"/>
    <w:rsid w:val="00EF74C7"/>
    <w:rPr>
      <w:rFonts w:ascii="Liberation Serif" w:eastAsia="SimSun" w:hAnsi="Liberation Serif" w:cs="Lucida Sans"/>
      <w:kern w:val="0"/>
      <w:sz w:val="24"/>
      <w:szCs w:val="24"/>
      <w:lang w:val="da-DK" w:eastAsia="zh-CN" w:bidi="hi-IN"/>
      <w14:ligatures w14:val="none"/>
    </w:rPr>
  </w:style>
  <w:style w:type="paragraph" w:customStyle="1" w:styleId="Tabelleninhalt">
    <w:name w:val="Tabelleninhalt"/>
    <w:basedOn w:val="Normal"/>
    <w:qFormat/>
    <w:rsid w:val="00EF74C7"/>
    <w:pPr>
      <w:spacing w:before="0" w:after="0" w:line="259" w:lineRule="auto"/>
      <w:jc w:val="left"/>
    </w:pPr>
    <w:rPr>
      <w:rFonts w:ascii="Liberation Serif" w:eastAsia="SimSun" w:hAnsi="Liberation Serif" w:cs="Lucida Sans"/>
      <w:sz w:val="24"/>
      <w:lang w:val="da-DK" w:eastAsia="zh-CN" w:bidi="hi-IN"/>
    </w:rPr>
  </w:style>
  <w:style w:type="character" w:customStyle="1" w:styleId="cf11">
    <w:name w:val="cf11"/>
    <w:basedOn w:val="DefaultParagraphFont"/>
    <w:rsid w:val="00EF74C7"/>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EF7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497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so.org/iso-4217-currency-codes.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iso.org/iso-4217-currency-code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F06A24-53E1-4128-BDE5-EF027B37DF94}">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20352F70-C515-4459-8338-3B2EB0E38D2D}">
  <ds:schemaRefs>
    <ds:schemaRef ds:uri="http://schemas.microsoft.com/sharepoint/v3/contenttype/forms"/>
  </ds:schemaRefs>
</ds:datastoreItem>
</file>

<file path=customXml/itemProps3.xml><?xml version="1.0" encoding="utf-8"?>
<ds:datastoreItem xmlns:ds="http://schemas.openxmlformats.org/officeDocument/2006/customXml" ds:itemID="{48C05173-0617-44EA-AE47-C7A1BC8EB84C}"/>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26</Pages>
  <Words>7372</Words>
  <Characters>42023</Characters>
  <Application>Microsoft Office Word</Application>
  <DocSecurity>0</DocSecurity>
  <Lines>350</Lines>
  <Paragraphs>98</Paragraphs>
  <ScaleCrop>false</ScaleCrop>
  <Company>European Banking Authority</Company>
  <LinksUpToDate>false</LinksUpToDate>
  <CharactersWithSpaces>49297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2024-06-19T16:03:00Z</dcterms:created>
  <dcterms:modified xsi:type="dcterms:W3CDTF">2024-06-21T12:20:00Z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4205b5a0,13da6c1b,42f1195b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ies>
</file>