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912A12" w:rsidRDefault="00003310" w:rsidP="00003310">
      <w:pPr>
        <w:jc w:val="center"/>
        <w:rPr>
          <w:rFonts w:asciiTheme="majorBidi" w:hAnsiTheme="majorBidi" w:cstheme="majorBidi"/>
          <w:sz w:val="24"/>
        </w:rPr>
      </w:pPr>
      <w:r w:rsidRPr="00912A12">
        <w:rPr>
          <w:rFonts w:asciiTheme="majorBidi" w:hAnsiTheme="majorBidi"/>
          <w:sz w:val="24"/>
        </w:rPr>
        <w:t>PL</w:t>
      </w:r>
    </w:p>
    <w:p w14:paraId="15E4241A" w14:textId="77777777" w:rsidR="00003310" w:rsidRPr="00912A12" w:rsidRDefault="00003310" w:rsidP="00003310">
      <w:pPr>
        <w:rPr>
          <w:rFonts w:asciiTheme="majorBidi" w:hAnsiTheme="majorBidi" w:cstheme="majorBidi"/>
        </w:rPr>
      </w:pPr>
    </w:p>
    <w:p w14:paraId="6C49A80C" w14:textId="77777777" w:rsidR="00003310" w:rsidRPr="00912A12" w:rsidRDefault="00003310" w:rsidP="00003310">
      <w:pPr>
        <w:jc w:val="center"/>
        <w:rPr>
          <w:rFonts w:asciiTheme="majorBidi" w:hAnsiTheme="majorBidi" w:cstheme="majorBidi"/>
          <w:sz w:val="24"/>
        </w:rPr>
      </w:pPr>
      <w:r w:rsidRPr="00912A12">
        <w:rPr>
          <w:rFonts w:asciiTheme="majorBidi" w:hAnsiTheme="majorBidi"/>
          <w:sz w:val="24"/>
        </w:rPr>
        <w:t>ZAŁĄCZNIK II</w:t>
      </w:r>
    </w:p>
    <w:p w14:paraId="60C0D3D0" w14:textId="77777777" w:rsidR="00003310" w:rsidRPr="00912A12" w:rsidRDefault="00003310" w:rsidP="00003310">
      <w:pPr>
        <w:jc w:val="center"/>
        <w:rPr>
          <w:rFonts w:asciiTheme="majorBidi" w:hAnsiTheme="majorBidi" w:cstheme="majorBidi"/>
          <w:sz w:val="24"/>
        </w:rPr>
      </w:pPr>
      <w:r w:rsidRPr="00912A12">
        <w:rPr>
          <w:rFonts w:asciiTheme="majorBidi" w:hAnsiTheme="majorBidi"/>
          <w:sz w:val="24"/>
        </w:rPr>
        <w:t>„ZAŁĄCZNIK II</w:t>
      </w:r>
    </w:p>
    <w:p w14:paraId="608AAB5A" w14:textId="77777777" w:rsidR="00003310" w:rsidRPr="00912A12" w:rsidRDefault="00003310" w:rsidP="00003310">
      <w:pPr>
        <w:jc w:val="center"/>
        <w:rPr>
          <w:rFonts w:asciiTheme="majorBidi" w:hAnsiTheme="majorBidi" w:cstheme="majorBidi"/>
          <w:b/>
          <w:sz w:val="24"/>
        </w:rPr>
      </w:pPr>
      <w:r w:rsidRPr="00912A12">
        <w:rPr>
          <w:rFonts w:asciiTheme="majorBidi" w:hAnsiTheme="majorBidi"/>
          <w:b/>
          <w:sz w:val="24"/>
        </w:rPr>
        <w:t>INSTRUKCJE DOTYCZĄCE SPRAWOZDAWCZOŚCI W ZAKRESIE FUNDUSZY WŁASNYCH ORAZ WYMOGÓW W ZAKRESIE FUNDUSZY WŁASNYCH</w:t>
      </w:r>
    </w:p>
    <w:p w14:paraId="42DC7EE7" w14:textId="77777777" w:rsidR="00003310" w:rsidRPr="00912A12" w:rsidRDefault="00003310" w:rsidP="00003310">
      <w:pPr>
        <w:jc w:val="center"/>
        <w:rPr>
          <w:rFonts w:asciiTheme="majorBidi" w:hAnsiTheme="majorBidi" w:cstheme="majorBidi"/>
          <w:b/>
          <w:sz w:val="24"/>
          <w:lang w:eastAsia="de-DE"/>
        </w:rPr>
      </w:pPr>
    </w:p>
    <w:p w14:paraId="1FFD2A47" w14:textId="77777777" w:rsidR="00003310" w:rsidRPr="00912A12" w:rsidRDefault="00003310" w:rsidP="00003310">
      <w:pPr>
        <w:pStyle w:val="InstructionsText"/>
        <w:rPr>
          <w:rFonts w:asciiTheme="majorBidi" w:hAnsiTheme="majorBidi" w:cstheme="majorBidi"/>
        </w:rPr>
      </w:pPr>
      <w:r w:rsidRPr="00912A12">
        <w:rPr>
          <w:rFonts w:asciiTheme="majorBidi" w:hAnsiTheme="majorBidi"/>
        </w:rPr>
        <w:t>Spis treści</w:t>
      </w:r>
    </w:p>
    <w:p w14:paraId="70895CD6" w14:textId="77777777" w:rsidR="00BC0C32" w:rsidRPr="00912A12" w:rsidRDefault="00BC0C32" w:rsidP="00BC0C32">
      <w:pPr>
        <w:rPr>
          <w:rFonts w:asciiTheme="majorBidi" w:hAnsiTheme="majorBidi" w:cstheme="majorBidi"/>
        </w:rPr>
      </w:pPr>
    </w:p>
    <w:p w14:paraId="2A6B0139" w14:textId="2497D9C0" w:rsidR="00BC0C32" w:rsidRPr="00912A12" w:rsidRDefault="00BC0C32" w:rsidP="00BC0C32">
      <w:pPr>
        <w:rPr>
          <w:rFonts w:asciiTheme="majorBidi" w:hAnsiTheme="majorBidi" w:cstheme="majorBidi"/>
          <w:sz w:val="20"/>
          <w:szCs w:val="20"/>
        </w:rPr>
      </w:pPr>
      <w:r w:rsidRPr="00912A12">
        <w:rPr>
          <w:rFonts w:asciiTheme="majorBidi" w:hAnsiTheme="majorBidi"/>
          <w:sz w:val="20"/>
        </w:rPr>
        <w:t>CZĘŚĆ I: INSTRUKCJE OGÓLNE</w:t>
      </w:r>
    </w:p>
    <w:p w14:paraId="661AAEB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w:t>
      </w:r>
      <w:r w:rsidRPr="00912A12">
        <w:tab/>
      </w:r>
      <w:r w:rsidRPr="00912A12">
        <w:rPr>
          <w:rFonts w:asciiTheme="majorBidi" w:hAnsiTheme="majorBidi"/>
          <w:sz w:val="20"/>
        </w:rPr>
        <w:t>STRUKTURA I KONWENCJE</w:t>
      </w:r>
    </w:p>
    <w:p w14:paraId="28AE69FE"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1.1.</w:t>
      </w:r>
      <w:r w:rsidRPr="00912A12">
        <w:tab/>
      </w:r>
      <w:r w:rsidRPr="00912A12">
        <w:rPr>
          <w:rFonts w:asciiTheme="majorBidi" w:hAnsiTheme="majorBidi"/>
          <w:sz w:val="20"/>
        </w:rPr>
        <w:t>STRUKTURA</w:t>
      </w:r>
    </w:p>
    <w:p w14:paraId="46250D3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1.2.</w:t>
      </w:r>
      <w:r w:rsidRPr="00912A12">
        <w:tab/>
      </w:r>
      <w:r w:rsidRPr="00912A12">
        <w:rPr>
          <w:rFonts w:asciiTheme="majorBidi" w:hAnsiTheme="majorBidi"/>
          <w:sz w:val="20"/>
        </w:rPr>
        <w:t>KONWENCJA NUMERACJI</w:t>
      </w:r>
    </w:p>
    <w:p w14:paraId="1679C071"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1.3.</w:t>
      </w:r>
      <w:r w:rsidRPr="00912A12">
        <w:tab/>
      </w:r>
      <w:r w:rsidRPr="00912A12">
        <w:rPr>
          <w:rFonts w:asciiTheme="majorBidi" w:hAnsiTheme="majorBidi"/>
          <w:sz w:val="20"/>
        </w:rPr>
        <w:t>KONWENCJA ZNAKÓW</w:t>
      </w:r>
    </w:p>
    <w:p w14:paraId="57D87C6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CZĘŚĆ II: INSTRUKCJE DOTYCZĄCE WZORÓW FORMULARZY</w:t>
      </w:r>
    </w:p>
    <w:p w14:paraId="27285A1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w:t>
      </w:r>
      <w:r w:rsidRPr="00912A12">
        <w:tab/>
      </w:r>
      <w:r w:rsidRPr="00912A12">
        <w:rPr>
          <w:rFonts w:asciiTheme="majorBidi" w:hAnsiTheme="majorBidi"/>
          <w:sz w:val="20"/>
        </w:rPr>
        <w:t xml:space="preserve">PRZEGLĄD ADEKWATNOŚCI KAPITAŁOWEJ („CA”) </w:t>
      </w:r>
    </w:p>
    <w:p w14:paraId="5215482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1.1.</w:t>
      </w:r>
      <w:r w:rsidRPr="00912A12">
        <w:tab/>
      </w:r>
      <w:r w:rsidRPr="00912A12">
        <w:rPr>
          <w:rFonts w:asciiTheme="majorBidi" w:hAnsiTheme="majorBidi"/>
          <w:sz w:val="20"/>
        </w:rPr>
        <w:t>UWAGI OGÓLNE</w:t>
      </w:r>
    </w:p>
    <w:p w14:paraId="157DB63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1.2.</w:t>
      </w:r>
      <w:r w:rsidRPr="00912A12">
        <w:tab/>
      </w:r>
      <w:r w:rsidRPr="00912A12">
        <w:rPr>
          <w:rFonts w:asciiTheme="majorBidi" w:hAnsiTheme="majorBidi"/>
          <w:sz w:val="20"/>
        </w:rPr>
        <w:t xml:space="preserve">C 01.00 – FUNDUSZE WŁASNE (CA1) </w:t>
      </w:r>
    </w:p>
    <w:p w14:paraId="12C34E3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1.2.1.</w:t>
      </w:r>
      <w:r w:rsidRPr="00912A12">
        <w:tab/>
      </w:r>
      <w:r w:rsidRPr="00912A12">
        <w:rPr>
          <w:rFonts w:asciiTheme="majorBidi" w:hAnsiTheme="majorBidi"/>
          <w:sz w:val="20"/>
        </w:rPr>
        <w:t>INSTRUKCJE DOTYCZĄCE POSZCZEGÓLNYCH POZYCJI</w:t>
      </w:r>
    </w:p>
    <w:p w14:paraId="699C7AB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1.3.</w:t>
      </w:r>
      <w:r w:rsidRPr="00912A12">
        <w:tab/>
      </w:r>
      <w:r w:rsidRPr="00912A12">
        <w:rPr>
          <w:rFonts w:asciiTheme="majorBidi" w:hAnsiTheme="majorBidi"/>
          <w:sz w:val="20"/>
        </w:rPr>
        <w:t xml:space="preserve">C 02.00 – WYMOGI W ZAKRESIE FUNDUSZY WŁASNYCH (CA2) </w:t>
      </w:r>
    </w:p>
    <w:p w14:paraId="331C4CB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1.3.1.</w:t>
      </w:r>
      <w:r w:rsidRPr="00912A12">
        <w:tab/>
      </w:r>
      <w:r w:rsidRPr="00912A12">
        <w:rPr>
          <w:rFonts w:asciiTheme="majorBidi" w:hAnsiTheme="majorBidi"/>
          <w:sz w:val="20"/>
        </w:rPr>
        <w:t>INSTRUKCJE DOTYCZĄCE POSZCZEGÓLNYCH POZYCJI</w:t>
      </w:r>
    </w:p>
    <w:p w14:paraId="5FB7F5F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1.4</w:t>
      </w:r>
      <w:r w:rsidRPr="00912A12">
        <w:tab/>
      </w:r>
      <w:r w:rsidRPr="00912A12">
        <w:rPr>
          <w:rFonts w:asciiTheme="majorBidi" w:hAnsiTheme="majorBidi"/>
          <w:sz w:val="20"/>
        </w:rPr>
        <w:t xml:space="preserve">C 03.00 – WSPÓŁCZYNNIKI KAPITAŁOWE ORAZ POZIOMY KAPITAŁU (CA3) </w:t>
      </w:r>
    </w:p>
    <w:p w14:paraId="2F63539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1.4.1.</w:t>
      </w:r>
      <w:r w:rsidRPr="00912A12">
        <w:tab/>
      </w:r>
      <w:r w:rsidRPr="00912A12">
        <w:rPr>
          <w:rFonts w:asciiTheme="majorBidi" w:hAnsiTheme="majorBidi"/>
          <w:sz w:val="20"/>
        </w:rPr>
        <w:t>INSTRUKCJE DOTYCZĄCE POSZCZEGÓLNYCH POZYCJI</w:t>
      </w:r>
    </w:p>
    <w:p w14:paraId="108A289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1.5.</w:t>
      </w:r>
      <w:r w:rsidRPr="00912A12">
        <w:tab/>
      </w:r>
      <w:r w:rsidRPr="00912A12">
        <w:rPr>
          <w:rFonts w:asciiTheme="majorBidi" w:hAnsiTheme="majorBidi"/>
          <w:sz w:val="20"/>
        </w:rPr>
        <w:t xml:space="preserve">C 04.00 – POZYCJE UZUPEŁNIAJĄCE (CA4) </w:t>
      </w:r>
    </w:p>
    <w:p w14:paraId="1F44CC5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1.5.1.</w:t>
      </w:r>
      <w:r w:rsidRPr="00912A12">
        <w:tab/>
      </w:r>
      <w:r w:rsidRPr="00912A12">
        <w:rPr>
          <w:rFonts w:asciiTheme="majorBidi" w:hAnsiTheme="majorBidi"/>
          <w:sz w:val="20"/>
        </w:rPr>
        <w:t>INSTRUKCJE DOTYCZĄCE POSZCZEGÓLNYCH POZYCJI</w:t>
      </w:r>
    </w:p>
    <w:p w14:paraId="2D5F7C5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1.6</w:t>
      </w:r>
      <w:r w:rsidRPr="00912A12">
        <w:tab/>
      </w:r>
      <w:r w:rsidRPr="00912A12">
        <w:rPr>
          <w:rFonts w:asciiTheme="majorBidi" w:hAnsiTheme="majorBidi"/>
          <w:sz w:val="20"/>
        </w:rPr>
        <w:t xml:space="preserve">PRZEPISY PRZEJŚCIOWE DOTYCZĄCE INSTRUMENTÓW PODLEGAJĄCYCH ZASADZIE PRAW NABYTYCH: INSTRUMENTY NIESTANOWIĄCE POMOCY PAŃSTWA (CA5) </w:t>
      </w:r>
    </w:p>
    <w:p w14:paraId="43312C6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1.6.1</w:t>
      </w:r>
      <w:r w:rsidRPr="00912A12">
        <w:tab/>
      </w:r>
      <w:r w:rsidRPr="00912A12">
        <w:rPr>
          <w:rFonts w:asciiTheme="majorBidi" w:hAnsiTheme="majorBidi"/>
          <w:sz w:val="20"/>
        </w:rPr>
        <w:t>UWAGI OGÓLNE</w:t>
      </w:r>
    </w:p>
    <w:p w14:paraId="50816AB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1.6.2.</w:t>
      </w:r>
      <w:r w:rsidRPr="00912A12">
        <w:tab/>
      </w:r>
      <w:r w:rsidRPr="00912A12">
        <w:rPr>
          <w:rFonts w:asciiTheme="majorBidi" w:hAnsiTheme="majorBidi"/>
          <w:sz w:val="20"/>
        </w:rPr>
        <w:t xml:space="preserve">C 05.01 – PRZEPISY PRZEJŚCIOWE (CA5.1) </w:t>
      </w:r>
    </w:p>
    <w:p w14:paraId="0FE805F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1.6.2.1</w:t>
      </w:r>
      <w:r w:rsidRPr="00912A12">
        <w:tab/>
      </w:r>
      <w:r w:rsidRPr="00912A12">
        <w:rPr>
          <w:rFonts w:asciiTheme="majorBidi" w:hAnsiTheme="majorBidi"/>
          <w:sz w:val="20"/>
        </w:rPr>
        <w:t>INSTRUKCJE DOTYCZĄCE POSZCZEGÓLNYCH POZYCJI</w:t>
      </w:r>
    </w:p>
    <w:p w14:paraId="533A790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1.6.3</w:t>
      </w:r>
      <w:r w:rsidRPr="00912A12">
        <w:tab/>
      </w:r>
      <w:r w:rsidRPr="00912A12">
        <w:rPr>
          <w:rFonts w:asciiTheme="majorBidi" w:hAnsiTheme="majorBidi"/>
          <w:sz w:val="20"/>
        </w:rPr>
        <w:t xml:space="preserve">C 05.02 – INSTRUMENTY PODLEGAJĄCE ZASADZIE PRAW NABYTYCH: INSTRUMENTY NIESTANOWIĄCE POMOCY PAŃSTWA (CA5.2) </w:t>
      </w:r>
    </w:p>
    <w:p w14:paraId="0541CB4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1.6.3.1</w:t>
      </w:r>
      <w:r w:rsidRPr="00912A12">
        <w:tab/>
      </w:r>
      <w:r w:rsidRPr="00912A12">
        <w:rPr>
          <w:rFonts w:asciiTheme="majorBidi" w:hAnsiTheme="majorBidi"/>
          <w:sz w:val="20"/>
        </w:rPr>
        <w:t>INSTRUKCJE DOTYCZĄCE POSZCZEGÓLNYCH POZYCJI</w:t>
      </w:r>
    </w:p>
    <w:p w14:paraId="48200C1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2.</w:t>
      </w:r>
      <w:r w:rsidRPr="00912A12">
        <w:tab/>
      </w:r>
      <w:r w:rsidRPr="00912A12">
        <w:rPr>
          <w:rFonts w:asciiTheme="majorBidi" w:hAnsiTheme="majorBidi"/>
          <w:sz w:val="20"/>
        </w:rPr>
        <w:t xml:space="preserve">WYPŁACALNOŚĆ GRUPY: INFORMACJE NA TEMAT PODMIOTÓW POWIĄZANYCH (GS) </w:t>
      </w:r>
    </w:p>
    <w:p w14:paraId="107C385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lastRenderedPageBreak/>
        <w:t>2.1.</w:t>
      </w:r>
      <w:r w:rsidRPr="00912A12">
        <w:tab/>
      </w:r>
      <w:r w:rsidRPr="00912A12">
        <w:rPr>
          <w:rFonts w:asciiTheme="majorBidi" w:hAnsiTheme="majorBidi"/>
          <w:sz w:val="20"/>
        </w:rPr>
        <w:t>UWAGI OGÓLNE</w:t>
      </w:r>
    </w:p>
    <w:p w14:paraId="0889B8E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2.2.</w:t>
      </w:r>
      <w:r w:rsidRPr="00912A12">
        <w:tab/>
      </w:r>
      <w:r w:rsidRPr="00912A12">
        <w:rPr>
          <w:rFonts w:asciiTheme="majorBidi" w:hAnsiTheme="majorBidi"/>
          <w:sz w:val="20"/>
        </w:rPr>
        <w:t>SZCZEGÓŁOWE INFORMACJE NA TEMAT WYPŁACALNOŚCI GRUPY</w:t>
      </w:r>
    </w:p>
    <w:p w14:paraId="2687F76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2.3.</w:t>
      </w:r>
      <w:r w:rsidRPr="00912A12">
        <w:tab/>
      </w:r>
      <w:r w:rsidRPr="00912A12">
        <w:rPr>
          <w:rFonts w:asciiTheme="majorBidi" w:hAnsiTheme="majorBidi"/>
          <w:sz w:val="20"/>
        </w:rPr>
        <w:t>INFORMACJE NA TEMAT WKŁADU PODMIOTÓW NA RZECZ WYPŁACALNOŚCI GRUPY</w:t>
      </w:r>
    </w:p>
    <w:p w14:paraId="4929D5D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2.4.</w:t>
      </w:r>
      <w:r w:rsidRPr="00912A12">
        <w:tab/>
      </w:r>
      <w:r w:rsidRPr="00912A12">
        <w:rPr>
          <w:rFonts w:asciiTheme="majorBidi" w:hAnsiTheme="majorBidi"/>
          <w:sz w:val="20"/>
        </w:rPr>
        <w:t xml:space="preserve">C 06.01 – WYPŁACALNOŚĆ GRUPY: INFORMACJE NA TEMAT PODMIOTÓW POWIĄZANYCH – RAZEM (GS RAZEM) </w:t>
      </w:r>
    </w:p>
    <w:p w14:paraId="64FDB39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2.5.</w:t>
      </w:r>
      <w:r w:rsidRPr="00912A12">
        <w:tab/>
      </w:r>
      <w:r w:rsidRPr="00912A12">
        <w:rPr>
          <w:rFonts w:asciiTheme="majorBidi" w:hAnsiTheme="majorBidi"/>
          <w:sz w:val="20"/>
        </w:rPr>
        <w:t xml:space="preserve">C 06.02 – WYPŁACALNOŚĆ GRUPY: INFORMACJE NA TEMAT PODMIOTÓW POWIĄZANYCH (GS) </w:t>
      </w:r>
    </w:p>
    <w:p w14:paraId="73E02FFA"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w:t>
      </w:r>
      <w:r w:rsidRPr="00912A12">
        <w:tab/>
      </w:r>
      <w:r w:rsidRPr="00912A12">
        <w:rPr>
          <w:rFonts w:asciiTheme="majorBidi" w:hAnsiTheme="majorBidi"/>
          <w:sz w:val="20"/>
        </w:rPr>
        <w:t>WZORY DOTYCZĄCE RYZYKA KREDYTOWEGO</w:t>
      </w:r>
    </w:p>
    <w:p w14:paraId="7A9D6E8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3.1.</w:t>
      </w:r>
      <w:r w:rsidRPr="00912A12">
        <w:tab/>
      </w:r>
      <w:r w:rsidRPr="00912A12">
        <w:rPr>
          <w:rFonts w:asciiTheme="majorBidi" w:hAnsiTheme="majorBidi"/>
          <w:sz w:val="20"/>
        </w:rPr>
        <w:t>UWAGI OGÓLNE</w:t>
      </w:r>
    </w:p>
    <w:p w14:paraId="04A5E951"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3.1.1.</w:t>
      </w:r>
      <w:r w:rsidRPr="00912A12">
        <w:tab/>
      </w:r>
      <w:r w:rsidRPr="00912A12">
        <w:rPr>
          <w:rFonts w:asciiTheme="majorBidi" w:hAnsiTheme="majorBidi"/>
          <w:sz w:val="20"/>
        </w:rPr>
        <w:t>SPRAWOZDAWCZOŚĆ W ZAKRESIE TECHNIKI OGRANICZANIA RYZYKA KREDYTOWEGO Z UWZGLĘDNIENIEM EFEKTÓW SUBSTYTUCYJNYCH</w:t>
      </w:r>
    </w:p>
    <w:p w14:paraId="6BF48BC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3.1.2.</w:t>
      </w:r>
      <w:r w:rsidRPr="00912A12">
        <w:tab/>
      </w:r>
      <w:r w:rsidRPr="00912A12">
        <w:rPr>
          <w:rFonts w:asciiTheme="majorBidi" w:hAnsiTheme="majorBidi"/>
          <w:sz w:val="20"/>
        </w:rPr>
        <w:t>SPRAWOZDAWCZOŚĆ W ZAKRESIE RYZYKA KREDYTOWEGO KONTRAHENTA</w:t>
      </w:r>
    </w:p>
    <w:p w14:paraId="1FA3832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3.2.</w:t>
      </w:r>
      <w:r w:rsidRPr="00912A12">
        <w:tab/>
      </w:r>
      <w:r w:rsidRPr="00912A12">
        <w:rPr>
          <w:rFonts w:asciiTheme="majorBidi" w:hAnsiTheme="majorBidi"/>
          <w:sz w:val="20"/>
        </w:rPr>
        <w:t xml:space="preserve">C 07.00 – RYZYKO KREDYTOWE I RYZYKO KREDYTOWE KONTRAHENTA ORAZ DOSTAWY Z PÓŹNIEJSZYM TERMINEM ROZLICZENIA: WYMOGI KAPITAŁOWE WEDŁUG METODY STANDARDOWEJ (CR SA) </w:t>
      </w:r>
    </w:p>
    <w:p w14:paraId="5EEC113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3.2.1.</w:t>
      </w:r>
      <w:r w:rsidRPr="00912A12">
        <w:tab/>
      </w:r>
      <w:r w:rsidRPr="00912A12">
        <w:rPr>
          <w:rFonts w:asciiTheme="majorBidi" w:hAnsiTheme="majorBidi"/>
          <w:sz w:val="20"/>
        </w:rPr>
        <w:t>UWAGI OGÓLNE</w:t>
      </w:r>
    </w:p>
    <w:p w14:paraId="215D49D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3.2.2.</w:t>
      </w:r>
      <w:r w:rsidRPr="00912A12">
        <w:tab/>
      </w:r>
      <w:r w:rsidRPr="00912A12">
        <w:rPr>
          <w:rFonts w:asciiTheme="majorBidi" w:hAnsiTheme="majorBidi"/>
          <w:sz w:val="20"/>
        </w:rPr>
        <w:t xml:space="preserve">ZAKRES WZORU CR SA </w:t>
      </w:r>
    </w:p>
    <w:p w14:paraId="12E6954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3.2.3.</w:t>
      </w:r>
      <w:r w:rsidRPr="00912A12">
        <w:tab/>
      </w:r>
      <w:r w:rsidRPr="00912A12">
        <w:rPr>
          <w:rFonts w:asciiTheme="majorBidi" w:hAnsiTheme="majorBidi"/>
          <w:sz w:val="20"/>
        </w:rPr>
        <w:t xml:space="preserve"> KLASYFIKOWANIE EKSPOZYCJI DO KATEGORII EKSPOZYCJI WEDŁUG METODY STANDARDOWEJ</w:t>
      </w:r>
    </w:p>
    <w:p w14:paraId="32FA566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3.2.4.</w:t>
      </w:r>
      <w:r w:rsidRPr="00912A12">
        <w:tab/>
      </w:r>
      <w:r w:rsidRPr="00912A12">
        <w:rPr>
          <w:rFonts w:asciiTheme="majorBidi" w:hAnsiTheme="majorBidi"/>
          <w:sz w:val="20"/>
        </w:rPr>
        <w:t>WYJAŚNIENIA DOTYCZĄCE ZAKRESU PEWNYCH OKREŚLONYCH KATEGORII EKSPOZYCJI, O KTÓRYCH MOWA W ART. 112 ROZPORZĄDZENIA (UE) NR 575/2013</w:t>
      </w:r>
    </w:p>
    <w:p w14:paraId="48D2A14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3.2.4.1.</w:t>
      </w:r>
      <w:r w:rsidRPr="00912A12">
        <w:tab/>
      </w:r>
      <w:r w:rsidRPr="00912A12">
        <w:rPr>
          <w:rFonts w:asciiTheme="majorBidi" w:hAnsiTheme="majorBidi"/>
          <w:sz w:val="20"/>
        </w:rPr>
        <w:t xml:space="preserve">KATEGORIA „EKSPOZYCJE WOBEC INSTYTUCJI” </w:t>
      </w:r>
    </w:p>
    <w:p w14:paraId="538259D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3.2.4.2.</w:t>
      </w:r>
      <w:r w:rsidRPr="00912A12">
        <w:tab/>
      </w:r>
      <w:r w:rsidRPr="00912A12">
        <w:rPr>
          <w:rFonts w:asciiTheme="majorBidi" w:hAnsiTheme="majorBidi"/>
          <w:sz w:val="20"/>
        </w:rPr>
        <w:t xml:space="preserve">KATEGORIA „EKSPOZYCJE W POSTACI OBLIGACJI ZABEZPIECZONYCH” </w:t>
      </w:r>
    </w:p>
    <w:p w14:paraId="4ABE662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3.2.4.3.</w:t>
      </w:r>
      <w:r w:rsidRPr="00912A12">
        <w:tab/>
      </w:r>
      <w:r w:rsidRPr="00912A12">
        <w:rPr>
          <w:rFonts w:asciiTheme="majorBidi" w:hAnsiTheme="majorBidi"/>
          <w:sz w:val="20"/>
        </w:rPr>
        <w:t xml:space="preserve">KATEGORIA „EKSPOZYCJE WOBEC PRZEDSIĘBIORSTW ZBIOROWEGO INWESTOWANIA” </w:t>
      </w:r>
    </w:p>
    <w:p w14:paraId="0561AB1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3.2.5.</w:t>
      </w:r>
      <w:r w:rsidRPr="00912A12">
        <w:tab/>
      </w:r>
      <w:r w:rsidRPr="00912A12">
        <w:rPr>
          <w:rFonts w:asciiTheme="majorBidi" w:hAnsiTheme="majorBidi"/>
          <w:sz w:val="20"/>
        </w:rPr>
        <w:t>INSTRUKCJE DOTYCZĄCE POSZCZEGÓLNYCH POZYCJI</w:t>
      </w:r>
    </w:p>
    <w:p w14:paraId="0EEDE27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w:t>
      </w:r>
      <w:r w:rsidRPr="00912A12">
        <w:tab/>
      </w:r>
      <w:r w:rsidRPr="00912A12">
        <w:rPr>
          <w:rFonts w:asciiTheme="majorBidi" w:hAnsiTheme="majorBidi"/>
          <w:sz w:val="20"/>
        </w:rPr>
        <w:t xml:space="preserve">RYZYKO KREDYTOWE I RYZYKO KREDYTOWE KONTRAHENTA ORAZ DOSTAWY Z PÓŹNIEJSZYM TERMINEM ROZLICZENIA: WYMOGI W ZAKRESIE FUNDUSZY WŁASNYCH WEDŁUG METODY IRB (CR IRB) </w:t>
      </w:r>
    </w:p>
    <w:p w14:paraId="571660F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3.3.1.</w:t>
      </w:r>
      <w:r w:rsidRPr="00912A12">
        <w:tab/>
      </w:r>
      <w:r w:rsidRPr="00912A12">
        <w:rPr>
          <w:rFonts w:asciiTheme="majorBidi" w:hAnsiTheme="majorBidi"/>
          <w:sz w:val="20"/>
        </w:rPr>
        <w:t>ZAKRES WZORU CR IRB</w:t>
      </w:r>
    </w:p>
    <w:p w14:paraId="1092231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3.3.2.</w:t>
      </w:r>
      <w:r w:rsidRPr="00912A12">
        <w:tab/>
      </w:r>
      <w:r w:rsidRPr="00912A12">
        <w:rPr>
          <w:rFonts w:asciiTheme="majorBidi" w:hAnsiTheme="majorBidi"/>
          <w:sz w:val="20"/>
        </w:rPr>
        <w:t>PODZIAŁ WZORU CR IRB</w:t>
      </w:r>
    </w:p>
    <w:p w14:paraId="51582661"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3.3.3.1</w:t>
      </w:r>
      <w:r w:rsidRPr="00912A12">
        <w:tab/>
      </w:r>
      <w:r w:rsidRPr="00912A12">
        <w:rPr>
          <w:rFonts w:asciiTheme="majorBidi" w:hAnsiTheme="majorBidi"/>
          <w:sz w:val="20"/>
        </w:rPr>
        <w:t>INSTRUKCJE DOTYCZĄCE POSZCZEGÓLNYCH POZYCJI</w:t>
      </w:r>
    </w:p>
    <w:p w14:paraId="3DC543F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3.3.4.</w:t>
      </w:r>
      <w:r w:rsidRPr="00912A12">
        <w:tab/>
      </w:r>
      <w:r w:rsidRPr="00912A12">
        <w:rPr>
          <w:rFonts w:asciiTheme="majorBidi" w:hAnsiTheme="majorBidi"/>
          <w:sz w:val="20"/>
        </w:rPr>
        <w:t xml:space="preserve">C 08.02 – RYZYKO KREDYTOWE I RYZYKO KREDYTOWE KONTRAHENTA ORAZ DOSTAWY Z PÓŹNIEJSZYM TERMINEM ROZLICZENIA: WYMOGI KAPITAŁOWE WEDŁUG METODY IRB: PODZIAŁ WEDŁUG KLAS JAKOŚCI LUB PULI DŁUŻNIKÓW (WZÓR CR IRB 2) </w:t>
      </w:r>
    </w:p>
    <w:p w14:paraId="53CCFD59" w14:textId="05A8BEF9" w:rsidR="00BC0C32" w:rsidRPr="00912A12" w:rsidRDefault="00BC0C32" w:rsidP="00BC0C32">
      <w:pPr>
        <w:rPr>
          <w:rFonts w:asciiTheme="majorBidi" w:hAnsiTheme="majorBidi" w:cstheme="majorBidi"/>
          <w:sz w:val="20"/>
          <w:szCs w:val="20"/>
        </w:rPr>
      </w:pPr>
      <w:r w:rsidRPr="00912A12">
        <w:rPr>
          <w:rFonts w:asciiTheme="majorBidi" w:hAnsiTheme="majorBidi"/>
          <w:sz w:val="20"/>
        </w:rPr>
        <w:t>3.3.1.</w:t>
      </w:r>
      <w:r w:rsidRPr="00912A12">
        <w:tab/>
      </w:r>
      <w:r w:rsidRPr="00912A12">
        <w:rPr>
          <w:rFonts w:asciiTheme="majorBidi" w:hAnsiTheme="majorBidi"/>
          <w:sz w:val="20"/>
        </w:rPr>
        <w:t>C 08.03 – RYZYKO KREDYTOWE ORAZ DOSTAWY Z PÓŹNIEJSZYM TERMINEM ROZLICZENIA: WYMOGI KAPITAŁOWE WEDŁUG METODY IRB (PODZIAŁ WEDŁUG</w:t>
      </w:r>
      <w:r w:rsidR="00912A12" w:rsidRPr="00912A12">
        <w:rPr>
          <w:rFonts w:asciiTheme="majorBidi" w:hAnsiTheme="majorBidi"/>
          <w:sz w:val="20"/>
        </w:rPr>
        <w:t xml:space="preserve"> </w:t>
      </w:r>
      <w:r w:rsidRPr="00912A12">
        <w:rPr>
          <w:rFonts w:asciiTheme="majorBidi" w:hAnsiTheme="majorBidi"/>
          <w:sz w:val="20"/>
        </w:rPr>
        <w:t xml:space="preserve">ZAKRESÓW PD (CR IRB 3)) </w:t>
      </w:r>
    </w:p>
    <w:p w14:paraId="7A20160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3.3.1.1.</w:t>
      </w:r>
      <w:r w:rsidRPr="00912A12">
        <w:tab/>
      </w:r>
      <w:r w:rsidRPr="00912A12">
        <w:rPr>
          <w:rFonts w:asciiTheme="majorBidi" w:hAnsiTheme="majorBidi"/>
          <w:sz w:val="20"/>
        </w:rPr>
        <w:t>UWAGI OGÓLNE</w:t>
      </w:r>
    </w:p>
    <w:p w14:paraId="3BF9C41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3.3.1.2.</w:t>
      </w:r>
      <w:r w:rsidRPr="00912A12">
        <w:tab/>
      </w:r>
      <w:r w:rsidRPr="00912A12">
        <w:rPr>
          <w:rFonts w:asciiTheme="majorBidi" w:hAnsiTheme="majorBidi"/>
          <w:sz w:val="20"/>
        </w:rPr>
        <w:t>INSTRUKCJE DOTYCZĄCE POSZCZEGÓLNYCH POZYCJI</w:t>
      </w:r>
    </w:p>
    <w:p w14:paraId="77E46D0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lastRenderedPageBreak/>
        <w:t>3.3.2.</w:t>
      </w:r>
      <w:r w:rsidRPr="00912A12">
        <w:tab/>
      </w:r>
      <w:r w:rsidRPr="00912A12">
        <w:rPr>
          <w:rFonts w:asciiTheme="majorBidi" w:hAnsiTheme="majorBidi"/>
          <w:sz w:val="20"/>
        </w:rPr>
        <w:t xml:space="preserve">C 08.04 – RYZYKO KREDYTOWE ORAZ DOSTAWY Z PÓŹNIEJSZYM TERMINEM ROZLICZENIA: WYMOGI KAPITAŁOWE WEDŁUG METODY IRB (RACHUNEK PRZEPŁYWÓW KWOT EKSPOZYCJI WAŻONYCH RYZYKIEM (CR IRB 4)) </w:t>
      </w:r>
    </w:p>
    <w:p w14:paraId="1136F0F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3.3.2.1.</w:t>
      </w:r>
      <w:r w:rsidRPr="00912A12">
        <w:tab/>
      </w:r>
      <w:r w:rsidRPr="00912A12">
        <w:rPr>
          <w:rFonts w:asciiTheme="majorBidi" w:hAnsiTheme="majorBidi"/>
          <w:sz w:val="20"/>
        </w:rPr>
        <w:t>UWAGI OGÓLNE</w:t>
      </w:r>
    </w:p>
    <w:p w14:paraId="03C63A4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3.3.2.2.</w:t>
      </w:r>
      <w:r w:rsidRPr="00912A12">
        <w:tab/>
      </w:r>
      <w:r w:rsidRPr="00912A12">
        <w:rPr>
          <w:rFonts w:asciiTheme="majorBidi" w:hAnsiTheme="majorBidi"/>
          <w:sz w:val="20"/>
        </w:rPr>
        <w:t>INSTRUKCJE DOTYCZĄCE POSZCZEGÓLNYCH POZYCJI</w:t>
      </w:r>
    </w:p>
    <w:p w14:paraId="66B6586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3.3.3.</w:t>
      </w:r>
      <w:r w:rsidRPr="00912A12">
        <w:tab/>
      </w:r>
      <w:r w:rsidRPr="00912A12">
        <w:rPr>
          <w:rFonts w:asciiTheme="majorBidi" w:hAnsiTheme="majorBidi"/>
          <w:sz w:val="20"/>
        </w:rPr>
        <w:t xml:space="preserve">C 08.05 – RYZYKO KREDYTOWE ORAZ DOSTAWY Z PÓŹNIEJSZYM TERMINEM ROZLICZENIA: WYMOGI KAPITAŁOWE WEDŁUG METODY IRB (WERYFIKACJA HISTORYCZNA PD (CR IRB 5)) </w:t>
      </w:r>
    </w:p>
    <w:p w14:paraId="7C6A8AD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3.3.3.1.</w:t>
      </w:r>
      <w:r w:rsidRPr="00912A12">
        <w:tab/>
      </w:r>
      <w:r w:rsidRPr="00912A12">
        <w:rPr>
          <w:rFonts w:asciiTheme="majorBidi" w:hAnsiTheme="majorBidi"/>
          <w:sz w:val="20"/>
        </w:rPr>
        <w:t>UWAGI OGÓLNE</w:t>
      </w:r>
    </w:p>
    <w:p w14:paraId="1E5D13A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3.3.3.2.</w:t>
      </w:r>
      <w:r w:rsidRPr="00912A12">
        <w:tab/>
      </w:r>
      <w:r w:rsidRPr="00912A12">
        <w:rPr>
          <w:rFonts w:asciiTheme="majorBidi" w:hAnsiTheme="majorBidi"/>
          <w:sz w:val="20"/>
        </w:rPr>
        <w:t>INSTRUKCJE DOTYCZĄCE POSZCZEGÓLNYCH POZYCJI</w:t>
      </w:r>
    </w:p>
    <w:p w14:paraId="73C7B45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3.3.4.</w:t>
      </w:r>
      <w:r w:rsidRPr="00912A12">
        <w:tab/>
      </w:r>
      <w:r w:rsidRPr="00912A12">
        <w:rPr>
          <w:rFonts w:asciiTheme="majorBidi" w:hAnsiTheme="majorBidi"/>
          <w:sz w:val="20"/>
        </w:rPr>
        <w:t xml:space="preserve">C 08.05.1 – RYZYKO KREDYTOWE ORAZ DOSTAWY Z PÓŹNIEJSZYM TERMINEM ROZLICZENIA: WYMOGI KAPITAŁOWE WEDŁUG METODY IRB: WERYFIKACJA HISTORYCZNA PD ZGODNIE Z ART. 180 UST. 1 LIT. F) ROZPORZĄDZENIA (UE) NR 575/2013 (CR IRB 5B) </w:t>
      </w:r>
    </w:p>
    <w:p w14:paraId="4F5DB901"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3.3.4.1.</w:t>
      </w:r>
      <w:r w:rsidRPr="00912A12">
        <w:tab/>
      </w:r>
      <w:r w:rsidRPr="00912A12">
        <w:rPr>
          <w:rFonts w:asciiTheme="majorBidi" w:hAnsiTheme="majorBidi"/>
          <w:sz w:val="20"/>
        </w:rPr>
        <w:t>INSTRUKCJE DOTYCZĄCE POSZCZEGÓLNYCH POZYCJI</w:t>
      </w:r>
    </w:p>
    <w:p w14:paraId="598F481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3.3.5.</w:t>
      </w:r>
      <w:r w:rsidRPr="00912A12">
        <w:tab/>
      </w:r>
      <w:r w:rsidRPr="00912A12">
        <w:rPr>
          <w:rFonts w:asciiTheme="majorBidi" w:hAnsiTheme="majorBidi"/>
          <w:sz w:val="20"/>
        </w:rPr>
        <w:t xml:space="preserve">C 08.06 – RYZYKO KREDYTOWE ORAZ DOSTAWY Z PÓŹNIEJSZYM TERMINEM ROZLICZENIA: WYMOGI KAPITAŁOWE WEDŁUG METODY IRB (METODA KLASYFIKACJI KREDYTOWANIA SPECJALISTYCZNEGO (CR IRB 6)) </w:t>
      </w:r>
    </w:p>
    <w:p w14:paraId="68CD3CF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3.3.5.1.</w:t>
      </w:r>
      <w:r w:rsidRPr="00912A12">
        <w:tab/>
      </w:r>
      <w:r w:rsidRPr="00912A12">
        <w:rPr>
          <w:rFonts w:asciiTheme="majorBidi" w:hAnsiTheme="majorBidi"/>
          <w:sz w:val="20"/>
        </w:rPr>
        <w:t>UWAGI OGÓLNE</w:t>
      </w:r>
    </w:p>
    <w:p w14:paraId="24A8F32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3.3.5.2.</w:t>
      </w:r>
      <w:r w:rsidRPr="00912A12">
        <w:tab/>
      </w:r>
      <w:r w:rsidRPr="00912A12">
        <w:rPr>
          <w:rFonts w:asciiTheme="majorBidi" w:hAnsiTheme="majorBidi"/>
          <w:sz w:val="20"/>
        </w:rPr>
        <w:t>INSTRUKCJE DOTYCZĄCE POSZCZEGÓLNYCH POZYCJI</w:t>
      </w:r>
    </w:p>
    <w:p w14:paraId="0084D8B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3.3.6.</w:t>
      </w:r>
      <w:r w:rsidRPr="00912A12">
        <w:tab/>
      </w:r>
      <w:r w:rsidRPr="00912A12">
        <w:rPr>
          <w:rFonts w:asciiTheme="majorBidi" w:hAnsiTheme="majorBidi"/>
          <w:sz w:val="20"/>
        </w:rPr>
        <w:t xml:space="preserve">C 08.07 – RYZYKO KREDYTOWE ORAZ DOSTAWY Z PÓŹNIEJSZYM TERMINEM ROZLICZENIA: WYMOGI KAPITAŁOWE WEDŁUG METODY IRB (ZAKRES STOSOWANIA METODY IRB I METODY STANDARDOWEJ (CR IRB 7)) </w:t>
      </w:r>
    </w:p>
    <w:p w14:paraId="037AAB2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3.3.6.1.</w:t>
      </w:r>
      <w:r w:rsidRPr="00912A12">
        <w:tab/>
      </w:r>
      <w:r w:rsidRPr="00912A12">
        <w:rPr>
          <w:rFonts w:asciiTheme="majorBidi" w:hAnsiTheme="majorBidi"/>
          <w:sz w:val="20"/>
        </w:rPr>
        <w:t>UWAGI OGÓLNE</w:t>
      </w:r>
    </w:p>
    <w:p w14:paraId="1404429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3.3.6.2.</w:t>
      </w:r>
      <w:r w:rsidRPr="00912A12">
        <w:tab/>
      </w:r>
      <w:r w:rsidRPr="00912A12">
        <w:rPr>
          <w:rFonts w:asciiTheme="majorBidi" w:hAnsiTheme="majorBidi"/>
          <w:sz w:val="20"/>
        </w:rPr>
        <w:t>INSTRUKCJE DOTYCZĄCE POSZCZEGÓLNYCH POZYCJI</w:t>
      </w:r>
    </w:p>
    <w:p w14:paraId="027AACB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3.4.</w:t>
      </w:r>
      <w:r w:rsidRPr="00912A12">
        <w:tab/>
      </w:r>
      <w:r w:rsidRPr="00912A12">
        <w:rPr>
          <w:rFonts w:asciiTheme="majorBidi" w:hAnsiTheme="majorBidi"/>
          <w:sz w:val="20"/>
        </w:rPr>
        <w:t>RYZYKO KREDYTOWE I RYZYKO KREDYTOWE KONTRAHENTA ORAZ DOSTAWY Z PÓŹNIEJSZYM TERMINEM ROZLICZENIA: INFORMACJE Z PODZIAŁEM POD WZGLĘDEM GEOGRAFICZNYM</w:t>
      </w:r>
    </w:p>
    <w:p w14:paraId="3741DD7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3.4.1.</w:t>
      </w:r>
      <w:r w:rsidRPr="00912A12">
        <w:tab/>
      </w:r>
      <w:r w:rsidRPr="00912A12">
        <w:rPr>
          <w:rFonts w:asciiTheme="majorBidi" w:hAnsiTheme="majorBidi"/>
          <w:sz w:val="20"/>
        </w:rPr>
        <w:t xml:space="preserve">C 09.01 – PODZIAŁ EKSPOZYCJI POD WZGLĘDEM GEOGRAFICZNYM WEDŁUG SIEDZIBY DŁUŻNIKA: EKSPOZYCJE WEDŁUG METODY STANDARDOWEJ (CR GB 1) </w:t>
      </w:r>
    </w:p>
    <w:p w14:paraId="74D994C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3.4.1.1.</w:t>
      </w:r>
      <w:r w:rsidRPr="00912A12">
        <w:tab/>
      </w:r>
      <w:r w:rsidRPr="00912A12">
        <w:rPr>
          <w:rFonts w:asciiTheme="majorBidi" w:hAnsiTheme="majorBidi"/>
          <w:sz w:val="20"/>
        </w:rPr>
        <w:t>INSTRUKCJE DOTYCZĄCE POSZCZEGÓLNYCH POZYCJI</w:t>
      </w:r>
    </w:p>
    <w:p w14:paraId="5A2D469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3.4.2.</w:t>
      </w:r>
      <w:r w:rsidRPr="00912A12">
        <w:tab/>
      </w:r>
      <w:r w:rsidRPr="00912A12">
        <w:rPr>
          <w:rFonts w:asciiTheme="majorBidi" w:hAnsiTheme="majorBidi"/>
          <w:sz w:val="20"/>
        </w:rPr>
        <w:t xml:space="preserve">C 09.02 – PODZIAŁ EKSPOZYCJI POD WZGLĘDEM GEOGRAFICZNYM WEDŁUG SIEDZIBY DŁUŻNIKA: EKSPOZYCJE WEDŁUG METODY IRB (CR GB 2) </w:t>
      </w:r>
    </w:p>
    <w:p w14:paraId="15FB21B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3.4.2.1.</w:t>
      </w:r>
      <w:r w:rsidRPr="00912A12">
        <w:tab/>
      </w:r>
      <w:r w:rsidRPr="00912A12">
        <w:rPr>
          <w:rFonts w:asciiTheme="majorBidi" w:hAnsiTheme="majorBidi"/>
          <w:sz w:val="20"/>
        </w:rPr>
        <w:t>INSTRUKCJE DOTYCZĄCE POSZCZEGÓLNYCH POZYCJI</w:t>
      </w:r>
    </w:p>
    <w:p w14:paraId="5E4A6A0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3.4.3.</w:t>
      </w:r>
      <w:r w:rsidRPr="00912A12">
        <w:tab/>
      </w:r>
      <w:r w:rsidRPr="00912A12">
        <w:rPr>
          <w:rFonts w:asciiTheme="majorBidi" w:hAnsiTheme="majorBidi"/>
          <w:sz w:val="20"/>
        </w:rPr>
        <w:t xml:space="preserve">C 09.04 – PODZIAŁ EKSPOZYCJI KREDYTOWYCH ISTOTNYCH DO CELÓW OBLICZANIA BUFORA ANTYCYKLICZNEGO WEDŁUG PAŃSTW ORAZ SPECYFICZNEGO DLA INSTYTUCJI WSKAŹNIKA BUFORA ANTYCYKLICZNEGO (CCB) </w:t>
      </w:r>
    </w:p>
    <w:p w14:paraId="67D1D5D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3.4.3.1.</w:t>
      </w:r>
      <w:r w:rsidRPr="00912A12">
        <w:tab/>
      </w:r>
      <w:r w:rsidRPr="00912A12">
        <w:rPr>
          <w:rFonts w:asciiTheme="majorBidi" w:hAnsiTheme="majorBidi"/>
          <w:sz w:val="20"/>
        </w:rPr>
        <w:t>UWAGI OGÓLNE</w:t>
      </w:r>
    </w:p>
    <w:p w14:paraId="7804C63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3.4.3.2.</w:t>
      </w:r>
      <w:r w:rsidRPr="00912A12">
        <w:tab/>
      </w:r>
      <w:r w:rsidRPr="00912A12">
        <w:rPr>
          <w:rFonts w:asciiTheme="majorBidi" w:hAnsiTheme="majorBidi"/>
          <w:sz w:val="20"/>
        </w:rPr>
        <w:t>INSTRUKCJE DOTYCZĄCE POSZCZEGÓLNYCH POZYCJI</w:t>
      </w:r>
    </w:p>
    <w:p w14:paraId="6A35C9AE"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3.5A. C 10.00 – RYZYKO KREDYTOWE I RYZYKO KREDYTOWE KONTRAHENTA ORAZ DOSTAWY Z PÓŹNIEJSZYM TERMINEM ROZLICZENIA: EKSPOZYCJE WEDŁUG METODY IRB PODLEGAJĄCE MINIMALNEMU PROGOWI KAPITAŁOWEMU</w:t>
      </w:r>
    </w:p>
    <w:p w14:paraId="2C8708F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lastRenderedPageBreak/>
        <w:t>3.5A.1. UWAGI OGÓLNE</w:t>
      </w:r>
    </w:p>
    <w:p w14:paraId="537046D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3.5A.2. INSTRUKCJE DOTYCZĄCE POSZCZEGÓLNYCH POZYCJI</w:t>
      </w:r>
    </w:p>
    <w:p w14:paraId="1559C4A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3.5.</w:t>
      </w:r>
      <w:r w:rsidRPr="00912A12">
        <w:tab/>
      </w:r>
      <w:r w:rsidRPr="00912A12">
        <w:rPr>
          <w:rFonts w:asciiTheme="majorBidi" w:hAnsiTheme="majorBidi"/>
          <w:sz w:val="20"/>
        </w:rPr>
        <w:t xml:space="preserve">C 10.01 i C 10.02 – EKSPOZYCJE KAPITAŁOWE, W ODNIESIENIU DO KTÓRYCH ZASTOSOWANO METODĘ WEWNĘTRZNYCH RATINGÓW (CR EQU IRB 1 ORAZ CR EQU IRB 2) </w:t>
      </w:r>
    </w:p>
    <w:p w14:paraId="2FD8FBE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3.5.1.</w:t>
      </w:r>
      <w:r w:rsidRPr="00912A12">
        <w:tab/>
      </w:r>
      <w:r w:rsidRPr="00912A12">
        <w:rPr>
          <w:rFonts w:asciiTheme="majorBidi" w:hAnsiTheme="majorBidi"/>
          <w:sz w:val="20"/>
        </w:rPr>
        <w:t>UWAGI OGÓLNE</w:t>
      </w:r>
    </w:p>
    <w:p w14:paraId="3244953A" w14:textId="30CA64E9" w:rsidR="00BC0C32" w:rsidRPr="00912A12" w:rsidRDefault="00BC0C32" w:rsidP="00BC0C32">
      <w:pPr>
        <w:rPr>
          <w:rFonts w:asciiTheme="majorBidi" w:hAnsiTheme="majorBidi" w:cstheme="majorBidi"/>
          <w:sz w:val="20"/>
          <w:szCs w:val="20"/>
        </w:rPr>
      </w:pPr>
      <w:r w:rsidRPr="00912A12">
        <w:rPr>
          <w:rFonts w:asciiTheme="majorBidi" w:hAnsiTheme="majorBidi"/>
          <w:sz w:val="20"/>
        </w:rPr>
        <w:t>3.5.2.</w:t>
      </w:r>
      <w:r w:rsidRPr="00912A12">
        <w:tab/>
      </w:r>
      <w:r w:rsidRPr="00912A12">
        <w:rPr>
          <w:rFonts w:asciiTheme="majorBidi" w:hAnsiTheme="majorBidi"/>
          <w:sz w:val="20"/>
        </w:rPr>
        <w:t>INSTRUKCJE DOTYCZĄCE POSZCZEGÓLNYCH POZYCJI (MAJĄCE ZASTOSOWANIE DO CR EQU IRB 1 ORAZ CR EQU IRB 2)</w:t>
      </w:r>
      <w:r w:rsidR="00912A12" w:rsidRPr="00912A12">
        <w:rPr>
          <w:rFonts w:asciiTheme="majorBidi" w:hAnsiTheme="majorBidi"/>
          <w:sz w:val="20"/>
        </w:rPr>
        <w:t xml:space="preserve"> </w:t>
      </w:r>
    </w:p>
    <w:p w14:paraId="0C1D906A"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3.6.</w:t>
      </w:r>
      <w:r w:rsidRPr="00912A12">
        <w:tab/>
      </w:r>
      <w:r w:rsidRPr="00912A12">
        <w:rPr>
          <w:rFonts w:asciiTheme="majorBidi" w:hAnsiTheme="majorBidi"/>
          <w:sz w:val="20"/>
        </w:rPr>
        <w:t xml:space="preserve">C 11.00 – RYZYKO ROZLICZENIA/DOSTAWY (CR SETT) </w:t>
      </w:r>
    </w:p>
    <w:p w14:paraId="6539EAC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3.6.1.</w:t>
      </w:r>
      <w:r w:rsidRPr="00912A12">
        <w:tab/>
      </w:r>
      <w:r w:rsidRPr="00912A12">
        <w:rPr>
          <w:rFonts w:asciiTheme="majorBidi" w:hAnsiTheme="majorBidi"/>
          <w:sz w:val="20"/>
        </w:rPr>
        <w:t>UWAGI OGÓLNE</w:t>
      </w:r>
    </w:p>
    <w:p w14:paraId="79F0BDF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3.6.2.</w:t>
      </w:r>
      <w:r w:rsidRPr="00912A12">
        <w:tab/>
      </w:r>
      <w:r w:rsidRPr="00912A12">
        <w:rPr>
          <w:rFonts w:asciiTheme="majorBidi" w:hAnsiTheme="majorBidi"/>
          <w:sz w:val="20"/>
        </w:rPr>
        <w:t>INSTRUKCJE DOTYCZĄCE POSZCZEGÓLNYCH POZYCJI</w:t>
      </w:r>
    </w:p>
    <w:p w14:paraId="23B3A4B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3.7.</w:t>
      </w:r>
      <w:r w:rsidRPr="00912A12">
        <w:tab/>
      </w:r>
      <w:r w:rsidRPr="00912A12">
        <w:rPr>
          <w:rFonts w:asciiTheme="majorBidi" w:hAnsiTheme="majorBidi"/>
          <w:sz w:val="20"/>
        </w:rPr>
        <w:t xml:space="preserve">C 13.01 – RYZYKO KREDYTOWE – SEKURYTYZACJE (CR SEC) </w:t>
      </w:r>
    </w:p>
    <w:p w14:paraId="3DC3A69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3.7.1.</w:t>
      </w:r>
      <w:r w:rsidRPr="00912A12">
        <w:tab/>
      </w:r>
      <w:r w:rsidRPr="00912A12">
        <w:rPr>
          <w:rFonts w:asciiTheme="majorBidi" w:hAnsiTheme="majorBidi"/>
          <w:sz w:val="20"/>
        </w:rPr>
        <w:t>UWAGI OGÓLNE</w:t>
      </w:r>
    </w:p>
    <w:p w14:paraId="15DA2CE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3.7.2.</w:t>
      </w:r>
      <w:r w:rsidRPr="00912A12">
        <w:tab/>
      </w:r>
      <w:r w:rsidRPr="00912A12">
        <w:rPr>
          <w:rFonts w:asciiTheme="majorBidi" w:hAnsiTheme="majorBidi"/>
          <w:sz w:val="20"/>
        </w:rPr>
        <w:t>INSTRUKCJE DOTYCZĄCE POSZCZEGÓLNYCH POZYCJI</w:t>
      </w:r>
    </w:p>
    <w:p w14:paraId="6DFA133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3.8.</w:t>
      </w:r>
      <w:r w:rsidRPr="00912A12">
        <w:tab/>
      </w:r>
      <w:r w:rsidRPr="00912A12">
        <w:rPr>
          <w:rFonts w:asciiTheme="majorBidi" w:hAnsiTheme="majorBidi"/>
          <w:sz w:val="20"/>
        </w:rPr>
        <w:t xml:space="preserve">SZCZEGÓŁOWE INFORMACJE NA TEMAT SEKURYTYZACJI (SEC Szczegóły) </w:t>
      </w:r>
    </w:p>
    <w:p w14:paraId="2DBF97F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3.8.1.</w:t>
      </w:r>
      <w:r w:rsidRPr="00912A12">
        <w:tab/>
      </w:r>
      <w:r w:rsidRPr="00912A12">
        <w:rPr>
          <w:rFonts w:asciiTheme="majorBidi" w:hAnsiTheme="majorBidi"/>
          <w:sz w:val="20"/>
        </w:rPr>
        <w:t>ZAKRES WZORU SEC SZCZEGÓŁY</w:t>
      </w:r>
    </w:p>
    <w:p w14:paraId="2A34E1A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3.8.2 PODZIAŁ WZORU SEC SZCZEGÓŁY</w:t>
      </w:r>
    </w:p>
    <w:p w14:paraId="49C27D9E"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 xml:space="preserve">3.8.3 C 14.00 – SZCZEGÓŁOWE INFORMACJE NA TEMAT SEKURYTYZACJI (SEC SZCZEGÓŁY) </w:t>
      </w:r>
    </w:p>
    <w:p w14:paraId="4559F31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3.8.4.</w:t>
      </w:r>
      <w:r w:rsidRPr="00912A12">
        <w:tab/>
      </w:r>
      <w:r w:rsidRPr="00912A12">
        <w:rPr>
          <w:rFonts w:asciiTheme="majorBidi" w:hAnsiTheme="majorBidi"/>
          <w:sz w:val="20"/>
        </w:rPr>
        <w:t xml:space="preserve">C 14.01 – SZCZEGÓŁOWE INFORMACJE NA TEMAT SEKURYTYZACJI (SEC SZCZEGÓŁY 2) </w:t>
      </w:r>
    </w:p>
    <w:p w14:paraId="26CF60E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w:t>
      </w:r>
      <w:r w:rsidRPr="00912A12">
        <w:tab/>
      </w:r>
      <w:r w:rsidRPr="00912A12">
        <w:rPr>
          <w:rFonts w:asciiTheme="majorBidi" w:hAnsiTheme="majorBidi"/>
          <w:sz w:val="20"/>
        </w:rPr>
        <w:t>RYZYKO KREDYTOWE KONTRAHENTA</w:t>
      </w:r>
    </w:p>
    <w:p w14:paraId="7CC5ED9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3.9.1.</w:t>
      </w:r>
      <w:r w:rsidRPr="00912A12">
        <w:tab/>
      </w:r>
      <w:r w:rsidRPr="00912A12">
        <w:rPr>
          <w:rFonts w:asciiTheme="majorBidi" w:hAnsiTheme="majorBidi"/>
          <w:sz w:val="20"/>
        </w:rPr>
        <w:t>ZAKRES STOSOWANIA WZORÓW DOTYCZĄCYCH RYZYKA KREDYTOWEGO KONTRAHENTA</w:t>
      </w:r>
    </w:p>
    <w:p w14:paraId="50397C7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3.9.2.</w:t>
      </w:r>
      <w:r w:rsidRPr="00912A12">
        <w:tab/>
      </w:r>
      <w:r w:rsidRPr="00912A12">
        <w:rPr>
          <w:rFonts w:asciiTheme="majorBidi" w:hAnsiTheme="majorBidi"/>
          <w:sz w:val="20"/>
        </w:rPr>
        <w:t>C 34.01 – WIELKOŚĆ DZIAŁALNOŚCI DOTYCZĄCEJ INSTRUMENTÓW POCHODNYCH</w:t>
      </w:r>
    </w:p>
    <w:p w14:paraId="4869F3A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3.9.2.1.</w:t>
      </w:r>
      <w:r w:rsidRPr="00912A12">
        <w:tab/>
      </w:r>
      <w:r w:rsidRPr="00912A12">
        <w:rPr>
          <w:rFonts w:asciiTheme="majorBidi" w:hAnsiTheme="majorBidi"/>
          <w:sz w:val="20"/>
        </w:rPr>
        <w:t>UWAGI OGÓLNE</w:t>
      </w:r>
    </w:p>
    <w:p w14:paraId="23B5D7AA"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3.9.2.2.</w:t>
      </w:r>
      <w:r w:rsidRPr="00912A12">
        <w:tab/>
      </w:r>
      <w:r w:rsidRPr="00912A12">
        <w:rPr>
          <w:rFonts w:asciiTheme="majorBidi" w:hAnsiTheme="majorBidi"/>
          <w:sz w:val="20"/>
        </w:rPr>
        <w:t>INSTRUKCJE DOTYCZĄCE POSZCZEGÓLNYCH POZYCJI</w:t>
      </w:r>
    </w:p>
    <w:p w14:paraId="121F67D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3.9.3.</w:t>
      </w:r>
      <w:r w:rsidRPr="00912A12">
        <w:tab/>
      </w:r>
      <w:r w:rsidRPr="00912A12">
        <w:rPr>
          <w:rFonts w:asciiTheme="majorBidi" w:hAnsiTheme="majorBidi"/>
          <w:sz w:val="20"/>
        </w:rPr>
        <w:t>C 34.02 – EKSPOZYCJE NA RYZYKO KREDYTOWE KONTRAHENTA WEDŁUG METODY</w:t>
      </w:r>
    </w:p>
    <w:p w14:paraId="59E000E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3.9.3.1.</w:t>
      </w:r>
      <w:r w:rsidRPr="00912A12">
        <w:tab/>
      </w:r>
      <w:r w:rsidRPr="00912A12">
        <w:rPr>
          <w:rFonts w:asciiTheme="majorBidi" w:hAnsiTheme="majorBidi"/>
          <w:sz w:val="20"/>
        </w:rPr>
        <w:t>UWAGI OGÓLNE</w:t>
      </w:r>
    </w:p>
    <w:p w14:paraId="018F1DD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3.9.3.2.</w:t>
      </w:r>
      <w:r w:rsidRPr="00912A12">
        <w:tab/>
      </w:r>
      <w:r w:rsidRPr="00912A12">
        <w:rPr>
          <w:rFonts w:asciiTheme="majorBidi" w:hAnsiTheme="majorBidi"/>
          <w:sz w:val="20"/>
        </w:rPr>
        <w:t>INSTRUKCJE DOTYCZĄCE POSZCZEGÓLNYCH POZYCJI</w:t>
      </w:r>
    </w:p>
    <w:p w14:paraId="6A78BA5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3.9.4.</w:t>
      </w:r>
      <w:r w:rsidRPr="00912A12">
        <w:tab/>
      </w:r>
      <w:r w:rsidRPr="00912A12">
        <w:rPr>
          <w:rFonts w:asciiTheme="majorBidi" w:hAnsiTheme="majorBidi"/>
          <w:sz w:val="20"/>
        </w:rPr>
        <w:t>C 34.03 – EKSPOZYCJE NA RYZYKO KREDYTOWE KONTRAHENTA, W ODNIESIENIU DO KTÓRYCH ZASTOSOWANO METODY STANDARDOWE: METODA STANDARDOWA DOTYCZĄCA CCR ORAZ UPROSZCZONA METODA STANDARDOWA DOTYCZĄCA CCR</w:t>
      </w:r>
    </w:p>
    <w:p w14:paraId="3491716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3.9.4.1.</w:t>
      </w:r>
      <w:r w:rsidRPr="00912A12">
        <w:tab/>
      </w:r>
      <w:r w:rsidRPr="00912A12">
        <w:rPr>
          <w:rFonts w:asciiTheme="majorBidi" w:hAnsiTheme="majorBidi"/>
          <w:sz w:val="20"/>
        </w:rPr>
        <w:t>UWAGI OGÓLNE</w:t>
      </w:r>
    </w:p>
    <w:p w14:paraId="4AB83A8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3.9.4.2.</w:t>
      </w:r>
      <w:r w:rsidRPr="00912A12">
        <w:tab/>
      </w:r>
      <w:r w:rsidRPr="00912A12">
        <w:rPr>
          <w:rFonts w:asciiTheme="majorBidi" w:hAnsiTheme="majorBidi"/>
          <w:sz w:val="20"/>
        </w:rPr>
        <w:t>INSTRUKCJE DOTYCZĄCE POSZCZEGÓLNYCH POZYCJI</w:t>
      </w:r>
    </w:p>
    <w:p w14:paraId="18AA638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3.9.5.</w:t>
      </w:r>
      <w:r w:rsidRPr="00912A12">
        <w:tab/>
      </w:r>
      <w:r w:rsidRPr="00912A12">
        <w:rPr>
          <w:rFonts w:asciiTheme="majorBidi" w:hAnsiTheme="majorBidi"/>
          <w:sz w:val="20"/>
        </w:rPr>
        <w:t xml:space="preserve">C 34.04 – EKSPOZYCJE NA RYZYKO KREDYTOWE KONTRAHENTA, W ODNIESIENIU DO KTÓRYCH ZASTOSOWANO METODĘ WYCENY PIERWOTNEJ EKSPOZYCJI (OEM) </w:t>
      </w:r>
    </w:p>
    <w:p w14:paraId="5BB7F52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3.9.5.1.</w:t>
      </w:r>
      <w:r w:rsidRPr="00912A12">
        <w:tab/>
      </w:r>
      <w:r w:rsidRPr="00912A12">
        <w:rPr>
          <w:rFonts w:asciiTheme="majorBidi" w:hAnsiTheme="majorBidi"/>
          <w:sz w:val="20"/>
        </w:rPr>
        <w:t>INSTRUKCJE DOTYCZĄCE POSZCZEGÓLNYCH POZYCJI</w:t>
      </w:r>
    </w:p>
    <w:p w14:paraId="3B448FDE"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3.9.6.</w:t>
      </w:r>
      <w:r w:rsidRPr="00912A12">
        <w:tab/>
      </w:r>
      <w:r w:rsidRPr="00912A12">
        <w:rPr>
          <w:rFonts w:asciiTheme="majorBidi" w:hAnsiTheme="majorBidi"/>
          <w:sz w:val="20"/>
        </w:rPr>
        <w:t xml:space="preserve">C 34.05 – EKSPOZYCJE NA RYZYKO KREDYTOWE KONTRAHENTA, W ODNIESIENIU DO KTÓRYCH ZASTOSOWANO METODĘ MODELI WEWNĘTRZNYCH (IMM) </w:t>
      </w:r>
    </w:p>
    <w:p w14:paraId="5050020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lastRenderedPageBreak/>
        <w:t>3.9.6.1.</w:t>
      </w:r>
      <w:r w:rsidRPr="00912A12">
        <w:tab/>
      </w:r>
      <w:r w:rsidRPr="00912A12">
        <w:rPr>
          <w:rFonts w:asciiTheme="majorBidi" w:hAnsiTheme="majorBidi"/>
          <w:sz w:val="20"/>
        </w:rPr>
        <w:t>INSTRUKCJE DOTYCZĄCE POSZCZEGÓLNYCH POZYCJI</w:t>
      </w:r>
    </w:p>
    <w:p w14:paraId="286B94BA"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3.9.7.</w:t>
      </w:r>
      <w:r w:rsidRPr="00912A12">
        <w:tab/>
      </w:r>
      <w:r w:rsidRPr="00912A12">
        <w:rPr>
          <w:rFonts w:asciiTheme="majorBidi" w:hAnsiTheme="majorBidi"/>
          <w:sz w:val="20"/>
        </w:rPr>
        <w:t>C 34.06 – 20 NAJWIĘKSZYCH KONTRAHENTÓW</w:t>
      </w:r>
    </w:p>
    <w:p w14:paraId="42355B8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3.9.7.1.</w:t>
      </w:r>
      <w:r w:rsidRPr="00912A12">
        <w:tab/>
      </w:r>
      <w:r w:rsidRPr="00912A12">
        <w:rPr>
          <w:rFonts w:asciiTheme="majorBidi" w:hAnsiTheme="majorBidi"/>
          <w:sz w:val="20"/>
        </w:rPr>
        <w:t>UWAGI OGÓLNE</w:t>
      </w:r>
    </w:p>
    <w:p w14:paraId="1405B14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3.9.7.2.</w:t>
      </w:r>
      <w:r w:rsidRPr="00912A12">
        <w:tab/>
      </w:r>
      <w:r w:rsidRPr="00912A12">
        <w:rPr>
          <w:rFonts w:asciiTheme="majorBidi" w:hAnsiTheme="majorBidi"/>
          <w:sz w:val="20"/>
        </w:rPr>
        <w:t>INSTRUKCJE DOTYCZĄCE POSZCZEGÓLNYCH POZYCJI</w:t>
      </w:r>
    </w:p>
    <w:p w14:paraId="396E92B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3.9.8.</w:t>
      </w:r>
      <w:r w:rsidRPr="00912A12">
        <w:tab/>
      </w:r>
      <w:r w:rsidRPr="00912A12">
        <w:rPr>
          <w:rFonts w:asciiTheme="majorBidi" w:hAnsiTheme="majorBidi"/>
          <w:sz w:val="20"/>
        </w:rPr>
        <w:t>C 34.07 – METODA IRB – EKSPOZYCJE NA RYZYKO KREDYTOWE KONTRAHENTA WEDŁUG KLASY EKSPOZYCJI I SKALI PD</w:t>
      </w:r>
    </w:p>
    <w:p w14:paraId="62001B0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3.9.8.1.</w:t>
      </w:r>
      <w:r w:rsidRPr="00912A12">
        <w:tab/>
      </w:r>
      <w:r w:rsidRPr="00912A12">
        <w:rPr>
          <w:rFonts w:asciiTheme="majorBidi" w:hAnsiTheme="majorBidi"/>
          <w:sz w:val="20"/>
        </w:rPr>
        <w:t>UWAGI OGÓLNE</w:t>
      </w:r>
    </w:p>
    <w:p w14:paraId="3918ADA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3.9.8.2.</w:t>
      </w:r>
      <w:r w:rsidRPr="00912A12">
        <w:tab/>
      </w:r>
      <w:r w:rsidRPr="00912A12">
        <w:rPr>
          <w:rFonts w:asciiTheme="majorBidi" w:hAnsiTheme="majorBidi"/>
          <w:sz w:val="20"/>
        </w:rPr>
        <w:t>INSTRUKCJE DOTYCZĄCE POSZCZEGÓLNYCH POZYCJI</w:t>
      </w:r>
    </w:p>
    <w:p w14:paraId="02CA0981"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3.9.9.</w:t>
      </w:r>
      <w:r w:rsidRPr="00912A12">
        <w:tab/>
      </w:r>
      <w:r w:rsidRPr="00912A12">
        <w:rPr>
          <w:rFonts w:asciiTheme="majorBidi" w:hAnsiTheme="majorBidi"/>
          <w:sz w:val="20"/>
        </w:rPr>
        <w:t>C 34.08 – SKŁAD ZABEZPIECZEŃ EKSPOZYCJI NA RYZYKO KREDYTOWE KONTRAHENTA</w:t>
      </w:r>
    </w:p>
    <w:p w14:paraId="1BDB51B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3.9.9.1.</w:t>
      </w:r>
      <w:r w:rsidRPr="00912A12">
        <w:tab/>
      </w:r>
      <w:r w:rsidRPr="00912A12">
        <w:rPr>
          <w:rFonts w:asciiTheme="majorBidi" w:hAnsiTheme="majorBidi"/>
          <w:sz w:val="20"/>
        </w:rPr>
        <w:t>UWAGI OGÓLNE</w:t>
      </w:r>
    </w:p>
    <w:p w14:paraId="47D98CC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3.9.9.2.</w:t>
      </w:r>
      <w:r w:rsidRPr="00912A12">
        <w:tab/>
      </w:r>
      <w:r w:rsidRPr="00912A12">
        <w:rPr>
          <w:rFonts w:asciiTheme="majorBidi" w:hAnsiTheme="majorBidi"/>
          <w:sz w:val="20"/>
        </w:rPr>
        <w:t>INSTRUKCJE DOTYCZĄCE POSZCZEGÓLNYCH POZYCJI</w:t>
      </w:r>
    </w:p>
    <w:p w14:paraId="7FFA95D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3.9.10.</w:t>
      </w:r>
      <w:r w:rsidRPr="00912A12">
        <w:tab/>
      </w:r>
      <w:r w:rsidRPr="00912A12">
        <w:rPr>
          <w:rFonts w:asciiTheme="majorBidi" w:hAnsiTheme="majorBidi"/>
          <w:sz w:val="20"/>
        </w:rPr>
        <w:t>C 34.09 – EKSPOZYCJE Z TYTUŁU KREDYTOWYCH INSTRUMENTÓW POCHODNYCH</w:t>
      </w:r>
    </w:p>
    <w:p w14:paraId="4B535A5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3.9.10.1.</w:t>
      </w:r>
      <w:r w:rsidRPr="00912A12">
        <w:tab/>
      </w:r>
      <w:r w:rsidRPr="00912A12">
        <w:rPr>
          <w:rFonts w:asciiTheme="majorBidi" w:hAnsiTheme="majorBidi"/>
          <w:sz w:val="20"/>
        </w:rPr>
        <w:t>INSTRUKCJE DOTYCZĄCE POSZCZEGÓLNYCH POZYCJI</w:t>
      </w:r>
    </w:p>
    <w:p w14:paraId="57BE3BA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3.9.11.</w:t>
      </w:r>
      <w:r w:rsidRPr="00912A12">
        <w:tab/>
      </w:r>
      <w:r w:rsidRPr="00912A12">
        <w:rPr>
          <w:rFonts w:asciiTheme="majorBidi" w:hAnsiTheme="majorBidi"/>
          <w:sz w:val="20"/>
        </w:rPr>
        <w:t>C 34.10 – EKSPOZYCJE WOBEC CCP</w:t>
      </w:r>
    </w:p>
    <w:p w14:paraId="3802A93E"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3.9.11.1.</w:t>
      </w:r>
      <w:r w:rsidRPr="00912A12">
        <w:tab/>
      </w:r>
      <w:r w:rsidRPr="00912A12">
        <w:rPr>
          <w:rFonts w:asciiTheme="majorBidi" w:hAnsiTheme="majorBidi"/>
          <w:sz w:val="20"/>
        </w:rPr>
        <w:t>UWAGI OGÓLNE</w:t>
      </w:r>
    </w:p>
    <w:p w14:paraId="59237ED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3.9.11.2.</w:t>
      </w:r>
      <w:r w:rsidRPr="00912A12">
        <w:tab/>
      </w:r>
      <w:r w:rsidRPr="00912A12">
        <w:rPr>
          <w:rFonts w:asciiTheme="majorBidi" w:hAnsiTheme="majorBidi"/>
          <w:sz w:val="20"/>
        </w:rPr>
        <w:t>INSTRUKCJE DOTYCZĄCE POSZCZEGÓLNYCH POZYCJI</w:t>
      </w:r>
    </w:p>
    <w:p w14:paraId="41C7189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3.9.12.</w:t>
      </w:r>
      <w:r w:rsidRPr="00912A12">
        <w:tab/>
      </w:r>
      <w:r w:rsidRPr="00912A12">
        <w:rPr>
          <w:rFonts w:asciiTheme="majorBidi" w:hAnsiTheme="majorBidi"/>
          <w:sz w:val="20"/>
        </w:rPr>
        <w:t>C 34.11 – RACHUNKI PRZEPŁYWÓW KWOT EKSPOZYCJI WAŻONYCH RYZYKIEM (RWEA) DLA EKSPOZYCJI NA RYZYKO KREDYTOWE KONTRAHENTA OBLICZONYCH ZGODNIE Z IMM</w:t>
      </w:r>
    </w:p>
    <w:p w14:paraId="0E06273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3.9.12.1.</w:t>
      </w:r>
      <w:r w:rsidRPr="00912A12">
        <w:tab/>
      </w:r>
      <w:r w:rsidRPr="00912A12">
        <w:rPr>
          <w:rFonts w:asciiTheme="majorBidi" w:hAnsiTheme="majorBidi"/>
          <w:sz w:val="20"/>
        </w:rPr>
        <w:t>UWAGI OGÓLNE</w:t>
      </w:r>
    </w:p>
    <w:p w14:paraId="1D1AB60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3.9.12.2.</w:t>
      </w:r>
      <w:r w:rsidRPr="00912A12">
        <w:tab/>
      </w:r>
      <w:r w:rsidRPr="00912A12">
        <w:rPr>
          <w:rFonts w:asciiTheme="majorBidi" w:hAnsiTheme="majorBidi"/>
          <w:sz w:val="20"/>
        </w:rPr>
        <w:t>INSTRUKCJE DOTYCZĄCE POSZCZEGÓLNYCH POZYCJI</w:t>
      </w:r>
    </w:p>
    <w:p w14:paraId="24C616F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w:t>
      </w:r>
      <w:r w:rsidRPr="00912A12">
        <w:tab/>
      </w:r>
      <w:r w:rsidRPr="00912A12">
        <w:rPr>
          <w:rFonts w:asciiTheme="majorBidi" w:hAnsiTheme="majorBidi"/>
          <w:sz w:val="20"/>
        </w:rPr>
        <w:t>WZORY DOTYCZĄCE RYZYKA OPERACYJNEGO</w:t>
      </w:r>
    </w:p>
    <w:p w14:paraId="5E6BD53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4.1</w:t>
      </w:r>
      <w:r w:rsidRPr="00912A12">
        <w:tab/>
      </w:r>
      <w:r w:rsidRPr="00912A12">
        <w:rPr>
          <w:rFonts w:asciiTheme="majorBidi" w:hAnsiTheme="majorBidi"/>
          <w:sz w:val="20"/>
        </w:rPr>
        <w:t xml:space="preserve"> C 16.00 – RYZYKO OPERACYJNE (OPR) </w:t>
      </w:r>
    </w:p>
    <w:p w14:paraId="69DEECB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4.1.1</w:t>
      </w:r>
      <w:r w:rsidRPr="00912A12">
        <w:tab/>
      </w:r>
      <w:r w:rsidRPr="00912A12">
        <w:rPr>
          <w:rFonts w:asciiTheme="majorBidi" w:hAnsiTheme="majorBidi"/>
          <w:sz w:val="20"/>
        </w:rPr>
        <w:t>UWAGI OGÓLNE</w:t>
      </w:r>
    </w:p>
    <w:p w14:paraId="282B93C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4.1.2.</w:t>
      </w:r>
      <w:r w:rsidRPr="00912A12">
        <w:tab/>
      </w:r>
      <w:r w:rsidRPr="00912A12">
        <w:rPr>
          <w:rFonts w:asciiTheme="majorBidi" w:hAnsiTheme="majorBidi"/>
          <w:sz w:val="20"/>
        </w:rPr>
        <w:t>INSTRUKCJE DOTYCZĄCE POSZCZEGÓLNYCH POZYCJI</w:t>
      </w:r>
    </w:p>
    <w:p w14:paraId="2AD1F43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4.2.</w:t>
      </w:r>
      <w:r w:rsidRPr="00912A12">
        <w:tab/>
      </w:r>
      <w:r w:rsidRPr="00912A12">
        <w:rPr>
          <w:rFonts w:asciiTheme="majorBidi" w:hAnsiTheme="majorBidi"/>
          <w:sz w:val="20"/>
        </w:rPr>
        <w:t xml:space="preserve">RYZYKO OPERACYJNE: SZCZEGÓŁOWE INFORMACJE NA TEMAT STRAT W OSTATNIM ROKU (OPR SZCZEGÓŁY) </w:t>
      </w:r>
    </w:p>
    <w:p w14:paraId="5392CC8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4.2.1.</w:t>
      </w:r>
      <w:r w:rsidRPr="00912A12">
        <w:tab/>
      </w:r>
      <w:r w:rsidRPr="00912A12">
        <w:rPr>
          <w:rFonts w:asciiTheme="majorBidi" w:hAnsiTheme="majorBidi"/>
          <w:sz w:val="20"/>
        </w:rPr>
        <w:t>UWAGI OGÓLNE</w:t>
      </w:r>
    </w:p>
    <w:p w14:paraId="41BD3C1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4.2.2.</w:t>
      </w:r>
      <w:r w:rsidRPr="00912A12">
        <w:tab/>
      </w:r>
      <w:r w:rsidRPr="00912A12">
        <w:rPr>
          <w:rFonts w:asciiTheme="majorBidi" w:hAnsiTheme="majorBidi"/>
          <w:sz w:val="20"/>
        </w:rPr>
        <w:t xml:space="preserve">C 17.01: RYZYKO OPERACYJNE: STRATY I ODZYSKANE NALEŻNOŚCI WEDŁUG LINII BIZNESOWYCH I RODZAJÓW ZDARZEŃ STRATY W OSTATNIM ROKU (OPR SZCZEGÓŁY 1) </w:t>
      </w:r>
    </w:p>
    <w:p w14:paraId="13B84C61"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4.2.2.1.</w:t>
      </w:r>
      <w:r w:rsidRPr="00912A12">
        <w:tab/>
      </w:r>
      <w:r w:rsidRPr="00912A12">
        <w:rPr>
          <w:rFonts w:asciiTheme="majorBidi" w:hAnsiTheme="majorBidi"/>
          <w:sz w:val="20"/>
        </w:rPr>
        <w:t>UWAGI OGÓLNE</w:t>
      </w:r>
    </w:p>
    <w:p w14:paraId="2056D3E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4.2.2.2.</w:t>
      </w:r>
      <w:r w:rsidRPr="00912A12">
        <w:tab/>
      </w:r>
      <w:r w:rsidRPr="00912A12">
        <w:rPr>
          <w:rFonts w:asciiTheme="majorBidi" w:hAnsiTheme="majorBidi"/>
          <w:sz w:val="20"/>
        </w:rPr>
        <w:t>INSTRUKCJE DOTYCZĄCE POSZCZEGÓLNYCH POZYCJI</w:t>
      </w:r>
    </w:p>
    <w:p w14:paraId="3E0CBE6E"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4.2.3.</w:t>
      </w:r>
      <w:r w:rsidRPr="00912A12">
        <w:tab/>
      </w:r>
      <w:r w:rsidRPr="00912A12">
        <w:rPr>
          <w:rFonts w:asciiTheme="majorBidi" w:hAnsiTheme="majorBidi"/>
          <w:sz w:val="20"/>
        </w:rPr>
        <w:t xml:space="preserve">C 17.02: RYZYKO OPERACYJNE: SZCZEGÓŁOWE INFORMACJE NA TEMAT ZDARZEŃ NAJWIĘKSZYCH STRAT W OSTATNIM ROKU (OPR SZCZEGÓŁY 2) </w:t>
      </w:r>
    </w:p>
    <w:p w14:paraId="09F2568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4.2.3.1.</w:t>
      </w:r>
      <w:r w:rsidRPr="00912A12">
        <w:tab/>
      </w:r>
      <w:r w:rsidRPr="00912A12">
        <w:rPr>
          <w:rFonts w:asciiTheme="majorBidi" w:hAnsiTheme="majorBidi"/>
          <w:sz w:val="20"/>
        </w:rPr>
        <w:t>UWAGI OGÓLNE</w:t>
      </w:r>
    </w:p>
    <w:p w14:paraId="30EF623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4.2.3.2.</w:t>
      </w:r>
      <w:r w:rsidRPr="00912A12">
        <w:tab/>
      </w:r>
      <w:r w:rsidRPr="00912A12">
        <w:rPr>
          <w:rFonts w:asciiTheme="majorBidi" w:hAnsiTheme="majorBidi"/>
          <w:sz w:val="20"/>
        </w:rPr>
        <w:t>INSTRUKCJE DOTYCZĄCE POSZCZEGÓLNYCH POZYCJI</w:t>
      </w:r>
    </w:p>
    <w:p w14:paraId="6A97057B" w14:textId="68626952" w:rsidR="00BC0C32" w:rsidRPr="00912A12" w:rsidRDefault="00BC0C32" w:rsidP="00BC0C32">
      <w:pPr>
        <w:rPr>
          <w:rFonts w:asciiTheme="majorBidi" w:hAnsiTheme="majorBidi" w:cstheme="majorBidi"/>
          <w:sz w:val="20"/>
          <w:szCs w:val="20"/>
        </w:rPr>
      </w:pPr>
      <w:r w:rsidRPr="00912A12">
        <w:rPr>
          <w:rFonts w:asciiTheme="majorBidi" w:hAnsiTheme="majorBidi"/>
          <w:sz w:val="20"/>
        </w:rPr>
        <w:t>5.</w:t>
      </w:r>
      <w:r w:rsidRPr="00912A12">
        <w:tab/>
      </w:r>
      <w:r w:rsidRPr="00912A12">
        <w:rPr>
          <w:rFonts w:asciiTheme="majorBidi" w:hAnsiTheme="majorBidi"/>
          <w:sz w:val="20"/>
        </w:rPr>
        <w:t>WZORY DOTYCZĄCE RYZYKA</w:t>
      </w:r>
      <w:r w:rsidR="00912A12" w:rsidRPr="00912A12">
        <w:rPr>
          <w:rFonts w:asciiTheme="majorBidi" w:hAnsiTheme="majorBidi"/>
          <w:sz w:val="20"/>
        </w:rPr>
        <w:t xml:space="preserve"> </w:t>
      </w:r>
      <w:r w:rsidRPr="00912A12">
        <w:rPr>
          <w:rFonts w:asciiTheme="majorBidi" w:hAnsiTheme="majorBidi"/>
          <w:sz w:val="20"/>
        </w:rPr>
        <w:t>RYNKOWEGO</w:t>
      </w:r>
    </w:p>
    <w:p w14:paraId="3EBA406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lastRenderedPageBreak/>
        <w:t>5.1.</w:t>
      </w:r>
      <w:r w:rsidRPr="00912A12">
        <w:tab/>
      </w:r>
      <w:r w:rsidRPr="00912A12">
        <w:rPr>
          <w:rFonts w:asciiTheme="majorBidi" w:hAnsiTheme="majorBidi"/>
          <w:sz w:val="20"/>
        </w:rPr>
        <w:t xml:space="preserve">C 18.00 – RYZYKO RYNKOWE: RYZYKO POZYCJI Z TYTUŁU RYNKOWYCH INSTRUMENTÓW DŁUŻNYCH WEDŁUG METODY STANDARDOWEJ (MKR SA TDI) </w:t>
      </w:r>
    </w:p>
    <w:p w14:paraId="0A45D83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5.1.1.</w:t>
      </w:r>
      <w:r w:rsidRPr="00912A12">
        <w:tab/>
      </w:r>
      <w:r w:rsidRPr="00912A12">
        <w:rPr>
          <w:rFonts w:asciiTheme="majorBidi" w:hAnsiTheme="majorBidi"/>
          <w:sz w:val="20"/>
        </w:rPr>
        <w:t>UWAGI OGÓLNE</w:t>
      </w:r>
    </w:p>
    <w:p w14:paraId="3485325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5.1.2.</w:t>
      </w:r>
      <w:r w:rsidRPr="00912A12">
        <w:tab/>
      </w:r>
      <w:r w:rsidRPr="00912A12">
        <w:rPr>
          <w:rFonts w:asciiTheme="majorBidi" w:hAnsiTheme="majorBidi"/>
          <w:sz w:val="20"/>
        </w:rPr>
        <w:t>INSTRUKCJE DOTYCZĄCE POSZCZEGÓLNYCH POZYCJI</w:t>
      </w:r>
    </w:p>
    <w:p w14:paraId="74E9047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5.2.</w:t>
      </w:r>
      <w:r w:rsidRPr="00912A12">
        <w:tab/>
      </w:r>
      <w:r w:rsidRPr="00912A12">
        <w:rPr>
          <w:rFonts w:asciiTheme="majorBidi" w:hAnsiTheme="majorBidi"/>
          <w:sz w:val="20"/>
        </w:rPr>
        <w:t xml:space="preserve">C 19.00 – RYZYKO RYNKOWE: SZCZEGÓLNE RYZYKO Z TYTUŁU SEKURYTYZACJI WEDŁUG METODY STANDARDOWEJ (MKR SA SEC) </w:t>
      </w:r>
    </w:p>
    <w:p w14:paraId="2A5CAF9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5.2.1.</w:t>
      </w:r>
      <w:r w:rsidRPr="00912A12">
        <w:tab/>
      </w:r>
      <w:r w:rsidRPr="00912A12">
        <w:rPr>
          <w:rFonts w:asciiTheme="majorBidi" w:hAnsiTheme="majorBidi"/>
          <w:sz w:val="20"/>
        </w:rPr>
        <w:t>UWAGI OGÓLNE</w:t>
      </w:r>
    </w:p>
    <w:p w14:paraId="40C9A2A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5.2.2.</w:t>
      </w:r>
      <w:r w:rsidRPr="00912A12">
        <w:tab/>
      </w:r>
      <w:r w:rsidRPr="00912A12">
        <w:rPr>
          <w:rFonts w:asciiTheme="majorBidi" w:hAnsiTheme="majorBidi"/>
          <w:sz w:val="20"/>
        </w:rPr>
        <w:t>INSTRUKCJE DOTYCZĄCE POSZCZEGÓLNYCH POZYCJI</w:t>
      </w:r>
    </w:p>
    <w:p w14:paraId="1271B63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5.3.</w:t>
      </w:r>
      <w:r w:rsidRPr="00912A12">
        <w:tab/>
      </w:r>
      <w:r w:rsidRPr="00912A12">
        <w:rPr>
          <w:rFonts w:asciiTheme="majorBidi" w:hAnsiTheme="majorBidi"/>
          <w:sz w:val="20"/>
        </w:rPr>
        <w:t xml:space="preserve">C 20.00 – RYZYKO RYNKOWE: SZCZEGÓLNE RYZYKO W RAMACH POZYCJI UJĘTYCH W KORELACYJNYM PORTFELU HANDLOWYM WEDŁUG METODY STANDARDOWEJ (MKR SA CTP) </w:t>
      </w:r>
    </w:p>
    <w:p w14:paraId="2F69064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5.3.1.</w:t>
      </w:r>
      <w:r w:rsidRPr="00912A12">
        <w:tab/>
      </w:r>
      <w:r w:rsidRPr="00912A12">
        <w:rPr>
          <w:rFonts w:asciiTheme="majorBidi" w:hAnsiTheme="majorBidi"/>
          <w:sz w:val="20"/>
        </w:rPr>
        <w:t>UWAGI OGÓLNE</w:t>
      </w:r>
    </w:p>
    <w:p w14:paraId="6B22632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5.3.2.</w:t>
      </w:r>
      <w:r w:rsidRPr="00912A12">
        <w:tab/>
      </w:r>
      <w:r w:rsidRPr="00912A12">
        <w:rPr>
          <w:rFonts w:asciiTheme="majorBidi" w:hAnsiTheme="majorBidi"/>
          <w:sz w:val="20"/>
        </w:rPr>
        <w:t>INSTRUKCJE DOTYCZĄCE POSZCZEGÓLNYCH POZYCJI</w:t>
      </w:r>
    </w:p>
    <w:p w14:paraId="2143949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5.4.</w:t>
      </w:r>
      <w:r w:rsidRPr="00912A12">
        <w:tab/>
      </w:r>
      <w:r w:rsidRPr="00912A12">
        <w:rPr>
          <w:rFonts w:asciiTheme="majorBidi" w:hAnsiTheme="majorBidi"/>
          <w:sz w:val="20"/>
        </w:rPr>
        <w:t xml:space="preserve">C 21.00 – RYZYKO RYNKOWE: RYZYKO POZYCJI ZWIĄZANE Z PAPIERAMI KAPITAŁOWYMI WEDŁUG METODY STANDARDOWEJ (MKR SA EQU) </w:t>
      </w:r>
    </w:p>
    <w:p w14:paraId="38A7ECE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5.4.1.</w:t>
      </w:r>
      <w:r w:rsidRPr="00912A12">
        <w:tab/>
      </w:r>
      <w:r w:rsidRPr="00912A12">
        <w:rPr>
          <w:rFonts w:asciiTheme="majorBidi" w:hAnsiTheme="majorBidi"/>
          <w:sz w:val="20"/>
        </w:rPr>
        <w:t>UWAGI OGÓLNE</w:t>
      </w:r>
    </w:p>
    <w:p w14:paraId="1D37119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5.4.2.</w:t>
      </w:r>
      <w:r w:rsidRPr="00912A12">
        <w:tab/>
      </w:r>
      <w:r w:rsidRPr="00912A12">
        <w:rPr>
          <w:rFonts w:asciiTheme="majorBidi" w:hAnsiTheme="majorBidi"/>
          <w:sz w:val="20"/>
        </w:rPr>
        <w:t>INSTRUKCJE DOTYCZĄCE POSZCZEGÓLNYCH POZYCJI</w:t>
      </w:r>
    </w:p>
    <w:p w14:paraId="64A9800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5.5.</w:t>
      </w:r>
      <w:r w:rsidRPr="00912A12">
        <w:tab/>
      </w:r>
      <w:r w:rsidRPr="00912A12">
        <w:rPr>
          <w:rFonts w:asciiTheme="majorBidi" w:hAnsiTheme="majorBidi"/>
          <w:sz w:val="20"/>
        </w:rPr>
        <w:t xml:space="preserve">C 22.00 – RYZYKO RYNKOWE: RYZYKO WALUTOWE WEDŁUG METOD STANDARDOWYCH (MKR SA FX) </w:t>
      </w:r>
    </w:p>
    <w:p w14:paraId="55A167A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5.5.1.</w:t>
      </w:r>
      <w:r w:rsidRPr="00912A12">
        <w:tab/>
      </w:r>
      <w:r w:rsidRPr="00912A12">
        <w:rPr>
          <w:rFonts w:asciiTheme="majorBidi" w:hAnsiTheme="majorBidi"/>
          <w:sz w:val="20"/>
        </w:rPr>
        <w:t>UWAGI OGÓLNE</w:t>
      </w:r>
    </w:p>
    <w:p w14:paraId="2C126D1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5.5.2.</w:t>
      </w:r>
      <w:r w:rsidRPr="00912A12">
        <w:tab/>
      </w:r>
      <w:r w:rsidRPr="00912A12">
        <w:rPr>
          <w:rFonts w:asciiTheme="majorBidi" w:hAnsiTheme="majorBidi"/>
          <w:sz w:val="20"/>
        </w:rPr>
        <w:t>INSTRUKCJE DOTYCZĄCE POSZCZEGÓLNYCH POZYCJI</w:t>
      </w:r>
    </w:p>
    <w:p w14:paraId="59EF51F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5.6.</w:t>
      </w:r>
      <w:r w:rsidRPr="00912A12">
        <w:tab/>
      </w:r>
      <w:r w:rsidRPr="00912A12">
        <w:rPr>
          <w:rFonts w:asciiTheme="majorBidi" w:hAnsiTheme="majorBidi"/>
          <w:sz w:val="20"/>
        </w:rPr>
        <w:t xml:space="preserve">C 23.00 – RYZYKO RYNKOWE: RYZYKO CEN TOWARÓW WEDŁUG METOD STANDARDOWYCH (MKR SA COM) </w:t>
      </w:r>
    </w:p>
    <w:p w14:paraId="4D281EF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5.6.1.</w:t>
      </w:r>
      <w:r w:rsidRPr="00912A12">
        <w:tab/>
      </w:r>
      <w:r w:rsidRPr="00912A12">
        <w:rPr>
          <w:rFonts w:asciiTheme="majorBidi" w:hAnsiTheme="majorBidi"/>
          <w:sz w:val="20"/>
        </w:rPr>
        <w:t>UWAGI OGÓLNE</w:t>
      </w:r>
    </w:p>
    <w:p w14:paraId="17389FF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5.6.2.</w:t>
      </w:r>
      <w:r w:rsidRPr="00912A12">
        <w:tab/>
      </w:r>
      <w:r w:rsidRPr="00912A12">
        <w:rPr>
          <w:rFonts w:asciiTheme="majorBidi" w:hAnsiTheme="majorBidi"/>
          <w:sz w:val="20"/>
        </w:rPr>
        <w:t>INSTRUKCJE DOTYCZĄCE POSZCZEGÓLNYCH POZYCJI</w:t>
      </w:r>
    </w:p>
    <w:p w14:paraId="725E272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5.7.</w:t>
      </w:r>
      <w:r w:rsidRPr="00912A12">
        <w:tab/>
      </w:r>
      <w:r w:rsidRPr="00912A12">
        <w:rPr>
          <w:rFonts w:asciiTheme="majorBidi" w:hAnsiTheme="majorBidi"/>
          <w:sz w:val="20"/>
        </w:rPr>
        <w:t xml:space="preserve">C 24.00 – MODELE WEWNĘTRZNE RYZYKA RYNKOWEGO (MKR IM) </w:t>
      </w:r>
    </w:p>
    <w:p w14:paraId="21106A7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5.7.1.</w:t>
      </w:r>
      <w:r w:rsidRPr="00912A12">
        <w:tab/>
      </w:r>
      <w:r w:rsidRPr="00912A12">
        <w:rPr>
          <w:rFonts w:asciiTheme="majorBidi" w:hAnsiTheme="majorBidi"/>
          <w:sz w:val="20"/>
        </w:rPr>
        <w:t>UWAGI OGÓLNE</w:t>
      </w:r>
    </w:p>
    <w:p w14:paraId="0DD04D4A"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5.7.2.</w:t>
      </w:r>
      <w:r w:rsidRPr="00912A12">
        <w:tab/>
      </w:r>
      <w:r w:rsidRPr="00912A12">
        <w:rPr>
          <w:rFonts w:asciiTheme="majorBidi" w:hAnsiTheme="majorBidi"/>
          <w:sz w:val="20"/>
        </w:rPr>
        <w:t>INSTRUKCJE DOTYCZĄCE POSZCZEGÓLNYCH POZYCJI</w:t>
      </w:r>
    </w:p>
    <w:p w14:paraId="0B31DA5D"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 xml:space="preserve">5.8. C 25.00 – RYZYKO ZWIĄZANE Z KOREKTĄ WYCENY KREDYTOWEJ (CVA): </w:t>
      </w:r>
    </w:p>
    <w:p w14:paraId="1292EA6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5.8.1.</w:t>
      </w:r>
      <w:r w:rsidRPr="00912A12">
        <w:tab/>
      </w:r>
      <w:r w:rsidRPr="00912A12">
        <w:rPr>
          <w:rFonts w:asciiTheme="majorBidi" w:hAnsiTheme="majorBidi"/>
          <w:sz w:val="20"/>
        </w:rPr>
        <w:t>INSTRUKCJE DOTYCZĄCE POSZCZEGÓLNYCH POZYCJI</w:t>
      </w:r>
    </w:p>
    <w:p w14:paraId="2936D88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w:t>
      </w:r>
      <w:r w:rsidRPr="00912A12">
        <w:tab/>
      </w:r>
      <w:r w:rsidRPr="00912A12">
        <w:rPr>
          <w:rFonts w:asciiTheme="majorBidi" w:hAnsiTheme="majorBidi"/>
          <w:sz w:val="20"/>
        </w:rPr>
        <w:t xml:space="preserve">OSTROŻNA WYCENA (PRUVAL) </w:t>
      </w:r>
    </w:p>
    <w:p w14:paraId="381E1AA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6.1.</w:t>
      </w:r>
      <w:r w:rsidRPr="00912A12">
        <w:tab/>
      </w:r>
      <w:r w:rsidRPr="00912A12">
        <w:rPr>
          <w:rFonts w:asciiTheme="majorBidi" w:hAnsiTheme="majorBidi"/>
          <w:sz w:val="20"/>
        </w:rPr>
        <w:t xml:space="preserve">C 32.01 – OSTROŻNA WYCENA: AKTYWA I ZOBOWIĄZANIA WYCENIANE WEDŁUG WARTOŚCI GODZIWEJ (PRUVAL 1) </w:t>
      </w:r>
    </w:p>
    <w:p w14:paraId="75F1171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6.1.1.</w:t>
      </w:r>
      <w:r w:rsidRPr="00912A12">
        <w:tab/>
      </w:r>
      <w:r w:rsidRPr="00912A12">
        <w:rPr>
          <w:rFonts w:asciiTheme="majorBidi" w:hAnsiTheme="majorBidi"/>
          <w:sz w:val="20"/>
        </w:rPr>
        <w:t>UWAGI OGÓLNE</w:t>
      </w:r>
    </w:p>
    <w:p w14:paraId="3D0F9D7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6.1.2.</w:t>
      </w:r>
      <w:r w:rsidRPr="00912A12">
        <w:tab/>
      </w:r>
      <w:r w:rsidRPr="00912A12">
        <w:rPr>
          <w:rFonts w:asciiTheme="majorBidi" w:hAnsiTheme="majorBidi"/>
          <w:sz w:val="20"/>
        </w:rPr>
        <w:t>INSTRUKCJE DOTYCZĄCE POSZCZEGÓLNYCH POZYCJI</w:t>
      </w:r>
    </w:p>
    <w:p w14:paraId="1B184BBA"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6.2.</w:t>
      </w:r>
      <w:r w:rsidRPr="00912A12">
        <w:tab/>
      </w:r>
      <w:r w:rsidRPr="00912A12">
        <w:rPr>
          <w:rFonts w:asciiTheme="majorBidi" w:hAnsiTheme="majorBidi"/>
          <w:sz w:val="20"/>
        </w:rPr>
        <w:t xml:space="preserve">C 32.02 – OSTROŻNA WYCENA: METODA PODSTAWOWA (PRUVAL 2) </w:t>
      </w:r>
    </w:p>
    <w:p w14:paraId="0E1DD738"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6.2.1.</w:t>
      </w:r>
      <w:r w:rsidRPr="00912A12">
        <w:tab/>
      </w:r>
      <w:r w:rsidRPr="00912A12">
        <w:rPr>
          <w:rFonts w:asciiTheme="majorBidi" w:hAnsiTheme="majorBidi"/>
          <w:sz w:val="20"/>
        </w:rPr>
        <w:t>UWAGI OGÓLNE</w:t>
      </w:r>
    </w:p>
    <w:p w14:paraId="29D63F1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6.2.2.</w:t>
      </w:r>
      <w:r w:rsidRPr="00912A12">
        <w:tab/>
      </w:r>
      <w:r w:rsidRPr="00912A12">
        <w:rPr>
          <w:rFonts w:asciiTheme="majorBidi" w:hAnsiTheme="majorBidi"/>
          <w:sz w:val="20"/>
        </w:rPr>
        <w:t>INSTRUKCJE DOTYCZĄCE POSZCZEGÓLNYCH POZYCJI</w:t>
      </w:r>
    </w:p>
    <w:p w14:paraId="1B3FDEC1"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lastRenderedPageBreak/>
        <w:t xml:space="preserve">6.3. C 32.03 – OSTROŻNA WYCENA: AVA Z TYTUŁU RYZYKA MODELU (PRUVAL 3) </w:t>
      </w:r>
    </w:p>
    <w:p w14:paraId="7C5153D2"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6.3.1.</w:t>
      </w:r>
      <w:r w:rsidRPr="00912A12">
        <w:tab/>
      </w:r>
      <w:r w:rsidRPr="00912A12">
        <w:rPr>
          <w:rFonts w:asciiTheme="majorBidi" w:hAnsiTheme="majorBidi"/>
          <w:sz w:val="20"/>
        </w:rPr>
        <w:t>UWAGI OGÓLNE</w:t>
      </w:r>
    </w:p>
    <w:p w14:paraId="5709AAF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6.3.2.</w:t>
      </w:r>
      <w:r w:rsidRPr="00912A12">
        <w:tab/>
      </w:r>
      <w:r w:rsidRPr="00912A12">
        <w:rPr>
          <w:rFonts w:asciiTheme="majorBidi" w:hAnsiTheme="majorBidi"/>
          <w:sz w:val="20"/>
        </w:rPr>
        <w:t>INSTRUKCJE DOTYCZĄCE POSZCZEGÓLNYCH POZYCJI</w:t>
      </w:r>
    </w:p>
    <w:p w14:paraId="28F042A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 xml:space="preserve">6.4 C 32.04 – OSTROŻNA WYCENA: AVA Z TYTUŁU POZYCJI O DUŻEJ KONCENTRACJI (PRUVAL 4) </w:t>
      </w:r>
    </w:p>
    <w:p w14:paraId="243A161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6.4.1.</w:t>
      </w:r>
      <w:r w:rsidRPr="00912A12">
        <w:tab/>
      </w:r>
      <w:r w:rsidRPr="00912A12">
        <w:rPr>
          <w:rFonts w:asciiTheme="majorBidi" w:hAnsiTheme="majorBidi"/>
          <w:sz w:val="20"/>
        </w:rPr>
        <w:t>UWAGI OGÓLNE</w:t>
      </w:r>
    </w:p>
    <w:p w14:paraId="636DB81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6.4.2.</w:t>
      </w:r>
      <w:r w:rsidRPr="00912A12">
        <w:tab/>
      </w:r>
      <w:r w:rsidRPr="00912A12">
        <w:rPr>
          <w:rFonts w:asciiTheme="majorBidi" w:hAnsiTheme="majorBidi"/>
          <w:sz w:val="20"/>
        </w:rPr>
        <w:t>INSTRUKCJE DOTYCZĄCE POSZCZEGÓLNYCH POZYCJI</w:t>
      </w:r>
    </w:p>
    <w:p w14:paraId="033BEE0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7.</w:t>
      </w:r>
      <w:r w:rsidRPr="00912A12">
        <w:tab/>
      </w:r>
      <w:r w:rsidRPr="00912A12">
        <w:rPr>
          <w:rFonts w:asciiTheme="majorBidi" w:hAnsiTheme="majorBidi"/>
          <w:sz w:val="20"/>
        </w:rPr>
        <w:t xml:space="preserve">C 33.00 – EKSPOZYCJE WOBEC SEKTORA INSTYTUCJI RZĄDOWYCH I SAMORZĄDOWYCH (GOV) </w:t>
      </w:r>
    </w:p>
    <w:p w14:paraId="2D27215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7.1.</w:t>
      </w:r>
      <w:r w:rsidRPr="00912A12">
        <w:tab/>
      </w:r>
      <w:r w:rsidRPr="00912A12">
        <w:rPr>
          <w:rFonts w:asciiTheme="majorBidi" w:hAnsiTheme="majorBidi"/>
          <w:sz w:val="20"/>
        </w:rPr>
        <w:t>UWAGI OGÓLNE</w:t>
      </w:r>
    </w:p>
    <w:p w14:paraId="5136D32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7.2.</w:t>
      </w:r>
      <w:r w:rsidRPr="00912A12">
        <w:tab/>
      </w:r>
      <w:r w:rsidRPr="00912A12">
        <w:rPr>
          <w:rFonts w:asciiTheme="majorBidi" w:hAnsiTheme="majorBidi"/>
          <w:sz w:val="20"/>
        </w:rPr>
        <w:t xml:space="preserve">ZAKRES WZORU DOTYCZĄCEGO EKSPOZYCJI WOBEC „SEKTORA INSTYTUCJI RZĄDOWYCH I SAMORZĄDOWYCH” </w:t>
      </w:r>
    </w:p>
    <w:p w14:paraId="3F5094FB"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7.3.</w:t>
      </w:r>
      <w:r w:rsidRPr="00912A12">
        <w:tab/>
      </w:r>
      <w:r w:rsidRPr="00912A12">
        <w:rPr>
          <w:rFonts w:asciiTheme="majorBidi" w:hAnsiTheme="majorBidi"/>
          <w:sz w:val="20"/>
        </w:rPr>
        <w:t>INSTRUKCJE DOTYCZĄCE POSZCZEGÓLNYCH POZYCJI</w:t>
      </w:r>
    </w:p>
    <w:p w14:paraId="1170320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8.</w:t>
      </w:r>
      <w:r w:rsidRPr="00912A12">
        <w:tab/>
      </w:r>
      <w:r w:rsidRPr="00912A12">
        <w:rPr>
          <w:rFonts w:asciiTheme="majorBidi" w:hAnsiTheme="majorBidi"/>
          <w:sz w:val="20"/>
        </w:rPr>
        <w:t xml:space="preserve">POKRYCIE STRAT Z TYTUŁU EKSPOZYCJI NIEOBSŁUGIWANYCH (NPE LC) </w:t>
      </w:r>
    </w:p>
    <w:p w14:paraId="183C366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8.1.</w:t>
      </w:r>
      <w:r w:rsidRPr="00912A12">
        <w:tab/>
      </w:r>
      <w:r w:rsidRPr="00912A12">
        <w:rPr>
          <w:rFonts w:asciiTheme="majorBidi" w:hAnsiTheme="majorBidi"/>
          <w:sz w:val="20"/>
        </w:rPr>
        <w:t>UWAGI OGÓLNE</w:t>
      </w:r>
    </w:p>
    <w:p w14:paraId="58FEAFB4"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 xml:space="preserve">8.2. C 35.01 – OBLICZANIE ODLICZEŃ Z TYTUŁU EKSPOZYCJI NIEOBSŁUGIWANYCH (NPE LC1) </w:t>
      </w:r>
    </w:p>
    <w:p w14:paraId="3DA77A6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8.2.1.</w:t>
      </w:r>
      <w:r w:rsidRPr="00912A12">
        <w:tab/>
      </w:r>
      <w:r w:rsidRPr="00912A12">
        <w:rPr>
          <w:rFonts w:asciiTheme="majorBidi" w:hAnsiTheme="majorBidi"/>
          <w:sz w:val="20"/>
        </w:rPr>
        <w:t>INSTRUKCJE DOTYCZĄCE POSZCZEGÓLNYCH POZYCJI</w:t>
      </w:r>
    </w:p>
    <w:p w14:paraId="5D0EF451"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8.3.</w:t>
      </w:r>
      <w:r w:rsidRPr="00912A12">
        <w:tab/>
      </w:r>
      <w:r w:rsidRPr="00912A12">
        <w:rPr>
          <w:rFonts w:asciiTheme="majorBidi" w:hAnsiTheme="majorBidi"/>
          <w:sz w:val="20"/>
        </w:rPr>
        <w:t xml:space="preserve">C 35.02 – WYMOGI MINIMALNEGO POKRYCIA STRAT I WARTOŚCI EKSPOZYCJI W PRZYPADKU EKSPOZYCJI NIEOBSŁUGIWANYCH, Z WYŁĄCZENIEM EKSPOZYCJI RESTRUKTURYZOWANYCH, KTÓRE SĄ OBJĘTE ART. 47C UST. 6 ROZPORZĄDZENIA (UE) NR 575/2013 (NPE LC2) </w:t>
      </w:r>
    </w:p>
    <w:p w14:paraId="21BFA4CA"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8.3.1.</w:t>
      </w:r>
      <w:r w:rsidRPr="00912A12">
        <w:tab/>
      </w:r>
      <w:r w:rsidRPr="00912A12">
        <w:rPr>
          <w:rFonts w:asciiTheme="majorBidi" w:hAnsiTheme="majorBidi"/>
          <w:sz w:val="20"/>
        </w:rPr>
        <w:t>INSTRUKCJE DOTYCZĄCE POSZCZEGÓLNYCH POZYCJI</w:t>
      </w:r>
    </w:p>
    <w:p w14:paraId="5021994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8.4.</w:t>
      </w:r>
      <w:r w:rsidRPr="00912A12">
        <w:tab/>
      </w:r>
      <w:r w:rsidRPr="00912A12">
        <w:rPr>
          <w:rFonts w:asciiTheme="majorBidi" w:hAnsiTheme="majorBidi"/>
          <w:sz w:val="20"/>
        </w:rPr>
        <w:t xml:space="preserve">C 35.03 – WYMOGI MINIMALNEGO POKRYCIA STRAT I WARTOŚCI EKSPOZYCJI W PRZYPADKU NIEOBSŁUGIWANYCH EKSPOZYCJI RESTRUKTURYZOWANYCH, KTÓRE SĄ OBJĘTE ART. 47C UST. 6 ROZPORZĄDZENIA (UE) NR 575/2013 (NPE LC3) </w:t>
      </w:r>
    </w:p>
    <w:p w14:paraId="3402D02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8.4.1.</w:t>
      </w:r>
      <w:r w:rsidRPr="00912A12">
        <w:tab/>
      </w:r>
      <w:r w:rsidRPr="00912A12">
        <w:rPr>
          <w:rFonts w:asciiTheme="majorBidi" w:hAnsiTheme="majorBidi"/>
          <w:sz w:val="20"/>
        </w:rPr>
        <w:t>INSTRUKCJE DOTYCZĄCE POSZCZEGÓLNYCH POZYCJI</w:t>
      </w:r>
    </w:p>
    <w:p w14:paraId="6AF73B75"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9. PROGI DOTYCZĄCE PORTFELA HANDLOWEGO I RYZYKA RYNKOWEGO, GRANICA MIĘDZY PORTFELEM HANDLOWYM I PORTFELEM BANKOWYM ORAZ PRZEKLASYFIKOWANIA</w:t>
      </w:r>
    </w:p>
    <w:p w14:paraId="29B0DD8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9.1</w:t>
      </w:r>
      <w:r w:rsidRPr="00912A12">
        <w:tab/>
      </w:r>
      <w:r w:rsidRPr="00912A12">
        <w:rPr>
          <w:rFonts w:asciiTheme="majorBidi" w:hAnsiTheme="majorBidi"/>
          <w:sz w:val="20"/>
        </w:rPr>
        <w:t>C 90.00 – PROGI DOTYCZĄCE PORTFELA HANDLOWEGO I RYZYKA RYNKOWEGO</w:t>
      </w:r>
    </w:p>
    <w:p w14:paraId="013079B7"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 xml:space="preserve">9.2 GRANICA MIĘDZY PORTFELEM HANDLOWYM I PORTFELEM BANKOWYM (BOU) </w:t>
      </w:r>
    </w:p>
    <w:p w14:paraId="3BBA0EE3"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9.2.1</w:t>
      </w:r>
      <w:r w:rsidRPr="00912A12">
        <w:tab/>
      </w:r>
      <w:r w:rsidRPr="00912A12">
        <w:rPr>
          <w:rFonts w:asciiTheme="majorBidi" w:hAnsiTheme="majorBidi"/>
          <w:sz w:val="20"/>
        </w:rPr>
        <w:t>UWAGI OGÓLNE</w:t>
      </w:r>
    </w:p>
    <w:p w14:paraId="6BD9F726"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9.2.2</w:t>
      </w:r>
      <w:r w:rsidRPr="00912A12">
        <w:tab/>
      </w:r>
      <w:r w:rsidRPr="00912A12">
        <w:rPr>
          <w:rFonts w:asciiTheme="majorBidi" w:hAnsiTheme="majorBidi"/>
          <w:sz w:val="20"/>
        </w:rPr>
        <w:t xml:space="preserve">C 90.05 – GRANICA: PORTFEL HANDLOWY (BOU1) </w:t>
      </w:r>
    </w:p>
    <w:p w14:paraId="23EB6C8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9.2.2.1 UWAGI OGÓLNE</w:t>
      </w:r>
    </w:p>
    <w:p w14:paraId="19B0784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9.2.2.2 INSTRUKCJE DOTYCZĄCE POSZCZEGÓLNYCH POZYCJI</w:t>
      </w:r>
    </w:p>
    <w:p w14:paraId="220201F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9.2.3</w:t>
      </w:r>
      <w:r w:rsidRPr="00912A12">
        <w:tab/>
      </w:r>
      <w:r w:rsidRPr="00912A12">
        <w:rPr>
          <w:rFonts w:asciiTheme="majorBidi" w:hAnsiTheme="majorBidi"/>
          <w:sz w:val="20"/>
        </w:rPr>
        <w:t xml:space="preserve">C 90.06 – GRANICA: PORTFEL BANKOWY (BOU2) </w:t>
      </w:r>
    </w:p>
    <w:p w14:paraId="42127550"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9.2.3.1 UWAGI OGÓLNE</w:t>
      </w:r>
    </w:p>
    <w:p w14:paraId="592B5F51"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9.2.3.2 INSTRUKCJE DOTYCZĄCE POSZCZEGÓLNYCH POZYCJI</w:t>
      </w:r>
    </w:p>
    <w:p w14:paraId="6FF49DC9"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 xml:space="preserve">9.3 C 24.01 – GRANICA PORTFELA HANDLOWEGO – PRZEKLASYFIKOWANIA MIĘDZY PORTFELAMI (MOV) </w:t>
      </w:r>
    </w:p>
    <w:p w14:paraId="16560F6C"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lastRenderedPageBreak/>
        <w:t>10. C 36.00 – EKSPOZYCJE NA KRYPTOAKTYWA</w:t>
      </w:r>
    </w:p>
    <w:p w14:paraId="7E9A6F2F" w14:textId="77777777" w:rsidR="00BC0C32" w:rsidRPr="00912A12" w:rsidRDefault="00BC0C32" w:rsidP="00BC0C32">
      <w:pPr>
        <w:rPr>
          <w:rFonts w:asciiTheme="majorBidi" w:hAnsiTheme="majorBidi" w:cstheme="majorBidi"/>
          <w:sz w:val="20"/>
          <w:szCs w:val="20"/>
        </w:rPr>
      </w:pPr>
      <w:r w:rsidRPr="00912A12">
        <w:rPr>
          <w:rFonts w:asciiTheme="majorBidi" w:hAnsiTheme="majorBidi"/>
          <w:sz w:val="20"/>
        </w:rPr>
        <w:t>10.1 UWAGI OGÓLNE</w:t>
      </w:r>
    </w:p>
    <w:p w14:paraId="4A89C4C3" w14:textId="05A84CD2" w:rsidR="00003310" w:rsidRPr="00912A12" w:rsidRDefault="00BC0C32" w:rsidP="00BC0C32">
      <w:pPr>
        <w:rPr>
          <w:rFonts w:asciiTheme="majorBidi" w:hAnsiTheme="majorBidi" w:cstheme="majorBidi"/>
          <w:sz w:val="20"/>
          <w:szCs w:val="20"/>
        </w:rPr>
      </w:pPr>
      <w:r w:rsidRPr="00912A12">
        <w:rPr>
          <w:rFonts w:asciiTheme="majorBidi" w:hAnsiTheme="majorBidi"/>
          <w:sz w:val="20"/>
        </w:rPr>
        <w:t>10.2 – INSTRUKCJE DOTYCZĄCE POSZCZEGÓLNYCH POZYCJI</w:t>
      </w:r>
    </w:p>
    <w:p w14:paraId="2E25C7F7" w14:textId="77777777" w:rsidR="00003310" w:rsidRPr="00912A12" w:rsidRDefault="00003310" w:rsidP="00003310">
      <w:pPr>
        <w:rPr>
          <w:rFonts w:asciiTheme="majorBidi" w:hAnsiTheme="majorBidi" w:cstheme="majorBidi"/>
        </w:rPr>
      </w:pPr>
    </w:p>
    <w:p w14:paraId="4B258C86" w14:textId="3D22367A" w:rsidR="00B65435" w:rsidRPr="00912A12" w:rsidRDefault="00B65435" w:rsidP="00B65435">
      <w:pPr>
        <w:pStyle w:val="Heading2"/>
        <w:rPr>
          <w:rFonts w:asciiTheme="majorBidi" w:hAnsiTheme="majorBidi"/>
          <w:color w:val="000000" w:themeColor="text1"/>
          <w:sz w:val="28"/>
          <w:szCs w:val="28"/>
        </w:rPr>
      </w:pPr>
      <w:r w:rsidRPr="00912A12">
        <w:rPr>
          <w:rFonts w:asciiTheme="majorBidi" w:hAnsiTheme="majorBidi"/>
          <w:color w:val="000000" w:themeColor="text1"/>
          <w:sz w:val="28"/>
        </w:rPr>
        <w:t>CZĘŚĆ I: INSTRUKCJE OGÓLNE</w:t>
      </w:r>
    </w:p>
    <w:p w14:paraId="7A8CC652" w14:textId="77777777" w:rsidR="00B65435" w:rsidRPr="00912A12" w:rsidRDefault="00B65435" w:rsidP="00B65435">
      <w:pPr>
        <w:pStyle w:val="Instructionsberschrift2"/>
        <w:numPr>
          <w:ilvl w:val="0"/>
          <w:numId w:val="0"/>
        </w:numPr>
        <w:ind w:left="357" w:hanging="357"/>
        <w:rPr>
          <w:rFonts w:asciiTheme="majorBidi" w:hAnsiTheme="majorBidi" w:cstheme="majorBidi"/>
          <w:sz w:val="24"/>
          <w:u w:val="none"/>
        </w:rPr>
      </w:pPr>
      <w:r w:rsidRPr="00912A12">
        <w:rPr>
          <w:rFonts w:asciiTheme="majorBidi" w:hAnsiTheme="majorBidi"/>
          <w:sz w:val="24"/>
          <w:u w:val="none"/>
        </w:rPr>
        <w:t>1.</w:t>
      </w:r>
      <w:r w:rsidRPr="00912A12">
        <w:rPr>
          <w:u w:val="none"/>
        </w:rPr>
        <w:tab/>
      </w:r>
      <w:r w:rsidRPr="00912A12">
        <w:rPr>
          <w:rFonts w:asciiTheme="majorBidi" w:hAnsiTheme="majorBidi"/>
          <w:sz w:val="24"/>
          <w:u w:val="none"/>
        </w:rPr>
        <w:t>STRUKTURA I KONWENCJE</w:t>
      </w:r>
    </w:p>
    <w:p w14:paraId="05A1293C" w14:textId="77777777" w:rsidR="00B65435" w:rsidRPr="00912A12" w:rsidRDefault="00B65435" w:rsidP="00B65435">
      <w:pPr>
        <w:pStyle w:val="Instructionsberschrift2"/>
        <w:numPr>
          <w:ilvl w:val="0"/>
          <w:numId w:val="0"/>
        </w:numPr>
        <w:ind w:left="357" w:hanging="357"/>
        <w:rPr>
          <w:rFonts w:asciiTheme="majorBidi" w:hAnsiTheme="majorBidi" w:cstheme="majorBidi"/>
          <w:sz w:val="24"/>
          <w:u w:val="none"/>
        </w:rPr>
      </w:pPr>
      <w:r w:rsidRPr="00912A12">
        <w:rPr>
          <w:rFonts w:asciiTheme="majorBidi" w:hAnsiTheme="majorBidi"/>
          <w:sz w:val="24"/>
          <w:u w:val="none"/>
        </w:rPr>
        <w:t>1.1.</w:t>
      </w:r>
      <w:r w:rsidRPr="00912A12">
        <w:rPr>
          <w:u w:val="none"/>
        </w:rPr>
        <w:tab/>
      </w:r>
      <w:r w:rsidRPr="00912A12">
        <w:rPr>
          <w:rFonts w:asciiTheme="majorBidi" w:hAnsiTheme="majorBidi"/>
          <w:sz w:val="24"/>
          <w:u w:val="none"/>
        </w:rPr>
        <w:t>STRUKTURA</w:t>
      </w:r>
    </w:p>
    <w:p w14:paraId="12B79693" w14:textId="77777777"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1</w:t>
      </w:r>
      <w:r w:rsidRPr="00912A12">
        <w:rPr>
          <w:rFonts w:asciiTheme="majorBidi" w:hAnsiTheme="majorBidi" w:cstheme="majorBidi"/>
        </w:rPr>
        <w:fldChar w:fldCharType="end"/>
      </w:r>
      <w:r w:rsidRPr="00912A12">
        <w:rPr>
          <w:rFonts w:asciiTheme="majorBidi" w:hAnsiTheme="majorBidi"/>
        </w:rPr>
        <w:t>.</w:t>
      </w:r>
      <w:r w:rsidRPr="00912A12">
        <w:tab/>
      </w:r>
      <w:r w:rsidRPr="00912A12">
        <w:rPr>
          <w:rFonts w:asciiTheme="majorBidi" w:hAnsiTheme="majorBidi"/>
        </w:rPr>
        <w:t>Zasadniczo ramy te dotyczą sześciu zagadnień:</w:t>
      </w:r>
    </w:p>
    <w:p w14:paraId="28184C96" w14:textId="38E81BF9" w:rsidR="00B65435" w:rsidRPr="00912A12" w:rsidRDefault="00B65435" w:rsidP="00B65435">
      <w:pPr>
        <w:pStyle w:val="InstructionsText2"/>
        <w:numPr>
          <w:ilvl w:val="0"/>
          <w:numId w:val="0"/>
        </w:numPr>
        <w:ind w:left="993"/>
        <w:rPr>
          <w:rFonts w:asciiTheme="majorBidi" w:hAnsiTheme="majorBidi" w:cstheme="majorBidi"/>
        </w:rPr>
      </w:pPr>
      <w:r w:rsidRPr="00912A12">
        <w:rPr>
          <w:rFonts w:asciiTheme="majorBidi" w:hAnsiTheme="majorBidi"/>
        </w:rPr>
        <w:t>a)</w:t>
      </w:r>
      <w:r w:rsidRPr="00912A12">
        <w:tab/>
      </w:r>
      <w:r w:rsidRPr="00912A12">
        <w:rPr>
          <w:rFonts w:asciiTheme="majorBidi" w:hAnsiTheme="majorBidi"/>
        </w:rPr>
        <w:t>adekwatności kapitałowej, przeglądu kapitału regulacyjnego, łącznej kwoty ekspozycji na ryzyko; ostrożnej wyceny; pokrycia strat</w:t>
      </w:r>
      <w:r w:rsidR="00912A12" w:rsidRPr="00912A12">
        <w:rPr>
          <w:rFonts w:asciiTheme="majorBidi" w:hAnsiTheme="majorBidi"/>
        </w:rPr>
        <w:t xml:space="preserve"> z</w:t>
      </w:r>
      <w:r w:rsidR="00912A12">
        <w:rPr>
          <w:rFonts w:asciiTheme="majorBidi" w:hAnsiTheme="majorBidi"/>
        </w:rPr>
        <w:t> </w:t>
      </w:r>
      <w:r w:rsidR="00912A12" w:rsidRPr="00912A12">
        <w:rPr>
          <w:rFonts w:asciiTheme="majorBidi" w:hAnsiTheme="majorBidi"/>
        </w:rPr>
        <w:t>tyt</w:t>
      </w:r>
      <w:r w:rsidRPr="00912A12">
        <w:rPr>
          <w:rFonts w:asciiTheme="majorBidi" w:hAnsiTheme="majorBidi"/>
        </w:rPr>
        <w:t>ułu ekspozycji nieobsługiwanych;</w:t>
      </w:r>
    </w:p>
    <w:p w14:paraId="473EDF66" w14:textId="77777777" w:rsidR="00B65435" w:rsidRPr="00912A12" w:rsidRDefault="00B65435" w:rsidP="00B65435">
      <w:pPr>
        <w:pStyle w:val="InstructionsText2"/>
        <w:numPr>
          <w:ilvl w:val="0"/>
          <w:numId w:val="0"/>
        </w:numPr>
        <w:ind w:left="993"/>
        <w:rPr>
          <w:rFonts w:asciiTheme="majorBidi" w:hAnsiTheme="majorBidi" w:cstheme="majorBidi"/>
        </w:rPr>
      </w:pPr>
      <w:r w:rsidRPr="00912A12">
        <w:rPr>
          <w:rFonts w:asciiTheme="majorBidi" w:hAnsiTheme="majorBidi"/>
        </w:rPr>
        <w:t>b)</w:t>
      </w:r>
      <w:r w:rsidRPr="00912A12">
        <w:tab/>
      </w:r>
      <w:r w:rsidRPr="00912A12">
        <w:rPr>
          <w:rFonts w:asciiTheme="majorBidi" w:hAnsiTheme="majorBidi"/>
        </w:rPr>
        <w:t>wypłacalności grupy, przeglądu spełniania wymogów dotyczących wypłacalności przez wszystkie poszczególne podmioty objęte zakresem konsolidacji jednostki sprawozdającej;</w:t>
      </w:r>
    </w:p>
    <w:p w14:paraId="520D1BC7" w14:textId="11439CB1" w:rsidR="00B65435" w:rsidRPr="00912A12" w:rsidRDefault="00B65435" w:rsidP="00B65435">
      <w:pPr>
        <w:pStyle w:val="InstructionsText2"/>
        <w:numPr>
          <w:ilvl w:val="0"/>
          <w:numId w:val="0"/>
        </w:numPr>
        <w:ind w:left="993"/>
        <w:rPr>
          <w:rFonts w:asciiTheme="majorBidi" w:hAnsiTheme="majorBidi" w:cstheme="majorBidi"/>
        </w:rPr>
      </w:pPr>
      <w:r w:rsidRPr="00912A12">
        <w:rPr>
          <w:rFonts w:asciiTheme="majorBidi" w:hAnsiTheme="majorBidi"/>
        </w:rPr>
        <w:t>c)</w:t>
      </w:r>
      <w:r w:rsidRPr="00912A12">
        <w:tab/>
      </w:r>
      <w:r w:rsidRPr="00912A12">
        <w:rPr>
          <w:rFonts w:asciiTheme="majorBidi" w:hAnsiTheme="majorBidi"/>
        </w:rPr>
        <w:t>ryzyka kredytowego (w tym ryzyka kredytowego kontrahenta, ryzyka rozmycia</w:t>
      </w:r>
      <w:r w:rsidR="00912A12" w:rsidRPr="00912A12">
        <w:rPr>
          <w:rFonts w:asciiTheme="majorBidi" w:hAnsiTheme="majorBidi"/>
        </w:rPr>
        <w:t xml:space="preserve"> i</w:t>
      </w:r>
      <w:r w:rsidR="00912A12">
        <w:rPr>
          <w:rFonts w:asciiTheme="majorBidi" w:hAnsiTheme="majorBidi"/>
        </w:rPr>
        <w:t> </w:t>
      </w:r>
      <w:r w:rsidR="00912A12" w:rsidRPr="00912A12">
        <w:rPr>
          <w:rFonts w:asciiTheme="majorBidi" w:hAnsiTheme="majorBidi"/>
        </w:rPr>
        <w:t>ryz</w:t>
      </w:r>
      <w:r w:rsidRPr="00912A12">
        <w:rPr>
          <w:rFonts w:asciiTheme="majorBidi" w:hAnsiTheme="majorBidi"/>
        </w:rPr>
        <w:t>yka rozliczenia);</w:t>
      </w:r>
    </w:p>
    <w:p w14:paraId="5BEF8552" w14:textId="723D21DB" w:rsidR="00B65435" w:rsidRPr="00912A12" w:rsidRDefault="00B65435" w:rsidP="00B65435">
      <w:pPr>
        <w:pStyle w:val="InstructionsText2"/>
        <w:numPr>
          <w:ilvl w:val="0"/>
          <w:numId w:val="0"/>
        </w:numPr>
        <w:ind w:left="993"/>
        <w:rPr>
          <w:rFonts w:asciiTheme="majorBidi" w:hAnsiTheme="majorBidi" w:cstheme="majorBidi"/>
        </w:rPr>
      </w:pPr>
      <w:r w:rsidRPr="00912A12">
        <w:rPr>
          <w:rFonts w:asciiTheme="majorBidi" w:hAnsiTheme="majorBidi"/>
        </w:rPr>
        <w:t>d)</w:t>
      </w:r>
      <w:r w:rsidRPr="00912A12">
        <w:tab/>
      </w:r>
      <w:r w:rsidRPr="00912A12">
        <w:rPr>
          <w:rFonts w:asciiTheme="majorBidi" w:hAnsiTheme="majorBidi"/>
        </w:rPr>
        <w:t>ryzyka rynkowego (w tym ryzyka pozycji</w:t>
      </w:r>
      <w:r w:rsidR="00912A12" w:rsidRPr="00912A12">
        <w:rPr>
          <w:rFonts w:asciiTheme="majorBidi" w:hAnsiTheme="majorBidi"/>
        </w:rPr>
        <w:t xml:space="preserve"> w</w:t>
      </w:r>
      <w:r w:rsidR="00912A12">
        <w:rPr>
          <w:rFonts w:asciiTheme="majorBidi" w:hAnsiTheme="majorBidi"/>
        </w:rPr>
        <w:t> </w:t>
      </w:r>
      <w:r w:rsidR="00912A12" w:rsidRPr="00912A12">
        <w:rPr>
          <w:rFonts w:asciiTheme="majorBidi" w:hAnsiTheme="majorBidi"/>
        </w:rPr>
        <w:t>por</w:t>
      </w:r>
      <w:r w:rsidRPr="00912A12">
        <w:rPr>
          <w:rFonts w:asciiTheme="majorBidi" w:hAnsiTheme="majorBidi"/>
        </w:rPr>
        <w:t>tfelu handlowym, ryzyka walutowego, ryzyka cen towarów</w:t>
      </w:r>
      <w:r w:rsidR="00912A12" w:rsidRPr="00912A12">
        <w:rPr>
          <w:rFonts w:asciiTheme="majorBidi" w:hAnsiTheme="majorBidi"/>
        </w:rPr>
        <w:t xml:space="preserve"> i</w:t>
      </w:r>
      <w:r w:rsidR="00912A12">
        <w:rPr>
          <w:rFonts w:asciiTheme="majorBidi" w:hAnsiTheme="majorBidi"/>
        </w:rPr>
        <w:t> </w:t>
      </w:r>
      <w:r w:rsidR="00912A12" w:rsidRPr="00912A12">
        <w:rPr>
          <w:rFonts w:asciiTheme="majorBidi" w:hAnsiTheme="majorBidi"/>
        </w:rPr>
        <w:t>ryz</w:t>
      </w:r>
      <w:r w:rsidRPr="00912A12">
        <w:rPr>
          <w:rFonts w:asciiTheme="majorBidi" w:hAnsiTheme="majorBidi"/>
        </w:rPr>
        <w:t>yka związanego z CVA);</w:t>
      </w:r>
    </w:p>
    <w:p w14:paraId="0EDA8770" w14:textId="77777777" w:rsidR="00B65435" w:rsidRPr="00912A12" w:rsidRDefault="00B65435" w:rsidP="00B65435">
      <w:pPr>
        <w:pStyle w:val="InstructionsText2"/>
        <w:numPr>
          <w:ilvl w:val="0"/>
          <w:numId w:val="0"/>
        </w:numPr>
        <w:ind w:left="993"/>
        <w:rPr>
          <w:rFonts w:asciiTheme="majorBidi" w:hAnsiTheme="majorBidi" w:cstheme="majorBidi"/>
        </w:rPr>
      </w:pPr>
      <w:r w:rsidRPr="00912A12">
        <w:rPr>
          <w:rFonts w:asciiTheme="majorBidi" w:hAnsiTheme="majorBidi"/>
        </w:rPr>
        <w:t>e)</w:t>
      </w:r>
      <w:r w:rsidRPr="00912A12">
        <w:tab/>
      </w:r>
      <w:r w:rsidRPr="00912A12">
        <w:rPr>
          <w:rFonts w:asciiTheme="majorBidi" w:hAnsiTheme="majorBidi"/>
        </w:rPr>
        <w:t>ryzyka operacyjnego;</w:t>
      </w:r>
    </w:p>
    <w:p w14:paraId="74CE70F7" w14:textId="028DB650" w:rsidR="006B2A2E" w:rsidRPr="00912A12" w:rsidRDefault="00B65435" w:rsidP="00B65435">
      <w:pPr>
        <w:pStyle w:val="InstructionsText2"/>
        <w:numPr>
          <w:ilvl w:val="0"/>
          <w:numId w:val="0"/>
        </w:numPr>
        <w:ind w:left="993"/>
        <w:rPr>
          <w:rFonts w:asciiTheme="majorBidi" w:hAnsiTheme="majorBidi" w:cstheme="majorBidi"/>
        </w:rPr>
      </w:pPr>
      <w:r w:rsidRPr="00912A12">
        <w:rPr>
          <w:rFonts w:asciiTheme="majorBidi" w:hAnsiTheme="majorBidi"/>
        </w:rPr>
        <w:t>f) ekspozycji wobec sektora instytucji rządowych</w:t>
      </w:r>
      <w:r w:rsidR="00912A12" w:rsidRPr="00912A12">
        <w:rPr>
          <w:rFonts w:asciiTheme="majorBidi" w:hAnsiTheme="majorBidi"/>
        </w:rPr>
        <w:t xml:space="preserve"> i</w:t>
      </w:r>
      <w:r w:rsidR="00912A12">
        <w:rPr>
          <w:rFonts w:asciiTheme="majorBidi" w:hAnsiTheme="majorBidi"/>
        </w:rPr>
        <w:t> </w:t>
      </w:r>
      <w:r w:rsidR="00912A12" w:rsidRPr="00912A12">
        <w:rPr>
          <w:rFonts w:asciiTheme="majorBidi" w:hAnsiTheme="majorBidi"/>
        </w:rPr>
        <w:t>sam</w:t>
      </w:r>
      <w:r w:rsidRPr="00912A12">
        <w:rPr>
          <w:rFonts w:asciiTheme="majorBidi" w:hAnsiTheme="majorBidi"/>
        </w:rPr>
        <w:t>orządowych;</w:t>
      </w:r>
    </w:p>
    <w:p w14:paraId="708A95B2" w14:textId="403DAD5F" w:rsidR="00B65435" w:rsidRPr="00912A12" w:rsidRDefault="006B2A2E" w:rsidP="00B65435">
      <w:pPr>
        <w:pStyle w:val="InstructionsText2"/>
        <w:numPr>
          <w:ilvl w:val="0"/>
          <w:numId w:val="0"/>
        </w:numPr>
        <w:ind w:left="993"/>
        <w:rPr>
          <w:rFonts w:asciiTheme="majorBidi" w:hAnsiTheme="majorBidi" w:cstheme="majorBidi"/>
        </w:rPr>
      </w:pPr>
      <w:r w:rsidRPr="00912A12">
        <w:rPr>
          <w:rFonts w:asciiTheme="majorBidi" w:hAnsiTheme="majorBidi"/>
        </w:rPr>
        <w:t>g) ekspozycji na kryptoaktywa.</w:t>
      </w:r>
    </w:p>
    <w:p w14:paraId="0F9DCED8" w14:textId="6A2C1875"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2</w:t>
      </w:r>
      <w:r w:rsidRPr="00912A12">
        <w:rPr>
          <w:rFonts w:asciiTheme="majorBidi" w:hAnsiTheme="majorBidi" w:cstheme="majorBidi"/>
        </w:rPr>
        <w:fldChar w:fldCharType="end"/>
      </w:r>
      <w:r w:rsidRPr="00912A12">
        <w:rPr>
          <w:rFonts w:asciiTheme="majorBidi" w:hAnsiTheme="majorBidi"/>
        </w:rPr>
        <w:t>.</w:t>
      </w:r>
      <w:r w:rsidRPr="00912A12">
        <w:tab/>
      </w:r>
      <w:r w:rsidRPr="00912A12">
        <w:rPr>
          <w:rFonts w:asciiTheme="majorBidi" w:hAnsiTheme="majorBidi"/>
        </w:rPr>
        <w:t>Dla każdego wzoru podano odniesienia prawne. Niniejsza część niniejszego rozporządzenia wykonawczego zawiera dalsze szczegółowe informacje dotyczące bardziej ogólnych aspektów sprawozdawczości</w:t>
      </w:r>
      <w:r w:rsidR="00912A12" w:rsidRPr="00912A12">
        <w:rPr>
          <w:rFonts w:asciiTheme="majorBidi" w:hAnsiTheme="majorBidi"/>
        </w:rPr>
        <w:t xml:space="preserve"> w</w:t>
      </w:r>
      <w:r w:rsidR="00912A12">
        <w:rPr>
          <w:rFonts w:asciiTheme="majorBidi" w:hAnsiTheme="majorBidi"/>
        </w:rPr>
        <w:t> </w:t>
      </w:r>
      <w:r w:rsidR="00912A12" w:rsidRPr="00912A12">
        <w:rPr>
          <w:rFonts w:asciiTheme="majorBidi" w:hAnsiTheme="majorBidi"/>
        </w:rPr>
        <w:t>ram</w:t>
      </w:r>
      <w:r w:rsidRPr="00912A12">
        <w:rPr>
          <w:rFonts w:asciiTheme="majorBidi" w:hAnsiTheme="majorBidi"/>
        </w:rPr>
        <w:t>ach każdej grupy wzorów, instrukcje dotyczące poszczególnych pozycji,</w:t>
      </w:r>
      <w:r w:rsidR="00912A12" w:rsidRPr="00912A12">
        <w:rPr>
          <w:rFonts w:asciiTheme="majorBidi" w:hAnsiTheme="majorBidi"/>
        </w:rPr>
        <w:t xml:space="preserve"> a</w:t>
      </w:r>
      <w:r w:rsidR="00912A12">
        <w:rPr>
          <w:rFonts w:asciiTheme="majorBidi" w:hAnsiTheme="majorBidi"/>
        </w:rPr>
        <w:t> </w:t>
      </w:r>
      <w:r w:rsidR="00912A12" w:rsidRPr="00912A12">
        <w:rPr>
          <w:rFonts w:asciiTheme="majorBidi" w:hAnsiTheme="majorBidi"/>
        </w:rPr>
        <w:t>tak</w:t>
      </w:r>
      <w:r w:rsidRPr="00912A12">
        <w:rPr>
          <w:rFonts w:asciiTheme="majorBidi" w:hAnsiTheme="majorBidi"/>
        </w:rPr>
        <w:t>że reguły walidacyjne.</w:t>
      </w:r>
    </w:p>
    <w:p w14:paraId="3414EDA4" w14:textId="2683936F"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3</w:t>
      </w:r>
      <w:r w:rsidRPr="00912A12">
        <w:rPr>
          <w:rFonts w:asciiTheme="majorBidi" w:hAnsiTheme="majorBidi" w:cstheme="majorBidi"/>
        </w:rPr>
        <w:fldChar w:fldCharType="end"/>
      </w:r>
      <w:r w:rsidRPr="00912A12">
        <w:rPr>
          <w:rFonts w:asciiTheme="majorBidi" w:hAnsiTheme="majorBidi"/>
        </w:rPr>
        <w:t>.</w:t>
      </w:r>
      <w:r w:rsidRPr="00912A12">
        <w:tab/>
      </w:r>
      <w:r w:rsidRPr="00912A12">
        <w:rPr>
          <w:rFonts w:asciiTheme="majorBidi" w:hAnsiTheme="majorBidi"/>
        </w:rPr>
        <w:t>Instytucje zgłaszają tylko te wzory, które są odpowiednie</w:t>
      </w:r>
      <w:r w:rsidR="00912A12" w:rsidRPr="00912A12">
        <w:rPr>
          <w:rFonts w:asciiTheme="majorBidi" w:hAnsiTheme="majorBidi"/>
        </w:rPr>
        <w:t xml:space="preserve"> w</w:t>
      </w:r>
      <w:r w:rsidR="00912A12">
        <w:rPr>
          <w:rFonts w:asciiTheme="majorBidi" w:hAnsiTheme="majorBidi"/>
        </w:rPr>
        <w:t> </w:t>
      </w:r>
      <w:r w:rsidR="00912A12" w:rsidRPr="00912A12">
        <w:rPr>
          <w:rFonts w:asciiTheme="majorBidi" w:hAnsiTheme="majorBidi"/>
        </w:rPr>
        <w:t>zal</w:t>
      </w:r>
      <w:r w:rsidRPr="00912A12">
        <w:rPr>
          <w:rFonts w:asciiTheme="majorBidi" w:hAnsiTheme="majorBidi"/>
        </w:rPr>
        <w:t>eżności od podejścia zastosowanego do określenia wymogów</w:t>
      </w:r>
      <w:r w:rsidR="00912A12" w:rsidRPr="00912A12">
        <w:rPr>
          <w:rFonts w:asciiTheme="majorBidi" w:hAnsiTheme="majorBidi"/>
        </w:rPr>
        <w:t xml:space="preserve"> w</w:t>
      </w:r>
      <w:r w:rsidR="00912A12">
        <w:rPr>
          <w:rFonts w:asciiTheme="majorBidi" w:hAnsiTheme="majorBidi"/>
        </w:rPr>
        <w:t> </w:t>
      </w:r>
      <w:r w:rsidR="00912A12" w:rsidRPr="00912A12">
        <w:rPr>
          <w:rFonts w:asciiTheme="majorBidi" w:hAnsiTheme="majorBidi"/>
        </w:rPr>
        <w:t>zak</w:t>
      </w:r>
      <w:r w:rsidRPr="00912A12">
        <w:rPr>
          <w:rFonts w:asciiTheme="majorBidi" w:hAnsiTheme="majorBidi"/>
        </w:rPr>
        <w:t>resie funduszy własnych.</w:t>
      </w:r>
    </w:p>
    <w:p w14:paraId="21ED76C2" w14:textId="77777777" w:rsidR="00B65435" w:rsidRPr="00912A12" w:rsidRDefault="00B65435" w:rsidP="00B65435">
      <w:pPr>
        <w:pStyle w:val="Instructionsberschrift2"/>
        <w:numPr>
          <w:ilvl w:val="0"/>
          <w:numId w:val="0"/>
        </w:numPr>
        <w:ind w:left="357" w:hanging="357"/>
        <w:rPr>
          <w:rFonts w:asciiTheme="majorBidi" w:hAnsiTheme="majorBidi" w:cstheme="majorBidi"/>
          <w:sz w:val="24"/>
          <w:u w:val="none"/>
        </w:rPr>
      </w:pPr>
      <w:r w:rsidRPr="00912A12">
        <w:rPr>
          <w:rFonts w:asciiTheme="majorBidi" w:hAnsiTheme="majorBidi"/>
          <w:sz w:val="24"/>
          <w:u w:val="none"/>
        </w:rPr>
        <w:t>1.2.</w:t>
      </w:r>
      <w:r w:rsidRPr="00912A12">
        <w:rPr>
          <w:u w:val="none"/>
        </w:rPr>
        <w:tab/>
      </w:r>
      <w:r w:rsidRPr="00912A12">
        <w:rPr>
          <w:rFonts w:asciiTheme="majorBidi" w:hAnsiTheme="majorBidi"/>
          <w:sz w:val="24"/>
          <w:u w:val="none"/>
        </w:rPr>
        <w:t>Konwencja numeracji</w:t>
      </w:r>
    </w:p>
    <w:p w14:paraId="2DF1C393" w14:textId="706687EB"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4</w:t>
      </w:r>
      <w:r w:rsidRPr="00912A12">
        <w:rPr>
          <w:rFonts w:asciiTheme="majorBidi" w:hAnsiTheme="majorBidi" w:cstheme="majorBidi"/>
        </w:rPr>
        <w:fldChar w:fldCharType="end"/>
      </w:r>
      <w:r w:rsidRPr="00912A12">
        <w:rPr>
          <w:rFonts w:asciiTheme="majorBidi" w:hAnsiTheme="majorBidi"/>
        </w:rPr>
        <w:t>.</w:t>
      </w:r>
      <w:r w:rsidRPr="00912A12">
        <w:tab/>
      </w:r>
      <w:r w:rsidRPr="00912A12">
        <w:rPr>
          <w:rFonts w:asciiTheme="majorBidi" w:hAnsiTheme="majorBidi"/>
        </w:rPr>
        <w:t>W przypadku odniesień do kolumn, wierszy</w:t>
      </w:r>
      <w:r w:rsidR="00912A12" w:rsidRPr="00912A12">
        <w:rPr>
          <w:rFonts w:asciiTheme="majorBidi" w:hAnsiTheme="majorBidi"/>
        </w:rPr>
        <w:t xml:space="preserve"> i</w:t>
      </w:r>
      <w:r w:rsidR="00912A12">
        <w:rPr>
          <w:rFonts w:asciiTheme="majorBidi" w:hAnsiTheme="majorBidi"/>
        </w:rPr>
        <w:t> </w:t>
      </w:r>
      <w:r w:rsidR="00912A12" w:rsidRPr="00912A12">
        <w:rPr>
          <w:rFonts w:asciiTheme="majorBidi" w:hAnsiTheme="majorBidi"/>
        </w:rPr>
        <w:t>kom</w:t>
      </w:r>
      <w:r w:rsidRPr="00912A12">
        <w:rPr>
          <w:rFonts w:asciiTheme="majorBidi" w:hAnsiTheme="majorBidi"/>
        </w:rPr>
        <w:t>órek poszczególnych wzorów</w:t>
      </w:r>
      <w:r w:rsidR="00912A12" w:rsidRPr="00912A12">
        <w:rPr>
          <w:rFonts w:asciiTheme="majorBidi" w:hAnsiTheme="majorBidi"/>
        </w:rPr>
        <w:t xml:space="preserve"> w</w:t>
      </w:r>
      <w:r w:rsidR="00912A12">
        <w:rPr>
          <w:rFonts w:asciiTheme="majorBidi" w:hAnsiTheme="majorBidi"/>
        </w:rPr>
        <w:t> </w:t>
      </w:r>
      <w:r w:rsidR="00912A12" w:rsidRPr="00912A12">
        <w:rPr>
          <w:rFonts w:asciiTheme="majorBidi" w:hAnsiTheme="majorBidi"/>
        </w:rPr>
        <w:t>dok</w:t>
      </w:r>
      <w:r w:rsidRPr="00912A12">
        <w:rPr>
          <w:rFonts w:asciiTheme="majorBidi" w:hAnsiTheme="majorBidi"/>
        </w:rPr>
        <w:t>umencie przestrzega się konwencji oznaczania określonej</w:t>
      </w:r>
      <w:r w:rsidR="00912A12" w:rsidRPr="00912A12">
        <w:rPr>
          <w:rFonts w:asciiTheme="majorBidi" w:hAnsiTheme="majorBidi"/>
        </w:rPr>
        <w:t xml:space="preserve"> w</w:t>
      </w:r>
      <w:r w:rsidR="00912A12">
        <w:rPr>
          <w:rFonts w:asciiTheme="majorBidi" w:hAnsiTheme="majorBidi"/>
        </w:rPr>
        <w:t> </w:t>
      </w:r>
      <w:r w:rsidR="00912A12" w:rsidRPr="00912A12">
        <w:rPr>
          <w:rFonts w:asciiTheme="majorBidi" w:hAnsiTheme="majorBidi"/>
        </w:rPr>
        <w:t>pkt </w:t>
      </w:r>
      <w:r w:rsidRPr="00912A12">
        <w:rPr>
          <w:rFonts w:asciiTheme="majorBidi" w:hAnsiTheme="majorBidi"/>
        </w:rPr>
        <w:t>5–8. Przedmiotowe kody numeryczne znajdują szerokie zastosowanie</w:t>
      </w:r>
      <w:r w:rsidR="00912A12" w:rsidRPr="00912A12">
        <w:rPr>
          <w:rFonts w:asciiTheme="majorBidi" w:hAnsiTheme="majorBidi"/>
        </w:rPr>
        <w:t xml:space="preserve"> w</w:t>
      </w:r>
      <w:r w:rsidR="00912A12">
        <w:rPr>
          <w:rFonts w:asciiTheme="majorBidi" w:hAnsiTheme="majorBidi"/>
        </w:rPr>
        <w:t> </w:t>
      </w:r>
      <w:r w:rsidR="00912A12" w:rsidRPr="00912A12">
        <w:rPr>
          <w:rFonts w:asciiTheme="majorBidi" w:hAnsiTheme="majorBidi"/>
        </w:rPr>
        <w:t>zas</w:t>
      </w:r>
      <w:r w:rsidRPr="00912A12">
        <w:rPr>
          <w:rFonts w:asciiTheme="majorBidi" w:hAnsiTheme="majorBidi"/>
        </w:rPr>
        <w:t>adach walidacji.</w:t>
      </w:r>
    </w:p>
    <w:p w14:paraId="2EE8A2BD" w14:textId="77777777"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lastRenderedPageBreak/>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5</w:t>
      </w:r>
      <w:r w:rsidRPr="00912A12">
        <w:rPr>
          <w:rFonts w:asciiTheme="majorBidi" w:hAnsiTheme="majorBidi" w:cstheme="majorBidi"/>
        </w:rPr>
        <w:fldChar w:fldCharType="end"/>
      </w:r>
      <w:r w:rsidRPr="00912A12">
        <w:rPr>
          <w:rFonts w:asciiTheme="majorBidi" w:hAnsiTheme="majorBidi"/>
        </w:rPr>
        <w:t>.</w:t>
      </w:r>
      <w:r w:rsidRPr="00912A12">
        <w:tab/>
      </w:r>
      <w:r w:rsidRPr="00912A12">
        <w:rPr>
          <w:rFonts w:asciiTheme="majorBidi" w:hAnsiTheme="majorBidi"/>
        </w:rPr>
        <w:t>W instrukcjach stosowany jest następujący ogólny zapis: {wzór; wiersz; kolumna}.</w:t>
      </w:r>
    </w:p>
    <w:p w14:paraId="2DB7F950" w14:textId="6D95C8E3"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6</w:t>
      </w:r>
      <w:r w:rsidRPr="00912A12">
        <w:rPr>
          <w:rFonts w:asciiTheme="majorBidi" w:hAnsiTheme="majorBidi" w:cstheme="majorBidi"/>
        </w:rPr>
        <w:fldChar w:fldCharType="end"/>
      </w:r>
      <w:r w:rsidRPr="00912A12">
        <w:rPr>
          <w:rFonts w:asciiTheme="majorBidi" w:hAnsiTheme="majorBidi"/>
        </w:rPr>
        <w:t>.</w:t>
      </w:r>
      <w:r w:rsidRPr="00912A12">
        <w:tab/>
      </w:r>
      <w:r w:rsidRPr="00912A12">
        <w:rPr>
          <w:rFonts w:asciiTheme="majorBidi" w:hAnsiTheme="majorBidi"/>
        </w:rPr>
        <w:t>W przypadku walidacji wewnątrz wzoru, która odnosi się tylko do danych zawartych</w:t>
      </w:r>
      <w:r w:rsidR="00912A12" w:rsidRPr="00912A12">
        <w:rPr>
          <w:rFonts w:asciiTheme="majorBidi" w:hAnsiTheme="majorBidi"/>
        </w:rPr>
        <w:t xml:space="preserve"> w</w:t>
      </w:r>
      <w:r w:rsidR="00912A12">
        <w:rPr>
          <w:rFonts w:asciiTheme="majorBidi" w:hAnsiTheme="majorBidi"/>
        </w:rPr>
        <w:t> </w:t>
      </w:r>
      <w:r w:rsidR="00912A12" w:rsidRPr="00912A12">
        <w:rPr>
          <w:rFonts w:asciiTheme="majorBidi" w:hAnsiTheme="majorBidi"/>
        </w:rPr>
        <w:t>tym</w:t>
      </w:r>
      <w:r w:rsidRPr="00912A12">
        <w:rPr>
          <w:rFonts w:asciiTheme="majorBidi" w:hAnsiTheme="majorBidi"/>
        </w:rPr>
        <w:t xml:space="preserve"> wzorze, adnotacje nie odnoszą się do wzoru: {wiersz; kolumna}.</w:t>
      </w:r>
    </w:p>
    <w:p w14:paraId="05E444F0" w14:textId="77777777"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7</w:t>
      </w:r>
      <w:r w:rsidRPr="00912A12">
        <w:rPr>
          <w:rFonts w:asciiTheme="majorBidi" w:hAnsiTheme="majorBidi" w:cstheme="majorBidi"/>
        </w:rPr>
        <w:fldChar w:fldCharType="end"/>
      </w:r>
      <w:r w:rsidRPr="00912A12">
        <w:rPr>
          <w:rFonts w:asciiTheme="majorBidi" w:hAnsiTheme="majorBidi"/>
        </w:rPr>
        <w:t>.</w:t>
      </w:r>
      <w:r w:rsidRPr="00912A12">
        <w:tab/>
      </w:r>
      <w:r w:rsidRPr="00912A12">
        <w:rPr>
          <w:rFonts w:asciiTheme="majorBidi" w:hAnsiTheme="majorBidi"/>
        </w:rPr>
        <w:t>W przypadku wzorów zawierających tylko jedną kolumnę adnotacja odnosi się tylko do wierszy. {wzór; wiersz}</w:t>
      </w:r>
    </w:p>
    <w:p w14:paraId="21355A9F" w14:textId="77777777"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8</w:t>
      </w:r>
      <w:r w:rsidRPr="00912A12">
        <w:rPr>
          <w:rFonts w:asciiTheme="majorBidi" w:hAnsiTheme="majorBidi" w:cstheme="majorBidi"/>
        </w:rPr>
        <w:fldChar w:fldCharType="end"/>
      </w:r>
      <w:r w:rsidRPr="00912A12">
        <w:rPr>
          <w:rFonts w:asciiTheme="majorBidi" w:hAnsiTheme="majorBidi"/>
        </w:rPr>
        <w:t>.</w:t>
      </w:r>
      <w:r w:rsidRPr="00912A12">
        <w:tab/>
      </w:r>
      <w:r w:rsidRPr="00912A12">
        <w:rPr>
          <w:rFonts w:asciiTheme="majorBidi" w:hAnsiTheme="majorBidi"/>
        </w:rPr>
        <w:t>Znaku gwiazdki używa się do wskazania, że walidacja jest wykonywana dla wcześniej określonych wierszy lub kolumn.</w:t>
      </w:r>
    </w:p>
    <w:p w14:paraId="16E2386B" w14:textId="77777777" w:rsidR="00B65435" w:rsidRPr="00912A12" w:rsidRDefault="00B65435" w:rsidP="00B65435">
      <w:pPr>
        <w:pStyle w:val="Instructionsberschrift2"/>
        <w:numPr>
          <w:ilvl w:val="0"/>
          <w:numId w:val="0"/>
        </w:numPr>
        <w:rPr>
          <w:rFonts w:asciiTheme="majorBidi" w:hAnsiTheme="majorBidi" w:cstheme="majorBidi"/>
          <w:sz w:val="24"/>
          <w:u w:val="none"/>
        </w:rPr>
      </w:pPr>
      <w:r w:rsidRPr="00912A12">
        <w:rPr>
          <w:rFonts w:asciiTheme="majorBidi" w:hAnsiTheme="majorBidi"/>
          <w:sz w:val="24"/>
          <w:u w:val="none"/>
        </w:rPr>
        <w:t>1.3.</w:t>
      </w:r>
      <w:r w:rsidRPr="00912A12">
        <w:rPr>
          <w:u w:val="none"/>
        </w:rPr>
        <w:tab/>
      </w:r>
      <w:r w:rsidRPr="00912A12">
        <w:rPr>
          <w:rFonts w:asciiTheme="majorBidi" w:hAnsiTheme="majorBidi"/>
          <w:sz w:val="24"/>
          <w:u w:val="none"/>
        </w:rPr>
        <w:t>Konwencja znaków</w:t>
      </w:r>
    </w:p>
    <w:p w14:paraId="7F9B0C40" w14:textId="77777777"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9</w:t>
      </w:r>
      <w:r w:rsidRPr="00912A12">
        <w:rPr>
          <w:rFonts w:asciiTheme="majorBidi" w:hAnsiTheme="majorBidi" w:cstheme="majorBidi"/>
        </w:rPr>
        <w:fldChar w:fldCharType="end"/>
      </w:r>
      <w:r w:rsidRPr="00912A12">
        <w:rPr>
          <w:rFonts w:asciiTheme="majorBidi" w:hAnsiTheme="majorBidi"/>
        </w:rPr>
        <w:t>.</w:t>
      </w:r>
      <w:r w:rsidRPr="00912A12">
        <w:tab/>
      </w:r>
      <w:r w:rsidRPr="00912A12">
        <w:rPr>
          <w:rFonts w:asciiTheme="majorBidi" w:hAnsiTheme="majorBidi"/>
        </w:rPr>
        <w:t>Każdą kwotę, która zwiększa fundusze własne lub wymogi kapitałowe, zgłasza się jako wartość dodatnią. Każdą kwotę, która zmniejsza fundusze własne lub wymogi kapitałowe, zgłasza się natomiast jako wartość ujemną. Jeżeli przed oznaczeniem pozycji znajduje się znak ujemny (-), dla tej pozycji nie oczekuje się zgłoszenia wartości dodatniej.</w:t>
      </w:r>
    </w:p>
    <w:p w14:paraId="7A31F9F8" w14:textId="77777777" w:rsidR="00B65435" w:rsidRPr="00912A12" w:rsidRDefault="00B65435" w:rsidP="00B65435">
      <w:pPr>
        <w:pStyle w:val="InstructionsText2"/>
        <w:numPr>
          <w:ilvl w:val="0"/>
          <w:numId w:val="0"/>
        </w:numPr>
        <w:ind w:left="1353"/>
        <w:rPr>
          <w:rFonts w:asciiTheme="majorBidi" w:hAnsiTheme="majorBidi" w:cstheme="majorBidi"/>
        </w:rPr>
      </w:pPr>
      <w:r w:rsidRPr="00912A12">
        <w:rPr>
          <w:rFonts w:asciiTheme="majorBidi" w:hAnsiTheme="majorBidi" w:cstheme="majorBidi"/>
        </w:rPr>
        <w:fldChar w:fldCharType="begin"/>
      </w:r>
      <w:r w:rsidRPr="00912A12">
        <w:rPr>
          <w:rFonts w:asciiTheme="majorBidi" w:hAnsiTheme="majorBidi" w:cstheme="majorBidi"/>
        </w:rPr>
        <w:instrText>seq paragraphs</w:instrText>
      </w:r>
      <w:r w:rsidRPr="00912A12">
        <w:rPr>
          <w:rFonts w:asciiTheme="majorBidi" w:hAnsiTheme="majorBidi" w:cstheme="majorBidi"/>
        </w:rPr>
        <w:fldChar w:fldCharType="separate"/>
      </w:r>
      <w:r w:rsidRPr="00912A12">
        <w:rPr>
          <w:rFonts w:asciiTheme="majorBidi" w:hAnsiTheme="majorBidi" w:cstheme="majorBidi"/>
        </w:rPr>
        <w:t>10</w:t>
      </w:r>
      <w:r w:rsidRPr="00912A12">
        <w:rPr>
          <w:rFonts w:asciiTheme="majorBidi" w:hAnsiTheme="majorBidi" w:cstheme="majorBidi"/>
        </w:rPr>
        <w:fldChar w:fldCharType="end"/>
      </w:r>
      <w:r w:rsidRPr="00912A12">
        <w:rPr>
          <w:rFonts w:asciiTheme="majorBidi" w:hAnsiTheme="majorBidi"/>
        </w:rPr>
        <w:t>. [pole niewypełnione]</w:t>
      </w:r>
    </w:p>
    <w:p w14:paraId="6A4F8FB5" w14:textId="77777777" w:rsidR="00EE75F2" w:rsidRPr="00912A12" w:rsidRDefault="00EE75F2">
      <w:pPr>
        <w:rPr>
          <w:rFonts w:asciiTheme="majorBidi" w:hAnsiTheme="majorBidi" w:cstheme="majorBidi"/>
        </w:rPr>
      </w:pPr>
    </w:p>
    <w:p w14:paraId="09491342" w14:textId="77777777" w:rsidR="00B65435" w:rsidRPr="00912A12" w:rsidRDefault="00B65435">
      <w:pPr>
        <w:rPr>
          <w:rFonts w:asciiTheme="majorBidi" w:hAnsiTheme="majorBidi" w:cstheme="majorBidi"/>
        </w:rPr>
      </w:pPr>
    </w:p>
    <w:sectPr w:rsidR="00B65435" w:rsidRPr="00912A1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Pr="00912A12" w:rsidRDefault="003C3263" w:rsidP="00B65435">
      <w:pPr>
        <w:spacing w:after="0" w:line="240" w:lineRule="auto"/>
      </w:pPr>
      <w:r w:rsidRPr="00912A12">
        <w:separator/>
      </w:r>
    </w:p>
  </w:endnote>
  <w:endnote w:type="continuationSeparator" w:id="0">
    <w:p w14:paraId="0902E20F" w14:textId="77777777" w:rsidR="003C3263" w:rsidRPr="00912A12" w:rsidRDefault="003C3263" w:rsidP="00B65435">
      <w:pPr>
        <w:spacing w:after="0" w:line="240" w:lineRule="auto"/>
      </w:pPr>
      <w:r w:rsidRPr="00912A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Pr="00912A12" w:rsidRDefault="003C3263" w:rsidP="00B65435">
      <w:pPr>
        <w:spacing w:after="0" w:line="240" w:lineRule="auto"/>
      </w:pPr>
      <w:r w:rsidRPr="00912A12">
        <w:separator/>
      </w:r>
    </w:p>
  </w:footnote>
  <w:footnote w:type="continuationSeparator" w:id="0">
    <w:p w14:paraId="48FB73D3" w14:textId="77777777" w:rsidR="003C3263" w:rsidRPr="00912A12" w:rsidRDefault="003C3263" w:rsidP="00B65435">
      <w:pPr>
        <w:spacing w:after="0" w:line="240" w:lineRule="auto"/>
      </w:pPr>
      <w:r w:rsidRPr="00912A1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Pr="00912A12" w:rsidRDefault="00B65435">
    <w:pPr>
      <w:pStyle w:val="Header"/>
    </w:pPr>
    <w:r w:rsidRPr="00912A12">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Title:  - Description: EUNB – Standardowe wykorzystani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Pr="00912A12" w:rsidRDefault="00B65435">
    <w:pPr>
      <w:pStyle w:val="Header"/>
    </w:pPr>
    <w:r w:rsidRPr="00912A12">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Title:  - Description: EUNB – Standardowe wykorzystani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Pr="00912A12" w:rsidRDefault="00B65435">
    <w:pPr>
      <w:pStyle w:val="Header"/>
    </w:pPr>
    <w:r w:rsidRPr="00912A12">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Title:  - Description: EUNB – Standardowe wykorzystani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211593"/>
    <w:rsid w:val="003C3263"/>
    <w:rsid w:val="00475023"/>
    <w:rsid w:val="00631623"/>
    <w:rsid w:val="006B2A2E"/>
    <w:rsid w:val="00912A12"/>
    <w:rsid w:val="00A6002C"/>
    <w:rsid w:val="00A639E0"/>
    <w:rsid w:val="00B65435"/>
    <w:rsid w:val="00BC0C32"/>
    <w:rsid w:val="00DF282D"/>
    <w:rsid w:val="00EA2ABB"/>
    <w:rsid w:val="00EB40FF"/>
    <w:rsid w:val="00EC607D"/>
    <w:rsid w:val="00EE75F2"/>
    <w:rsid w:val="00EF07A1"/>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pl-P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pl-PL"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pl-PL"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pl-PL"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pl-PL"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pl-PL"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pl-PL"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pl-PL"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pl-PL"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pl-PL"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6B8CB-49FD-4372-95A6-28D37B1319D7}">
  <ds:schemaRefs>
    <ds:schemaRef ds:uri="http://schemas.microsoft.com/sharepoint/v3/contenttype/forms"/>
  </ds:schemaRefs>
</ds:datastoreItem>
</file>

<file path=customXml/itemProps2.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DB4BE139-82CC-4B8F-8D60-09E16D4CABE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8</TotalTime>
  <Pages>9</Pages>
  <Words>1943</Words>
  <Characters>13481</Characters>
  <Application>Microsoft Office Word</Application>
  <DocSecurity>0</DocSecurity>
  <Lines>320</Lines>
  <Paragraphs>257</Paragraphs>
  <ScaleCrop>false</ScaleCrop>
  <Company>European Banking Authority</Company>
  <LinksUpToDate>false</LinksUpToDate>
  <CharactersWithSpaces>15167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SIWIEC Justyna (DGT)</cp:lastModifiedBy>
  <cp:revision>10</cp:revision>
  <dcterms:created xsi:type="dcterms:W3CDTF">2024-06-19T15:59:00Z</dcterms:created>
  <dcterms:modified xsi:type="dcterms:W3CDTF">2025-01-27T09:32:00Z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