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NL</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BIJLAGE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INSTRUCTIES VOOR RAPPORTAGE OVER HEFBOOMFINANCIERING</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4E0D006" w14:textId="7EC6AD11" w:rsidR="00092F14" w:rsidRDefault="00391EF9">
      <w:pPr>
        <w:pStyle w:val="TOC1"/>
        <w:rPr>
          <w:rFonts w:asciiTheme="minorHAnsi" w:eastAsiaTheme="minorEastAsia" w:hAnsiTheme="minorHAnsi" w:cstheme="minorBidi"/>
          <w:color w:val="auto"/>
          <w:kern w:val="2"/>
          <w:sz w:val="22"/>
          <w:szCs w:val="22"/>
          <w:lang w:eastAsia="nl-NL"/>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365587" w:history="1">
        <w:r w:rsidR="00092F14" w:rsidRPr="001F700E">
          <w:rPr>
            <w:rStyle w:val="Hyperlink"/>
            <w:rFonts w:ascii="Times New Roman" w:hAnsi="Times New Roman"/>
            <w:b/>
          </w:rPr>
          <w:t>DEEL I: ALGEMENE INSTRUCTIES</w:t>
        </w:r>
        <w:r w:rsidR="00092F14">
          <w:rPr>
            <w:webHidden/>
          </w:rPr>
          <w:tab/>
        </w:r>
        <w:r w:rsidR="00092F14">
          <w:rPr>
            <w:webHidden/>
          </w:rPr>
          <w:fldChar w:fldCharType="begin"/>
        </w:r>
        <w:r w:rsidR="00092F14">
          <w:rPr>
            <w:webHidden/>
          </w:rPr>
          <w:instrText xml:space="preserve"> PAGEREF _Toc188365587 \h </w:instrText>
        </w:r>
        <w:r w:rsidR="00092F14">
          <w:rPr>
            <w:webHidden/>
          </w:rPr>
        </w:r>
        <w:r w:rsidR="00092F14">
          <w:rPr>
            <w:webHidden/>
          </w:rPr>
          <w:fldChar w:fldCharType="separate"/>
        </w:r>
        <w:r w:rsidR="00FB4BD0">
          <w:rPr>
            <w:webHidden/>
          </w:rPr>
          <w:t>2</w:t>
        </w:r>
        <w:r w:rsidR="00092F14">
          <w:rPr>
            <w:webHidden/>
          </w:rPr>
          <w:fldChar w:fldCharType="end"/>
        </w:r>
      </w:hyperlink>
    </w:p>
    <w:p w14:paraId="1F997004" w14:textId="07159F47"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88" w:history="1">
        <w:r w:rsidR="00092F14" w:rsidRPr="001F700E">
          <w:rPr>
            <w:rStyle w:val="Hyperlink"/>
            <w:rFonts w:ascii="Times New Roman" w:hAnsi="Times New Roman"/>
          </w:rPr>
          <w:t>1.</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Structuur en andere conventies</w:t>
        </w:r>
        <w:r w:rsidR="00092F14">
          <w:rPr>
            <w:webHidden/>
          </w:rPr>
          <w:tab/>
        </w:r>
        <w:r w:rsidR="00092F14">
          <w:rPr>
            <w:webHidden/>
          </w:rPr>
          <w:fldChar w:fldCharType="begin"/>
        </w:r>
        <w:r w:rsidR="00092F14">
          <w:rPr>
            <w:webHidden/>
          </w:rPr>
          <w:instrText xml:space="preserve"> PAGEREF _Toc188365588 \h </w:instrText>
        </w:r>
        <w:r w:rsidR="00092F14">
          <w:rPr>
            <w:webHidden/>
          </w:rPr>
        </w:r>
        <w:r w:rsidR="00092F14">
          <w:rPr>
            <w:webHidden/>
          </w:rPr>
          <w:fldChar w:fldCharType="separate"/>
        </w:r>
        <w:r>
          <w:rPr>
            <w:webHidden/>
          </w:rPr>
          <w:t>2</w:t>
        </w:r>
        <w:r w:rsidR="00092F14">
          <w:rPr>
            <w:webHidden/>
          </w:rPr>
          <w:fldChar w:fldCharType="end"/>
        </w:r>
      </w:hyperlink>
    </w:p>
    <w:p w14:paraId="5C6B0A44" w14:textId="7DDE85AC" w:rsidR="00092F14" w:rsidRDefault="00FB4BD0">
      <w:pPr>
        <w:pStyle w:val="TOC3"/>
        <w:rPr>
          <w:rFonts w:asciiTheme="minorHAnsi" w:eastAsiaTheme="minorEastAsia" w:hAnsiTheme="minorHAnsi" w:cstheme="minorBidi"/>
          <w:smallCaps w:val="0"/>
          <w:kern w:val="2"/>
          <w:sz w:val="22"/>
          <w:szCs w:val="22"/>
          <w:lang w:eastAsia="nl-NL"/>
          <w14:ligatures w14:val="standardContextual"/>
        </w:rPr>
      </w:pPr>
      <w:hyperlink w:anchor="_Toc188365589" w:history="1">
        <w:r w:rsidR="00092F14" w:rsidRPr="001F700E">
          <w:rPr>
            <w:rStyle w:val="Hyperlink"/>
            <w:rFonts w:ascii="Times New Roman" w:hAnsi="Times New Roman"/>
            <w:b/>
          </w:rPr>
          <w:t>1.1.</w:t>
        </w:r>
        <w:r w:rsidR="00092F14">
          <w:rPr>
            <w:rFonts w:asciiTheme="minorHAnsi" w:eastAsiaTheme="minorEastAsia" w:hAnsiTheme="minorHAnsi" w:cstheme="minorBidi"/>
            <w:smallCaps w:val="0"/>
            <w:kern w:val="2"/>
            <w:sz w:val="22"/>
            <w:szCs w:val="22"/>
            <w:lang w:eastAsia="nl-NL"/>
            <w14:ligatures w14:val="standardContextual"/>
          </w:rPr>
          <w:tab/>
        </w:r>
        <w:r w:rsidR="00092F14" w:rsidRPr="001F700E">
          <w:rPr>
            <w:rStyle w:val="Hyperlink"/>
            <w:rFonts w:ascii="Times New Roman" w:hAnsi="Times New Roman"/>
            <w:b/>
          </w:rPr>
          <w:t>Structuur</w:t>
        </w:r>
        <w:r w:rsidR="00092F14">
          <w:rPr>
            <w:webHidden/>
          </w:rPr>
          <w:tab/>
        </w:r>
        <w:r w:rsidR="00092F14">
          <w:rPr>
            <w:webHidden/>
          </w:rPr>
          <w:fldChar w:fldCharType="begin"/>
        </w:r>
        <w:r w:rsidR="00092F14">
          <w:rPr>
            <w:webHidden/>
          </w:rPr>
          <w:instrText xml:space="preserve"> PAGEREF _Toc188365589 \h </w:instrText>
        </w:r>
        <w:r w:rsidR="00092F14">
          <w:rPr>
            <w:webHidden/>
          </w:rPr>
        </w:r>
        <w:r w:rsidR="00092F14">
          <w:rPr>
            <w:webHidden/>
          </w:rPr>
          <w:fldChar w:fldCharType="separate"/>
        </w:r>
        <w:r>
          <w:rPr>
            <w:webHidden/>
          </w:rPr>
          <w:t>2</w:t>
        </w:r>
        <w:r w:rsidR="00092F14">
          <w:rPr>
            <w:webHidden/>
          </w:rPr>
          <w:fldChar w:fldCharType="end"/>
        </w:r>
      </w:hyperlink>
    </w:p>
    <w:p w14:paraId="1175B11E" w14:textId="30287BC1" w:rsidR="00092F14" w:rsidRDefault="00FB4BD0">
      <w:pPr>
        <w:pStyle w:val="TOC3"/>
        <w:rPr>
          <w:rFonts w:asciiTheme="minorHAnsi" w:eastAsiaTheme="minorEastAsia" w:hAnsiTheme="minorHAnsi" w:cstheme="minorBidi"/>
          <w:smallCaps w:val="0"/>
          <w:kern w:val="2"/>
          <w:sz w:val="22"/>
          <w:szCs w:val="22"/>
          <w:lang w:eastAsia="nl-NL"/>
          <w14:ligatures w14:val="standardContextual"/>
        </w:rPr>
      </w:pPr>
      <w:hyperlink w:anchor="_Toc188365590" w:history="1">
        <w:r w:rsidR="00092F14" w:rsidRPr="001F700E">
          <w:rPr>
            <w:rStyle w:val="Hyperlink"/>
            <w:rFonts w:ascii="Times New Roman" w:hAnsi="Times New Roman"/>
            <w:b/>
          </w:rPr>
          <w:t>1.2.</w:t>
        </w:r>
        <w:r w:rsidR="00092F14">
          <w:rPr>
            <w:rFonts w:asciiTheme="minorHAnsi" w:eastAsiaTheme="minorEastAsia" w:hAnsiTheme="minorHAnsi" w:cstheme="minorBidi"/>
            <w:smallCaps w:val="0"/>
            <w:kern w:val="2"/>
            <w:sz w:val="22"/>
            <w:szCs w:val="22"/>
            <w:lang w:eastAsia="nl-NL"/>
            <w14:ligatures w14:val="standardContextual"/>
          </w:rPr>
          <w:tab/>
        </w:r>
        <w:r w:rsidR="00092F14" w:rsidRPr="001F700E">
          <w:rPr>
            <w:rStyle w:val="Hyperlink"/>
            <w:rFonts w:ascii="Times New Roman" w:hAnsi="Times New Roman"/>
            <w:b/>
          </w:rPr>
          <w:t>Gebruik van nummering</w:t>
        </w:r>
        <w:r w:rsidR="00092F14">
          <w:rPr>
            <w:webHidden/>
          </w:rPr>
          <w:tab/>
        </w:r>
        <w:r w:rsidR="00092F14">
          <w:rPr>
            <w:webHidden/>
          </w:rPr>
          <w:fldChar w:fldCharType="begin"/>
        </w:r>
        <w:r w:rsidR="00092F14">
          <w:rPr>
            <w:webHidden/>
          </w:rPr>
          <w:instrText xml:space="preserve"> PAGEREF _Toc188365590 \h </w:instrText>
        </w:r>
        <w:r w:rsidR="00092F14">
          <w:rPr>
            <w:webHidden/>
          </w:rPr>
        </w:r>
        <w:r w:rsidR="00092F14">
          <w:rPr>
            <w:webHidden/>
          </w:rPr>
          <w:fldChar w:fldCharType="separate"/>
        </w:r>
        <w:r>
          <w:rPr>
            <w:webHidden/>
          </w:rPr>
          <w:t>2</w:t>
        </w:r>
        <w:r w:rsidR="00092F14">
          <w:rPr>
            <w:webHidden/>
          </w:rPr>
          <w:fldChar w:fldCharType="end"/>
        </w:r>
      </w:hyperlink>
    </w:p>
    <w:p w14:paraId="6B187A47" w14:textId="22B27E3B" w:rsidR="00092F14" w:rsidRDefault="00FB4BD0">
      <w:pPr>
        <w:pStyle w:val="TOC3"/>
        <w:rPr>
          <w:rFonts w:asciiTheme="minorHAnsi" w:eastAsiaTheme="minorEastAsia" w:hAnsiTheme="minorHAnsi" w:cstheme="minorBidi"/>
          <w:smallCaps w:val="0"/>
          <w:kern w:val="2"/>
          <w:sz w:val="22"/>
          <w:szCs w:val="22"/>
          <w:lang w:eastAsia="nl-NL"/>
          <w14:ligatures w14:val="standardContextual"/>
        </w:rPr>
      </w:pPr>
      <w:hyperlink w:anchor="_Toc188365591" w:history="1">
        <w:r w:rsidR="00092F14" w:rsidRPr="001F700E">
          <w:rPr>
            <w:rStyle w:val="Hyperlink"/>
            <w:rFonts w:ascii="Times New Roman" w:hAnsi="Times New Roman"/>
            <w:b/>
          </w:rPr>
          <w:t>1.3.</w:t>
        </w:r>
        <w:r w:rsidR="00092F14">
          <w:rPr>
            <w:rFonts w:asciiTheme="minorHAnsi" w:eastAsiaTheme="minorEastAsia" w:hAnsiTheme="minorHAnsi" w:cstheme="minorBidi"/>
            <w:smallCaps w:val="0"/>
            <w:kern w:val="2"/>
            <w:sz w:val="22"/>
            <w:szCs w:val="22"/>
            <w:lang w:eastAsia="nl-NL"/>
            <w14:ligatures w14:val="standardContextual"/>
          </w:rPr>
          <w:tab/>
        </w:r>
        <w:r w:rsidR="00092F14" w:rsidRPr="001F700E">
          <w:rPr>
            <w:rStyle w:val="Hyperlink"/>
            <w:rFonts w:ascii="Times New Roman" w:hAnsi="Times New Roman"/>
            <w:b/>
          </w:rPr>
          <w:t>Afkortingen</w:t>
        </w:r>
        <w:r w:rsidR="00092F14">
          <w:rPr>
            <w:webHidden/>
          </w:rPr>
          <w:tab/>
        </w:r>
        <w:r w:rsidR="00092F14">
          <w:rPr>
            <w:webHidden/>
          </w:rPr>
          <w:fldChar w:fldCharType="begin"/>
        </w:r>
        <w:r w:rsidR="00092F14">
          <w:rPr>
            <w:webHidden/>
          </w:rPr>
          <w:instrText xml:space="preserve"> PAGEREF _Toc188365591 \h </w:instrText>
        </w:r>
        <w:r w:rsidR="00092F14">
          <w:rPr>
            <w:webHidden/>
          </w:rPr>
        </w:r>
        <w:r w:rsidR="00092F14">
          <w:rPr>
            <w:webHidden/>
          </w:rPr>
          <w:fldChar w:fldCharType="separate"/>
        </w:r>
        <w:r>
          <w:rPr>
            <w:webHidden/>
          </w:rPr>
          <w:t>2</w:t>
        </w:r>
        <w:r w:rsidR="00092F14">
          <w:rPr>
            <w:webHidden/>
          </w:rPr>
          <w:fldChar w:fldCharType="end"/>
        </w:r>
      </w:hyperlink>
    </w:p>
    <w:p w14:paraId="2517E058" w14:textId="7157B6F3" w:rsidR="00092F14" w:rsidRDefault="00FB4BD0">
      <w:pPr>
        <w:pStyle w:val="TOC3"/>
        <w:rPr>
          <w:rFonts w:asciiTheme="minorHAnsi" w:eastAsiaTheme="minorEastAsia" w:hAnsiTheme="minorHAnsi" w:cstheme="minorBidi"/>
          <w:smallCaps w:val="0"/>
          <w:kern w:val="2"/>
          <w:sz w:val="22"/>
          <w:szCs w:val="22"/>
          <w:lang w:eastAsia="nl-NL"/>
          <w14:ligatures w14:val="standardContextual"/>
        </w:rPr>
      </w:pPr>
      <w:hyperlink w:anchor="_Toc188365592" w:history="1">
        <w:r w:rsidR="00092F14" w:rsidRPr="001F700E">
          <w:rPr>
            <w:rStyle w:val="Hyperlink"/>
            <w:rFonts w:ascii="Times New Roman" w:hAnsi="Times New Roman"/>
            <w:b/>
          </w:rPr>
          <w:t>1.4.</w:t>
        </w:r>
        <w:r w:rsidR="00092F14">
          <w:rPr>
            <w:rFonts w:asciiTheme="minorHAnsi" w:eastAsiaTheme="minorEastAsia" w:hAnsiTheme="minorHAnsi" w:cstheme="minorBidi"/>
            <w:smallCaps w:val="0"/>
            <w:kern w:val="2"/>
            <w:sz w:val="22"/>
            <w:szCs w:val="22"/>
            <w:lang w:eastAsia="nl-NL"/>
            <w14:ligatures w14:val="standardContextual"/>
          </w:rPr>
          <w:tab/>
        </w:r>
        <w:r w:rsidR="00092F14" w:rsidRPr="001F700E">
          <w:rPr>
            <w:rStyle w:val="Hyperlink"/>
            <w:rFonts w:ascii="Times New Roman" w:hAnsi="Times New Roman"/>
            <w:b/>
          </w:rPr>
          <w:t>Gebruik van tekens</w:t>
        </w:r>
        <w:r w:rsidR="00092F14">
          <w:rPr>
            <w:webHidden/>
          </w:rPr>
          <w:tab/>
        </w:r>
        <w:r w:rsidR="00092F14">
          <w:rPr>
            <w:webHidden/>
          </w:rPr>
          <w:fldChar w:fldCharType="begin"/>
        </w:r>
        <w:r w:rsidR="00092F14">
          <w:rPr>
            <w:webHidden/>
          </w:rPr>
          <w:instrText xml:space="preserve"> PAGEREF _Toc188365592 \h </w:instrText>
        </w:r>
        <w:r w:rsidR="00092F14">
          <w:rPr>
            <w:webHidden/>
          </w:rPr>
        </w:r>
        <w:r w:rsidR="00092F14">
          <w:rPr>
            <w:webHidden/>
          </w:rPr>
          <w:fldChar w:fldCharType="separate"/>
        </w:r>
        <w:r>
          <w:rPr>
            <w:webHidden/>
          </w:rPr>
          <w:t>3</w:t>
        </w:r>
        <w:r w:rsidR="00092F14">
          <w:rPr>
            <w:webHidden/>
          </w:rPr>
          <w:fldChar w:fldCharType="end"/>
        </w:r>
      </w:hyperlink>
    </w:p>
    <w:p w14:paraId="20064ED6" w14:textId="201C06E8" w:rsidR="00092F14" w:rsidRDefault="00FB4BD0">
      <w:pPr>
        <w:pStyle w:val="TOC1"/>
        <w:rPr>
          <w:rFonts w:asciiTheme="minorHAnsi" w:eastAsiaTheme="minorEastAsia" w:hAnsiTheme="minorHAnsi" w:cstheme="minorBidi"/>
          <w:color w:val="auto"/>
          <w:kern w:val="2"/>
          <w:sz w:val="22"/>
          <w:szCs w:val="22"/>
          <w:lang w:eastAsia="nl-NL"/>
          <w14:ligatures w14:val="standardContextual"/>
        </w:rPr>
      </w:pPr>
      <w:hyperlink w:anchor="_Toc188365593" w:history="1">
        <w:r w:rsidR="00092F14" w:rsidRPr="001F700E">
          <w:rPr>
            <w:rStyle w:val="Hyperlink"/>
            <w:rFonts w:ascii="Times New Roman" w:hAnsi="Times New Roman"/>
            <w:b/>
          </w:rPr>
          <w:t>DEEL II: INSTRUCTIES IN VERBAND MET DE TEMPLATES</w:t>
        </w:r>
        <w:r w:rsidR="00092F14">
          <w:rPr>
            <w:webHidden/>
          </w:rPr>
          <w:tab/>
        </w:r>
        <w:r w:rsidR="00092F14">
          <w:rPr>
            <w:webHidden/>
          </w:rPr>
          <w:fldChar w:fldCharType="begin"/>
        </w:r>
        <w:r w:rsidR="00092F14">
          <w:rPr>
            <w:webHidden/>
          </w:rPr>
          <w:instrText xml:space="preserve"> PAGEREF _Toc188365593 \h </w:instrText>
        </w:r>
        <w:r w:rsidR="00092F14">
          <w:rPr>
            <w:webHidden/>
          </w:rPr>
        </w:r>
        <w:r w:rsidR="00092F14">
          <w:rPr>
            <w:webHidden/>
          </w:rPr>
          <w:fldChar w:fldCharType="separate"/>
        </w:r>
        <w:r>
          <w:rPr>
            <w:webHidden/>
          </w:rPr>
          <w:t>4</w:t>
        </w:r>
        <w:r w:rsidR="00092F14">
          <w:rPr>
            <w:webHidden/>
          </w:rPr>
          <w:fldChar w:fldCharType="end"/>
        </w:r>
      </w:hyperlink>
    </w:p>
    <w:p w14:paraId="2D0B2A6E" w14:textId="11F19023"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4" w:history="1">
        <w:r w:rsidR="00092F14" w:rsidRPr="001F700E">
          <w:rPr>
            <w:rStyle w:val="Hyperlink"/>
            <w:rFonts w:ascii="Times New Roman" w:hAnsi="Times New Roman"/>
          </w:rPr>
          <w:t>1.</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Formules voor het berekenen van de hefboomratio</w:t>
        </w:r>
        <w:r w:rsidR="00092F14">
          <w:rPr>
            <w:webHidden/>
          </w:rPr>
          <w:tab/>
        </w:r>
        <w:r w:rsidR="00092F14">
          <w:rPr>
            <w:webHidden/>
          </w:rPr>
          <w:fldChar w:fldCharType="begin"/>
        </w:r>
        <w:r w:rsidR="00092F14">
          <w:rPr>
            <w:webHidden/>
          </w:rPr>
          <w:instrText xml:space="preserve"> PAGEREF _Toc188365594 \h </w:instrText>
        </w:r>
        <w:r w:rsidR="00092F14">
          <w:rPr>
            <w:webHidden/>
          </w:rPr>
        </w:r>
        <w:r w:rsidR="00092F14">
          <w:rPr>
            <w:webHidden/>
          </w:rPr>
          <w:fldChar w:fldCharType="separate"/>
        </w:r>
        <w:r>
          <w:rPr>
            <w:webHidden/>
          </w:rPr>
          <w:t>4</w:t>
        </w:r>
        <w:r w:rsidR="00092F14">
          <w:rPr>
            <w:webHidden/>
          </w:rPr>
          <w:fldChar w:fldCharType="end"/>
        </w:r>
      </w:hyperlink>
    </w:p>
    <w:p w14:paraId="20678AC4" w14:textId="5F071A3E"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5" w:history="1">
        <w:r w:rsidR="00092F14" w:rsidRPr="001F700E">
          <w:rPr>
            <w:rStyle w:val="Hyperlink"/>
            <w:rFonts w:ascii="Times New Roman" w:hAnsi="Times New Roman"/>
          </w:rPr>
          <w:t>2.</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Materialiteitsdrempels voor derivaten</w:t>
        </w:r>
        <w:r w:rsidR="00092F14">
          <w:rPr>
            <w:webHidden/>
          </w:rPr>
          <w:tab/>
        </w:r>
        <w:r w:rsidR="00092F14">
          <w:rPr>
            <w:webHidden/>
          </w:rPr>
          <w:fldChar w:fldCharType="begin"/>
        </w:r>
        <w:r w:rsidR="00092F14">
          <w:rPr>
            <w:webHidden/>
          </w:rPr>
          <w:instrText xml:space="preserve"> PAGEREF _Toc188365595 \h </w:instrText>
        </w:r>
        <w:r w:rsidR="00092F14">
          <w:rPr>
            <w:webHidden/>
          </w:rPr>
        </w:r>
        <w:r w:rsidR="00092F14">
          <w:rPr>
            <w:webHidden/>
          </w:rPr>
          <w:fldChar w:fldCharType="separate"/>
        </w:r>
        <w:r>
          <w:rPr>
            <w:webHidden/>
          </w:rPr>
          <w:t>4</w:t>
        </w:r>
        <w:r w:rsidR="00092F14">
          <w:rPr>
            <w:webHidden/>
          </w:rPr>
          <w:fldChar w:fldCharType="end"/>
        </w:r>
      </w:hyperlink>
    </w:p>
    <w:p w14:paraId="3F433BA6" w14:textId="5ECFA577"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6" w:history="1">
        <w:r w:rsidR="00092F14" w:rsidRPr="001F700E">
          <w:rPr>
            <w:rStyle w:val="Hyperlink"/>
            <w:rFonts w:ascii="Times New Roman" w:hAnsi="Times New Roman"/>
          </w:rPr>
          <w:t>3.</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C 47.00 — Hefboomratioberekening (LRCalc)</w:t>
        </w:r>
        <w:r w:rsidR="00092F14">
          <w:rPr>
            <w:webHidden/>
          </w:rPr>
          <w:tab/>
        </w:r>
        <w:r w:rsidR="00092F14">
          <w:rPr>
            <w:webHidden/>
          </w:rPr>
          <w:fldChar w:fldCharType="begin"/>
        </w:r>
        <w:r w:rsidR="00092F14">
          <w:rPr>
            <w:webHidden/>
          </w:rPr>
          <w:instrText xml:space="preserve"> PAGEREF _Toc188365596 \h </w:instrText>
        </w:r>
        <w:r w:rsidR="00092F14">
          <w:rPr>
            <w:webHidden/>
          </w:rPr>
        </w:r>
        <w:r w:rsidR="00092F14">
          <w:rPr>
            <w:webHidden/>
          </w:rPr>
          <w:fldChar w:fldCharType="separate"/>
        </w:r>
        <w:r>
          <w:rPr>
            <w:webHidden/>
          </w:rPr>
          <w:t>5</w:t>
        </w:r>
        <w:r w:rsidR="00092F14">
          <w:rPr>
            <w:webHidden/>
          </w:rPr>
          <w:fldChar w:fldCharType="end"/>
        </w:r>
      </w:hyperlink>
    </w:p>
    <w:p w14:paraId="11541CDC" w14:textId="1F096CC9"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7" w:history="1">
        <w:r w:rsidR="00092F14" w:rsidRPr="001F700E">
          <w:rPr>
            <w:rStyle w:val="Hyperlink"/>
            <w:rFonts w:ascii="Times New Roman" w:hAnsi="Times New Roman"/>
          </w:rPr>
          <w:t>4.</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bCs/>
          </w:rPr>
          <w:t>C 40.00 — Alternatieve behandeling van de blootstellingsmaatstaf (LR1)</w:t>
        </w:r>
        <w:r w:rsidR="00092F14">
          <w:rPr>
            <w:webHidden/>
          </w:rPr>
          <w:tab/>
        </w:r>
        <w:r w:rsidR="00092F14">
          <w:rPr>
            <w:webHidden/>
          </w:rPr>
          <w:fldChar w:fldCharType="begin"/>
        </w:r>
        <w:r w:rsidR="00092F14">
          <w:rPr>
            <w:webHidden/>
          </w:rPr>
          <w:instrText xml:space="preserve"> PAGEREF _Toc188365597 \h </w:instrText>
        </w:r>
        <w:r w:rsidR="00092F14">
          <w:rPr>
            <w:webHidden/>
          </w:rPr>
        </w:r>
        <w:r w:rsidR="00092F14">
          <w:rPr>
            <w:webHidden/>
          </w:rPr>
          <w:fldChar w:fldCharType="separate"/>
        </w:r>
        <w:r>
          <w:rPr>
            <w:webHidden/>
          </w:rPr>
          <w:t>34</w:t>
        </w:r>
        <w:r w:rsidR="00092F14">
          <w:rPr>
            <w:webHidden/>
          </w:rPr>
          <w:fldChar w:fldCharType="end"/>
        </w:r>
      </w:hyperlink>
    </w:p>
    <w:p w14:paraId="62E3D752" w14:textId="7D5EED7F"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8" w:history="1">
        <w:r w:rsidR="00092F14" w:rsidRPr="001F700E">
          <w:rPr>
            <w:rStyle w:val="Hyperlink"/>
            <w:rFonts w:ascii="Times New Roman" w:hAnsi="Times New Roman"/>
          </w:rPr>
          <w:t>5.</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C 43.00 – Alternatieve uitsplitsing van de bestanddelen van de blootstellingsmaatstaf voor de berekening van de hefboomratio (LR4)</w:t>
        </w:r>
        <w:r w:rsidR="00092F14">
          <w:rPr>
            <w:webHidden/>
          </w:rPr>
          <w:tab/>
        </w:r>
        <w:r w:rsidR="00092F14">
          <w:rPr>
            <w:webHidden/>
          </w:rPr>
          <w:fldChar w:fldCharType="begin"/>
        </w:r>
        <w:r w:rsidR="00092F14">
          <w:rPr>
            <w:webHidden/>
          </w:rPr>
          <w:instrText xml:space="preserve"> PAGEREF _Toc188365598 \h </w:instrText>
        </w:r>
        <w:r w:rsidR="00092F14">
          <w:rPr>
            <w:webHidden/>
          </w:rPr>
        </w:r>
        <w:r w:rsidR="00092F14">
          <w:rPr>
            <w:webHidden/>
          </w:rPr>
          <w:fldChar w:fldCharType="separate"/>
        </w:r>
        <w:r>
          <w:rPr>
            <w:webHidden/>
          </w:rPr>
          <w:t>47</w:t>
        </w:r>
        <w:r w:rsidR="00092F14">
          <w:rPr>
            <w:webHidden/>
          </w:rPr>
          <w:fldChar w:fldCharType="end"/>
        </w:r>
      </w:hyperlink>
    </w:p>
    <w:p w14:paraId="59C855DB" w14:textId="4FF01D11"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599" w:history="1">
        <w:r w:rsidR="00092F14" w:rsidRPr="001F700E">
          <w:rPr>
            <w:rStyle w:val="Hyperlink"/>
            <w:rFonts w:ascii="Times New Roman" w:hAnsi="Times New Roman"/>
          </w:rPr>
          <w:t>6.</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bCs/>
          </w:rPr>
          <w:t>C 44.00 — Algemene informatie (LR5)</w:t>
        </w:r>
        <w:r w:rsidR="00092F14">
          <w:rPr>
            <w:webHidden/>
          </w:rPr>
          <w:tab/>
        </w:r>
        <w:r w:rsidR="00092F14">
          <w:rPr>
            <w:webHidden/>
          </w:rPr>
          <w:fldChar w:fldCharType="begin"/>
        </w:r>
        <w:r w:rsidR="00092F14">
          <w:rPr>
            <w:webHidden/>
          </w:rPr>
          <w:instrText xml:space="preserve"> PAGEREF _Toc188365599 \h </w:instrText>
        </w:r>
        <w:r w:rsidR="00092F14">
          <w:rPr>
            <w:webHidden/>
          </w:rPr>
        </w:r>
        <w:r w:rsidR="00092F14">
          <w:rPr>
            <w:webHidden/>
          </w:rPr>
          <w:fldChar w:fldCharType="separate"/>
        </w:r>
        <w:r>
          <w:rPr>
            <w:webHidden/>
          </w:rPr>
          <w:t>78</w:t>
        </w:r>
        <w:r w:rsidR="00092F14">
          <w:rPr>
            <w:webHidden/>
          </w:rPr>
          <w:fldChar w:fldCharType="end"/>
        </w:r>
      </w:hyperlink>
    </w:p>
    <w:p w14:paraId="75929011" w14:textId="68763270"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600" w:history="1">
        <w:r w:rsidR="00092F14" w:rsidRPr="001F700E">
          <w:rPr>
            <w:rStyle w:val="Hyperlink"/>
            <w:rFonts w:ascii="Times New Roman" w:hAnsi="Times New Roman"/>
          </w:rPr>
          <w:t>7.</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C 48.00 Hefboomratiovolaliteit (LR6).</w:t>
        </w:r>
        <w:r w:rsidR="00092F14">
          <w:rPr>
            <w:webHidden/>
          </w:rPr>
          <w:tab/>
        </w:r>
        <w:r w:rsidR="00092F14">
          <w:rPr>
            <w:webHidden/>
          </w:rPr>
          <w:fldChar w:fldCharType="begin"/>
        </w:r>
        <w:r w:rsidR="00092F14">
          <w:rPr>
            <w:webHidden/>
          </w:rPr>
          <w:instrText xml:space="preserve"> PAGEREF _Toc188365600 \h </w:instrText>
        </w:r>
        <w:r w:rsidR="00092F14">
          <w:rPr>
            <w:webHidden/>
          </w:rPr>
        </w:r>
        <w:r w:rsidR="00092F14">
          <w:rPr>
            <w:webHidden/>
          </w:rPr>
          <w:fldChar w:fldCharType="separate"/>
        </w:r>
        <w:r>
          <w:rPr>
            <w:webHidden/>
          </w:rPr>
          <w:t>80</w:t>
        </w:r>
        <w:r w:rsidR="00092F14">
          <w:rPr>
            <w:webHidden/>
          </w:rPr>
          <w:fldChar w:fldCharType="end"/>
        </w:r>
      </w:hyperlink>
    </w:p>
    <w:p w14:paraId="12ADD065" w14:textId="6DB63259"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601" w:history="1">
        <w:r w:rsidR="00092F14" w:rsidRPr="001F700E">
          <w:rPr>
            <w:rStyle w:val="Hyperlink"/>
            <w:rFonts w:ascii="Times New Roman" w:hAnsi="Times New Roman"/>
          </w:rPr>
          <w:t>8.</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C 48.01 Hefboomratiovolaliteit: gemiddelde waarde voor de rapportageperiode</w:t>
        </w:r>
        <w:r w:rsidR="00092F14">
          <w:rPr>
            <w:webHidden/>
          </w:rPr>
          <w:tab/>
        </w:r>
        <w:r w:rsidR="00092F14">
          <w:rPr>
            <w:webHidden/>
          </w:rPr>
          <w:fldChar w:fldCharType="begin"/>
        </w:r>
        <w:r w:rsidR="00092F14">
          <w:rPr>
            <w:webHidden/>
          </w:rPr>
          <w:instrText xml:space="preserve"> PAGEREF _Toc188365601 \h </w:instrText>
        </w:r>
        <w:r w:rsidR="00092F14">
          <w:rPr>
            <w:webHidden/>
          </w:rPr>
        </w:r>
        <w:r w:rsidR="00092F14">
          <w:rPr>
            <w:webHidden/>
          </w:rPr>
          <w:fldChar w:fldCharType="separate"/>
        </w:r>
        <w:r>
          <w:rPr>
            <w:webHidden/>
          </w:rPr>
          <w:t>80</w:t>
        </w:r>
        <w:r w:rsidR="00092F14">
          <w:rPr>
            <w:webHidden/>
          </w:rPr>
          <w:fldChar w:fldCharType="end"/>
        </w:r>
      </w:hyperlink>
    </w:p>
    <w:p w14:paraId="31205BAE" w14:textId="2066197C" w:rsidR="00092F14" w:rsidRDefault="00FB4BD0">
      <w:pPr>
        <w:pStyle w:val="TOC2"/>
        <w:rPr>
          <w:rFonts w:asciiTheme="minorHAnsi" w:eastAsiaTheme="minorEastAsia" w:hAnsiTheme="minorHAnsi" w:cstheme="minorBidi"/>
          <w:b w:val="0"/>
          <w:smallCaps w:val="0"/>
          <w:kern w:val="2"/>
          <w:sz w:val="22"/>
          <w:lang w:eastAsia="nl-NL"/>
          <w14:ligatures w14:val="standardContextual"/>
        </w:rPr>
      </w:pPr>
      <w:hyperlink w:anchor="_Toc188365602" w:history="1">
        <w:r w:rsidR="00092F14" w:rsidRPr="001F700E">
          <w:rPr>
            <w:rStyle w:val="Hyperlink"/>
            <w:rFonts w:ascii="Times New Roman" w:hAnsi="Times New Roman"/>
          </w:rPr>
          <w:t>9.</w:t>
        </w:r>
        <w:r w:rsidR="00092F14">
          <w:rPr>
            <w:rFonts w:asciiTheme="minorHAnsi" w:eastAsiaTheme="minorEastAsia" w:hAnsiTheme="minorHAnsi" w:cstheme="minorBidi"/>
            <w:b w:val="0"/>
            <w:smallCaps w:val="0"/>
            <w:kern w:val="2"/>
            <w:sz w:val="22"/>
            <w:lang w:eastAsia="nl-NL"/>
            <w14:ligatures w14:val="standardContextual"/>
          </w:rPr>
          <w:tab/>
        </w:r>
        <w:r w:rsidR="00092F14" w:rsidRPr="001F700E">
          <w:rPr>
            <w:rStyle w:val="Hyperlink"/>
            <w:rFonts w:ascii="Times New Roman" w:hAnsi="Times New Roman"/>
          </w:rPr>
          <w:t>C 48.02 Hefboomratiovolaliteit: dagelijkse waarden voor de rapportageperiode</w:t>
        </w:r>
        <w:r w:rsidR="00092F14">
          <w:rPr>
            <w:webHidden/>
          </w:rPr>
          <w:tab/>
        </w:r>
        <w:r w:rsidR="00092F14">
          <w:rPr>
            <w:webHidden/>
          </w:rPr>
          <w:fldChar w:fldCharType="begin"/>
        </w:r>
        <w:r w:rsidR="00092F14">
          <w:rPr>
            <w:webHidden/>
          </w:rPr>
          <w:instrText xml:space="preserve"> PAGEREF _Toc188365602 \h </w:instrText>
        </w:r>
        <w:r w:rsidR="00092F14">
          <w:rPr>
            <w:webHidden/>
          </w:rPr>
        </w:r>
        <w:r w:rsidR="00092F14">
          <w:rPr>
            <w:webHidden/>
          </w:rPr>
          <w:fldChar w:fldCharType="separate"/>
        </w:r>
        <w:r>
          <w:rPr>
            <w:webHidden/>
          </w:rPr>
          <w:t>81</w:t>
        </w:r>
        <w:r w:rsidR="00092F14">
          <w:rPr>
            <w:webHidden/>
          </w:rPr>
          <w:fldChar w:fldCharType="end"/>
        </w:r>
      </w:hyperlink>
    </w:p>
    <w:p w14:paraId="43D747E1" w14:textId="4169E366"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365587"/>
      <w:r>
        <w:rPr>
          <w:rFonts w:ascii="Times New Roman" w:hAnsi="Times New Roman"/>
          <w:b/>
          <w:sz w:val="24"/>
        </w:rPr>
        <w:t>DEEL I:</w:t>
      </w:r>
      <w:bookmarkEnd w:id="0"/>
      <w:r>
        <w:rPr>
          <w:rFonts w:ascii="Times New Roman" w:hAnsi="Times New Roman"/>
          <w:b/>
          <w:sz w:val="24"/>
        </w:rPr>
        <w:t xml:space="preserve"> ALGEMENE INSTRUCTIES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365588"/>
      <w:r>
        <w:rPr>
          <w:rFonts w:ascii="Times New Roman" w:hAnsi="Times New Roman"/>
          <w:b/>
          <w:sz w:val="24"/>
        </w:rPr>
        <w:t>1.</w:t>
      </w:r>
      <w:r>
        <w:rPr>
          <w:rFonts w:ascii="Times New Roman" w:hAnsi="Times New Roman"/>
          <w:b/>
          <w:sz w:val="24"/>
        </w:rPr>
        <w:tab/>
        <w:t>Structuur en andere conventies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365589"/>
      <w:bookmarkStart w:id="15" w:name="_Toc264038399"/>
      <w:bookmarkStart w:id="16" w:name="_Toc294018834"/>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Structuur</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Deze bijlage bevat aanvullende instructies voor de templates (“LR”) in bijlage X bij deze verordening.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Het kader als geheel bestaat uit vijf 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Hefboomratioberekening (Leverage Ratio Calculation — LRCalc): hefboomratioberekening;</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Hefboomratiotemplate 1 (LR1): alternatieve behandeling van de blootstellingsmaatstaf;</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Hefboomratiotemplate 4 (LR4): alternatieve uitsplitsing van de bestanddelen van de blootstellingsmaatstaf voor de berekening van de hefboomratio;</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Hefboomratiotemplate 5 (LR5): Algemene informatie;</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Hefboomratiovolaliteit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Voor elke template zijn verwijzingen naar wetgeving opgenomen, alsook nadere informatie over meer algemene aspecten van de rapportage.</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365590"/>
      <w:bookmarkEnd w:id="17"/>
      <w:r>
        <w:rPr>
          <w:rFonts w:ascii="Times New Roman" w:hAnsi="Times New Roman"/>
          <w:b/>
          <w:sz w:val="24"/>
        </w:rPr>
        <w:t>1.2.</w:t>
      </w:r>
      <w:r>
        <w:rPr>
          <w:rFonts w:ascii="Times New Roman" w:hAnsi="Times New Roman"/>
          <w:b/>
          <w:sz w:val="24"/>
        </w:rPr>
        <w:tab/>
        <w:t>Gebruik van nummering</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Het document volgt de in de volgende punten beschreven conventies voor de verwijzing naar de kolommen, rijen en cellen van de templates. Van deze numerieke codes wordt uitgebreid gebruikgemaakt in de validatievoorschriften.</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In de instructies wordt de volgende algemene notatie gehanteerd: {Template;Rij;Kolom}. Om naar de gehele rij of kolom te verwijzen, wordt een asteriskteken gebruikt.</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In geval van validaties binnen een template waarbij alleen gegevenspunten uit die template worden gebruikt, verwijzen de notaties niet naar een template: {Rij;Kolom}.</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In het kader van de rapportage over hefboomfinanciering wordt met “waarvan” verwezen naar een post die een subgroep van een hogere blootstellingscategorie is, terwijl met “pro-memoriepost” wordt verwezen naar een afzonderlijke post die geen subgroep van een blootstellingscategorie is. Rapportage over beide soorten cellen is verplicht, tenzij anders is bepaald.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365591"/>
      <w:r>
        <w:rPr>
          <w:rFonts w:ascii="Times New Roman" w:hAnsi="Times New Roman"/>
          <w:b/>
          <w:sz w:val="24"/>
        </w:rPr>
        <w:t>1.3.</w:t>
      </w:r>
      <w:r>
        <w:rPr>
          <w:rFonts w:ascii="Times New Roman" w:hAnsi="Times New Roman"/>
          <w:b/>
          <w:sz w:val="24"/>
        </w:rPr>
        <w:tab/>
        <w:t>Afkortingen</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lastRenderedPageBreak/>
        <w:t>8.</w:t>
      </w:r>
      <w:r>
        <w:rPr>
          <w:sz w:val="24"/>
        </w:rPr>
        <w:tab/>
        <w:t>In deze bijlage en de daarmee verband houdende templates worden de volgende afkortingen gehanteerd:</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SFT: dit is de afkorting van Securities Financing Transaction (effectenfinancieringstransactie), waaronder het volgende wordt verstaan: “retrocessietransactie, een transactie met betrekking tot verstrekte of opgenomen effecten- of grondstoffenleningen, of margeleningstransactie” in de zin van artikel 4, lid 1, punt 139, van Verordening (EU)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CRM: dit is de afkorting van Credit Risk Mitigation (kredietrisicolimitering);</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CSD: dit is de afkorting van Central Securities Depository (centrale effectenbewaarinstelling);</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GCTP: dit is de afkorting van gekwalificeerde centrale tegenpartij (Qualifying Central Counterparty);</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PFE: dit is de afkorting van Potential Future Exposure (potentiële toekomstige blootstelling).</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365592"/>
      <w:r>
        <w:rPr>
          <w:rFonts w:ascii="Times New Roman" w:hAnsi="Times New Roman"/>
          <w:b/>
          <w:sz w:val="24"/>
        </w:rPr>
        <w:t>1.4.</w:t>
      </w:r>
      <w:r>
        <w:rPr>
          <w:rFonts w:ascii="Times New Roman" w:hAnsi="Times New Roman"/>
          <w:b/>
          <w:sz w:val="24"/>
        </w:rPr>
        <w:tab/>
        <w:t>Gebruik van tekens</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Alle bedragen worden als positieve waarden gerapporteerd,</w:t>
      </w:r>
      <w:bookmarkStart w:id="32" w:name="_Toc264033192"/>
      <w:bookmarkEnd w:id="32"/>
      <w:r>
        <w:rPr>
          <w:sz w:val="24"/>
        </w:rPr>
        <w:t xml:space="preserve"> met uitzondering van:</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de posten waarvan het label wordt voorafgegaan door een negatief teken (-), wanneer er voor die post geen positieve waarde wordt verwacht.</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die in extreme gevallen een negatieve waarde zouden kunnen hebben; in de andere gevallen gaat het om positieve waarden.</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365593"/>
      <w:r>
        <w:rPr>
          <w:rFonts w:ascii="Times New Roman" w:hAnsi="Times New Roman"/>
          <w:b/>
          <w:sz w:val="24"/>
        </w:rPr>
        <w:lastRenderedPageBreak/>
        <w:t>DEEL II: INSTRUCTIES IN VERBAND MET DE TEMPLATES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365594"/>
      <w:bookmarkStart w:id="40" w:name="_Toc322533849"/>
      <w:r>
        <w:rPr>
          <w:rFonts w:ascii="Times New Roman" w:hAnsi="Times New Roman"/>
          <w:b/>
          <w:sz w:val="24"/>
        </w:rPr>
        <w:t>1.</w:t>
      </w:r>
      <w:r>
        <w:rPr>
          <w:rFonts w:ascii="Times New Roman" w:hAnsi="Times New Roman"/>
          <w:b/>
          <w:sz w:val="24"/>
        </w:rPr>
        <w:tab/>
        <w:t>Formules voor het berekenen van de hefboomratio</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De hefboomratio is gebaseerd op een kapitaalmaatstaf en een maatstaf voor de totale risicoblootstelling, die kunnen worden berekend met cellen uit deel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Hefboomratio – volledig ingefaseerde definitie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Hefboomratio – overgangsdefinitie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365595"/>
      <w:bookmarkStart w:id="44" w:name="_Toc322533852"/>
      <w:bookmarkEnd w:id="40"/>
      <w:r>
        <w:rPr>
          <w:rFonts w:ascii="Times New Roman" w:hAnsi="Times New Roman"/>
          <w:b/>
          <w:sz w:val="24"/>
        </w:rPr>
        <w:t>2.</w:t>
      </w:r>
      <w:r>
        <w:rPr>
          <w:rFonts w:ascii="Times New Roman" w:hAnsi="Times New Roman"/>
          <w:b/>
          <w:sz w:val="24"/>
        </w:rPr>
        <w:tab/>
        <w:t>Materialiteitsdrempels voor derivaten</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Om de rapportagelast voor instellingen met beperkte blootstellingen in de vorm van derivaten te verminderen, wordt de omvang van de derivatenblootstelling in verhouding tot de totale risicoblootstelling voor de berekening van de hefboomratio gemeten met de volgende maatstaven. De instellingen berekenen die maatstaven als volgt:</w:t>
      </w:r>
      <w:bookmarkStart w:id="45" w:name="_Toc322533853"/>
      <w:bookmarkEnd w:id="44"/>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t xml:space="preserve">Derivatenaandeel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Daarbij is de totale derivatenblootstellingsmaatstaf gelijk aan: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Daarbij is de maatstaf voor de totale risicoblootstelling gelijk aan: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Totale notionele waarde van derivaten = {LR1; 0010;0070}. Dit is een cel die instellingen altijd moeten rapporteren.</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Volume kredietderivaten = {LR1;0020;0070} + {LR1;0050;0070}. Dit zijn cellen die instellingen altijd moeten rapporteren.</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Als aan een van de onderstaande voorwaarden is voldaan, moeten instellingen de in punt 13 bedoelde cellen rapporteren:</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het in punt 5 bedoelde derivatenaandeel is groter dan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het in punt 5 bedoelde derivatenaandeel is groter dan 2,0%.</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De instap- en uitstapcriteria van artikel 4 van deze verordening zijn van toepassing, behalve voor punt b), in welk geval de instellingen bij overschrijding van de drempel op een bepaalde rapportagereferentiedatum vanaf de eerstvolgende rapportagereferentiedatum informatie beginnen te rapporteren.</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Instellingen waarvoor het in punt 8 omschreven totale notioneel bedrag van derivaten groter is dan 10 miljard EUR, rapporteren de in punt 13 bedoelde cellen, zelfs als het aandeel van hun derivaten niet voldoet aan de voorwaarden van punt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De instapcriteria van artikel 4 van deze verordening zijn niet van toepassing. Bij overschrijding van de drempel op een bepaalde rapportagereferentiedatum beginnen instellingen informatie te rapporteren vanaf de eerstvolgende rapportagereferentiedatum.</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Als aan een van de onderstaande voorwaarden is voldaan, moeten instellingen de in punt 14 bedoelde cellen rapporteren:</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de in punt 9 bedoelde omvang van kredietderivaten is groter dan 300 miljoen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de in punt 9 bedoelde omvang van kredietderivaten is groter dan 500 miljoen EUR.</w:t>
      </w:r>
    </w:p>
    <w:p w14:paraId="3B88084F" w14:textId="34241752" w:rsidR="00F4754B" w:rsidRPr="000B66BC" w:rsidRDefault="00242493" w:rsidP="000B66BC">
      <w:pPr>
        <w:pStyle w:val="InstructionsText2"/>
        <w:numPr>
          <w:ilvl w:val="0"/>
          <w:numId w:val="0"/>
        </w:numPr>
        <w:ind w:left="709" w:firstLine="11"/>
        <w:rPr>
          <w:sz w:val="24"/>
        </w:rPr>
      </w:pPr>
      <w:r>
        <w:rPr>
          <w:sz w:val="24"/>
        </w:rPr>
        <w:t>De instap- en uitstapcriteria van artikel 4 van deze verordening zijn van toepassing, behalve voor punt b), in welk geval de instellingen bij overschrijding van de drempel op een bepaalde rapportagereferentiedatum vanaf de eerstvolgende rapportagereferentiedatum beginnen te rapporteren.</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De overeenkomstig de punten 10 en 11 door instellingen te rapporteren cellen zijn: {LR1;0010;0010}, {LR1;0010;0020}, {LR1;0020;0010}, {LR1;0020;0020}, {LR1;0030;0070}, {LR1;0040;0070}, {LR1;0050;0010}, {LR1;0050;0020}, {LR1;0060;0010}, {LR1;0060;0020}, en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De overeenkomstig punt 12 door instellingen te rapporteren cellen zijn: {LR1;0020;0075}, {LR1;0050;0075} en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365596"/>
      <w:bookmarkStart w:id="51" w:name="_Toc322687879"/>
      <w:bookmarkStart w:id="52" w:name="_Toc315961853"/>
      <w:bookmarkEnd w:id="46"/>
      <w:r>
        <w:rPr>
          <w:rFonts w:ascii="Times New Roman" w:hAnsi="Times New Roman"/>
          <w:b/>
          <w:sz w:val="24"/>
        </w:rPr>
        <w:t>3.</w:t>
      </w:r>
      <w:r>
        <w:rPr>
          <w:rFonts w:ascii="Times New Roman" w:hAnsi="Times New Roman"/>
          <w:b/>
          <w:sz w:val="24"/>
        </w:rPr>
        <w:tab/>
        <w:t>C 47.00 — Hefboomratioberekening (LRCalc)</w:t>
      </w:r>
      <w:bookmarkEnd w:id="47"/>
      <w:bookmarkEnd w:id="48"/>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In deze template worden de gegevens verzameld die nodig zijn om de in deel zeven van Verordening (EU) nr. 575/2013 omschreven hefboomratio te berekenen.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Instellingen rapporteren over de hefboomratio op kwartaalbasis. In elk kwartaal is de waarde “op de rapportagereferentiedatum” de waarde op de laatste kalenderdag van de derde maand van het desbetreffende kwartaal.</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Instellingen rapporteren de posten in het onderdeel dat betrekking heeft op blootstellingswaarden, met een positief teken in overeenstemming met het gebruik van tekens in punt 9 van deel I van deze bijlage (met uitsluiting van {LRCalc;0270;0010} en {LRCalc;0280;0010}), alsof de posten met een negatief teken (bijvoorbeeld vrijstellingen/aftrekkingen) overeenkomstig het gebruik van de tekens in punt 9 van deel I van deze bijlage niet van toepassing waren.</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 xml:space="preserve">Elk bedrag dat het eigen vermogen of de blootstelling voor de berekening van de hefboomratio doet stijgen, wordt als een positieve waarde gerapporteerd. Elk bedrag dat het totale eigen vermogen of de blootstelling voor de berekening van de hefboomratio doet dalen, wordt daarentegen als een negatieve waarde gerapporteerd. Als er een </w:t>
      </w:r>
      <w:r>
        <w:rPr>
          <w:sz w:val="24"/>
        </w:rPr>
        <w:lastRenderedPageBreak/>
        <w:t>minteken (-) voor het label van een item staat, wordt er voor dat item in de rapportage geen positieve waarde verwacht.</w:t>
      </w:r>
    </w:p>
    <w:p w14:paraId="69E62B50" w14:textId="0E030492" w:rsidR="00EC3422" w:rsidRPr="000B66BC" w:rsidRDefault="006A4991" w:rsidP="009339D1">
      <w:pPr>
        <w:pStyle w:val="InstructionsText2"/>
        <w:numPr>
          <w:ilvl w:val="0"/>
          <w:numId w:val="0"/>
        </w:numPr>
        <w:ind w:left="720" w:hanging="360"/>
        <w:rPr>
          <w:sz w:val="24"/>
        </w:rPr>
      </w:pPr>
      <w:r>
        <w:rPr>
          <w:sz w:val="24"/>
        </w:rPr>
        <w:t>19. Wanneer een bedrag om meerdere redenen voor aftrek in aanmerking kan komen, wordt het alleen van de blootstelling afgetrokken in een van de rijen van template C 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Verwijzingen naar wetgeving en instructies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Rij en kolom</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Blootstellingswaarden</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SFT’s: Blootstellingswaarde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Artikel 429 ter, lid 1, punt b), en artikel 429 ter, leden 4 en 5, van Verordening (EU) nr.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De blootstelling uit hoofde van SFT’s, berekend overeenkomstig artikel 429 ter, lid 1, punt b), en artikel 429 ter, leden 4 en 5, van Verordening (EU) nr.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transacties op overeenkomstig artikel 429 sexies, lid 7, punt c), van Verordening (EU) nr.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vermelden instellingen deze posten in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Instellingen nemen in deze cel geen SFT’s op waarbij de instelling als agent optreedt en overeenkomstig artikel 429 sexies, lid 7, punt a), van Verordening (EU) nr. 575/2013 een cliënt of tegenpartij een vergoeding of garantie biedt die beperkt is tot het eventuele verschil tussen de waarde van de effecten of contanten die de cliënt heeft uitgeleend en de waarde van de zekerheden die de kredietnemer heeft verstrekt.</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SFT’s: opslagfactor voor tegenpartijkredietrisico</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Artikel 429 sexies, lid 1, van Verordening (EU) nr.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De opslagfactor voor tegenpartijkredietrisico van SFT’s, met inbegrip van die buiten de balanstelling, berekend overeenkomstig artikel 429 sexies, lid 2 of 3, en artikel 429 sexies, lid 4, van Verordening (EU) nr. 575/2013, naargelang van het geval.</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transacties op overeenkomstig artikel 429 sexies, lid 7, punt c), van Verordening (EU) nr.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Instellingen nemen in deze cel geen SFT’s op waarbij de instelling als agent optreedt en overeenkomstig artikel 429 sexies, lid 7, punt a), van Verordening (EU) nr. 575/2013 een cliënt of tegenpartij een vergoeding of </w:t>
            </w:r>
            <w:r>
              <w:rPr>
                <w:rFonts w:ascii="Times New Roman" w:hAnsi="Times New Roman"/>
                <w:sz w:val="24"/>
              </w:rPr>
              <w:lastRenderedPageBreak/>
              <w:t>garantie biedt die beperkt is tot het eventuele verschil tussen de waarde van de effecten of contanten die de cliënt heeft uitgeleend en de waarde van de zekerheden die de kredietnemer heeft verstrekt. In plaats daarvan vermelden instellingen deze posten in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Afwijking voor SFT’s: opslagfactor in overeenstemming met artikel 429 sexies, lid 5, en artikel 222 VKV</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Artikel 429 sexies, lid 5, en artikel 222, van Verordening (EU) nr.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SFT’s, met inbegrip van die buiten de balanstelling, berekend overeenkomstig artikel 222 van Verordening (EU) nr. 575/2013, met toepassing van een vloer van 20 % voor het toepasselijke risicogewicht.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transacties op overeenkomstig artikel 429 sexies, lid 7, punt c), van Verordening (EU) nr.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geen transacties op waarvoor het opslagfactorgedeelte van de blootstellingswaarde voor de berekening van de hefboomratio wordt vastgesteld volgens de in artikel 429 sexies, lid 1, van Verordening (EU) nr. 575/2013 bedoelde methode.</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Tegenpartijkredietrisico van SFT’s waarbij als agent wordt opgetreden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Artikel 429 sexies, lid 7, punt a), en artikel 429 sexies, leden 2 en 3, van Verordening (EU) nr.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SFT’s waarbij de instelling als agent optreedt en overeenkomstig artikel 429 sexies, lid 7, punt a), Verordening (EU) nr. 575/2013 een cliënt of tegenpartij een vergoeding of garantie biedt die beperkt is tot het eventuele verschil tussen de waarde van de effecten of contanten die de cliënt heeft uitgeleend en de waarde van de zekerheden die de kredietnemer heeft verstrekt, bestaat alleen uit de opslagfactor die is vastgesteld overeenkomstig artikel 429 sexies, lid 2 of 3, Verordening (EU) nr. 575/2013, naargelang van het geval.</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geen transacties overeenkomstig artikel 429 sexies, lid 7, punt c), op. In plaats daarvan nemen zij die posten op in {0010;0010} en {0020;0010}, dan wel {0010;0010} en {0030;0010}, naargelang van het geval.</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Uitgesloten CTP-deel van als cliënt geclearde SFT-blootstellingen</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en artikel 306, lid 1, punt c), van Verordening (EU) nr.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Het uitgesloten CTP-deel van als cliënt geclearde transactieblootstellingen uit hoofde van SFT’s, mits deze posten aan de in artikel 306, lid 1, punt c), van Verordening (EU) nr. 575/2013 gestelde voorwaarden voldoen.</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Ingeval het uitgesloten CTP-deel een effect is, wordt het niet in deze cel gerapporteerd, tenzij het een effect is dat tot zekerheid aan derden is verstrekt en dat volgens het toepasselijke kader voor financiële verslaggeving (d.w.z. overeenkomstig artikel 111, lid 1, eerste zin, van Verordening (EU) nr. 575/2013) tegen volledige waarde wordt opgenomen.</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Instellingen nemen het in deze cel gerapporteerde bedrag ook op in {0010;0010}, {0020;0010} en {0030;0010}, en, indien het een effect is dat tot zekerheid aan derden is verstrekt en dat volgens het toepasselijke kader voor financiële verslaggeving tegen volledige waarde wordt opgenomen, aanvullend in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Indien de instelling een initiële marge heeft gestort voor een uitgesloten deel van een SFT die wel in {0190;0010} en niet in {0020;0010} of {0030;0010} wordt gerapporteerd, dan kan de instelling deze initiële marge in deze cel rapporteren.</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Derivaten: bijdrage vervangingswaarde volgens de SA-CCR (zonder het effect van zekerheidsstelling op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1, van Verordening (EU) nr.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De vervangingswaarde krachtens artikel 275 van Verordening (EU) nr. 575/2013 zonder het effect van zekerheidstelling op NICA, en zonder het effect van enige variatiemarge. Instellingen passen de afwijkingen van artikel 429 quater, leden 3 en 4, en artikel 429 bis, lid 1, punt g), van Verordening (EU) nr. 575/2013 niet toe voor deze cel. Het bedrag wordt gerapporteerd met toepassing van de alfafactor 1,4 als nader bepaald in artikel 274, lid 2, van Verordening (EU) nr.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Zoals in artikel 429 quater, lid 1, van Verordening (EU) nr. 575/2013 is bepaald, mogen instellingen overeenkomstig artikel 295 van Verordening (EU) nr. 575/2013 met de gevolgen van schuldvernieuwingscontracten en andere verrekeningsovereenkomsten rekening houden. Productoverschrijdende verrekening is niet van toepassing. Instellingen kunnen echter verrekening toepassen binnen de in artikel 272, punt 25, c), van Verordening (EU) nr. 575/2013 bedoelde productcategorie en bij kredietderivaten wanneer zij onderworpen zijn aan een overeenkomst inzake productoverschrijdende contractuele verrekening als bedoeld in artikel 295, punt c), van Verordening (EU) nr.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Instellingen nemen hier niet alleen de kredietderivaten in de handelsportefeuille, maar alle kredietderivaten op.</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Instellingen nemen in deze cel geen overeenkomsten in aanmerking die worden gemeten met behulp van de vereenvoudigde standaardbenadering of de oorspronkelijkeblootstellingsmethode.</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Effect van de opname van zekerheid op NICA op door GCTP als cliënt geclearde transacties (SA-CCR - vervangingswaarde)</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 quater, leden 4 en 4 bis, van Verordening (EU) nr.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Toepassing van de afwijking van 429 quater, leden 4 en 4 bis, van Verordening (EU) nr. 575/2013 op de berekening van de vervangingswaarde voor derivatencontracten met cliënten indien die contracten door een GCTP worden gecleard. Het bedrag wordt gerapporteerd met toepassing van de alfafactor 1,4 als nader bepaald in artikel 274, lid 2, van Verordening (EU) nr.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Instellingen nemen het in deze cel gerapporteerde bedrag ook op in {0061;0010} alsof er geen afwijking van toepassing is.</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Effect van de toelaatbare in contanten ontvangen variatiemarge afgetrokken van de marktwaarde van derivaten (SA-CCR - vervangingswaarde)</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3, van Verordening (EU) nr.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Van de tegenpartij in contanten ontvangen variatiemarge die overeenkomstig artikel 429 quater, lid 3, van Verordening (EU) nr. 575/2013 mag worden afgetrokken van het gedeelte van de blootstellingswaarde dat de actuele vervangingswaarde van de derivatenblootstelling omvat. Het bedrag wordt gerapporteerd met toepassing van de alfafactor 1,4 als nader bepaald in artikel 274, lid 2, van Verordening (EU) nr.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Enigerlei in contanten ontvangen variatiemarge uit hoofde van een overeenkomstig artikel 429 bis, lid 1, punt g), van Verordening (EU) nr. 575/2013 uitgesloten CTP-deel wordt niet gerapporteerd.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{0061;0010} alsof er geen aftrek van in contanten ontvangen variatiemarge van toepassing is.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Effect van het uitgesloten CTP-deel van als cliënt geclearde transactieblootstellingen (SA-CCR - vervangingswaarde)</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van Verordening (EU) nr.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Het gedeelte van de blootstellingswaarde dat de vervangingswaarde omvat van uitgesloten transactieblootstellingen met betrekking tot een gekwalificeerde centrale tegenpartij (GCTP) uit hoofde van als cliënt geclearde derivatentransacties, mits deze posten aan de in artikel 306, lid 1, punt c), van Verordening (EU) nr. 575/2013 gestelde voorwaarden voldoen. Dit bedrag wordt gerapporteerd inclusief de in contanten ontvangen variatiemarge uit hoofde van dit deel. Het bedrag wordt gerapporteerd met </w:t>
            </w:r>
            <w:r>
              <w:rPr>
                <w:rFonts w:ascii="Times New Roman" w:hAnsi="Times New Roman"/>
                <w:sz w:val="24"/>
              </w:rPr>
              <w:lastRenderedPageBreak/>
              <w:t>toepassing van de alfafactor 1,4 als nader bepaald in artikel 274, lid 2, van Verordening (EU) nr.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{0061;0010} alsof er geen uitsluiting van toepassing is.</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Derivaten: Bijdrage van potentiële toekomstige blootstelling volgens de SA-CCR (multiplicator op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5, van Verordening (EU) nr.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Potentiële toekomstige blootstelling volgens artikel 278 van Verordening (EU) nr. 575/2013, uitgaande van een multiplicator 1, d.w.z. zonder de toepassing van de afwijking betreffende contracten met cliënten indien die contracten door een GCTP van artikel 429 quater, lid 5, van Verordening (EU) nr. 575/2013 worden gecleard. Het bedrag wordt gerapporteerd met toepassing van de alfafactor 1,4 als nader bepaald in artikel 274, lid 2, van Verordening (EU) nr.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Effect van lagere multiplicator voor door een GCTP als cliënt geclearde transacties op de PFE-bijdrage (SA-CCR - potentiële toekomstige blootstelling)</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5, van Verordening (EU) nr.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Toepassing van de afwijking van 429 quater, lid 5, van Verordening (EU) nr. 575/2013 op de berekening van de PFE voor derivatencontracten met cliënten indien die contracten door een GCTP worden gecleard. Het bedrag wordt gerapporteerd met toepassing van de alfafactor 1,4 als nader bepaald in artikel 274, lid 2, van Verordening (EU) nr.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{0091;0010} alsof er geen afwijking van toepassing is.</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Effect van het uitgesloten CTP-deel van als cliënt geclearde transactieblootstellingen (SA-CCR benadering - Potentiële toekomstige blootstelling)</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van Verordening (EU) nr.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De potentiële toekomstige blootstelling van uitgesloten transactieblootstellingen met betrekking tot een gekwalificeerde centrale tegenpartij (GCTP) uit hoofde van als cliënt geclearde derivatentransacties, mits deze posten aan de in artikel 306, lid 1, punt c), van Verordening (EU) nr. 575/2013 gestelde voorwaarden voldoen. Het bedrag wordt gerapporteerd met toepassing van de alfafactor 1,4 als nader bepaald in artikel 274, lid 2, van Verordening (EU) nr.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{0091;0010} alsof er geen uitsluiting van toepassing is.</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Afwijking voor derivaten: bijdrage vervangingswaarde volgens de vereenvoudigde standaardbenadering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6, en artikel 281, van Verordening (EU) nr.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In deze cel wordt de blootstellingsmaatstaf vermeld van de in bijlage II, punten 1 en 2, van Verordening (EU) nr. 575/2013 genoemde contracten, berekend volgens de in artikel 281 van Verordening (EU) nr. 575/2013 beschreven vereenvoudigde standaardbenadering. Het bedrag wordt gerapporteerd met toepassing van de alfafactor 1,4 als nader bepaald in artikel 274, lid 2, van Verordening (EU) nr.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Overeenkomstig artikel 429 quater, lid 6, van Verordening (EU) nr. 575/2013 verminderen instellingen die de vereenvoudigde standaardbenadering toepassen, de totale blootstellingsmaatstaf niet met het bedrag van de ontvangen marge. Bijgevolg is de uitzondering in artikel 429 quater, lid 4, van Verordening (EU) nr. 575/2013 voor derivatencontracten met cliënten indien die contracten door een GCTP worden gecleard, niet van toepassing.</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in deze cel geen contracten in aanmerking die worden gemeten met behulp van de SA-CCR of de oorspronkelijkeblootstellingsmethode.</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Effect van het uitgesloten CTP-deel van als cliënt geclearde transactieblootstellingen (vereenvoudigde standaardbenadering - vervangingswaarde)</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van Verordening (EU) nr.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gedeelte van de blootstellingswaarde dat de vervangingswaarde omvat van uitgesloten transactieblootstellingen met betrekking tot een gekwalificeerde centrale tegenpartij (GCTP) uit hoofde van als cliënt geclearde derivatentransacties, mits deze posten aan de in artikel 306, lid 1, punt c), van Verordening (EU) nr. 575/2013 gestelde voorwaarden voldoen. Dit bedrag wordt gerapporteerd inclusief de in contanten ontvangen variatiemarge uit hoofde van dit deel. Het bedrag wordt gerapporteerd met toepassing van de alfafactor 1,4 als nader bepaald in artikel 274, lid 2, van Verordening (EU) nr.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{0101;0010} alsof er geen uitsluiting van toepassing is.</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Afwijking voor derivaten: bijdrage van potentiële toekomstige blootstelling volgens de vereenvoudigde standaardbenadering (multiplicator op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 xml:space="preserve">Artikel 281, lid 2, punt f, en artikel 429 quater, lid 6, van Verordening (EU) nr. 575/2013 De potentiële toekomstige blootstelling volgens de vereenvoudigde standaardbenadering beschreven in artikel 281 van </w:t>
            </w:r>
            <w:r>
              <w:rPr>
                <w:rFonts w:ascii="Times New Roman" w:hAnsi="Times New Roman"/>
                <w:sz w:val="24"/>
              </w:rPr>
              <w:lastRenderedPageBreak/>
              <w:t>Verordening (EU) nr. 575/2013, uitgaande van een multiplicator 1. Het bedrag wordt gerapporteerd met toepassing van de alfafactor 1,4 als nader bepaald in artikel 274, lid 2, van Verordening (EU) nr.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Overeenkomstig artikel 429 quater, lid 6, van Verordening (EU) nr. 575/2013 verminderen instellingen die de vereenvoudigde standaardbenadering toepassen, de totale blootstellingsmaatstaf niet met het bedrag van de ontvangen marge.</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Effect van het uitgesloten CTP-deel van als cliënt geclearde transactieblootstellingen (vereenvoudigde standaardbenadering - potentiële toekomstige blootstelling)</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van Verordening (EU) nr.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De potentiële toekomstige blootstelling van uitgesloten transactieblootstellingen met betrekking tot een gekwalificeerde centrale tegenpartij (GCTP) uit hoofde van als cliënt geclearde derivatentransacties, mits deze posten aan de in artikel 306, lid 1, punt c), van Verordening (EU) nr. 575/2013 gestelde voorwaarden voldoen. Het bedrag wordt gerapporteerd met toepassing van de alfafactor 1,4 als nader bepaald in artikel 274, lid 2, van Verordening (EU) nr.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het in deze cel gerapporteerde bedrag ook op in {0103;0010} alsof er geen uitsluiting van toepassing is.</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Afwijking voor derivaten: oorspronkelijkeblootstellingsmethode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6, en artikel 282, van Verordening (EU) nr.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 deze cel wordt de blootstellingsmaatstaf vermeld van de in bijlage II, punten 1 en 2, van Verordening (EU) nr. 575/2013 genoemde contracten, berekend volgens de in artikel 282 van Verordening (EU) nr. 575/2013 beschreven oorspronkelijkeblootstellingsmethode.</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Overeenkomstig artikel 429 quater, lid 6, van Verordening (EU) nr. 575/2013 verminderen instellingen die de oorspronkelijkeblootstellingsmethode toepassen, de totale blootstellingsmaatstaf niet met het bedrag van de ontvangen marge.</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Instellingen die de oorspronkelijkeblootstellingsmethode niet hanteren, rapporteren deze cel niet.</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Instellingen nemen in deze cel geen contracten in aanmerking die worden gemeten met behulp van de SA-CCR of de vereenvoudigde standaardbenadering.</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Uitgesloten CTP-deel van als cliënt geclearde transactieblootstellingen (oorspronkelijkeblootstellingsmethode)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Artikel 429 bis, lid 1, punt g), van Verordening (EU) nr.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uitgesloten CTP-deel van als cliënt geclearde transactieblootstellingen volgens de in artikel 282 van Verordening (EU) nr. 575/2013 beschreven oorspronkelijkeblootstellingsmethode, mits die posten aan de in artikel 306, lid 1, punt c), van Verordening (EU) nr. 575/2013 gestelde voorwaarden voldoen.</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Instellingen nemen het in deze cel gerapporteerde bedrag ook op in {0110;0010} alsof er geen uitsluiting van toepassing is.</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Verminderd notioneel bedrag van geboekte kredietderivaten</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quinquies van Verordening (EU) nr.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Instellingen stellen overeenkomstig artikel 429 quinquies Verordening (EU) nr. 575/2013 het verminderde notionele bedrag van geboekte kredietderivaten, als omschreven in artikel 429 quinquies, lid 1, vast.</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Toelaatbare gekochte kredietderivaten afgetrokken van geboekte kredietderivaten</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quinquies van Verordening (EU) nr.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verminderde notionele bedrag van gekochte kredietderivaten (d.w.z. waarbij de instelling kredietprotectie van een tegenpartij koopt) op dezelfde referentienamen als de door de instelling geboekte kredietderivaten, waarbij de resterende looptijd van de gekochte protectie ten minste gelijk is aan de resterende looptijd van de verkochte protectie. De waarde is derhalve niet groter dan de waarde in {0130;0010} voor elke referentienaam.</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Posten buiten de balanstelling met een omrekeningsfactor van 10 % in overeenstemming met artikel 429 septies VKV</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overeenkomstig artikel 429 septies, artikel 111, lid 2, punt e), en artikel 111, lid 3, van Verordening (EU) nr.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Verordening (EU)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Er zij aan herinnerd dat de nominale waarde niet met specifieke kredietrisicoaanpassingen mag worden verminderd voordat de omrekeningsfactor wordt toegepast.</w:t>
            </w:r>
            <w:r>
              <w:rPr>
                <w:sz w:val="24"/>
              </w:rPr>
              <w:t xml:space="preserve"> </w:t>
            </w:r>
            <w:r>
              <w:rPr>
                <w:rFonts w:ascii="Times New Roman" w:hAnsi="Times New Roman"/>
                <w:sz w:val="24"/>
              </w:rPr>
              <w:t>Volgens artikel 429 septies, lid 2, kunnen instellingen het kredietblootstellingequivalent van een post buiten de balanstelling verminderen met het overeenkomstige bedrag van specifieke kredietrisicoaanpassingen. Voor deze berekening geldt een ondergrens van nul.</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Indien een kredietlijn betrekking heeft op de uitbreiding van een andere post buiten de balanstelling, wordt de laagste van de twee conversiefactoren (die hoort bij de post ten aanzien waarvan de kredietlijn geldt of die van </w:t>
            </w:r>
            <w:r>
              <w:rPr>
                <w:rFonts w:ascii="Times New Roman" w:hAnsi="Times New Roman"/>
                <w:sz w:val="24"/>
              </w:rPr>
              <w:lastRenderedPageBreak/>
              <w:t>toepassing is op het soort kredietlijn) gebruikt overeenkomstig artikel 111, lid 3, van Verordening (EU) nr.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Overeenkomstig artikel 429 septies van Verordening (EU) nr. 575/2013 houden instellingen in deze cel geen rekening met in bijlage II bij van Verordening (EU) nr. 575/2013 genoemde contracten, kredietderivaten, SFT’s en posities bedoeld in artikel 429 quinquies.</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Instellingen passen een omrekeningsfactor van 10 % toe voor onvoorwaardelijk opzegbare verplichten, overeenkomstig artikel 429 septies, lid 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Posten buiten de balanstelling met een omrekeningsfactor van 20 % in overeenstemming met artikel 429 septies VKV</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overeenkomstig artikel 429 septies, artikel 111, lid 2, punt d), en artikel 111, lid 3, van Verordening (EU) nr.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Verordening (EU) nr. 575/2013 Er zij aan herinnerd dat de nominale waarde niet met specifieke kredietrisicoaanpassingen mag worden verminderd voordat de omrekeningsfactor wordt toegepast. Volgens artikel 429 septies, lid 2, kunnen instellingen het kredietblootstellingequivalent van een post buiten de balanstelling verminderen met het overeenkomstige bedrag van specifieke kredietrisicoaanpassingen. Voor deze berekening geldt een ondergrens van nul.</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Indien een kredietlijn betrekking heeft op de uitbreiding van een andere post buiten de balanstelling, wordt de laagste van de twee conversiefactoren (die hoort bij de post ten aanzien waarvan de kredietlijn geldt of die van toepassing is op het soort kredietlijn) gebruikt overeenkomstig artikel 111, lid 3, van Verordening (EU) nr.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Overeenkomstig artikel 429 septies van Verordening (EU) nr. 575/2013 houden instellingen in deze cel geen rekening met in bijlage II bij van Verordening (EU) nr. 575/2013 genoemde contracten, kredietderivaten, SFT’s en posities bedoeld in artikel 429 quinquies.</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Posten buiten de balanstelling met een omrekeningsfactor van 40 % in overeenstemming met artikel 429 septies VKV</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De blootstellingswaarde overeenkomstig artikel 429 septies, artikel 111, lid 2, punt c), en artikel 111, lid 3, van Verordening (EU) nr.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 xml:space="preserve">Er zij aan herinnerd dat de nominale waarde niet met specifieke kredietrisicoaanpassingen mag worden verminderd voordat de omrekeningsfactor wordt toegepast. Volgens artikel 429 septies, lid 2, kunnen instellingen het kredietblootstellingequivalent van een post buiten de balanstelling verminderen met het overeenkomstige bedrag van specifieke </w:t>
            </w:r>
            <w:r>
              <w:rPr>
                <w:rFonts w:ascii="Times New Roman" w:hAnsi="Times New Roman"/>
                <w:sz w:val="24"/>
              </w:rPr>
              <w:lastRenderedPageBreak/>
              <w:t>kredietrisicoaanpassingen. Voor deze berekening geldt een ondergrens van nul.</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Indien een kredietlijn betrekking heeft op de uitbreiding van een andere post buiten de balanstelling, wordt de laagste van de twee conversiefactoren (die hoort bij de post ten aanzien waarvan de kredietlijn geldt of die van toepassing is op het soort kredietlijn) gebruikt overeenkomstig artikel 111, lid 3, van Verordening (EU) nr.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Overeenkomstig artikel 429 septies van Verordening (EU) nr. 575/2013 houden instellingen in deze cel geen rekening met in bijlage II bij van Verordening (EU) nr. 575/2013 genoemde contracten, kredietderivaten, SFT’s en posities bedoeld in artikel 429 quinquies.</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Posten buiten de balanstelling met een omrekeningsfactor van 50 % in overeenstemming met artikel 429 septies VKV</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overeenkomstig artikel 429 septies, artikel 111, lid 2, punt b), en artikel 111, lid 3, van Verordening (EU) nr. 575/2013</w:t>
            </w:r>
          </w:p>
          <w:p w14:paraId="512D74AD" w14:textId="07EC7CF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Verordening (EU) nr. 575/2013 Er zij aan herinnerd dat de nominale waarde niet met specifieke kredietrisicoaanpassingen mag worden verminderd voordat de omrekeningsfactor wordt toegepast.</w:t>
            </w:r>
            <w:r w:rsidR="00FB4BD0">
              <w:rPr>
                <w:rFonts w:ascii="Times New Roman" w:hAnsi="Times New Roman"/>
                <w:sz w:val="24"/>
              </w:rPr>
              <w:t xml:space="preserve"> </w:t>
            </w:r>
            <w:r>
              <w:rPr>
                <w:rFonts w:ascii="Times New Roman" w:hAnsi="Times New Roman"/>
                <w:sz w:val="24"/>
              </w:rPr>
              <w:t>Volgens artikel 429 septies, lid 2, kunnen instellingen het kredietblootstellingequivalent van een post buiten de balanstelling verminderen met het overeenkomstige bedrag van specifieke kredietrisicoaanpassingen. Voor deze berekening geldt een ondergrens van nul.</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Deze cel omvat liquiditeitsfaciliteiten en andere verplichtingen met betrekking tot securitisaties. Met andere woorden, de omrekeningsfactor bedraagt 50 % voor alle liquiditeitsfaciliteiten in de zin van artikel 255 van Verordening (EU) nr. 575/2013, ongeacht de looptijd ervan.</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Indien een kredietlijn betrekking heeft op de uitbreiding van een andere post buiten de balanstelling, wordt de laagste van de twee conversiefactoren (die hoort bij de post ten aanzien waarvan de kredietlijn geldt of die van toepassing is op het soort kredietlijn) gebruikt overeenkomstig artikel 111, lid 3, van Verordening (EU) nr.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Overeenkomstig artikel 429 septies van Verordening (EU) nr. 575/2013 houden instellingen in deze cel geen rekening met in bijlage II bij van Verordening (EU) nr. 575/2013 genoemde contracten, kredietderivaten, SFT’s en posities bedoeld in artikel 429 quinquies.</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Posten buiten de balanstelling met een omrekeningsfactor van 100 % in overeenstemming met artikel 429 septies VKV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overeenkomstig artikel 429 septies, artikel 111, lid 2, punt a), en artikel 111, lid 3, van Verordening (EU) nr.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 Verordening (EU) nr. 575/2013 Er zij aan herinnerd dat de nominale waarde niet met specifieke kredietrisicoaanpassingen mag worden verminderd voordat de omrekeningsfactor wordt toegepast. Volgens artikel 429 septies, lid 2, kunnen instellingen het kredietblootstellingequivalent van een post buiten de balanstelling verminderen met het overeenkomstige bedrag van specifieke kredietrisicoaanpassingen. Voor deze berekening geldt een ondergrens van nul.</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Deze cel omvat liquiditeitsfaciliteiten en andere verplichtingen met betrekking tot securitisaties.</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Indien een kredietlijn betrekking heeft op de uitbreiding van een andere post buiten de balanstelling, wordt de laagste van de twee conversiefactoren (die hoort bij de post ten aanzien waarvan de kredietlijn geldt of die van toepassing is op het soort kredietlijn) gebruikt overeenkomstig artikel 111, lid 3, van Verordening (EU) nr.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Overeenkomstig artikel 429 septies van Verordening (EU) nr. 575/2013 houden instellingen in deze cel geen rekening met in bijlage II bij van Verordening (EU) nr. 575/2013 genoemde contracten, kredietderivaten, SFT’s en posities bedoeld in artikel 429 quinquies.</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Algemene kredietrisicoaanpassingen in posten buiten de balanstelling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lid 4, van Verordening (EU) nr.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Het bedrag van de algemene kredietrisicoaanpassingen overeenstemmend met posten buiten de balanstelling bedoeld in artikel 429, lid 4, punt d), van Verordening (EU) nr. 575/2013, dat instellingen overeenkomstig artikel 429, lid 4, laatste alinea, aftrekken.</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Het gerapporteerde bedrag wordt niet als een vermindering in aanmerking genomen in de berekening van in de rijen {0150;0010} tot en met {0180;0010} gerapporteerde posten buiten de balanstelling.</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Nog af te wikkelen aankopen of verkopen volgens standaardmarktconventies: boekwaarde volgens administratieve verwerking op basis van de transactiedatum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 octies, lid 1, van Verordening (EU) nr.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De som van:</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het bedrag van de contanten met betrekking tot aankopen volgens standaardmarktconventies die op de balans blijven tot de afwikkelingsdatum, als activa overeenkomstig artikel 429, lid 4, punt a), van Verordening (EU) nr.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 xml:space="preserve">de kasvorderingen in verband met nog af te wikkelen verkopen volgens standaardmarktconventies die op de balans blijven tot de </w:t>
            </w:r>
            <w:r>
              <w:rPr>
                <w:rFonts w:ascii="Times New Roman" w:hAnsi="Times New Roman"/>
                <w:sz w:val="24"/>
              </w:rPr>
              <w:lastRenderedPageBreak/>
              <w:t>afwikkelingsdatum, overeenkomstig artikel 429, lid 4, punt a) van Verordening (EU) nr. 575/2013.</w:t>
            </w:r>
            <w:r>
              <w:rPr>
                <w:rFonts w:ascii="Times New Roman" w:hAnsi="Times New Roman"/>
                <w:color w:val="auto"/>
                <w:sz w:val="24"/>
              </w:rPr>
              <w:t xml:space="preserve"> Dit bedrag komt tot stand na compensatie tussen vorderingen in contanten voor nog af te wikkelen verkopen volgens standaardmarktconventies en schulden in contanten voor nog af te wikkelen aankopen, zoals toegestaan volgens het toepasselijke kader voor financiële verslaggeving.</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Instellingen die de administratieve verwerking op basis van de transactiedatum volgen, rapporteren de bovengenoemde som in deze cel in plaats van in rij 0190 “overige activa” en rapporteren de effecten in verband met aankopen volgens standaardmarktconventies in rij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Nog af te wikkelen verkopen volgens standaardmarktconventies: tegenboeking van de boekhoudkundige compensatie volgens de administratieve verwerking op basis van de transactiedatum</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 octies, lid 2, van Verordening (EU) nr.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Het bedrag door compensatie tussen vorderingen in contanten voor nog af te wikkelen verkopen volgens standaardmarktconventies en schulden in contanten voor nog af te wikkelen aankopen, toegestaan volgens het kader voor financiële verslaggeving.</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Nog af te wikkelen verkopen volgens standaardmarktconventies: compensatie in overeenstemming met artikel 429 octies, lid 2, VKV</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octies, lid 2, van Verordening (EU) nr.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Het bedrag door compensatie tussen vorderingen in contanten en schulden in contanten, waarbij zowel de verkopen als de aankopen volgens standaardmarktconventies op basis van levering-tegen-betaling worden afgewikkeld overeenkomstig artikel 429 octies, lid 2, van Verordening (EU) nr.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Nog af te wikkelen aankopen volgens standaardmarktconventies: volledige opname van betalingsverplichtingen volgens administratieve verwerking op basis van de transactiedatum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 octies, lid 3, van Verordening (EU) nr.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De volledige nominale waarde van verplichtingen tot betaling in verband met aankopen volgens standaardmarktconventies, voor instellingen die in overeenstemming met het toepasselijke kader voor financiële verslaggeving administratieve verwerking op basis van de transactiedatum toepassen op aankopen en verkopen volgens standaardmarktconventies.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Effecten in verband met aankopen volgens standaardmarktconventies worden gerapporteerd in rij 0190 “overige activa”.</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Nog af te wikkelen aankopen volgens standaardmarktconventies: compensatie met betalingsverplichtingen volgens administratieve verwerking op basis van de transactiedatum in overeenstemming met artikel 429 octies, lid 3, VKV</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Artikel 429 octies, lid 3, van Verordening (EU) nr.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Het deel van het in rij 0188 gerapporteerde bedrag gecompenseerd door de volledige nominale waarde van de kasvorderingen in verband met nog af te wikkelen verkopen volgens standaardmarktconventies in overeenstemming met artikel 429 octies, lid 3, van Verordening (EU) nr.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Overige activa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Artikel 429, lid 4, punt a), van Verordening (EU) nr.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Alle andere activa dan de in bijlage II bij van Verordening (EU) nr. 575/2013 genoemde derivatencontracten, kredietderivaten en SFT’s (in deze cel moeten bijvoorbeeld onder andere de volgende activa worden gerapporteerd: te ontvangen boekhoudkundige activa voor in contanten betaalde variatiemarge ingeval deze activa volgens het toepasselijke kader voor financiële verslaggeving worden opgenomen, liquide activa als omschreven in het kader van de liquiditeitsdekkingsratio, alsook falende en niet-afgewikkelde transacties). Instellingen gaan bij de waardering uit van de beginselen van artikel 429 ter, lid 1, en artikel 429, lid 7, van Verordening (EU) nr.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Instellingen nemen in deze cel contanten op die zijn ontvangen van, of effecten die zijn verstrekt aan een tegenpartij via SFT’s en die op de balans vermeld staan (d.w.z. er wordt niet voldaan aan de boekhoudkundige criteria voor verwijdering). Voorts nemen instellingen hier van het tier 1-kernkapitaal afgetrokken posten en aanvullend tier 1-bestanddelen (bv. immateriële activa, uitgestelde belastingvorderingen enz.) op.</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in rij {0191;0010} gerapporteerde bedrag wordt niet als vermindering in aanmerking genomen in de berekening van deze rij.</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Cashpoolingregelingen worden gerapporteerd in de rijen {0193;0010}, {0194;0010}, {0195;0010}, {0196;0010}, {0197;0010} en{0198;0010}, en niet hier.</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Algemene kredietrisicoaanpassingen in posten binnen de balanstelling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lid 4, van Verordening (EU) nr.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Het bedrag van de algemene kredietrisicoaanpassingen die overeenstemmen met posten binnen de balanstelling bedoeld in artikel 429, lid 4, punt a), van </w:t>
            </w:r>
            <w:r>
              <w:rPr>
                <w:rFonts w:ascii="Times New Roman" w:hAnsi="Times New Roman"/>
                <w:sz w:val="24"/>
              </w:rPr>
              <w:lastRenderedPageBreak/>
              <w:t>Verordening (EU) nr. 575/2013 dat instellingen overeenkomstig artikel 429, lid 4, laatste alinea, van Verordening (EU) nr. 575/2013 aftrekken.</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Het gerapporteerde bedrag wordt niet als een vermindering in aanmerking genomen in de berekening van de in {0190;0010} gerapporteerde overige activa.</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Cashpoolingregelingen die prudentieel niet kunnen worden verrekend: waarde in het kader voor financiële verslaggeving</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ter, leden 2 en 3, van Verordening (EU) nr.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De boekwaarde van cashpoolingregelingen, d.w.z. regelingen waarbij de credit- of debetsaldi van verschillende individuele rekeningen worden gecombineerd ten behoeve van contanten- of liquiditeitsbeheer, die niet kan worden verrekend overeenkomstig artikel 429 ter, leden 2 en 3, van Verordening (EU) nr.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Cashpoolingregelingen die prudentieel niet kunnen worden verrekend: effect van de brutering van de verrekening toegepast in het kader voor financiële verslaggeving</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lid 7, punt b), en artikel 429 ter, leden 2 en 3, van Verordening (EU) nr.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Het bedrag dat op grond van het toepasselijke kader voor financiële verslaggeving is verrekend op de cashpoolregelingen die prudentieel niet kunnen worden verrekend, gerapporteerd in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Cashpoolingregelingen die prudentieel kunnen worden verrekend: waarde in het kader voor financiële verslaggeving</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ter, leden 2 en 3, van Verordening (EU) nr.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 boekwaarde van cashpoolingregelingen, d.w.z. regelingen waarbij de credit- of debetsaldi van verschillende individuele rekeningen worden gecombineerd ten behoeve van contanten- of liquiditeitsbeheer, die kunnen worden verrekend overeenkomstig artikel 429 ter, leden 2 en 3, van Verordening (EU) nr.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Cashpoolingregelingen die prudentieel kunnen worden verrekend: effect van de brutering van de verrekening toegepast in het kader voor financiële verslaggeving</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ter, leden 2 en 3, van Verordening (EU) nr.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Het bedrag dat op grond van het toepasselijke kader voor financiële verslaggeving wordt verrekend op de cashpoolregelingen die prudentieel kunnen worden verrekend, gerapporteerd in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lastRenderedPageBreak/>
              <w:t>Indien de instelling voldoet aan artikel 429 ter, lid 2, punt b), wordt de brutering in deze rij niet toegepast op saldi die op basis van het proces bedoeld in artikel 429 ter, lid 2, punt a), worden opgeheven.</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Cashpoolingregelingen die prudentieel kunnen worden verrekend: opname van de verrekening in overeenstemming met artikel 429 ter, lid 2, VKV</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 ter, lid 2, van Verordening (EU) nr.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Het bedrag dat wordt verrekend met de brutoblootstelling betreffende cashpoolingregelingen (som van de rijen 0195 en 0196) overeenkomstig artikel 429 ter, lid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Cashpoolingregelingen die prudentieel kunnen worden verrekend: opname van de verrekening in overeenstemming met artikel 429 ter, lid 3, VKV</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Artikel 429 ter, lid 3, van Verordening (EU) nr. 575/2013 </w:t>
            </w:r>
            <w:r>
              <w:rPr>
                <w:rFonts w:ascii="Times New Roman" w:hAnsi="Times New Roman"/>
                <w:color w:val="auto"/>
                <w:sz w:val="24"/>
              </w:rPr>
              <w:t>Het bedrag dat wordt verrekend met de brutoblootstelling betreffende cashpoolingregelingen (som van de rijen 0195 en 0196) overeenkomstig artikel 429 ter, lid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Brutering voor met betrekking tot derivaten verstrekte zekerheden</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2, van Verordening (EU) nr.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bedrag van alle met betrekking tot derivaten verstrekte zekerheden indien overeenkomstig artikel 429 quater, lid 2, van Verordening (EU) nr. 575/2013 het bedrag van de activa op grond van het toepasselijke kader voor financiële verslaggeving wordt verminderd door de verstrekking van die zekerheden.</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 initiële marge voor als cliënt geclearde derivatentransacties met een gekwalificeerde centrale tegenpartij (CTP) of de toelaatbare in contanten ontvangen variatiemarge, als bepaald in artikel 429 quater, lid 3, van Verordening (EU) nr. 575/2013 worden niet in deze cel opgenomen.</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Te ontvangen activa voor de bij derivatentransacties in contanten betaalde variatiemarge</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 quater, lid 3, punt c), van Verordening (EU) nr.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 te ontvangen activa voor de bij derivatentransacties in contanten aan de tegenpartij betaalde variatiemarge indien de instelling op grond van het toepasselijke kader voor financiële verslaggeving verplicht is deze als een te ontvangen actief op te nemen, mits aan de in artikel 429 quater, lid 3, punten a) tot en met e), van Verordening (EU) nr. 575/2013 gestelde voorwaarden is voldaan.</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Het gerapporteerde bedrag wordt ook in de in {0190;0010} gerapporteerde overige activa opgenomen.</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Uitgesloten CTP-deel van als cliënt geclearde transactieblootstellingen (initiële marge)</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g), van Verordening (EU) nr.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gedeelte van de (gestorte) initiële marge van uitgesloten transactieblootstellingen met betrekking tot een GCTP uit hoofde van als cliënt geclearde derivatentransacties, mits deze posten aan de in artikel 306, lid 1, punt c), van Verordening (EU) nr. 575/2013 gestelde voorwaarden voldoen.</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gerapporteerde bedrag wordt ook in de in {0190;0010} gerapporteerde overige activa opgenomen.</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Aanpassingen voor SFT’s waarvoor de verkoop volgens het toepasselijke kader voor financiële verslaggeving wordt verantwoord</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sexies, lid 6, van Verordening (EU) nr.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 waarde van bij een retrocessietransactie uitgeleende effecten die niet in aanmerking worden genomen omdat de verkoop volgens het toepasselijke kader voor financiële verslaggeving wordt verantwoord.</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Vermindering van de blootstellingswaarde van voorfinanciering of tussentijdse kredieten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Artikel 429, lid 8, van Verordening (EU) nr.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Het verminderde bedrag van de blootstellingswaarde van een voorfinancieringslening of een tussentijds krediet, overeenkomstig artikel 429, lid 8, van Verordening (EU) nr.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Het gerapporteerde bedrag wordt in de in {0190;0010} gerapporteerde overige activa opgenomen.</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Fiduciaire activa</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i), van Verordening (EU) nr.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 xml:space="preserve">De waarde van fiduciaire activa die overeenkomstig artikel 429 bis, lid 1, punt i), van Verordening (EU) nr. 575/2013 in de balans van de instelling worden opgenomen volgens de nationale algemeen aanvaarde boekhoudkundige beginselen, voldoen aan de criteria van IFRS 9 voor het niet-opnemen in de balans en, in voorkomend geval, IFRS 10 voor niet-consolidatie, in de veronderstelling dat er geen sprake is van boekhoudkundige verrekenings- of andere CRM-effecten (dit betekent dat </w:t>
            </w:r>
            <w:r>
              <w:rPr>
                <w:rFonts w:ascii="Times New Roman" w:hAnsi="Times New Roman"/>
                <w:sz w:val="24"/>
              </w:rPr>
              <w:lastRenderedPageBreak/>
              <w:t>alle effecten van boekhoudkundige verrekening of CRM die de boekwaarde hebben beïnvloed, worden teruggedraaid).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gerapporteerde bedrag wordt ook in de in {0190;0010} gerapporteerde overige activa opgenomen.</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Overeenkomstig artikel 429 bis, lid 1, punt c), VKV uitgesloten intragroepblootstellingen (solobasis)</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c), en artikel 113, lid 6, van Verordening (EU) nr.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Blootstellingen die niet op de toepasselijke consolidatiebasis zijn geconsolideerd en die voor de in artikel 113, lid 6, van Verordening (EU) nr. 575/2013 vastgestelde behandeling in aanmerking komen, mits aan alle in artikel 113, lid 6, punten a) tot en met e), van Verordening (EU) nr. 575/2013 gestelde voorwaarden is voldaan en de bevoegde autoriteiten hun toestemming hebben verleend.</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Overeenkomstig artikel 429 bis, lid 1, punt c), VKV uitgesloten blootstellingen met betrekking tot een institutioneel protectiestelsel (IPS)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c), en artikel 113, lid 7, van Verordening (EU) nr.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Blootstellingen die voor de in artikel 113, lid 7, van Verordening (EU) nr. 575/2013 vastgestelde behandeling in aanmerking komen, mits aan alle in artikel 113, lid 7, punten a) tot en met i), van Verordening (EU) nr. 575/2013 gestelde voorwaarden is voldaan en de bevoegde autoriteiten hun toestemming hebben verleend.</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Het gerapporteerde bedrag wordt ook in de bovengenoemde toepasselijke cellen opgenomen alsof er geen uitsluiting van toepassing is.</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Overeenkomstig artikel 429 bis, lid 1, punt c bis), VKV uitgesloten blootstellingen met betrekking tot een institutioneel protectiestelsel (IPS)</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Artikel 429 bis, lid 1, punt c bis), en artikel 113, lid 7, van Verordening (EU) nr. 575/2013Blootstellingen die voor de in artikel 113, lid 7, en artikel 114 van Verordening (EU) nr. 575/2013 vastgestelde behandeling in aanmerking komen, mits aan alle in artikel 429 bis, lid 1, punt c bis), van Verordening (EU) nr. 575/2013 gestelde voorwaarden is voldaan. </w:t>
            </w:r>
          </w:p>
          <w:p w14:paraId="679257E0" w14:textId="1D0F3ECC" w:rsidR="0093277B" w:rsidRPr="000B66BC" w:rsidRDefault="00B96F9D" w:rsidP="00D31203">
            <w:pPr>
              <w:pStyle w:val="BodyText1"/>
              <w:spacing w:after="240" w:line="240" w:lineRule="auto"/>
            </w:pPr>
            <w:r>
              <w:rPr>
                <w:rFonts w:ascii="Times New Roman" w:hAnsi="Times New Roman"/>
                <w:sz w:val="24"/>
              </w:rPr>
              <w:t>Het gerapporteerde bedrag wordt ook in de bovengenoemde toepasselijke cellen opgenomen alsof er geen uitsluiting van toepassing is.</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Uitgesloten gegarandeerde gedeelten van blootstellingen als gevolg van exportkredieten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f), van Verordening (EU) nr.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De gegarandeerde gedeelten van blootstellingen als gevolg van exportkredieten die kunnen worden uitgesloten wanneer aan de voorwaarden van artikel 429 bis, lid 1, punt f), van Verordening (EU) nr. 575/2013 is voldaan.</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overtollige zekerheden die bij tripartiete agenten zijn gedeponeerd</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k), van Verordening (EU) nr.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De niet uitgeleende overtollige zekerheden die bij tripartiete agenten zijn gedeponeerd, welke kunnen worden uitgesloten in overeenstemming met artikel 429 bis, lid 1, punt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Uitgesloten gesecuritiseerde blootstellingen die een aanzienlijke risico-overdracht vertegenwoordigen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m), van Verordening (EU) nr.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De gesecuritiseerde blootstellingen als gevolg van traditionele securitisaties die voldoen aan de in artikel 244, lid 2, gestelde voorwaarden voor de overdracht van een aanzienlijk deel van het risico;</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Overeenkomstig artikel 429 bis, lid 1, punt n), VKV uitgesloten blootstellingen met betrekking tot de centrale bank</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n), van Verordening (EU) nr.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Overeenkomstig artikel 429 bis, lid 1, punt o), van Verordening (EU) nr. 575/2013 uitgesloten bancaire nevendiensten van CSD/instellingen</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o), van Verordening (EU) nr.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Het gerapporteerde bedrag wordt ook in de bovengenoemde toepasselijke cellen opgenomen alsof er geen uitsluiting van toepassing is.</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lastRenderedPageBreak/>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Overeenkomstig artikel 429 bis, lid 1, punt p), VKV uitgesloten bancaire nevendiensten van aangewezen instellingen</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bis, lid 1, punt p), van Verordening (EU) nr.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Overeenkomstig artikel 429 bis, lid 1, punt j), VKV uitgesloten blootstellingen</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j), van Verordening (EU) nr.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Blootstellingen die overeenkomstig artikel 429 bis, lid 1, punt j), van Verordening (EU) nr. 575/2013 worden uitgesloten indien aan de daar gestelde voorwaarden is voldaan.</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Uitgesloten blootstellingen van publiekrechtelijke ontwikkelingskredietinstellingen - Investeringen van de overheidssector</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d), en artikel 429 bis, lid 2, van Verordening (EU) nr.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Blootstellingen als gevolg van activa die vorderingen vertegenwoordigen op centrale overheden, regionale overheden, lokale overheden of publiekrechtelijke lichamen in verband met investeringen van de overheidssector, die overeenkomstig artikel 429 bis, lid 1, punt d), van Verordening (EU) nr. 575/2013 kunnen worden uitgesloten.</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Wanneer de vordering ook kan worden aangemerkt als stimuleringslening in de zin van artikel 429 bis, lid 3, wordt zij niet in deze cel gerapporteerd maar in de rijen 0262-0264 indien van toepassing.</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van publiekrechtelijke ontwikkelingskredietinstellingen - Door publiekrechtelijke ontwikkelingskredietinstelling verstrekte stimuleringsleningen</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d), en artikel 429 bis, leden 2 en 3, van Verordening (EU) nr.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De blootstellingen als gevolg van stimuleringsleningen, met inbegrip van pass-throughstimuleringsleningen, verstrekt door een publiekrechtelijke </w:t>
            </w:r>
            <w:r>
              <w:rPr>
                <w:rFonts w:ascii="Times New Roman" w:hAnsi="Times New Roman"/>
                <w:sz w:val="24"/>
              </w:rPr>
              <w:lastRenderedPageBreak/>
              <w:t>ontwikkelingskredietinstelling, die overeenkomstig artikel 429 bis, lid 1, punt d), van Verordening (EU) nr. 575/2013 kunnen worden uitgesloten.</w:t>
            </w:r>
            <w:r>
              <w:rPr>
                <w:rFonts w:ascii="Times New Roman" w:hAnsi="Times New Roman"/>
                <w:color w:val="auto"/>
                <w:sz w:val="24"/>
              </w:rPr>
              <w:t xml:space="preserve"> </w:t>
            </w:r>
            <w:r>
              <w:rPr>
                <w:rFonts w:ascii="Times New Roman" w:hAnsi="Times New Roman"/>
                <w:sz w:val="24"/>
              </w:rPr>
              <w:t>De blootstellingen van een afdeling van een instelling die door een bevoegde autoriteit als een publiekrechtelijke ontwikkelingskredietinstelling wordt behandeld in overeenstemming met artikel 429 bis, lid 2, laatste alinea, van Verordening (EU) nr. 575/2013, worden ook in aanmerking genomen.</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van publiekrechtelijke ontwikkelingskredietinstellingen - Stimuleringsleningen verstrekt door een entiteit die rechtstreeks is opgericht door een centrale overheid, een regionale overheid of een lokale overheid van een lidstaat</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d), en artikel 429 bis, leden 2 en 3, van Verordening (EU) nr.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De blootstellingen als gevolg van stimuleringsleningen, met inbegrip van pass-throughstimuleringsleningen, verstrekt door een entiteit die rechtstreeks is opgericht door een centrale overheid, een regionale overheid of een lokale overheid van een lidstaat, die overeenkomstig artikel 429 bis, lid 1, punt d), kunnen worden uitgesloten. De blootstellingen van een afdeling van een instelling die door een bevoegde autoriteit als een publiekrechtelijke ontwikkelingskredietinstelling wordt behandeld in overeenstemming met artikel 429 bis, lid 2, laatste alinea, van Verordening (EU) nr. 575/2013, worden ook in aanmerking genomen.</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van publiekrechtelijke ontwikkelingskredietinstellingen - Stimuleringsleningen verstrekt door een entiteit die via een intermediaire kredietinstelling is opgericht door een centrale overheid, een regionale overheid of een lokale overheid van een lidstaat</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d), en artikel 429 bis, leden 2 en 3, van Verordening (EU) nr.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De blootstellingen ten gevolge van stimuleringsleningen, met inbegrip van pass-throughstimuleringsleningen, verstrekt door een entiteit die via een intermediaire kredietinstelling is opgericht door een centrale overheid, een regionale overheid of een lokale overheid van een lidstaat, die overeenkomstig artikel 429 bis, lid 1, punt d), kunnen worden uitgesloten. De blootstellingen van een afdeling van een instelling die door een bevoegde autoriteit als een publiekrechtelijke ontwikkelingskredietinstelling wordt behandeld in overeenstemming met artikel 429 bis, lid 2, laatste alinea, van Verordening (EU) nr. 575/2013, worden ook in aanmerking genomen.</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Het gerapporteerde bedrag wordt ook in de bovengenoemde toepasselijke cellen opgenomen alsof er geen uitsluiting van toepassing is.</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met betrekking tot aandeelhouders overeenkomstig artikel 429 bis, lid 1, punt d bis), VKV</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d bis), van Verordening (EU) nr.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Blootstellingen van de instelling met betrekking tot haar aandeelhouders die kredietinstellingen zijn op voorwaarde dat zij gedekt zijn en aan alle voorwaarden van punt d bis), is voldaan.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van niet-publiekrechtelijke ontwikkelingskredietinstellingen (of afdelingen) die uit pass-throughstimuleringsleningen voortvloeien- Door publiekrechtelijke ontwikkelingskredietinstelling verstrekte stimuleringsleningen</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e), en artikel 429 bis, leden 2 en 3, van Verordening (EU) nr.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gedeelten van blootstellingen die voortvloeien uit pass-throughstimuleringsleningen aan andere kredietinstellingen, wanneer de stimuleringsleningen door een publiekrechtelijke ontwikkelingskredietinstelling zijn verstrekt. </w:t>
            </w:r>
            <w:r>
              <w:rPr>
                <w:rFonts w:ascii="Times New Roman" w:hAnsi="Times New Roman"/>
                <w:sz w:val="24"/>
              </w:rPr>
              <w:t>De gedeelten van de blootstellingen van de afdelingen van een instelling die door een bevoegde autoriteit niet als een publiekrechtelijke ontwikkelingskredietinstelling worden behandeld in overeenstemming met artikel 429 bis, lid 2, laatste alinea, van Verordening (EU) nr. 575/2013, worden ook in aanmerking genomen.</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uit pass-throughstimuleringsleningen van niet-publiekrechtelijke ontwikkelingskredietinstellingen (of -afdelingen) - Stimuleringsleningen verstrekt door een entiteit die rechtstreeks is opgericht door een centrale overheid, een regionale overheid of een lokale overheid van een lidstaat</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e), en artikel 429 bis, leden 2 en 3, van Verordening (EU) nr.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gedeelten van blootstellingen die voortvloeien uit pass-throughstimuleringsleningen aan andere kredietinstellingen, wanneer de stimuleringsleningen zijn verstrekt door een entiteit die rechtstreeks is opgericht door een centrale overheid, een regionale overheid of een lokale overheid van een lidstaat. </w:t>
            </w:r>
            <w:r>
              <w:rPr>
                <w:rFonts w:ascii="Times New Roman" w:hAnsi="Times New Roman"/>
                <w:sz w:val="24"/>
              </w:rPr>
              <w:t xml:space="preserve">De gedeelten van de blootstellingen van de </w:t>
            </w:r>
            <w:r>
              <w:rPr>
                <w:rFonts w:ascii="Times New Roman" w:hAnsi="Times New Roman"/>
                <w:sz w:val="24"/>
              </w:rPr>
              <w:lastRenderedPageBreak/>
              <w:t>afdelingen van een instelling die door een bevoegde autoriteit niet als een publiekrechtelijke ontwikkelingskredietinstelling worden behandeld in overeenstemming met artikel 429 bis, lid 2, laatste alinea, van Verordening (EU) nr. 575/2013, worden ook in aanmerking genomen.</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Uitgesloten blootstellingen uit pass-throughstimuleringsleningen van niet-publiekrechtelijke ontwikkelingskredietinstellingen (of -afdelingen) - Stimuleringsleningen verstrekt door een entiteit die via een intermediaire kredietinstelling is opgericht door een centrale overheid, een regionale overheid of een lokale overheid van een lidstaat</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e), en artikel 429 bis, leden 2 en 3, van Verordening (EU) nr.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gedeelten van blootstellingen die voortvloeien uit pass-throughstimuleringsleningen aan andere kredietinstellingen, wanneer de stimuleringsleningen zijn verstrekt door een entiteit die via een intermediaire kredietinstelling is opgericht door een centrale overheid, een regionale overheid of een lokale overheid van een lidstaat. </w:t>
            </w:r>
            <w:r>
              <w:rPr>
                <w:rFonts w:ascii="Times New Roman" w:hAnsi="Times New Roman"/>
                <w:sz w:val="24"/>
              </w:rPr>
              <w:t>De gedeelten van de blootstellingen van de afdelingen van een instelling die door een bevoegde autoriteit niet als een publiekrechtelijke ontwikkelingskredietinstelling worden behandeld in overeenstemming met artikel 429 bis, lid 2, laatste alinea, van Verordening (EU) nr. 575/2013, worden ook in aanmerking genomen.</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Het gerapporteerde bedrag wordt ook in de bovengenoemde toepasselijke cellen opgenomen alsof er geen uitsluiting van toepassing is.</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Blootstellingen die in mindering worden gebracht overeenkomstig artikel 429 bis, lid 1, punt q), VKV</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Artikel 429 bis, lid 1, punt q), van Verordening (EU) nr. 575/2013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De blootstellingen die onder de behandeling van artikel 72 sexies, lid 5, eerste alinea, van Verordening (EU) nr. 575/2013 vallen.</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Het gerapporteerde bedrag wordt ook in de bovengenoemde toepasselijke cellen opgenomen alsof er geen uitsluiting van toepassing is.</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Aanvullende blootstellingswaarde voor de berekening van de hefboomratio overeenkomstig artikel 3 VKV</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Artikel 3 van Verordening (EU) nr.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De aanvullende blootstellingswaarde voor de berekening van de hefboomratio wordt gerapporteerd. Het te rapporteren bedrag omvat uitsluitend de aanvullende waarden.</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Afgetrokken activabedrag - Tier 1-kapitaal - volledig ingefaseerde definitie</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Artikel 429 bis, lid 1, punt b), en artikel 499, lid 1, punt a), van Verordening (EU) nr.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betreft alle aanpassingen die op de waarde van een actief betrekking hebben en die zijn vereist bij:</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de artikelen 32 tot en met 35 van Verordening (EU) nr. 575/2013, of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de artikelen 36 tot en met 47 van Verordening (EU) nr. 575/2013, of</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de artikelen 56 tot en met 60 van Verordening (EU) nr.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naargelang het geval.</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Instellingen nemen de in de artikelen 48, 49 en 79 van Verordening (EU) nr. 575/2013 vervatte vrijstellingen, alternatieven en ontheffingen met betrekking tot dergelijke aftrekkingen in aanmerking, zonder rekening te houden met de afwijking waarin deel tien, titel I, hoofdstukken 1, 2 en 4, van Verordening (EU) nr. 575/2013 voorziet. Om dubbeltellingen te vermijden rapporteren instellingen bij de berekening van de blootstellingswaarde in {0010;0010} tot en met {0269;0010} geen aanpassingen die reeds op grond van artikel 111 van Verordening (EU) nr. 575/2013 zijn toegepast; zij rapporteren evenmin aanpassingen waarbij er geen sprake is van de aftrekking van de waarde van een specifiek actief.</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Aangezien deze bedragen reeds van de kapitaalmaatstaf zijn afgetrokken, doen zij de blootstelling voor de berekening van de hefboomratio dalen en worden zij als een negatieve waarde gerapporteerd.</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Afgetrokken activabedrag — Tier 1-kapitaal — overgangsdefinitie</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t>Artikel 429 bis, lid 1, punt b), en artikel 499, lid 1, punt a), van Verordening (EU) nr.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Het betreft alle aanpassingen die op de waarde van een actief betrekking hebben en die zijn vereist bij:</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de artikelen 32 tot en met 35 van Verordening (EU) nr. 575/2013, of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de artikelen 36 tot en met 47 van Verordening (EU) nr. 575/2013, of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de artikelen 56 tot en met 60 van Verordening (EU) nr.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naargelang het geval.</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Instellingen nemen de in de artikelen 48, 49 en 79 van Verordening (EU) nr. 575/2013 vervatte vrijstellingen, alternatieven en ontheffingen met betrekking tot dergelijke aftrekkingen in aanmerking, en houden tevens </w:t>
            </w:r>
            <w:r>
              <w:rPr>
                <w:rFonts w:ascii="Times New Roman" w:hAnsi="Times New Roman"/>
                <w:sz w:val="24"/>
              </w:rPr>
              <w:lastRenderedPageBreak/>
              <w:t>rekening met de afwijkingen waarin deel tien, titel I, hoofdstukken 1, 2 en 4, van Verordening (EU) nr. 575/2013 voorziet. Om dubbeltellingen te vermijden rapporteren instellingen bij de berekening van de blootstellingswaarde in {0010;0010} tot en met {0269;0010} geen aanpassingen die reeds op grond van artikel 111 van Verordening (EU) nr. 575/2013 zijn toegepast; zij rapporteren evenmin aanpassingen waarbij er geen sprake is van de aftrekking van de waarde van een specifiek actief.</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Aangezien deze bedragen reeds van de kapitaalmaatstaf zijn afgetrokken, doen zij de blootstelling voor de berekening van de hefboomratio dalen en worden zij als een negatieve waarde gerapporteerd.</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Totale blootstellingsmaatstaf voor de berekening van de hefboomratio – volgens een volledig ingefaseerde definitie van het tier 1-kapitaal</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 som van alle rijen 0010 tot en met 0269 en rij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Totale risicoblootstelling voor de berekening van de hefboomratio – volgens een overgangsdefinitie van het tier 1-kapitaal</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Instellingen rapporteren de som van alle rijen 0010 tot en met 0269 en rij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Rij en kolom</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Tier 1-kapitaal – volledig ingefaseerde definitie</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lid 3, en artikel 499, lid 1, punt a), van Verordening (EU) nr.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Dit is het bedrag aan tier 1-kapitaal berekend overeenkomstig artikel 25 van Verordening (EU) nr. 575/2013, zonder rekening te houden met de afwijking waarin deel tien, titel I, hoofdstukken 1, 2 en 4, van Verordening (EU) nr. 575/2013 voorziet.</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Tier 1-kapitaal - overgangsdefinitie</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lid 3, en artikel 499, lid 1, punt b), van Verordening (EU) nr.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Dit is het bedrag aan tier 1-kapitaal berekend overeenkomstig artikel 25 van Verordening (EU) nr. 575/2013, nadat rekening is gehouden met de afwijking waarin deel tien, titel I, hoofdstukken 1, 2 en 4, van Verordening (EU) nr. 575/2013 voorziet.</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Rij en kolom</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Hefboomratio</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Hefboomratio — volgens een volledig ingefaseerde definitie van het tier 1-kapitaal</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lid 2, en artikel 499, lid 1, van Verordening (EU) nr.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Dit is de hefboomratio berekend overeenkomstig deel II, punt 2, van deze bijlage.</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Hefboomratio — volgens een overgangsdefinitie van het tier 1-kapitaal</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lid 2, en artikel 499, lid 1, van Verordening (EU) nr.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Dit is de hefboomratio berekend overeenkomstig deel II, punt 3, van deze bijlage.</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Rij en kolom</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Voorschriften: Bedragen</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Pijler 2-vereiste (P2R) om risico’s van buitensporige hefboomwerking aan te pakken</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Artikel 104 en artikel 104 bis van Richtlijn 2013/36/EU; aanvullend eigen vermogen dat door de bevoegde autoriteit wordt opgelegd om het risico van buitensporige hefboomwerking aan te pakken, als bedoeld in artikel 104 van Richtlijn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waarvan: op te bouwen uit tier 1-kernkapitaal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het deel van de P2R, bedoeld in rij 0350, dat van de bevoegde autoriteit in de vorm van tier 1-kernkapitaal moet worden aangehouden.</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MSI-hefboomratiobuffer</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92, lid 1 bis, van Verordening (EU) nr.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MSI’s rapporteren de waarde van de MSI-opslagfactor voor de overeenkomstig artikel 92, lid 1 bis, punt a), van Verordening (EU) nr. 575/2013 vastgestelde hefboomratio.</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MSI’s rapporteren dit bedrag op de datum waarop de buffer overeenkomstig Verordening (EU) nr. 575/2013 wordt toegepast.</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Pijler 2-richtsnoeren (P2G) om risico’s van buitensporige hefboomwerking aan te pakken</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Artikel 104 ter van Richtlijn 2013/36/EU; aanvullend eigen vermogen dat door de bevoegde autoriteit wordt meegedeeld om het risico van buitensporige hefboomwerking aan te pakken, als bedoeld in artikel 104 ter van Richtlijn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waarvan: op te bouwen uit tier 1-kernkapitaal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Het deel van de P2G, bedoeld in rij 0380, dat van de bevoegde autoriteit in de vorm van tier 1-kernkapitaal moet worden aangehouden.</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waarvan: op te bouwen uit tier 1-kapitaal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Het deel van de P2G, bedoeld in rij 0380, dat van de bevoegde autoriteit in de vorm van tier 1-kernkapitaal moet worden aangehouden.</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Rij en kolom</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Voorschriften: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Pijler 1-hefboomratiovereiste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Artikel 92, lid 1, punt d), artikel 429 bis, lid 7, en artikel 429 bis, lid 1, punt n), van Verordening (EU) nr. 575/2013 de hefboomratio die vereist is om risico’s van buitensporige hefboomwerking aan te pakken, als bedoeld in artikel 92, lid 1, punt d), van Verordening (EU) nr.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Instellingen die blootstellingen met betrekking tot de centrale bank van de instelling bedoeld in artikel 429 bis, lid 1, punt n), uitsluiten, rapporteren het vereiste inzake een aangepaste hefboomratio overeenkomstig artikel 429 bis, lid 7, van Verordening (EU) nr.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Totaal SREP-hefboomratiovereiste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104 en artikel 104 bis van Richtlijn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De som van i) en ii) als volgt:</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het pijler 1-hefboomratiovereiste als gerapporteerd in rij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de aanvullend-eigenvermogensratio opgelegd door de bevoegde autoriteit (P2R) om het risico van buitensporige hefboomwerking aan te pakken, als bedoeld in artikel 104 van Richtlijn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De instellingen berekenen punt ii) door de waarde in {0350;0010} te delen door de waarde in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Indien de bevoegde autoriteit geen aanvullend-eigenvermogensvereisten heeft meegedeeld, alleen punt i) rapporteren.</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op te bouwen uit tier 1-kernkapitaal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Het deel van de additionele eigenvermogensratio, bedoeld in punt ii) van rij 0420, dat van de bevoegde autoriteit moet worden aangehouden in de vorm van tier 1-kapitaal.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lastRenderedPageBreak/>
              <w:t>De instellingen berekenen deze waarde door de waarde in {0360;0010} te delen door de waarde in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Totaal hefboomratiovereiste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92, lid 1 bis, van Verordening (EU) nr.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De som van i) en ii) als volgt:</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het TSLRR als bedoeld in rij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de MSI-hefboomratiobuffer overeenkomstig artikel 92, lid 1 bis, van Verordening (EU) nr. 575/2013, uitgedrukt als percentage van de totale hefboomratioblootstelling.</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De instellingen berekenen punt ii) door de waarde in {0370;0010} te delen door de waarde in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Met punt ii) wordt door de MSI’s alleen rekening gehouden vanaf de datum van toepassing van de buffer overeenkomstig Verordening (EU) nr.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Indien geen MSI-opslagfactor van toepassing is, wordt alleen punt i) gerapporteerd.</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Totaal hefboomratiovereiste (OLRR) en Pijler 2-richtsnoeren (P2G)-ratio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104 ter van Richtlijn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De som van i) en ii) als volgt:</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het OLRR als bedoeld in rij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aanvullend eigen vermogen dat door de bevoegde autoriteit wordt medegedeeld om de risico’s van buitensporige hefboomwerking aan te pakken, als bedoeld in artikel 104 ter van Richtlijn 2013/36/EU, uitgedrukt als percentage van de totale hefboomratioblootstelling.</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De instellingen berekenen punt ii) door de waarde in {0380;0010} te delen door de waarde in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Indien de bevoegde autoriteit geen P2G heeft meegedeeld, alleen punt i) rapporteren.</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en P2G: op te bouwen uit tier 1-kernkapitaal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 som van i) en ii) als volgt:</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lastRenderedPageBreak/>
              <w:t>het deel van de additionele eigenvermogensratio, dat van de bevoegde autoriteit in de vorm van tier 1-kernkapitaal, als bedoeld in rij 0430, moet worden aangehouden;</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het deel van de P2G-ratio, bedoeld in punt ii) in rij 0450, dat door de bevoegde autoriteit wordt meegedeeld en moet worden aangehouden in de vorm van tier 1-kapitaal.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De instellingen berekenen punt ii) door de waarde in {0390;0010} te delen door de waarde in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Indien de bevoegde autoriteit geen P2G heeft meegedeeld, alleen punt i) rapporteren.</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en P2G: op te bouwen uit tier 1-kapitaal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 som van i), ii) en iii) als volgt:</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het totale vereiste inzake de SREP-hefboomratio, als bedoeld in rij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de MSI-hefboomratiobuffer overeenkomstig artikel 92, lid 1 bis, van Verordening (EU) nr. 575/2013, uitgedrukt als percentage van de totale hefboomratioblootstelling.</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het deel van de P2G-ratio, bedoeld in punt ii) in rij 0450, dat van de bevoegde autoriteit moet worden aangehouden in de vorm van tier 1-kapitaal.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De instellingen berekenen punt ii) door de waarde in {0370;0010} te delen door de waarde in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De instellingen berekenen punt iii) door de waarde in {0400;0010} te delen door de waarde in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Indien geen MSI-opslagfactor van toepassing is, wordt alleen de punten i) en iii) gerapporteerd.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Indien de bevoegde autoriteit geen P2G heeft meegedeeld, alleen de punten i) en ii) rapporteren.</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Rij en kolom</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Pro-memorieposten</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Verordening (EU) nr. 575/2013 Verordening (EU) nr.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Hefboomratio alsof de tijdelijke behandeling van niet-gerealiseerde winsten en verliezen, gewaardeerd tegen reële waarde in de overige onderdelen van het totaalresultaat, niet was toegepast</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468, lid 5, van Verordening (EU) nr.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lastRenderedPageBreak/>
              <w:t>Instellingen die hebben besloten de in artikel 468, lid 1, van Verordening (EU) nr. 575/2013 vastgestelde tijdelijke behandeling toe te passen, rapporteren de hefboomratio die zij zouden hebben ingeval zij die behandeling niet zouden toepassen.</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365597"/>
      <w:r>
        <w:rPr>
          <w:rFonts w:ascii="Times New Roman" w:hAnsi="Times New Roman"/>
          <w:b/>
          <w:sz w:val="24"/>
        </w:rPr>
        <w:t>4.</w:t>
      </w:r>
      <w:r>
        <w:rPr>
          <w:rFonts w:ascii="Times New Roman" w:hAnsi="Times New Roman"/>
          <w:b/>
          <w:sz w:val="24"/>
        </w:rPr>
        <w:tab/>
      </w:r>
      <w:r>
        <w:rPr>
          <w:rFonts w:ascii="Times New Roman" w:hAnsi="Times New Roman"/>
          <w:b/>
          <w:bCs/>
          <w:sz w:val="24"/>
        </w:rPr>
        <w:t>C 40.00 — Alternatieve behandeling van de blootstellingsmaatstaf</w:t>
      </w:r>
      <w:bookmarkEnd w:id="51"/>
      <w:bookmarkEnd w:id="53"/>
      <w:bookmarkEnd w:id="54"/>
      <w:r>
        <w:rPr>
          <w:rFonts w:ascii="Times New Roman" w:hAnsi="Times New Roman"/>
          <w:b/>
          <w:bCs/>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In dit deel van de rapportage worden gegevens verzameld over een alternatieve behandeling van derivaten, SFT’s en posten buiten de balanstelling, vrijgestelde overheidsinvesteringen en vrijgestelde blootstellingen aan stimuleringsleningen.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Instellingen bepalen de “boekhoudkundige balanswaarden” in LR1 op basis van het toepasselijke kader voor financiële verslaggeving als bedoeld in artikel 4, lid 1, punt 77, van Verordening (EU) nr. 575/2013. Met “boekwaarde in de veronderstelling dat er geen sprake is van verrekening of andere CRM” wordt bedoeld dat voor de boekhoudkundige balanswaarde eventuele verrekenings- of andere CRM-effecten buiten beschouwing blijven.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Instellingen rapporteren de LR1-posten alsof de posten met een negatief teken in de LRCalc template (bijvoorbeeld vrijstellingen/aftrekkingen) in overeenstemming met het gebruik van tekens in punt 9 van deel I van deze bijlage, met uitsluiting van de rijen {0270;0010} {0280;0010}, niet van toepassing waren.</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Totaal activa {r0410;c0010} in template 40.00 wordt alleen gerapporteerd door:</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grote instellingen, die ofwel MSI’s zijn ofwel effecten hebben uitgegeven die met een halfjaarlijkse frequentie tot de handel op een gereglementeerde markt zijn toegelaten,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grote, andere instellingen dan MSI’s die niet-beursgenoteerd zijn met een jaarlijkse frequentie,</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andere dan grote instellingen en kleine en niet-complexe instellingen, die effecten hebben uitgegeven die met een jaarlijkse frequentie tot de handel op een gereglementeerde markt zijn toegelaten.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Rij en kolom</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Verwijzingen naar wetgeving en instructies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Derivaten — Boekhoudkundige balanswaarde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Dit is de som van {0020;0010}, {0050;0010} en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 Boekwaarde in de veronderstelling dat er geen sprake is van verrekening of andere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Dit is de som van {0020;0020}, {0050;0020} en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 Notioneel bedrag</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Dit is de som van {0020;0070}, {0050;0070} en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(verkochte protectie) — Boekhoudkundige balanswaarde</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 lid 1, punt 77), van Verordening (EU) nr. 575/2013; de boekhoudkundige balanswaarde volgens het toepasselijke kader voor financiële verslaggeving van kredietderivaten als de instelling kredietprotectie aan een tegenpartij verkoopt en het contract op de balans wordt geactiveerd.</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Kredietderivaten (verkochte protectie) — Boekwaarde in de veronderstelling dat er geen sprake is van verrekening of andere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 lid 1, punt 77), van Verordening (EU) nr. 575/2013; de boekhoudkundige balanswaarde volgens het toepasselijke kader voor financiële verslaggeving van kredietderivaten als de instelling kredietprotectie aan een tegenpartij verkoopt en het contract op de balans wordt geactiveerd, in de veronderstelling dat er geen sprake is van prudentiële of boekhoudkundige verrekenings- of andere CRM-effecten (dit betekent dat alle effecten van boekhoudkundige verrekening of CRM die de boekwaarde hebben beïnvloed, worden teruggedraaid).</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(verkochte protectie) — Notioneel bedrag</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Dit is de som van de cellen {0030;0070} en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(verkochte protectie) — Verminderd notioneel bedrag</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het notionele bedrag van de kredietderivaten (verkochte protectie) als vermeld in {0020; 0070}, na aftrek van eventuele negatieve veranderingen in de reële waarde die met betrekking tot het geboekte kredietderivaat in het tier 1-kapitaal zijn opgenomen.</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(verkochte protectie) met vroegtijdige afwikkeling – Notioneel bedrag</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het notionele bedrag aan kredietderivaten als de instelling op basis van een clausule inzake vroegtijdige afwikkeling kredietprotectie aan een tegenpartij verkoopt.</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Instellingen nemen alle kredietderivaten in aanmerking, niet alleen die welke aan de handelsportefeuille zijn toegewezen.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(verkochte protectie) zonder vroegtijdige afwikkeling — Notioneel bedrag</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Instellingen rapporteren het notionele bedrag aan kredietderivaten als de instelling kredietprotectie verkoopt aan een tegenpartij die niet gebonden is door een “clausule inzake vroegtijdige afwikkeling”.</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Een clausule inzake vroegtijdige afwikkeling is een clausule die bepaalt dat de niet in gebreke blijvende partij het recht heeft alle in het kader van de overeenkomst verrichte transacties zo spoedig mogelijk te beëindigen en af te wikkelen bij wanbetaling, ook in geval van insolventie of faillissement van de tegenpartij.</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nemen alle kredietderivaten in aanmerking, niet alleen die welke aan de handelsportefeuille zijn toegewezen.</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(gekochte protectie) — Boekhoudkundige balanswaarde</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lid 1, punt 77), van Verordening (EU) nr. 575/2013; de boekhoudkundige balanswaarde volgens het toepasselijke kader voor financiële verslaggeving van kredietderivaten als de instelling kredietprotectie van een tegenpartij koopt en het contract op de balans wordt geactiveerd.</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nemen alle kredietderivaten in aanmerking, niet alleen die welke aan de handelsportefeuille zijn toegewezen.</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(gekochte protectie) — Boekwaarde in de veronderstelling dat er geen sprake is van verrekening of andere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lid 1, punt 77), van Verordening (EU) nr. 575/2013; de boekhoudkundige balanswaarde volgens het toepasselijke kader voor financiële verslaggeving van kredietderivaten als de instelling kredietprotectie van een tegenpartij koopt en het contract op de balans wordt geactiveerd, in de veronderstelling dat er geen sprake is van prudentiële of boekhoudkundige verrekenings- of andere CRM-effecten (dit betekent dat alle effecten van boekhoudkundige verrekening of CRM die de boekwaarde hebben beïnvloed, worden teruggedraaid).</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nemen alle kredietderivaten in aanmerking, niet alleen die welke aan de handelsportefeuille zijn toegewezen.</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Kredietderivaten (gekochte protectie) — Notioneel bedrag</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Instellingen rapporteren het notionele bedrag aan kredietderivaten als de instelling kredietprotectie van een tegenpartij koopt.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nemen alle kredietderivaten in aanmerking, niet alleen die welke aan de handelsportefeuille zijn toegewezen.</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(gekochte protectie) — Verminderd notioneel bedrag</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het notionele bedrag aan kredietderivaten (gekochte protectie) als vermeld in {0050;0070}, na aftrek van eventuele positieve veranderingen in de reële waarde die met betrekking tot het gekochte kredietderivaat in het tier 1-kapitaal zijn opgenomen.</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Kredietderivaten (gekochte protectie) — Verminderd notioneel bedrag (dezelfde referentienaam)</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het notionele bedrag aan kredietderivaten als de instelling kredietprotectie koopt op dezelfde onderliggende referentienaam als de door de rapporterende instelling geboekte kredietderivaten.</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Voor de rapportage van deze celwaarde worden onderliggende referentienamen als gelijk beschouwd als zij naar dezelfde rechtspersoon en rangorde verwijzen.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Voor een pool referentie-entiteiten gekochte kredietprotectie wordt als gelijk beschouwd als die protectie economisch gezien gelijkwaardig is aan voor elk van die entiteiten afzonderlijk gekochte protectie.</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Als een instelling voor een pool referentienamen kredietprotectie koopt, wordt die kredietprotectie alleen als gelijk beschouwd als de gekochte kredietprotectie alle segmenten van de pool dekt waarvoor kredietprotectie is verkocht. Met andere woorden, saldering kan alleen worden verantwoord als de pool referentie-entiteiten en de rangorde in beide transacties identiek zijn.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Voor elke referentienaam mogen de in deze cel voor rapportage in aanmerking genomen notionele bedragen aan gekochte kredietprotectie niet groter zijn dan de in {0020;0075} en {0050;0075} gerapporteerde bedragen.</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Financiële derivaten — Boekhoudkundige balanswaarde</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lid 1, punt 77), van Verordening (EU) nr.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 boekhoudkundige balanswaarde volgens het toepasselijke kader voor financiële verslaggeving van de in bijlage II bij Verordening (EU) nr. 575/2013 genoemde contracten, waarbij de contracten op de balans worden geactiveerd.</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Financiële derivaten — Boekwaarde in de veronderstelling dat er geen sprake is van verrekening of andere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Artikel 4, lid 1, punt 77), van Verordening (EU) nr. 575/2013; de boekhoudkundige balanswaarde volgens het toepasselijke kader voor financiële verslaggeving van de in bijlage II bij Verordening (EU) nr. 575/2013 genoemde contracten, waarbij de contracten op de balans worden </w:t>
            </w:r>
            <w:r>
              <w:rPr>
                <w:rFonts w:ascii="Times New Roman" w:hAnsi="Times New Roman"/>
                <w:sz w:val="24"/>
              </w:rPr>
              <w:lastRenderedPageBreak/>
              <w:t>geactiveerd, in de veronderstelling dat er geen sprake is van prudentiële of boekhoudkundige verrekenings- of andere CRM-effecten (dit betekent dat alle effecten van boekhoudkundige verrekening of CRM die de boekwaarde hebben beïnvloed, worden teruggedraaid).</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Financiële derivaten – Notioneel bedrag</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Deze cel omvat het notionele bedrag aan in bijlage II bij Verordening (EU) nr. 575/2013 genoemde contracten.</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Effectenfinancieringstransacties — Boekhoudkundige balanswaarde</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Artikel 4, lid 1, punt 77), van Verordening (EU) nr. 575/2013; de boekhoudkundige balanswaarde van SFT’s volgens het toepasselijke kader voor financiële verslaggeving waarbij de contracten op de balans worden geactiveerd.</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Effectenfinancieringstransacties – Boekwaarde in de veronderstelling dat er geen sprake is van verrekening of andere CRM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Artikel 4, lid 1, punt 77), van Verordening (EU) nr. 575/2013; de boekhoudkundige balanswaarde volgens het toepasselijke kader voor financiële verslaggeving, waarbij de contracten op de balans worden geactiveerd, in de veronderstelling dat er geen sprake is van prudentiële of boekhoudkundige verrekenings- of andere CRM-effecten (dit betekent dat alle effecten van boekhoudkundige verrekening of CRM die de boekwaarde hebben beïnvloed, worden teruggedraaid).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Als voor een SFT de verkoop volgens het toepasselijke kader voor financiële verslaggeving wordt verantwoord, worden alle aan de verkoop gerelateerde posten door de instelling teruggeboekt.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 In plaats daarvan nemen instellingen deze gegevens op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Overige activa — Boekhoudkundige balanswaarde</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Artikel 4, lid 1, punt 77), van Verordening (EU) nr. 575/2013; de boekhoudkundige balanswaarde volgens het toepasselijke kader voor financiële verslaggeving van alle andere activa dan de in bijlage II bij </w:t>
            </w:r>
            <w:r>
              <w:rPr>
                <w:rFonts w:ascii="Times New Roman" w:hAnsi="Times New Roman"/>
                <w:sz w:val="24"/>
              </w:rPr>
              <w:lastRenderedPageBreak/>
              <w:t>Verordening (EU) nr. 575/2013 genoemde contracten, kredietderivaten en SFT’s.</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Overige activa — Boekwaarde in de veronderstelling dat er geen sprake is van verrekening of andere CRM</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Artikel 4, lid 1, punt 77), van Verordening (EU) nr. 575/2013; de boekhoudkundige balanswaarde volgens het toepasselijke kader voor financiële verslaggeving van alle andere activa dan de in bijlage II bij Verordening (EU) nr. 575/2013 genoemde contracten, kredietderivaten en SFT’s, in de veronderstelling dat er geen sprake is van boekhoudkundige verrekenings- of andere CRM-effecten (dit betekent dat alle effecten van boekhoudkundige verrekening of CRM die de boekwaarde hebben beïnvloed, worden teruggedraaid).</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Posten buiten de balanstelling</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 nominale waarde van posten buiten de balanstelling. Overeenkomstig artikel 429 septies, lid 1, Verordening (EU) nr. 575/2013 houden instellingen in deze cel geen rekening met in bijlage II bij Verordening (EU) nr. 575/2013 genoemde contracten, kredietderivaten en SFT’s.</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In de vorm van contanten ontvangen zekerheden bij derivatentransacties — Boekwaarde in de veronderstelling dat er geen sprake is van verrekening of andere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De boekhoudkundige balanswaarde volgens het toepasselijke kader voor financiële verslaggeving van bij derivatentransacties ontvangen zekerheden in de vorm van contanten, in de veronderstelling dat er geen sprake is van boekhoudkundige verrekenings- of andere CRM-effecten (dit betekent dat alle effecten van boekhoudkundige verrekening of CRM die de boekwaarde hebben beïnvloed, worden teruggedraaid).</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Voor deze cel wordt onder contanten het totale bedrag aan contanten in de vorm van chartaal geld/valuta’s verstaan. Het totale bedrag aan bij centrale banken aangehouden deposito’s is inbegrepen, voor zover die deposito’s in tijden van stress kunnen worden opgevraagd. Instellingen rapporteren in deze cel geen contanten die bij andere instellingen zijn gedeponeerd.</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Te ontvangen activa uit hoofde van bij derivatentransacties gestorte zekerheden in de vorm van contanten — Boekwaarde in de veronderstelling dat er geen sprake is van verrekening of andere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De boekhoudkundige balanswaarde volgens het toepasselijke kader voor financiële verslaggeving van te ontvangen activa uit hoofde van bij derivatentransacties gestorte zekerheden in de vorm van contanten, in de veronderstelling dat er geen sprake is van boekhoudkundige verrekenings- of </w:t>
            </w:r>
            <w:r>
              <w:rPr>
                <w:rFonts w:ascii="Times New Roman" w:hAnsi="Times New Roman"/>
                <w:sz w:val="24"/>
              </w:rPr>
              <w:lastRenderedPageBreak/>
              <w:t xml:space="preserve">andere CRM-effecten (dit betekent dat alle effecten van boekhoudkundige verrekening of CRM die de boekwaarde hebben beïnvloed, worden teruggedraaid).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Instellingen die volgens het toepasselijke kader voor financiële verslaggeving de vordering uit hoofde van de tegen de desbetreffende derivatenverplichting gestorte zekerheden in de vorm van contanten (negatieve reële waarde) mogen verrekenen en die ervoor kiezen dat te doen, moeten de saldering tegenboeken en de nettovordering in contanten rapporteren.</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Bij een SFT ontvangen effecten die worden geactiveerd — Boekwaarde in de veronderstelling dat er geen sprake is van verrekening of andere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De boekhoudkundige balanswaarde volgens het toepasselijke kader voor financiële verslaggeving van effecten ontvangen bij een SFT welke volgens het toepasselijke kader voor financiële verslaggeving worden geactiveerd, in de veronderstelling dat er geen sprake is van boekhoudkundige verrekenings- of andere CRM-effecten (dit betekent dat alle effecten van boekhoudkundige verrekening of CRM die de boekwaarde hebben beïnvloed, worden teruggedraaid).</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SFT-kredietverlening in contanten via derden (vorderingen in contanten) — Boekwaarde in de veronderstelling dat er geen sprake is van verrekening of andere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De boekhoudkundige balanswaarde volgens het toepasselijke kader voor financiële verslaggeving voor de contanten die via een derde aan de effecteneigenaar zijn doorgeleend bij een gekwalificeerde transactie inzake uitlening van contanten via een derde (Cash Conduit Lending Transaction — CCLT), in de veronderstelling dat er geen sprake is van boekhoudkundige verrekenings- of andere CRM-effecten (dit betekent dat alle effecten van boekhoudkundige verrekening of CRM die de boekwaarde hebben beïnvloed, worden teruggedraaid).</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Voor deze cel wordt onder contanten het totale bedrag aan contanten in de vorm van chartaal geld/valuta’s verstaan. Het totale bedrag aan bij centrale banken aangehouden deposito’s is inbegrepen, voor zover die deposito’s in tijden van stress kunnen worden opgevraagd. Instellingen rapporteren in deze cel geen contanten die bij andere instellingen zijn gedeponeerd.</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Onder CCLT wordt het volgende verstaan: een combinatie van twee transacties waarbij een instelling effecten leent van de effecteneigenaar en effecten doorleent aan de effectenlener. Tegelijkertijd ontvangt de instelling zekerheden in de vorm van contanten van de effectenlener en leent zij de ontvangen contanten door aan de effecteneigenaar. Een gekwalificeerde CCLT voldoet aan de volgende voorwaarden:</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lastRenderedPageBreak/>
              <w:t>(a)</w:t>
            </w:r>
            <w:r>
              <w:rPr>
                <w:rFonts w:ascii="Times New Roman" w:hAnsi="Times New Roman"/>
                <w:color w:val="000000"/>
                <w:sz w:val="24"/>
              </w:rPr>
              <w:tab/>
              <w:t>de beide deeltransacties die gezamenlijk de gekwalificeerde CCLT vormen, worden uitgevoerd op dezelfde transactiedatum of, bij internationale transacties, op aansluitende handelsdagen;</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als er voor de deeltransacties geen looptijd is opgegeven, is de instelling wettelijk gerechtigd beide deeltransacties van de CCLT te allen tijde en zonder voorafgaande kennisgeving vroegtijdig af te wikkelen;</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als er voor de deeltransacties wel een looptijd is opgegeven, mogen er door de CCLT geen looptijdverschillen ontstaan voor de instelling; de instelling is wettelijk gerechtigd beide deeltransacties van de CCLT te allen tijde en zonder voorafgaande kennisgeving vroegtijdig af te wikkelen;</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er mogen door de CCLT geen andere additionele blootstellingen ontstaan.</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Overheidsinvesteringen – Vorderingen op centrale overheden – Boekhoudkundige balanswaarde</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Wanneer de instelling een publiekrechtelijke ontwikkelingskredietinstelling is, de boekhoudkundige balanswaarde volgens het toepasselijke kader voor financiële verslaggeving van activa die vorderingen op centrale overheden met betrekking tot overheidsinvesteringen vormen.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De boekhoudkundige balanswaarden van een instelling die door een bevoegde autoriteit als een publiekrechtelijke ontwikkelingskredietinstelling wordt behandeld in overeenstemming met artikel 429 bis, lid 2, laatste alinea, van Verordening (EU) nr. 575/2013, worden ook in aanmerking genomen.</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Overheidsinvesteringen – Vorderingen op regionale overheden – Boekhoudkundige balanswaarde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Wanneer de instelling een publiekrechtelijke ontwikkelingskredietinstelling is, de boekhoudkundige balanswaarde volgens het toepasselijke kader voor financiële verslaggeving van activa die vorderingen op regionale overheden met betrekking tot overheidsinvesteringen vormen.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instelling die door een bevoegde autoriteit als een publiekrechtelijke ontwikkelingskredietinstelling wordt behandeld in overeenstemming met artikel 429 bis, lid 2, laatste alinea, van Verordening (EU) nr. 575/2013, worden ook in aanmerking genomen.</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Overheidsinvesteringen – Vorderingen op lokale overheden – Boekhoudkundige balanswaarde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Wanneer de instelling een publiekrechtelijke ontwikkelingskredietinstelling is, de boekhoudkundige balanswaarde volgens het toepasselijke kader voor </w:t>
            </w:r>
            <w:r>
              <w:rPr>
                <w:rFonts w:ascii="Times New Roman" w:hAnsi="Times New Roman"/>
                <w:sz w:val="24"/>
              </w:rPr>
              <w:lastRenderedPageBreak/>
              <w:t>financiële verslaggeving van activa die vorderingen op lokale overheden met betrekking tot overheidsinvesteringen vormen.</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instelling die door een bevoegde autoriteit als een publiekrechtelijke ontwikkelingskredietinstelling wordt behandeld in overeenstemming met artikel 429 bis, lid 2, laatste alinea, van Verordening (EU) nr. 575/2013, worden ook in aanmerking genomen.</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Overheidsinvesteringen – Vorderingen op publiekrechtelijke lichamen – Boekhoudkundige balanswaarde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publiekrechtelijke lichamen met betrekking tot overheidsinvesteringen vormen.</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Vorderingen op centrale overheden – Boekhoudkundige balanswaarde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Wanneer de instelling een publiekrechtelijke ontwikkelingskredietinstelling is, de boekhoudkundige balanswaarde volgens het toepasselijke kader voor financiële verslaggeving van activa die vorderingen op centrale overheden met betrekking tot stimuleringsleningen vormen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VKV, worden ook in aanmerking genomen.</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centrale overheden – Notioneel bedrag/ nominale waarde</w:t>
            </w:r>
          </w:p>
          <w:p w14:paraId="7A0E36C1" w14:textId="77777777" w:rsidR="006E4F4E" w:rsidRDefault="001E5A9A" w:rsidP="000B66BC">
            <w:pPr>
              <w:pStyle w:val="BodyText1"/>
              <w:spacing w:after="240" w:line="240" w:lineRule="auto"/>
              <w:rPr>
                <w:rFonts w:ascii="Times New Roman" w:hAnsi="Times New Roman"/>
                <w:bCs/>
                <w:sz w:val="24"/>
                <w:szCs w:val="24"/>
              </w:rPr>
            </w:pPr>
            <w:r>
              <w:rPr>
                <w:sz w:val="24"/>
              </w:rPr>
              <w:t>Wanneer de instelling een publiekrechtelijke ontwikkelingskredietinstelling is, het nominale bedrag van posten buiten de balanstelling met betrekking tot het niet-opgenomen gedeelte van stimuleringsleningen voor centrale overheden</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Vorderingen op regionale overheden – Boekhoudkundige balanswaarde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regionale overheden met betrekking tot stimuleringsleningen vormen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regionale overheden – Notioneel bedrag / nominale waarde</w:t>
            </w:r>
          </w:p>
          <w:p w14:paraId="645C841D" w14:textId="1E4EDCB5" w:rsidR="006918E9" w:rsidRDefault="001943A2" w:rsidP="000B66BC">
            <w:pPr>
              <w:pStyle w:val="BodyText1"/>
              <w:spacing w:after="240" w:line="240" w:lineRule="auto"/>
              <w:rPr>
                <w:rFonts w:ascii="Times New Roman" w:hAnsi="Times New Roman"/>
                <w:bCs/>
                <w:sz w:val="24"/>
                <w:szCs w:val="24"/>
              </w:rPr>
            </w:pPr>
            <w:r>
              <w:rPr>
                <w:sz w:val="24"/>
              </w:rPr>
              <w:t>Wanneer de instelling een publiekrechtelijke ontwikkelingskredietinstelling is, het nominale bedrag van posten buiten de balanstelling met betrekking tot het niet-opgenomen gedeelte van stimuleringsleningen voor regionale overheden</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Vorderingen op lokale overheden – Boekhoudkundige balanswaarde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lokale overheden met betrekking tot stimuleringsleningen vormen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lokale overheden – Notioneel bedrag / nominale waarde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het nominale bedrag van posten buiten de balanstelling met betrekking tot het niet-opgenomen gedeelte van stimuleringsleningen voor lokale overheden</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 xml:space="preserve">De nominale bedragen van een afdeling van een instelling die door een bevoegde autoriteit als een publiekrechtelijke ontwikkelingskredietinstelling </w:t>
            </w:r>
            <w:r>
              <w:rPr>
                <w:rFonts w:ascii="Times New Roman" w:hAnsi="Times New Roman"/>
                <w:sz w:val="24"/>
              </w:rPr>
              <w:lastRenderedPageBreak/>
              <w:t>wordt behandeld in overeenstemming met artikel 429 bis, lid 2, laatste alinea, van Verordening (EU) nr. 575/2013, worden ook in aanmerking genomen.</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Vorderingen op publiekrechtelijke lichamen – Boekhoudkundige balanswaarde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publiekrechtelijke lichamen met betrekking tot stimuleringsleningen vormen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publiekrechtelijke lichamen – Notioneel bedrag / nominale waarde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het nominale bedrag van posten buiten de balanstelling met betrekking tot het niet-opgenomen gedeelte van stimuleringsleningen voor publiekrechtelijke lichamen</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niet-financiële ondernemingen – Boekhoudkundige balanswaarde</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niet-financiële ondernemingen met betrekking tot stimuleringsleningen vormen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niet-financiële ondernemingen – Notioneel bedrag / nominale waarde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sz w:val="24"/>
              </w:rPr>
              <w:t xml:space="preserve">Wanneer de instelling een publiekrechtelijke ontwikkelingskredietinstelling is, het nominale bedrag van posten buiten de balanstelling met betrekking tot het niet-opgenomen </w:t>
            </w:r>
            <w:r>
              <w:rPr>
                <w:sz w:val="24"/>
              </w:rPr>
              <w:lastRenderedPageBreak/>
              <w:t>gedeelte van stimuleringsleningen voor niet-financiële ondernemingen.</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huishoudens – Boekhoudkundige balanswaarde</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activa die vorderingen op huishoudens met betrekking tot stimuleringsleningen vormen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Stimuleringsleningen – Vorderingen op huishoudens – Notioneel bedrag / nominale waarde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sz w:val="24"/>
              </w:rPr>
              <w:t>Wanneer de instelling een publiekrechtelijke ontwikkelingskredietinstelling is, het nominale bedrag van posten buiten de balanstelling met betrekking tot het niet-opgenomen gedeelte van stimuleringsleningen voor huishoudens.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Pass-through – Boekhoudkundige balanswaarde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Wanneer de instelling een publiekrechtelijke ontwikkelingskredietinstelling is, de boekhoudkundige balanswaarde volgens het toepasselijke kader voor financiële verslaggeving van pass-throughstimuleringsleningen, wanneer de stimuleringsleningen niet door de instelling zelf zijn verleend</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boekhoudkundige balanswaarden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Stimuleringsleningen – Pass-through – Notioneel bedrag / nominale waarde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Wanneer de instelling een publiekrechtelijke ontwikkelingskredietinstelling is, de nominale waarde van de posten buiten de balanstelling met betrekking tot het niet-opgenomen gedeelte van stimuleringsleningen, wanneer de stimuleringsleningen niet door de instelling zelf zijn verleend</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De nominale bedragen van een afdeling van een instelling die door een bevoegde autoriteit als een publiekrechtelijke ontwikkelingskredietinstelling wordt behandeld in overeenstemming met artikel 429 bis, lid 2, laatste alinea, van Verordening (EU) nr. 575/2013, worden ook in aanmerking genomen.</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Blootstellingen met betrekking tot centrale banken — Boekhoudkundige balanswaarde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Instellingen rapporteren, overeenkomstig het toepasselijke kader voor financiële verslaggeving, de waarde van de volgende blootstellingen met betrekking tot de centrale bank van de instelling: (i) munten en bankbiljetten die een wettig betaalmiddel zijn in de jurisdictie van de centrale bank; (ii) activa die vorderingen op de centrale bank vormen, waaronder bij de centrale bank aangehouden reserves.</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Instellingen nemen alleen blootstellingen op die aan beide volgende voorwaarden voldoen: (a) zij luiden in dezelfde valuta als de door de instelling aanvaarde deposito’s; (b) de gemiddelde looptijd ervan overschrijdt niet significant de gemiddelde looptijd van de door de instelling aanvaarde deposito’s.</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deze blootstellingen ongeacht of zij overeenkomstig artikel 429 bis, leden 5 en 6, van Verordening (EU) nr. 575/2013 van de totale blootstellingsmaatstaf zijn vrijgesteld.</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 waarde van de blootstellingen met betrekking tot de centrale bank die gebruikt wordt voor de berekening van het vereiste inzake een aangepaste hefboomratio bedoeld in artikel 429 bis, lid 7, VKV – Bedrag van de blootstelling met betrekking tot de hefboomratio</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gemiddelde totale waarde per dag van de blootstellingen van de instelling met betrekking tot haar centrale bank, berekend over de volledige reserveaanhoudingsperiode van de centrale bank die juist voorafgaat aan de in artikel 429 bis, lid 5, punt c), van Verordening (EU) nr. 575/2013 bedoelde datum, die in aanmerking komen om, overeenkomstig artikel 429 bis, lid 1, punt n), van Verordening (EU) nr. 575/2013 te worden uitgesloten.</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 blootstellingsmaatstaf voor de berekening van de hefboomratio die gebruikt wordt voor de berekening van het vereiste inzake een aangepaste hefboomratio bedoeld in artikel 429 bis, lid 7, VKV – Bedrag van de blootstelling met betrekking tot de hefboomratio</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De maatstaf van totale blootstelling als gedefinieerd in artikel 429, lid 4, van Verordening (EU) nr. 575/2013, met inbegrip van eventuele blootstellingen die uitgesloten zijn overeenkomstig artikel 429, lid 1, punt n), van Verordening (EU) nr. 575/2013 op de datum bedoeld in artikel 429 bis, lid 5, punt c), van Verordening (EU) nr.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lastRenderedPageBreak/>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Totale activa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Instellingen rapporteren in deze post de totale activa volgens de reikwijdte die in de gepubliceerde jaarrekening wordt gebruikt.</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365598"/>
      <w:bookmarkStart w:id="73" w:name="_Toc322533879"/>
      <w:bookmarkEnd w:id="57"/>
      <w:bookmarkEnd w:id="65"/>
      <w:bookmarkEnd w:id="66"/>
      <w:bookmarkEnd w:id="67"/>
      <w:r>
        <w:rPr>
          <w:rFonts w:ascii="Times New Roman" w:hAnsi="Times New Roman"/>
          <w:b/>
          <w:sz w:val="24"/>
        </w:rPr>
        <w:t>5.</w:t>
      </w:r>
      <w:r>
        <w:rPr>
          <w:rFonts w:ascii="Times New Roman" w:hAnsi="Times New Roman"/>
          <w:b/>
          <w:sz w:val="24"/>
        </w:rPr>
        <w:tab/>
        <w:t>C 43.00 – Alternatieve uitsplitsing van de bestanddelen van de blootstellingsmaatstaf voor de berekening van de hefboomratio</w:t>
      </w:r>
      <w:bookmarkEnd w:id="68"/>
      <w:bookmarkEnd w:id="69"/>
      <w:bookmarkEnd w:id="70"/>
      <w:r>
        <w:rPr>
          <w:rFonts w:ascii="Times New Roman" w:hAnsi="Times New Roman"/>
          <w:b/>
          <w:sz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Instellingen rapporteren de blootstellingswaarden voor de berekening van de hefboomratio in LR4 na toepassing van vrijstellingen en aftrekkingen in de LRCalc template, d.w.z. de posten met een negatief teken in overeenstemming met het gebruik van tekens in punt 9 van deel I van deze bijlage, met uitsluiting van de rijen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Ter vermijding van dubbeltelling houden de instellingen zich aan de volgende vergelijking:</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De som van alle rijen van {0010;0010} tot en met {0269;0010} in template LRCalc is gelijk aan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Om consistent te zijn met de blootstellingswaarden voor de berekening van de hefboomratio worden de risicogewogen blootstellingsposten ook gerapporteerd wanneer zij volledig zijn ingefaseerd. De aanpassingen van de output floor worden voor de toepassing van deze template niet in aanmerking genomen.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Instellingen rapporteren de tegenpartij met betrekking tot risicogewogen posten na technieken van kredietrisicolimitering (CRM) en de substitutie-effecten ervan. Instellingen rapporteren de tegenpartij met betrekking tot blootstellingen voor de berekening van de hefboomratio in overeenstemming met de oorspronkelijke tegenpartij, d.w.z. rekening houdend met eventuele kredietrisicolimitering of substitutie-effect daarvan op risicogewogen posten.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FB4BD0">
            <w:pPr>
              <w:pStyle w:val="BodyText1"/>
              <w:keepNext/>
              <w:spacing w:after="240"/>
              <w:rPr>
                <w:rFonts w:ascii="Times New Roman" w:hAnsi="Times New Roman"/>
                <w:b/>
                <w:bCs/>
                <w:i/>
                <w:sz w:val="24"/>
                <w:szCs w:val="24"/>
              </w:rPr>
            </w:pPr>
            <w:r>
              <w:rPr>
                <w:rFonts w:ascii="Times New Roman" w:hAnsi="Times New Roman"/>
                <w:b/>
                <w:sz w:val="24"/>
              </w:rPr>
              <w:lastRenderedPageBreak/>
              <w:t>Rij en kolom</w:t>
            </w:r>
          </w:p>
        </w:tc>
        <w:tc>
          <w:tcPr>
            <w:tcW w:w="7406" w:type="dxa"/>
            <w:shd w:val="clear" w:color="auto" w:fill="D9D9D9" w:themeFill="background1" w:themeFillShade="D9"/>
          </w:tcPr>
          <w:p w14:paraId="0DBEBFC4" w14:textId="77777777" w:rsidR="00F4754B" w:rsidRPr="000B66BC" w:rsidRDefault="00F4754B" w:rsidP="00FB4BD0">
            <w:pPr>
              <w:pStyle w:val="BodyText1"/>
              <w:keepNext/>
              <w:spacing w:after="240"/>
              <w:rPr>
                <w:rFonts w:ascii="Times New Roman" w:hAnsi="Times New Roman"/>
                <w:b/>
                <w:bCs/>
                <w:i/>
                <w:sz w:val="24"/>
                <w:szCs w:val="24"/>
              </w:rPr>
            </w:pPr>
            <w:r>
              <w:rPr>
                <w:rFonts w:ascii="Times New Roman" w:hAnsi="Times New Roman"/>
                <w:b/>
                <w:sz w:val="24"/>
              </w:rPr>
              <w:t>Verwijzingen naar wetgeving en instructies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Posten buiten de balanstelling – Blootstellingswaarde voor de berekening van de hefboomratio</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van de hefboomratio berekend als de som van {LRCalc;0150;0010}, {LRCalc;0160;0010}, {LRCalc;0165;0010} {LRCalc;0170;0010} en {LRCalc;0180;0010} met uitzondering van de respectieve intragroepblootstellingen (solobasis) uitgesloten in overeenstemming met artikel 429 bis, lid 1, punt c) en punt c bis), van Verordening (EU) nr.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Posten buiten de balanstelling – Risicogewogen posten</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risicogewogen posten buiten de balanstelling — exclusief SFT’s en derivaten — volgens de standaardbenadering en de interneratingbenadering. Voor blootstellingen volgens de standaardbenadering bepalen instellingen de risicogewogen posten overeenkomstig deel drie, titel II, hoofdstuk 2, van Verordening (EU) nr. 575/2013. Voor blootstellingen volgens de interneratingbenadering bepalen instellingen de risicogewogen posten overeenkomstig deel drie, titel II, hoofdstuk 3, van Verordening (EU) nr.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waarvan: Handelsfinanciering – Blootstellingswaarde voor de berekening van de hefboomratio</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aan handelsfinanciering gerelateerde posten buiten de balanstelling.</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Voor de rapportage in LR4 houden de aan handelsfinanciering gerelateerde posten buiten de balanstelling verband met verstrekte en geconfirmeerde, kortlopende en zelfliquiderende documentaire kredieten voor in- en uitvoer, en soortgelijke transacties.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waarvan: Handelsfinanciering – Risicogewogen posten</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De risicogewogen, aan handelsfinanciering gerelateerde posten buiten de balanstelling, exclusief SFT’s en derivaten.</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Voor de rapportage in LR4 houden de aan handelsfinanciering gerelateerde posten buiten de balanstelling verband met verstrekte en geconfirmeerde, kortlopende en zelfliquiderende documentaire kredieten voor in- en uitvoer, en soortgelijke transacties.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Blootstellingswaarde voor de berekening van de hefboomratio</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lastRenderedPageBreak/>
              <w:t>De blootstellingswaarde voor de berekening van de hefboomratio van aan handelsfinanciering gerelateerde posten buiten de balanstelling in het kader van een officiële exportkredietverzekeringsregeling.</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Risicogewogen posten</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De risicogewogen, aan handelsfinanciering gerelateerde posten buiten de balanstelling — exclusief SFT’s en derivaten — in het kader van een officiële exportkredietverzekeringsregeling.</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en SFT’s die onderworpen zijn aan een overeenkomst inzake productoverschrijdende verrekening – Blootstellingswaarde voor de berekening van de hefboomratio</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De blootstellingswaarde voor de berekening van de hefboomratio van derivaten en SFT’s, indien deze onderworpen zijn aan een overeenkomst inzake productoverschrijdende verrekening als omschreven in artikel 272, punt 25, van Verordening (EU) nr.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en SFT’s die onderworpen zijn aan een overeenkomst inzake productoverschrijdende verrekening — Risicogewogen posten</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voor blootstelling aan krediet- en tegenpartijkredietrisico uit hoofde van derivaten en SFT’s, berekend overeenkomstig deel drie, titel II, van Verordening (EU) nr. 575/2013, inclusief posten buiten de balanstelling, indien deze onderworpen zijn aan een overeenkomst inzake productoverschrijdende verrekening als omschreven in artikel 272, punt 25, van Verordening (EU) nr.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die niet onderworpen zijn aan een overeenkomst inzake productoverschrijdende verrekening – Blootstellingswaarde voor de berekening van de hefboomratio</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De blootstellingswaarde voor de berekening van de hefboomratio van derivaten, indien deze niet onderworpen zijn aan een overeenkomst inzake productoverschrijdende verrekening als omschreven in artikel 272, punt 25, van Verordening (EU) nr.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Derivaten die niet onderworpen zijn aan een overeenkomst inzake productoverschrijdende verrekening – Risicogewogen posten</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De risicogewogen posten voor blootstelling aan krediet- en tegenpartijkredietrisico uit hoofde van derivaten, berekend overeenkomstig deel drie, titel II, van Verordening (EU) nr. 575/2013, inclusief posten buiten de balanstelling, indien deze niet onderworpen zijn aan een overeenkomst inzake productoverschrijdende verrekening als omschreven in artikel 272, punt 25, van Verordening (EU) nr.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SFT’s die niet onderworpen zijn aan een overeenkomst inzake productoverschrijdende verrekening – Blootstellingswaarde voor de berekening van de hefboomratio</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De blootstellingswaarde voor de berekening van de hefboomratio van blootstellingen uit hoofde van SFT’s, indien deze niet onderworpen zijn aan een overeenkomst inzake productoverschrijdende verrekening als omschreven in artikel 272, punt 25, van Verordening (EU) nr.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SFT’s die niet onderworpen zijn aan een overeenkomst inzake productoverschrijdende verrekening – Risicogewogen posten</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De risicogewogen posten voor blootstelling aan krediet- en tegenpartijkredietrisico uit hoofde van SFT’s, berekend overeenkomstig deel drie, titel II, van Verordening (EU) nr. 575/2013, inclusief posten buiten de balanstelling, indien deze niet onderworpen zijn aan een overeenkomst inzake productoverschrijdende verrekening als omschreven in artikel 272, punt 25, van Verordening (EU) nr.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Uit de verdere behandeling voortvloeiende risicoposten voor kredietderivaten — Blootstellingswaarde voor de berekening van de hefboomratio</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Deze cel is gelijk aan het verschil tussen {LRCalc;0130;0010} en {LRCalc;0140;0010} met uitzondering van de respectieve intragroepblootstellingen (solobasis) uitgesloten in overeenstemming met artikel 429 bis, lid 1, punt c), van Verordening (EU) nr.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Overige tot de handelsportefeuille behorende activa – Blootstellingswaarde voor de berekening van de hefboomratio</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 blootstellingswaarde voor de berekening van de hefboomratio van de in {LRCalc;0190;0010} gerapporteerde posten, exclusief niet in de handelsportefeuille opgenomen posten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Overige tot de handelsportefeuille behorende activa – Risicogewogen posten</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Eigenvermogensvereisten vermenigvuldigd met 12,5 van de posten die onder deel drie, titel IV, van Verordening (EU) nr. 575/2013 vallen.</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Gedekte obligaties — Blootstellingswaarde voor de berekening van de hefboomratio — Blootstellingen in het kader van de standaardbenadering (SA)</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blootstellingen in het kader van de standaardbenadering zijn in de vorm van gedekte obligaties als omschreven in artikel 129 van Verordening (EU) nr.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Gedekte obligaties — Blootstellingswaarde voor de berekening van de hefboomratio — Blootstellingen in het kader van de interneratingbenadering (IRB)</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zijn in de vorm van gedekte obligaties als omschreven in artikel 161, lid 1, punt d), van Verordening (EU) nr.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Gedekte obligaties — Risicogewogen posten — Blootstellingen in het kader van de standaardbenadering (SA)</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blootstellingsposten van activa die SA-blootstellingen zijn in de vorm van gedekte obligaties als omschreven in artikel 129 van Verordening (EU) nr.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Gedekte obligaties — Risicogewogen posten — Blootstellingen in het kader van de interneratingbenadering (IRB)</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 risicogewogen blootstellingsposten van activa die IRB-blootstellingen zijn in de vorm van gedekte obligaties als omschreven in artikel 161, lid 1, punt d), van Verordening (EU) nr.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blootstellingen — Blootstellingswaarde voor de berekening van de hefboomratio — SA-blootstellingen</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{0100,0010} tot en met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blootstellingen — Blootstellingswaarde voor de berekening van de hefboomratio — Blootstellingen in het kader van de interneratingbenadering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{0100,0020} tot en met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blootstellingen — Risicogewogen posten — Blootstellingen in het kader van de standaardbenadering (SA)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{0100,0030} tot en met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blootstellingen — Risicogewogen posten — Blootstellingen in het kader van de interneratingbenadering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{0100,0040} tot en met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Centrale overheden en centrale banken — Blootstellingswaarde voor de berekening van de hefboomratio — Blootstellingen in het kader van de standaardbenadering (SA)</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SA-blootstellingen zijn met betrekking tot centrale overheden of </w:t>
            </w:r>
            <w:r>
              <w:rPr>
                <w:rFonts w:ascii="Times New Roman" w:hAnsi="Times New Roman"/>
                <w:sz w:val="24"/>
              </w:rPr>
              <w:lastRenderedPageBreak/>
              <w:t>centrale banken als omschreven in artikel 114 van Verordening (EU) nr.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Centrale overheden en centrale banken — Blootstellingswaarde voor de berekening van de hefboomratio — IRB-blootstellingen</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zijn met betrekking tot centrale overheden of centrale banken als omschreven in artikel 147, lid 2, punt a), van Verordening (EU) nr.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Centrale overheden en centrale banken — Risicogewogen posten — Blootstellingen in het kader van de standaardbenadering (SA)</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zijn met betrekking tot centrale overheden of centrale banken als omschreven in artikel 114 van Verordening (EU) nr.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Centrale overheden en centrale banken — Risicogewogen posten — Blootstellingen in het kader van de interneratingbenadering (IRB)</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zijn met betrekking tot centrale overheden of centrale banken als omschreven in artikel 147, lid 2, punt a), van Verordening (EU) nr.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regionale en lokale overheden — Blootstellingswaarde voor de berekening van de hefboomratio — Blootstellingen in het kader van de standaardbenadering (SA)</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als landen behandelde regionale en lokale overheden in de zin van artikel 115, leden 2 en 4, van Verordening (EU) nr.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lastRenderedPageBreak/>
              <w:t>Instellingen rapporteren deze blootstellingen na aftrek van blootstellingen in het kader van de standaardbenadering ten aanzien waarvan zich een wanbetaling heeft voorgedaan.</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regionale en lokale overheden — Blootstellingswaarde voor de berekening van de hefboomratio — Blootstellingen in het kader van de interneratingbenadering (IRB)</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blootstellingswaarde voor de berekening van de hefboomratio van activa die IRB-blootstellingen met betrekking tot regionale en lokale overheden zijn in de zin van artikel 147, lid 3, punt a), van Verordening (EU) nr.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regionale en lokale overheden — Risicogewogen posten — Blootstellingen in het kader van de standaardbenadering (SA)</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als land behandelde regionale en lokale overheden in de zin van artikel 115, leden 2 en 4, van Verordening (EU) nr.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Als landen behandelde regionale en lokale overheden — Risicogewogen posten — Blootstellingen in het kader van de interneratingbenadering (IRB)</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regionale en lokale overheden zijn in de zin van artikel 147, lid 3, punt a), van Verordening (EU) nr.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multilaterale ontwikkelingsbanken en internationale organisaties – Blootstellingswaarde voor de berekening van de hefboomratio – Blootstellingen in het kader van de standaardbenadering (SA)</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SA-blootstellingen met betrekking tot multilaterale </w:t>
            </w:r>
            <w:r>
              <w:rPr>
                <w:rFonts w:ascii="Times New Roman" w:hAnsi="Times New Roman"/>
                <w:sz w:val="24"/>
              </w:rPr>
              <w:lastRenderedPageBreak/>
              <w:t>ontwikkelingsbanken en internationale organisaties zijn in de zin van artikel 117, lid 2, en artikel 118 van Verordening (EU) nr.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multilaterale ontwikkelingsbanken en internationale organisaties — Blootstellingswaarde voor de berekening van de hefboomratio — Blootstellingen in het kader van de interneratingbenadering (IRB)</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multilaterale ontwikkelingsbanken en internationale organisaties zijn in de zin van artikel 147, lid 3, punten b) en c), van Verordening (EU) nr.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multilaterale ontwikkelingsbanken en internationale organisaties — Risicogewogen posten — Blootstellingen in het kader van de standaardbenadering (SA)</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multilaterale ontwikkelingsbanken en internationale organisaties zijn in de zin van artikel 117, lid 2, en artikel 118 van Verordening (EU) nr.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multilaterale ontwikkelingsbanken en internationale organisaties — Risicogewogen posten — Blootstellingen in het kader van de interneratingbenadering (IRB)</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multilaterale ontwikkelingsbanken en internationale organisaties zijn in de zin van artikel 147, lid 3, punten b) en c), van Verordening (EU) nr.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publiekrechtelijke lichamen — Blootstellingswaarde voor de berekening van de hefboomratio — Blootstellingen in het kader van de standaardbenadering (SA)</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publiekrechtelijke lichamen zijn in de zin van artikel 116, lid 4, van Verordening (EU) nr.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publiekrechtelijke lichamen — Blootstellingswaarde voor de berekening van de hefboomratio — Blootstellingen in het kader van de interneratingbenadering (IRB)</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publiekrechtelijke lichamen zijn in de zin van artikel 147, lid 3, punt a), van Verordening (EU) nr.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publiekrechtelijke lichamen — Risicogewogen posten — Blootstellingen in het kader van de standaardbenadering (SA)</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publiekrechtelijke lichamen zijn in de zin van artikel 116, lid 4, van Verordening (EU) nr.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Als landen behandelde publiekrechtelijke lichamen — Risicogewogen posten — Blootstellingen in het kader van de interneratingbenadering (IRB)</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publiekrechtelijke lichamen zijn in de zin van artikel 147, lid 3, punt a), van Verordening (EU) nr.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Blootstellingen met betrekking tot niet als landen behandelde regionale overheden, multilaterale ontwikkelingsbanken, internationale </w:t>
            </w:r>
            <w:r>
              <w:rPr>
                <w:rFonts w:ascii="Times New Roman" w:hAnsi="Times New Roman"/>
                <w:b/>
                <w:sz w:val="24"/>
              </w:rPr>
              <w:lastRenderedPageBreak/>
              <w:t>organisaties en publiekrechtelijke lichamen — Blootstellingswaarde voor de berekening van de hefboomratio — Blootstellingen in het kader van de standaardbenadering (SA)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{0150,0010} tot en met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niet als landen behandelde regionale overheden, multilaterale ontwikkelingsbanken, internationale organisaties en publiekrechtelijke lichamen — Blootstellingswaarde voor de berekening van de hefboomratio — Blootstellingen in het kader van de interneratingbenadering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{0150,0020} tot en met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niet als landen behandelde regionale overheden, multilaterale ontwikkelingsbanken, internationale organisaties en publiekrechtelijke lichamen — Risicogewogen posten — Blootstellingen in het kader van de standaardbenadering (SA)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{0150,0030} tot en met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niet als landen behandelde regionale overheden, multilaterale ontwikkelingsbanken, internationale organisaties en publiekrechtelijke lichamen — Risicogewogen posten — Blootstellingen in het kader van de interneratingbenadering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van {0150,0040} tot en met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regionale en lokale overheden – Blootstellingswaarde voor de berekening van de hefboomratio – Blootstellingen in het kader van de standaardbenadering (SA)</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SA-blootstellingen met betrekking tot niet als landen behandelde </w:t>
            </w:r>
            <w:r>
              <w:rPr>
                <w:rFonts w:ascii="Times New Roman" w:hAnsi="Times New Roman"/>
                <w:sz w:val="24"/>
              </w:rPr>
              <w:lastRenderedPageBreak/>
              <w:t>regionale en lokale overheden zijn in de zin van artikel 115, leden 1, 3 en 5, van Verordening (EU) nr.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regionale en lokale overheden — Blootstellingswaarde voor de berekening van de hefboomratio — Blootstellingen in het kader van de interneratingbenadering (IRB)</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regionale en lokale overheden zijn in de zin van artikel 147, lid 4, punt a), van Verordening (EU) nr.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Instellingen rapporteren deze blootstellingen na aftrek van IRB-blootstellingen ten aanzien waarvan zich een wanbetaling heeft voorgedaan.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Niet als landen behandelde regionale en lokale overheden – Risicogewogen posten – Blootstellingen in het kader van de standaardbenadering (SA)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niet als landen behandelde regionale en lokale overheden zijn in de zin van artikel 115, leden 1, 3 en 5, van Verordening (EU) nr.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regionale en lokale overheden — Risicogewogen posten — Blootstellingen in het kader van de interneratingbenadering (IRB)</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niet als landen behandelde regionale en lokale overheden zijn in de zin van artikel 147, lid 4, punt a), van Verordening (EU) nr.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u w:val="single"/>
              </w:rPr>
              <w:t>Niet</w:t>
            </w:r>
            <w:r>
              <w:rPr>
                <w:rFonts w:ascii="Times New Roman" w:hAnsi="Times New Roman"/>
                <w:b/>
                <w:sz w:val="24"/>
              </w:rPr>
              <w:t xml:space="preserve"> als landen behandelde multilaterale ontwikkelingsbanken — Blootstellingswaarde voor de berekening van de hefboomratio — Blootstellingen in het kader van de standaardbenadering (SA)</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SA-blootstellingen met betrekking tot multilaterale </w:t>
            </w:r>
            <w:r>
              <w:rPr>
                <w:rFonts w:ascii="Times New Roman" w:hAnsi="Times New Roman"/>
                <w:sz w:val="24"/>
              </w:rPr>
              <w:lastRenderedPageBreak/>
              <w:t>ontwikkelingsbanken zijn in de zin van artikel 117, leden 1 en 3, van Verordening (EU) nr.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Niet als landen behandelde multilaterale ontwikkelingsbanken — Blootstellingswaarde voor de berekening van de hefboomratio — Blootstellingen in het kader van de interneratingbenadering (IRB)</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niet als landen behandelde multilaterale ontwikkelingsbanken zijn in de zin van artikel 147, lid 4, punt c), van Verordening (EU) nr.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multilaterale ontwikkelingsbanken — Risicogewogen posten — Blootstellingen in het kader van de standaardbenadering (SA)</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risicogewogen posten van activa die SA-blootstellingen met betrekking tot multilaterale ontwikkelingsbanken zijn in de zin van artikel 117, leden 1 en 3, van Verordening (EU) nr.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multilaterale ontwikkelingsbanken — Risicogewogen posten — Blootstellingen in het kader van de interneratingbenadering (IRB)</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niet als landen behandelde multilaterale ontwikkelingsbanken zijn in de zin van artikel 147, lid 4, punt c), van Verordening (EU) nr.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publiekrechtelijke lichamen — Blootstellingswaarde voor de berekening van de hefboomratio — Blootstellingen in het kader van de standaardbenadering (SA)</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SA-blootstellingen met betrekking tot publiekrechtelijke lichamen zijn </w:t>
            </w:r>
            <w:r>
              <w:rPr>
                <w:rFonts w:ascii="Times New Roman" w:hAnsi="Times New Roman"/>
                <w:sz w:val="24"/>
              </w:rPr>
              <w:lastRenderedPageBreak/>
              <w:t>in de zin van artikel 116, leden 1, 2, 3 en 5, van Verordening (EU) nr.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Niet als landen behandelde publiekrechtelijke lichamen — Blootstellingswaarde voor de berekening van de hefboomratio — Blootstellingen in het kader van de interneratingbenadering (IRB)</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niet als landen behandelde publiekrechtelijke lichamen zijn in de zin van artikel 147, lid 4, punt b), van Verordening (EU) nr.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publiekrechtelijke lichamen — Risicogewogen posten — Blootstellingen in het kader van de standaardbenadering (SA)</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publiekrechtelijke lichamen zijn in de zin van artikel 116, leden 1, 2, 3 en 5, van Verordening (EU) nr.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Niet als landen behandelde publiekrechtelijke lichamen — Risicogewogen posten — Blootstellingen in het kader van de interneratingbenadering (IRB)</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niet als landen behandelde publiekrechtelijke lichamen zijn in de zin van artikel 147, lid 4, punt b), van Verordening (EU) nr.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Instellingen — Blootstellingswaarde voor de berekening van de hefboomratio — Blootstellingen in het kader van de standaardbenadering (SA)</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 blootstellingswaarde voor de berekening van de hefboomratio van activa die SA-blootstellingen met betrekking tot instellingen zijn in de zin van de artikelen 119 tot en met 121 van Verordening (EU) nr.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Instellingen — Blootstellingswaarde voor de berekening van de hefboomratio — Blootstellingen in het kader van de interneratingbenadering (IRB)</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blootstellingswaarde voor de berekening van de hefboomratio van activa die IRB-blootstellingen met betrekking tot instellingen in de zin van artikel 147, lid 2, punt b), van Verordening (EU) nr. 575/2013 zijn en geen blootstellingen in de vorm van gedekte obligaties als bedoeld in artikel 161, lid 1, punt d), van Verordening (EU) nr. 575/2013 zijn en niet onder artikel 147, lid 4, punt c), van Verordening (EU) nr. 575/2013 vallen</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Instellingen — Risicogewogen posten — Blootstellingen in het kader van de standaardbenadering (SA)</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instellingen in de zin van de artikelen 119 tot en met 121 van Verordening (EU) nr. 575/2013 zijn</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Instellingen — Risicogewogen posten — Blootstellingen in het kader van de interneratingbenadering (IRB)</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instellingen in de zin van artikel 147, lid 2, punt b), van Verordening (EU) nr. 575/2013 zijn en geen blootstellingen in de vorm van gedekte obligaties als bedoeld in artikel 161, lid 1, punt d), van Verordening (EU) nr. 575/2013 zijn en niet onder artikel 147, lid 4, punt c), van Verordening (EU) nr. 575/2013 vallen</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 door hypotheken op onroerend goed en ADC-blootstellingen — Blootstellingswaarde voor de berekening van de hefboomratio — Blootstellingen in het kader van de standaardbenadering (SA)</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zijn gedekt door hypotheken op onroerend goed en ADC-blootstellingen in de zin van artikel 124 en 126 bis van Verordening (EU) nr.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 door hypotheken op onroerend goed en ADC-blootstellingen — Blootstellingswaarde voor de berekening van de hefboomratio — Blootstellingen in het kader van de interneratingbenadering (IRB)</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zijn met betrekking tot ondernemingen in de zin van artikel 147, lid 2, punt c), van Verordening (EU) nr. 575/2013 of blootstellingen met betrekking tot particulieren en kleine partijen in de zin van artikel 147, lid 2, punt d), ii) van Verordening (EU) nr. 575/2013, indien deze blootstellingen zijn gedekt door hypotheken op onroerend goed en ADC-blootstellingen als bedoeld in artikel 199, lid 1, punt a), van Verordening (EU) nr.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Gedekt door hypotheken op onroerend goed en ADC-blootstellingen – Risicogewogen posten — Blootstellingen in het kader van de standaardbenadering (SA)</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risicogewogen posten van activa die SA-blootstellingen zijn gedekt door hypotheken op onroerend goed en ADC-blootstellingen in de zin van artikel 124 en artikel 126 bis van Verordening (EU) nr.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Gedekt door hypotheken op onroerend goed en ADC-blootstellingen — Risicogewogen posten — Blootstellingen in het kader van de interneratingbenadering (IRB)</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De risicogewogen posten van activa die IRB-blootstellingen zijn met betrekking tot ondernemingen in de zin van artikel 147, lid 2, punt c), van Verordening (EU) nr. 575/2013 of blootstellingen met betrekking tot particulieren en kleine partijen in de zin van artikel 147, lid 2, punt d), ii), </w:t>
            </w:r>
            <w:r>
              <w:rPr>
                <w:rFonts w:ascii="Times New Roman" w:hAnsi="Times New Roman"/>
                <w:sz w:val="24"/>
              </w:rPr>
              <w:lastRenderedPageBreak/>
              <w:t>van Verordening (EU) nr. 575/2013, indien deze blootstellingen zijn gedekt door hypotheken op onroerend goed als bedoeld in artikel 199, lid 1, punt a), van Verordening (EU) nr. 575/2013 Instellingen rapporteren deze blootstellingen na aftrek van IRB-blootstellingen ten aanzien waarvan zich een wanbetaling heeft voorgedaan.</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Gedekt door hypotheken op niet-zakelijk onroerend goed — Blootstellingswaarde voor de berekening van de hefboomratio — Blootstellingen in het kader van de standaardbenadering (SA)</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geheel en volledig door hypotheken op niet-zakelijk onroerend goed gedekte SA-blootstellingen zijn in de zin van artikel 125 van Verordening (EU) nr.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waarvan: Gedekt door hypotheken op niet-zakelijk onroerend goed — Blootstellingswaarde voor de berekening van de hefboomratio — Blootstellingen in het kader van de interneratingbenadering (IRB)</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zijn met betrekking tot ondernemingen in de zin van artikel 147, lid 2, punt c), van Verordening (EU) nr. 575/2013 of blootstellingen met betrekking tot particulieren en kleine partijen in de zin van artikel 147, lid 2, punt d), ii), van Verordening (EU) nr. 575/2013, indien deze blootstellingen zijn gedekt door hypotheken op niet-zakelijk onroerend goed als bedoeld in artikel 199, lid 1, punt a), van Verordening (EU) nr.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Gedekt door hypotheken op niet-zakelijk onroerend goed — Risicogewogen posten — Blootstellingen in het kader van de standaardbenadering (SA)</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geheel en volledig door hypotheken op niet-zakelijk onroerend goed gedekte SA-blootstellingen zijn in de zin van artikel 125 van Verordening (EU) nr.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Gedekt door hypotheken op niet-zakelijk onroerend goed — Risicogewogen posten — Blootstellingen in het kader van de interneratingbenadering (IRB)</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zijn met betrekking tot ondernemingen in de zin van artikel 147, lid 2, punt c), van Verordening (EU) nr. 575/2013 of blootstellingen met betrekking tot particulieren en kleine partijen in de zin van artikel 147, lid 2, punt d), ii), van Verordening (EU) nr. 575/2013, indien deze blootstellingen zijn gedekt door hypotheken op niet-zakelijk onroerend goed als bedoeld in artikel 199, lid 1, punt a), van Verordening (EU) nr.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particulieren en kleine partijen – Blootstellingswaarde voor de berekening van de hefboomratio – Blootstellingen in het kader van de standaardbenadering (SA)</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particulieren en kleine partijen zijn in de zin van artikel 123 van Verordening (EU) nr.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particulieren en kleine partijen – Blootstellingswaarde voor de berekening van de hefboomratio – Blootstellingen in het kader van de interneratingbenadering (IRB)</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particulieren en kleine partijen zijn in de zin van artikel 147, lid 2, punt d), i), iii) en iv), van Verordening (EU) nr. 575/2013, indien deze blootstellingen niet zijn gedekt door hypotheken op onroerend goed als bedoeld in artikel 199, lid 1, punt a), van Verordening (EU) nr.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particulieren en kleine partijen – Risicogewogen posten – Blootstellingen in het kader van de standaardbenadering (SA)</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 risicogewogen posten van activa die SA-blootstellingen met betrekking tot particulieren en kleine partijen zijn in de zin van artikel 123 van Verordening (EU) nr.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met betrekking tot particulieren en kleine partijen – Risicogewogen posten – Blootstellingen in het kader van de interneratingbenadering (IRB)</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zijn in de zin van artikel 147, lid 2, punt d), i), iii) en iv), van Verordening (EU) nr. 575/2013, indien deze blootstellingen niet zijn gedekt door hypotheken op onroerend goed als bedoeld in artikel 199, lid 1, punt a), van Verordening (EU) nr.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waarvan: In de categorie particulieren en kleine partijen ondergebrachte kmo's — Blootstellingswaarde voor de berekening van de hefboomratio — Blootstellingen in het kader van de standaardbenadering</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kleine en middelgrote ondernemingen zijn in de zin van artikel 123 van Verordening (EU) nr.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In de categorie particulieren en kleine partijen ondergebrachte kmo’s — Blootstellingswaarde voor de berekening van de hefboomratio — Blootstellingen in het kader van de interneratingbenadering (IRB)</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activa die IRB-blootstellingen met betrekking tot particulieren en kleine partijen zijn in de zin van artikel 147, lid 2, punt d), i), iii) en iv), van Verordening (EU) nr. 575/2013, indien deze blootstellingen blootstellingen met betrekking tot kleine en middelgrote ondernemingen zijn en niet gedekt zijn </w:t>
            </w:r>
            <w:r>
              <w:rPr>
                <w:rFonts w:ascii="Times New Roman" w:hAnsi="Times New Roman"/>
                <w:sz w:val="24"/>
              </w:rPr>
              <w:lastRenderedPageBreak/>
              <w:t>door hypotheken op onroerend goed als bedoeld in artikel 199, lid 1, punt a), van Verordening (EU) nr.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In de categorie particulieren en kleine partijen ondergebrachte kmo’s – Risicogewogen posten – Blootstellingen in het kader van de standaardbenadering (SA)</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particulieren en kleine partijen (kleine en middelgrote ondernemingen) in de zin van artikel 123 van Verordening (EU) nr. 575/2013 zijn</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waarvan: In de categorie particulieren en kleine partijen ondergebrachte kmo’s – Risicogewogen posten – Blootstellingen in het kader van de interneratingbenadering (IRB)</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particulieren en kleine partijen zijn in de zin van artikel 147, lid 2, punt d), i), iii) en iv), van Verordening (EU) nr. 575/2013, indien deze blootstellingen blootstellingen met betrekking tot kleine en middelgrote ondernemingen zijn en niet gedekt zijn door hypotheken op onroerend goed als bedoeld in artikel 199, lid 1, punt a), van Verordening (EU) nr.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Ondernemingen – Blootstellingswaarde voor de berekening van de hefboomratio – Blootstellingen in het kader van de standaardbenadering (SA)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lastRenderedPageBreak/>
              <w:t>Dit is de som van de cellen {0240,0010} en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Ondernemingen – Blootstellingswaarde voor de berekening van de hefboomratio – Blootstellingen in het kader van de interneratingbenadering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{0240,0020} en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Ondernemingen – Risicogewogen posten – Blootstellingen in het kader van de standaardbenadering (SA)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{0240,0030} en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Ondernemingen – Risicogewogen posten – Blootstellingen in het kader van de interneratingbenadering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{0240,0040} en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Financiële ondernemingen — Blootstellingswaarde voor de berekening van de hefboomratio — Blootstellingen in het kader van de standaardbenadering (SA)</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financiële ondernemingen zijn in de zin van artikel 122 van Verordening (EU) nr.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Voor de rapportage in LR4 wordt onder financiële ondernemingen het volgende verstaan: gereglementeerde en niet-gereglementeerde ondernemingen die geen in {0180;0010} bedoelde instellingen zijn en waarvan de hoofdactiviteit bestaat in het verwerven van deelnemingen of in het uitoefenen van een of meer van de in bijlage I bij Richtlijn 2013/36/EU genoemde werkzaamheden, alsmede in artikel 4, lid 1, punt 27), van Verordening (EU) nr. 575/2013 omschreven ondernemingen die geen in {0180;0010} bedoelde instellingen zijn.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rapporteren deze blootstellingen na aftrek van blootstellingen in het kader van de standaardbenadering ten aanzien waarvan zich een wanbetaling heeft voorgedaan.</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Financiële ondernemingen — Blootstellingswaarde voor de berekening van de hefboomratio — Blootstellingen in het kader van de interneratingbenadering (IRB)</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financiële ondernemingen zijn in de zin van artikel 147, lid 2, punt c), van Verordening (EU) nr. 575/2013, indien deze blootstellingen niet zijn gedekt door hypotheken op onroerend goed als bedoeld in artikel 199, lid 1, punt a), van Verordening (EU) nr.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Voor de rapportage in LR4 wordt onder financiële ondernemingen het volgende verstaan: gereglementeerde en niet-gereglementeerde ondernemingen die geen in {0180;0010} bedoelde instellingen zijn en waarvan de hoofdactiviteit bestaat in het verwerven van deelnemingen of in het uitoefenen van een of meer van de in bijlage I bij Richtlijn 2013/36/EU genoemde werkzaamheden, alsmede in artikel 4, lid 1, punt 27), van Verordening (EU) nr. 575/2013 omschreven ondernemingen die geen in {0180;0010} bedoelde instellingen zijn.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Financiële ondernemingen — Risicogewogen posten — Blootstellingen in het kader van de standaardbenadering (SA)</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financiële ondernemingen in de zin van artikel 122 van Verordening (EU) nr. 575/2013 zijn</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Voor de rapportage in LR4 wordt onder financiële ondernemingen het volgende verstaan: gereglementeerde en niet-gereglementeerde ondernemingen die geen in {0180;0010} bedoelde instellingen zijn en waarvan de hoofdactiviteit bestaat in het verwerven van deelnemingen of in het uitoefenen van een of meer van de in bijlage I bij Richtlijn 2013/36/EU genoemde werkzaamheden, alsmede in artikel 4, lid 1, punt 27), van Verordening (EU) nr. 575/2013 omschreven ondernemingen die geen in {0180;0010} bedoelde instellingen zijn.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Financiële ondernemingen — Risicogewogen posten — Blootstellingen in het kader van de interneratingbenadering (IRB)</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zijn met betrekking tot financiële ondernemingen in de zin van artikel 147, lid 2, punt c), van Verordening (EU) nr. 575/2013, indien deze blootstellingen niet zijn gedekt door hypotheken op onroerend goed als bedoeld in artikel 199, lid 1, punt a), van Verordening (EU) nr.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Voor de rapportage in LR4 wordt onder financiële ondernemingen het volgende verstaan: gereglementeerde en niet-gereglementeerde ondernemingen die geen in {0180;0010} bedoelde instellingen zijn en waarvan de hoofdactiviteit bestaat in het verwerven van deelnemingen of in het uitoefenen van een of meer van de in bijlage I bij Richtlijn 2013/36/EU genoemde werkzaamheden, alsmede in artikel 4, lid 1, punt 27), van Verordening (EU) nr. 575/2013 omschreven ondernemingen die geen in {0180;0010} bedoelde instellingen zijn.</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Niet-financiële ondernemingen – Blootstellingswaarde voor de berekening van de hefboomratio – Blootstellingen in het kader van de standaardbenadering (SA)</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niet-financiële ondernemingen zijn in de zin van artikel 122 van Verordening (EU) nr.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{0260,0010} en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Niet-financiële ondernemingen – Blootstellingswaarde voor de berekening van de hefboomratio – Blootstellingen in het kader van de interneratingbenadering (IRB)</w:t>
            </w:r>
          </w:p>
          <w:p w14:paraId="1615C090" w14:textId="1683F90A"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niet-</w:t>
            </w:r>
            <w:r w:rsidR="00FB4BD0">
              <w:rPr>
                <w:rFonts w:ascii="Times New Roman" w:hAnsi="Times New Roman"/>
                <w:sz w:val="24"/>
              </w:rPr>
              <w:t>f</w:t>
            </w:r>
            <w:r>
              <w:rPr>
                <w:rFonts w:ascii="Times New Roman" w:hAnsi="Times New Roman"/>
                <w:sz w:val="24"/>
              </w:rPr>
              <w:t>inanciële ondernemingen zijn in de zin van artikel 147, lid 2, punt c), van Verordening (EU) nr. 575/2013, indien deze blootstellingen niet zijn gedekt door hypotheken op onroerend goed als bedoeld in artikel 199, lid 1, punt a), van Verordening (EU) nr.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{0260,0020} en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rapporteren deze blootstellingen na aftrek van IRB-blootstellingen ten aanzien waarvan zich een wanbetaling heeft voorgedaan.</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Niet-financiële ondernemingen – Risicogewogen posten – Blootstellingen in het kader van de standaardbenadering (SA)</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niet-financiële ondernemingen in de zin van artikel 122 van Verordening (EU) nr. 575/2013 zijn</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{0260,0030} en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Niet-financiële ondernemingen – Risicogewogen posten – Blootstellingen in het kader van de interneratingbenadering (IRB)</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zijn met betrekking tot niet-financiële ondernemingen in de zin van artikel 147, lid 2, punt c), van Verordening (EU) nr. 575/2013, indien deze blootstellingen niet zijn gedekt door hypotheken op onroerend goed als bedoeld in artikel 199, lid 1, punt a), van Verordening (EU) nr.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Dit is de som van de cellen {0260,0040} en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Kmo-blootstellingen — Blootstellingswaarde voor de berekening van de hefboomratio — Blootstellingen in het kader van de standaardbenadering (SA)</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ondernemingen in de vorm van kleine en middelgrote ondernemingen zijn in de zin van artikel 122 van Verordening (EU) nr.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Kmo-blootstellingen — Blootstellingswaarde voor de berekening van de hefboomratio — Blootstellingen in het kader van de interneratingbenadering (IRB)</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ondernemingen zijn in de zin van artikel 147, lid 2, punt c), van Verordening (EU) nr. 575/2013, indien deze blootstellingen blootstellingen met betrekking tot kleine en middelgrote ondernemingen zijn en niet gedekt zijn door hypotheken op onroerend goed als bedoeld in artikel 199, lid 1, punt a), van Verordening (EU) nr.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Kmo-blootstellingen — Risicogewogen posten — Blootstellingen in het kader van de standaardbenadering (SA)</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ondernemingen in de vorm van kleine en middelgrote ondernemingen zijn in de zin van artikel 122 van Verordening (EU) nr.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Kmo-blootstellingen — Risicogewogen posten — Blootstellingen in het kader van de interneratingbenadering (IRB)</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ondernemingen zijn in de zin van artikel 147, lid 2, punt c), van Verordening (EU) nr. 575/2013, indien deze blootstellingen blootstellingen met betrekking tot kleine en middelgrote ondernemingen zijn en niet gedekt zijn door hypotheken op onroerend goed als bedoeld in artikel 199, lid 1, punt a), van Verordening (EU) nr.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Bij het rapporteren van deze cel wordt het begrip “kleine of middelgrote onderneming” (kmo) door instellingen gedefinieerd als bedoeld in artikel 501, lid 2, punt b), van Verordening (EU) nr.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rapporteren deze blootstellingen na aftrek van IRB-blootstellingen ten aanzien waarvan zich een wanbetaling heeft voorgedaan.</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Andere blootstellingen dan kmo-blootstellingen — Blootstellingswaarde voor de berekening van de hefboomratio — Blootstellingen in het kader van de standaardbenadering (SA)</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ondernemingen in de zin van artikel 122 van Verordening (EU) nr. 575/2013 zijn die niet in {0230;0040} en {0250;0040} worden gerapporteerd</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Andere blootstellingen dan kmo-blootstellingen — Blootstellingswaarde voor de berekening van de hefboomratio — Blootstellingen in het kader van de interneratingbenadering (IRB)</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 blootstellingswaarde voor de berekening van de hefboomratio van activa die IRB-blootstellingen met betrekking tot ondernemingen zijn in de zin van artikel 147, lid 2, punt c), van Verordening (EU) nr. 575/2013, indien deze blootstellingen niet zijn gedekt door hypotheken op onroerend goed als bedoeld in artikel 199, lid 1, punt a), van Verordening (EU) nr. 575/2013 en niet in {0230;0040} en {0250;0040} worden gerapporteerd</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Andere blootstellingen dan kmo-blootstellingen — Risicogewogen posten — Blootstellingen in het kader van de standaardbenadering (SA)</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ondernemingen in de zin van artikel 122 van Verordening (EU) nr. 575/2013 zijn die niet in {0230;0040} en {0250;0040} worden gerapporteerd</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Andere blootstellingen dan kmo-blootstellingen — Risicogewogen posten — Blootstellingen in het kader van de interneratingbenadering (IRB)</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De risicogewogen posten van activa die IRB-blootstellingen zijn met betrekking tot ondernemingen in de zin van artikel 147, lid 2, punt c), van Verordening (EU) nr. 575/2013, indien deze blootstellingen niet zijn gedekt door hypotheken op onroerend goed als bedoeld in artikel 199, lid 1, punt a), van Verordening (EU) nr. 575/2013 en niet in {0230;0040} en {0250;0040} worden gerapporteerd</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waarbij sprake is van wanbetaling — Blootstellingswaarde voor de berekening van de hefboomratio — Blootstellingen in het kader van de standaardbenadering (SA)</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 blootstellingswaarde voor de berekening van de hefboomratio van activa die SA-blootstellingen met een wanbetaling zijn en derhalve onder artikel 127 van Verordening (EU) nr. 575/2013 vallen.</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waarbij sprake is van wanbetaling — Blootstellingswaarde voor de berekening van de hefboomratio — Blootstellingen in het kader van de interneratingbenadering (IRB)</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 blootstellingswaarde voor de berekening van de hefboomratio van activa die in de in artikel 147, lid 2, van Verordening (EU) nr. 575/2013 genoemde blootstellingscategorieën zijn ondergebracht, indien er zich overeenkomstig artikel 178 van Verordening (EU) nr. 575/2013 een wanbetaling heeft voorgedaan.</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waarbij sprake is van wanbetaling — Risicogewogen posten — Blootstellingen in het kader van de standaardbenadering (SA)</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 risicogewogen posten van activa die blootstellingen met een wanbetaling zijn en derhalve onder artikel 127 van Verordening (EU) nr. 575/2013 vallen.</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Blootstellingen waarbij sprake is van wanbetaling — Risicogewogen posten — Blootstellingen in het kader van de interneratingbenadering (IRB)</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 risicogewogen posten van activa die in de in artikel 147, lid 2, van Verordening (EU) nr. 575/2013 genoemde blootstellingscategorieën zijn ondergebracht, indien er zich overeenkomstig artikel 178 van Verordening (EU) nr. 575/2013 een wanbetaling heeft voorgedaan.</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Overige blootstellingen — Blootstellingswaarde voor de berekening van de hefboomratio — Blootstellingen in het kader van de standaardbenadering (SA)</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in de in artikel 112, punten k), m), n), o), p) en q), van Verordening (EU) nr. 575/2013 genoemde blootstellingscategorieën zijn ondergebracht</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hier de activa die van het eigen vermogen zijn afgetrokken (bv. immateriële activa) maar die niet elders kunnen worden ondergebracht, ook al is een dergelijke onderbrenging niet verplicht voor de bepaling van de risicogebaseerde eigenvermogensvereisten in de kolommen {*; 0030} en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Overige blootstellingen — Blootstellingswaarde voor de berekening van de hefboomratio — Blootstellingen in het kader van de interneratingbenadering (IRB)</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in de in artikel 147, lid 2, punten e), e bis), f) en g), van Verordening (EU) nr. 575/2013 genoemde blootstellingscategorieën zijn ondergebracht</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hier de activa die van het eigen vermogen zijn afgetrokken (bv. immateriële activa) maar die niet elders kunnen worden ondergebracht, ook al is een dergelijke onderbrenging niet verplicht voor de bepaling van de risicogebaseerde eigenvermogensvereisten in de kolommen {*; 0030} en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Overige blootstellingen — Risicogewogen posten — Blootstellingen in het kader van de standaardbenadering (SA)</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in de in artikel 112, punten k), m), n), o), p) en q), van Verordening (EU) nr. 575/2013 genoemde blootstellingscategorieën zijn ondergebracht</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Overige blootstellingen — Risicogewogen posten — Blootstellingen in het kader van de interneratingbenadering (IRB)</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 risicogewogen posten van activa die in de in artikel 147, lid 2, punten e), e bis), f) en g), van Verordening (EU) nr. 575/2013 genoemde blootstellingscategorieën zijn ondergebracht</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Securitisatieblootstellingen — Blootstellingswaarde voor de berekening van de hefboomratio — Blootstellingen in het kader van de standaardbenadering (SA)</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SA-blootstellingen met betrekking tot securitisatieposities zijn in de zin van artikel 112 van Verordening (EU) nr.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Securitisatieblootstellingen — Blootstellingswaarde voor de berekening van de hefboomratio — Blootstellingen in het kader van de interneratingbenadering (IRB)</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activa die IRB-blootstellingen met betrekking tot securitisatieposities zijn in de zin van artikel 147, lid 2, punt f), van Verordening (EU) nr.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Securitisatieblootstellingen — Risicogewogen posten — Blootstellingen in het kader van de standaardbenadering (SA)</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SA-blootstellingen met betrekking tot securitisatieposities zijn in de zin van artikel 112 van Verordening (EU) nr.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Securitisatieblootstellingen — Risicogewogen posten — Blootstellingen in het kader van de interneratingbenadering (IRB)</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van activa die IRB-blootstellingen met betrekking tot securitisatieposities zijn in de zin van artikel 147, lid 2, punt f), van Verordening (EU) nr.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rapporteren deze blootstellingen na aftrek van IRB-blootstellingen ten aanzien waarvan zich een wanbetaling heeft voorgedaan.</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Handelsfinanciering (pro-memoriepost) — Blootstellingswaarde voor de berekening van de hefboomratio — Blootstellingen in het kader van de standaardbenadering (SA)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posten binnen de balanstelling die verband houden met leningen aan een exporteur of importeur van goederen of diensten door middel van import- en exportkredieten en soortgelijke transacties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Handelsfinanciering (pro-memoriepost) — Blootstellingswaarde voor de berekening van de hefboomratio — Blootstellingen in het kader van de interneratingbenadering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posten binnen de balanstelling die verband houden met leningen aan een exporteur of importeur van goederen of diensten door middel van import- en exportkredieten en soortgelijke transacties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Handelsfinanciering (pro-memoriepost) — Risicogewogen posten — Blootstellingen in het kader van de standaardbenadering (SA)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binnen de balanstelling die verband houden met leningen aan een exporteur of importeur van goederen of diensten door middel van import- en exportkredieten en soortgelijke transacties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Handelsfinanciering (pro-memoriepost) — Risicogewogen posten — Blootstellingen in het kader van de interneratingbenadering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risicogewogen posten binnen de balanstelling die verband houden met leningen aan een exporteur of importeur van goederen of diensten door middel van import- en exportkredieten en soortgelijke transacties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Instellingen rapporteren deze blootstellingen na aftrek van IRB-blootstellingen ten aanzien waarvan zich een wanbetaling heeft voorgedaan.</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Blootstellingswaarde voor de berekening van de hefboomratio — Blootstellingen in het kader van de standaardbenadering (SA)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blootstellingswaarde voor de berekening van de hefboomratio van posten binnen de balanstelling die verband houden met handelsfinanciering in het kader van een officiële exportkredietverzekeringsregeling</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Blootstellingswaarde voor de berekening van de hefboomratio — Blootstellingen in het kader van de interneratingbenadering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blootstellingswaarde voor de berekening van de hefboomratio van posten binnen de balanstelling die verband houden met handelsfinanciering in het kader van een officiële exportkredietverzekeringsregeling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Risicogewogen posten — Blootstellingen in het kader van de standaardbenadering (SA)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risicogewogen posten binnen de balanstelling die verband houden met handelsfinanciering uit hoofde van een officiële exportkredietverzekeringsregeling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blootstellingen in het kader van de standaardbenadering ten aanzien waarvan zich een wanbetaling heeft voorgedaan.</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waarvan: In het kader van een officiële exportkredietverzekeringsregeling — Risicogewogen posten — Blootstellingen in het kader van de interneratingbenadering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risicogewogen posten binnen de balanstelling die verband houden met handelsfinanciering in het kader van een officiële exportkredietverzekeringsregeling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Voor de rapportage in LR4 houdt een officiële exportkredietverzekeringsregeling verband met officiële ondersteuning, door de overheid of een andere entiteit zoals een exportkredietverzekeringsinstelling, in de vorm van onder meer rechtstreekse kredieten/financiering, herfinanciering, renteondersteuning (waarbij gedurende de gehele looptijd van het krediet een vaste rente wordt gegarandeerd), steunfinanciering (kredieten en subsidies), alsook exportkredietverzekering en -garanties.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Instellingen rapporteren deze blootstellingen na aftrek van IRB-blootstellingen ten aanzien waarvan zich een wanbetaling heeft voorgedaan.</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365599"/>
      <w:r>
        <w:rPr>
          <w:rFonts w:ascii="Times New Roman" w:hAnsi="Times New Roman"/>
          <w:b/>
          <w:sz w:val="24"/>
        </w:rPr>
        <w:t>6.</w:t>
      </w:r>
      <w:r>
        <w:rPr>
          <w:rFonts w:ascii="Times New Roman" w:hAnsi="Times New Roman"/>
          <w:b/>
          <w:sz w:val="24"/>
        </w:rPr>
        <w:tab/>
      </w:r>
      <w:r>
        <w:rPr>
          <w:rFonts w:ascii="Times New Roman" w:hAnsi="Times New Roman"/>
          <w:b/>
          <w:bCs/>
          <w:sz w:val="24"/>
        </w:rPr>
        <w:t>C 44.00 — Algemene informatie</w:t>
      </w:r>
      <w:bookmarkEnd w:id="74"/>
      <w:bookmarkEnd w:id="75"/>
      <w:r>
        <w:rPr>
          <w:rFonts w:ascii="Times New Roman" w:hAnsi="Times New Roman"/>
          <w:b/>
          <w:bCs/>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Hier wordt aanvullende informatie verzameld ten behoeve van de classificatie van de werkzaamheden van de instelling en de door haar gemaakte keuzes met betrekking tot de regelgeving.</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lastRenderedPageBreak/>
              <w:t xml:space="preserve">Rij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en kolom</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Instructies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Ondernemingsstructuur van de instelling</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instelling brengt haar ondernemingsstructuur onder in een van de onderstaande categorieën:</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vennootschap op aandelen;</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onderlinge maatschappij/coöperatie;</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vennootschap die geen vennootschap op aandelen is.</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Behandeling van derivaten</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instelling geeft aan welke van de onderstaande methoden zij hanteert bij de behandeling van derivaten:</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standaardbenadering voor tegenpartijkredietrisico (SB-TKR);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vereenvoudigde standaardbenadering voor de tegenpartijkredietrisicomethode;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oorspronkelijkeblootstellingsmethode;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Instellingstype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 instelling brengt haar instellingstype onder in een van de onderstaande categorieën:</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universeel bankieren (bankieren ten behoeve van particulieren en kleine partijen en zakenbankieren);</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bankieren ten behoeve van particulieren en kleine partijen;</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zakenbankieren;</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gespecialiseerd kredietverlener;</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publiekrechtelijke ontwikkelingskredietinstellingen;</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ander bedrijfsmodel.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Instelling met een publiekrechtelijke ontwikkelingskredietafdeling</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Andere instellingen dan publiekrechtelijke ontwikkelingskredietinstellingen vermelden of zij een publiekrechtelijke ontwikkelingskredietafdeling hebben.</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lastRenderedPageBreak/>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Entiteit die de publiekrechtelijke ontwikkelingskredietinstelling/-afdeling garandeert overeenkomstig artikel 429 bis, lid 2, punt d), VKV: centrale overheid, regionale overheid, lokale overheid</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Instellingen die een publiekrechtelijke ontwikkelingskredietinstelling zijn of een publiekrechtelijke ontwikkelingskredietafdeling hebben, rapporteren of zij worden gegarandeerd door een centrale overheid, een regionale overheid of een lokale overheid</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Instellingen vermelden “TRUE” in de rij die overeenstemt met de toepasselijke soort(en) protectiegever en “FALSE” in de overige gevallen.</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Centrale overheid die de publiekrechtelijke ontwikkelingskredietinstelling/-afdeling garandeert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Regionale overheid die de publiekrechtelijke ontwikkelingskredietinstelling/-afdeling garandeert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Lokale overheid die de publiekrechtelijke ontwikkelingskredietinstelling/-afdeling garandeert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Soort ontvangen garantie overeenkomstig artikel 429 bis, lid 2, punt d), VKV</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Instellingen die een publiekrechtelijke ontwikkelingskredietinstelling zijn of een publiekrechtelijke ontwikkelingskredietafdeling hebben, rapporteren het soort protectie dat zij ontvangen</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Instellingen vermelden “TRUE” in de rij die overeenstemt met de toepasselijke soort(en) protectie en “FALSE” in de overige gevallen.</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Verplichting om de levensvatbaarheid van kredietinstellingen te beschermen</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Directe garantie van de eigenvermogensvereisten, financieringsvereisten of verstrekte stimuleringsleningen van kredietinstellingen</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Indirecte garantie van eigenvermogensvereisten, financieringsvereisten of verstrekte stimuleringsleningen van kredietinstellingen</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365600"/>
      <w:r>
        <w:rPr>
          <w:rFonts w:ascii="Times New Roman" w:hAnsi="Times New Roman"/>
          <w:b/>
          <w:sz w:val="24"/>
        </w:rPr>
        <w:t>7.</w:t>
      </w:r>
      <w:r>
        <w:rPr>
          <w:rFonts w:ascii="Times New Roman" w:hAnsi="Times New Roman"/>
          <w:b/>
          <w:sz w:val="24"/>
        </w:rPr>
        <w:tab/>
        <w:t>C 48.00 Hefboomratiovolaliteit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Er wordt informatie verzameld om de volatiliteit van de hefboomratio te monitoren. De informatie wordt alleen door grote instellingen gerapporteerd.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365601"/>
      <w:r>
        <w:rPr>
          <w:rFonts w:ascii="Times New Roman" w:hAnsi="Times New Roman"/>
          <w:b/>
          <w:sz w:val="24"/>
        </w:rPr>
        <w:t>8.</w:t>
      </w:r>
      <w:r>
        <w:rPr>
          <w:rFonts w:ascii="Times New Roman" w:hAnsi="Times New Roman"/>
          <w:b/>
          <w:sz w:val="24"/>
        </w:rPr>
        <w:tab/>
        <w:t>C 48.01 Hefboomratiovolaliteit: gemiddelde waarde voor de rapportageperiode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lastRenderedPageBreak/>
              <w:t xml:space="preserve">Rij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en kolom</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Instructies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Gemiddelde waarde voor de rapportageperiode – Blootstellingswaarde van SFT’s</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Instellingen rapporteren het gemiddelde van de dagelijkse waarden van het rapportagekwartaal van de SFT-blootstellingswaarde na aftrek van het uitgesloten CTP-deel van als cliënt geclearde transactieblootstellingen zoals gedefinieerd in de rijen 0010 en 0050 van template C 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Gemiddelde waarde voor de rapportageperiode – Aanpassingen voor SFT’s waarvoor de verkoop volgens het toepasselijke kader voor financiële verslaggeving wordt verantwoord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Instellingen rapporteren het gemiddelde van de dagelijkse waarden van het rapportagekwartaal van de aanpassingen voor SFT’s waarvoor de verkoop volgens het toepasselijke kader voor financiële verslaggeving wordt verantwoord, zoals gedefinieerd in rij 0230 van template C 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365602"/>
      <w:r>
        <w:rPr>
          <w:rFonts w:ascii="Times New Roman" w:hAnsi="Times New Roman"/>
          <w:b/>
          <w:sz w:val="24"/>
        </w:rPr>
        <w:t>9.</w:t>
      </w:r>
      <w:r>
        <w:rPr>
          <w:rFonts w:ascii="Times New Roman" w:hAnsi="Times New Roman"/>
          <w:b/>
          <w:sz w:val="24"/>
        </w:rPr>
        <w:tab/>
        <w:t>C 48.02 Hefboomratiovolaliteit: dagelijkse waarden voor de rapportageperiode</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De dagelijkse waarden over de rapportageperiode worden gerapporteerd.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Rij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en kolom</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Instructies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Referentiedatum in de rapportageperiode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Instellingen rapporteren de datum waarop de gerapporteerde dagelijkse waarde betrekking heeft. Elke dag van het rapportagekwartaal wordt gerapporteerd.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Blootstellingswaarde van SFT’s</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Instellingen rapporteren de dagelijkse waarden van het rapportagekwartaal van de SFT-blootstellingswaarde na aftrek van het uitgesloten CTP-deel van als cliënt geclearde transactieblootstellingen zoals bedoeld in de rijen 0010 en 0050 van template C 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Aanpassingen voor SFT’s waarvoor de verkoop volgens het toepasselijke kader voor financiële verslaggeving wordt verantwoord</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 xml:space="preserve">Instellingen rapporteren de dagelijkse waarden van het rapportagekwartaal van de aanpassingen voor SFT’s waarvoor de verkoop volgens het </w:t>
            </w:r>
            <w:r>
              <w:rPr>
                <w:rFonts w:ascii="Times New Roman" w:hAnsi="Times New Roman"/>
                <w:sz w:val="24"/>
              </w:rPr>
              <w:lastRenderedPageBreak/>
              <w:t>toepasselijke kader voor financiële verslaggeving wordt verantwoord, zoals gedefinieerd in rij 0230 van template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w:t>
                    </w:r>
                    <w:proofErr w:type="spellStart"/>
                    <w:r>
                      <w:rPr>
                        <w:rFonts w:ascii="Calibri" w:hAnsi="Calibri"/>
                        <w:sz w:val="24"/>
                      </w:rPr>
                      <w:t>Use</w:t>
                    </w:r>
                    <w:proofErr w:type="spellEnd"/>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nl-NL"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2F14"/>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6E18"/>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C7E52"/>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4BD0"/>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nl-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3.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4.xml><?xml version="1.0" encoding="utf-8"?>
<ds:datastoreItem xmlns:ds="http://schemas.openxmlformats.org/officeDocument/2006/customXml" ds:itemID="{DC60E7C8-4533-499D-ABB6-4767DF8FB89B}"/>
</file>

<file path=customXml/itemProps5.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6.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82</Pages>
  <Words>23993</Words>
  <Characters>158364</Characters>
  <Application>Microsoft Office Word</Application>
  <DocSecurity>0</DocSecurity>
  <Lines>3599</Lines>
  <Paragraphs>1982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180375</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2025-01-21T14:26:20Z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5d82b4b2-1b37-4ccd-a6fa-b24c5876a340</vt:lpwstr>
  </property>
  <property fmtid="{D5CDD505-2E9C-101B-9397-08002B2CF9AE}" pid="12" name="MSIP_Label_6bd9ddd1-4d20-43f6-abfa-fc3c07406f94_ContentBits">
    <vt:lpwstr>0</vt:lpwstr>
  </property>
</Properties>
</file>