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SL</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PRILOGA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„PRILOGA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NAVODILA ZA POROČANJE O KAPITALU IN KAPITALSKIH ZAHTEVAH</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rsidRPr="002B64C5">
        <w:rPr>
          <w:u w:val="none"/>
        </w:rPr>
        <w:tab/>
      </w:r>
      <w:r>
        <w:rPr>
          <w:rFonts w:ascii="Times New Roman" w:hAnsi="Times New Roman"/>
          <w:sz w:val="24"/>
        </w:rPr>
        <w:t>Preudarno vrednotenje (</w:t>
      </w:r>
      <w:proofErr w:type="spellStart"/>
      <w:r>
        <w:rPr>
          <w:rFonts w:ascii="Times New Roman" w:hAnsi="Times New Roman"/>
          <w:sz w:val="24"/>
        </w:rPr>
        <w:t>PruVal</w:t>
      </w:r>
      <w:proofErr w:type="spellEnd"/>
      <w:r>
        <w:rPr>
          <w:rFonts w:ascii="Times New Roman" w:hAnsi="Times New Roman"/>
          <w:sz w:val="24"/>
        </w:rPr>
        <w:t>)</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rsidRPr="002B64C5">
        <w:rPr>
          <w:u w:val="none"/>
        </w:rPr>
        <w:tab/>
      </w:r>
      <w:r>
        <w:rPr>
          <w:rFonts w:ascii="Times New Roman" w:hAnsi="Times New Roman"/>
          <w:sz w:val="24"/>
        </w:rPr>
        <w:t>C 32.01 – Preudarno vrednotenje: Sredstva in obveznosti po pošteni vrednosti (</w:t>
      </w:r>
      <w:proofErr w:type="spellStart"/>
      <w:r>
        <w:rPr>
          <w:rFonts w:ascii="Times New Roman" w:hAnsi="Times New Roman"/>
          <w:sz w:val="24"/>
        </w:rPr>
        <w:t>PruVal</w:t>
      </w:r>
      <w:proofErr w:type="spellEnd"/>
      <w:r>
        <w:rPr>
          <w:rFonts w:ascii="Times New Roman" w:hAnsi="Times New Roman"/>
          <w:sz w:val="24"/>
        </w:rPr>
        <w:t xml:space="preserve">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rsidRPr="002B64C5">
        <w:rPr>
          <w:u w:val="none"/>
        </w:rPr>
        <w:tab/>
      </w:r>
      <w:r>
        <w:rPr>
          <w:rFonts w:ascii="Times New Roman" w:hAnsi="Times New Roman"/>
          <w:sz w:val="24"/>
        </w:rPr>
        <w:t>Splošne opombe</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176</w:t>
      </w:r>
      <w:r>
        <w:fldChar w:fldCharType="end"/>
      </w:r>
      <w:r>
        <w:t>. To predlogo izpolnijo vse institucije ne glede na to, ali so sprejele poenostavljen pristop za določitev dodatnih prilagoditev vrednosti (AVA). Predloga je namenjena absolutni vrednosti sredstev in obveznosti, merjenih po pošteni vrednosti, ki se uporabi za določanje, ali so bili izpolnjeni pogoji iz člena 4 Delegirane uredbe Komisije (EU) 2016/101</w:t>
      </w:r>
      <w:r>
        <w:rPr>
          <w:rStyle w:val="FootnoteReference"/>
        </w:rPr>
        <w:footnoteReference w:id="1"/>
      </w:r>
      <w:r>
        <w:t xml:space="preserve"> za uporabo poenostavljenega pristopa za določanje dodatnih prilagoditev vrednosti.</w:t>
      </w:r>
    </w:p>
    <w:p w14:paraId="6DB5E29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177</w:t>
      </w:r>
      <w:r>
        <w:fldChar w:fldCharType="end"/>
      </w:r>
      <w:r>
        <w:t>. Kar zadeva institucije, ki uporabljajo poenostavljen pristop, ta predloga vsebuje skupno dodatno prilagoditev vrednosti, ki jo je treba odšteti od kapitala v skladu s členoma 34 in 105 Uredbe (EU) št. 575/2013, kot je določeno v členu 5 Delegirane uredbe (EU) 2016/101, ki se ustrezno poroča v vrstici 0290 predloge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rsidRPr="002B64C5">
        <w:rPr>
          <w:u w:val="none"/>
        </w:rPr>
        <w:tab/>
      </w:r>
      <w:r>
        <w:rPr>
          <w:rFonts w:ascii="Times New Roman" w:hAnsi="Times New Roman"/>
          <w:sz w:val="24"/>
        </w:rPr>
        <w:t>Navodila za posamezne pozicije</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Stolpci</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Absolutna vrednost sredstev in obveznosti, merjenih po pošteni vrednosti, kot je navedena v računovodskih izkazih, pripravljenih v skladu z veljavnim računovodskim okvirom, kot je določeno v členu 4(1) Delegirane uredbe (EU) 2016/101, pred kakršno koli izključitvijo v skladu s členom 4(2) Delegirane uredbe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 xml:space="preserve">Absolutna vrednost sredstev in obveznosti po pošteni vrednosti, kot je poročana v stolpcu 010, ki ustreza pozicijam v trgovalni knjigi.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IZKLJUČENA ZARADI DELNEGA VPLIVA NA NAVADNI LASTNIŠKI TEMELJNI KAPITAL</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izključenih v skladu s členom 4(2) Delegirane uredbe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Popolnoma ujemajoča</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Nasprotna sredstva in obveznosti po pošteni vrednosti, ki se popolnoma ujemajo, izključena v skladu s členom 4(2) Delegirane uredbe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Obračunavanje varovanja pred tveganjem</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Za pozicije, za katere se izvaja obračunavanje varovanja pred tveganjem v skladu z veljavnim računovodskim okvirom, absolutna vrednost sredstev in obveznosti po pošteni vrednosti, izključenih v deležu, v katerem zadevne spremembe vrednosti vplivajo na navaden lastniški temeljni kapital v skladu s členom 4(2) Delegirane uredbe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izključenih v skladu s členom 4(2) Delegirane uredbe (EU) 2016/101 zaradi prehodne uporabe bonitetnih filtrov iz členov 467 in 468 Uredbe (EU) št.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Drugo</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Vse druge pozicije, izključene v skladu s členom 4(2) Delegirane uredbe (EU) 2016/101, ker prilagoditve njihove računovodske vrednosti samo sorazmerno vplivajo na navadni lastniški temeljni kapital.</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Ta stolpec se izpolni samo v redkih primerih, kadar se elementi, izključeni v skladu s členom 4(2) Delegirane uredbe (EU) 2016/101, ne morejo dodeliti v stolpec 0030, 0040 ali 0050 te predloge.</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Opomba k „drugo“</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Navedejo se glavni razlogi, zaradi katerih so bile pozicije, poročane v stolpcu 0060, izključene.</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vključena v prag iz člena 4(1)</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dejansko vključenih v izračun praga v skladu s členom 4(1) Delegirane uredbe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Absolutna vrednost sredstev in obveznosti po pošteni vrednosti, kot je poročana v stolpcu 0080, ki ustreza pozicijam v trgovalni knjigi.</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Vrstice</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Opredelitve teh kategorij se morajo ujemati s tistimi iz ustreznih vrstic predlog FINREP 1.1 in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SREDSTVA IN OBVEZNOSTI PO POŠTENI VREDNOSTI SKUPAJ</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Vsota sredstev in obveznosti po pošteni vrednosti iz vrstic 0020 do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SREDSTVA PO POŠTENI VREDNOSTI SKUPAJ</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Vsota sredstev po pošteni vrednosti iz vrstic 0030 do 0140.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Zadevne celice vrstic 0030 do 0130 se poročajo v skladu s predlogo FINREP F 01.01 prilog III in IV k tej izvedbeni uredbi, odvisno od standardov, ki veljajo za institucijo:</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MSRP, kot jih je potrdila Komisija z uporabo Uredbe (ES) št. 1606/2002 Evropskega parlamenta in Sveta („MSRP EU“)</w:t>
            </w:r>
            <w:r>
              <w:rPr>
                <w:rStyle w:val="FootnoteReference"/>
                <w:rFonts w:ascii="Times New Roman" w:hAnsi="Times New Roman"/>
                <w:szCs w:val="20"/>
                <w:vertAlign w:val="superscript"/>
              </w:rPr>
              <w:footnoteReference w:id="2"/>
            </w:r>
            <w:r>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nacionalni računovodski standardi, združljivi z MSRP EU („z MSRP združljivi nacionalni GAAP“), ali</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nacionalni GAAP na podlagi Direktive Sveta 86/635/EGS (FINREP „Nacionalni GAAP na podlagi Direktive Sveta 86/635/EGS“).</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FINANČNA SREDSTVA V POSESTI ZA TRGOVANJE</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MSRP 9, Priloga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0050 predloge F 01.01. prilog III in IV k tej izvedbeni uredbi.</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TRGOVALNA FINANČNA SREDSTVA</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Člena 32 in 33 Direktive Sveta 86/635/EGS; del 1.17 Priloge V k tej izvedbeni uredbi.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sredstvom, merjenim po pošteni vrednosti, ki so vključena v vrednost, poročano v vrstici 0091 predloge F 01.01. prilog III in IV k tej izvedbeni uredbi.</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NETRGOVALNA FINANČNA SREDSTVA, OBVEZNO MERJENA PO POŠTENI VREDNOSTI PREK POSLOVNEGA IZIDA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MSRP 7, 8.(a)(ii) člen; MSRP 9, 4.1.4. člen.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0096 predloge F 01.01. prilog III in IV k tej izvedbeni uredbi.</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FINANČNA SREDSTVA, DOLOČENA ZA MERJENJE PO POŠTENI VREDNOSTI PREK POSLOVNEGA IZIDA</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MSRP 7, 8.(a)(i) člen; MSRP 9, 4.1.5. člen; Člen 8(1), točka (a), in člen 8(6) Direktive 2013/34/EU.</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0100 predloge F 01.01. prilog III in IV k tej izvedbeni uredbi.</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FINANČNA SREDSTVA, MERJENA PO POŠTENI VREDNOSTI PREK DRUGEGA VSEOBSEGAJOČEGA DONOSA</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MSRP 7, 8.(h) člen; MSRP 9, 4.1.2.A člen.</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0141 predloge F 01.01. prilog III in IV k tej izvedbeni uredbi.</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NETRGOVALNA NEIZVEDENA FINANČNA SREDSTVA, MERJENA PO POŠTENI VREDNOSTI PREK POSLOVNEGA IZIDA</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Člen 36(2) Direktive 86/635/EGS. Informacije, poročane v tej vrstici, ustrezajo vrstici 0171 predloge F 01.01. prilog III in IV k tej izvedbeni uredbi.</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NETRGOVALNA NEIZVEDENA FINANČNA SREDSTVA, MERJENA PO POŠTENI VREDNOSTI PREK LASTNIŠKEGA KAPITALA</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Člen 8(1), točka (a), in člen 8(8) Direktive 2013/34/EU.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0175 predloge F 01.01. prilog III in IV k tej izvedbeni uredbi.</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DRUGA NETRGOVALNA NEIZVEDENA FINANČNA SREDSTVA</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37 Direktive Sveta 86/635/EGS; člen 12(7) Direktive 2013/34/EU; del 1.20 Priloge V k tej izvedbeni uredbi.</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sredstvom, merjenim po pošteni vrednosti, ki so vključena v vrednost, poročano v vrstici 0234 predloge F 01.01. prilog III in IV k tej izvedbeni uredbi.</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IZVEDENI FINANČNI INSTRUMENTI – OBRAČUNAVANJE VAROVANJA PRED TVEGANJEM</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MSRP 9, 6.2.1. člen; del 1.22 Priloge V k tej izvedbeni uredbi. člen 8(1), točka (a), in člen 8, odstavka 6 in 8, Direktive 2013/34/EU; MRS 39, 9. člen.</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0240 predloge F 01.01. prilog III in IV k tej izvedbeni uredbi.</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SPREMEMBE POŠTENE VREDNOSTI SKUPINE VAROVANIH POSTAVK PRED OBRESTNIM TVEGANJEM</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MRS 39, 89.A(a) člen; MSRP 9, 6.5.8. člen; Člen 8, odstavka 5 in 6, Direktive 2013/34/EU Evropskega parlamenta in Sveta</w:t>
            </w:r>
            <w:r>
              <w:rPr>
                <w:vertAlign w:val="superscript"/>
              </w:rPr>
              <w:footnoteReference w:id="3"/>
            </w:r>
            <w:r>
              <w:rPr>
                <w:rFonts w:ascii="Times New Roman" w:hAnsi="Times New Roman"/>
                <w:sz w:val="24"/>
              </w:rPr>
              <w:t>. Informacije, poročane v tej vrstici, ustrezajo vrstici 0250 predloge F 01.01. prilog III in IV k tej izvedbeni uredbi.</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NALOŽBE V KAPITAL PODREJENIH, PRIDRUŽENIH IN SKUPAJ OBVLADOVANIH DRUŽB</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MRS 1, 54.(e) člen; dela 1.21 in 2.4 Priloge V k tej izvedbeni uredbi; člen 4, točki 7 in 8, Direktive Sveta 86/635/EGS; člen 2(2) Direktive 2013/34/EU.</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0260 predloge F 01.01. prilog III in IV k tej izvedbeni uredbi.</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ODBITKI ZA TRGOVALNA SREDSTVA PO POŠTENI VREDNOSTI</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 1.29 Priloge V k tej izvedbeni uredbi.</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0375 predloge F 01.01. prilog III in IV k tej izvedbeni uredbi.</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DRUGA SREDSTVA</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Sredstva iz Priloge V, del 2, odstavka 5 in 6, k tej izvedbeni uredbi, kolikor so vrednotena po pošteni vrednosti.</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NEKRATKOROČNA SREDSTVA IN SKUPINE ZA ODTUJITEV, RAZVRŠČENE KOT V POSESTI ZA PRODAJO</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Sredstva iz Priloge V, del 2, odstavek 7, k tej izvedbeni uredbi, kolikor so vrednotena po pošteni vrednosti.</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OBVEZNOSTI PO POŠTENI VREDNOSTI SKUPAJ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Vsota obveznosti po pošteni vrednosti iz vrstic 0160 do 0210.</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Zadevne celice vrstic 0150 do 0190 se poročajo v skladu s predlogo FINREP F 01.02 prilog III in IV k tej izvedbeni uredbi, odvisno od standardov, ki veljajo za institucijo: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MSRP, kot jih je potrdila Komisija z uporabo Uredbe (ES) št. 1606/2002 („MSRP EU“),</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nacionalni računovodski standardi, združljivi z MSRP EU („z MSRP združljivi nacionalni GAAP“),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lastRenderedPageBreak/>
              <w:t>ali nacionalni GAAP na podlagi Direktive Sveta 86/635/EGS (FINREP „Nacionalni GAAP na podlagi Direktive Sveta 86/635/EGS“).</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FINANČNE OBVEZNOSTI V POSESTI ZA TRGOVANJE</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MSRP 7, 8.(e)(ii) člen; MSRP 9, BA6. člen.</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0010 predloge F 01.02. prilog III in IV k tej izvedbeni uredbi.</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TRGOVALNE FINANČNE OBVEZNOSTI</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8(1), točka (a), in člen 8, odstavka 3 in 6, Direktive 2013/34/EU.</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0061 predloge F 01.02. prilog III in IV k tej izvedbeni uredbi.</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FINANČNE OBVEZNOSTI, DOLOČENE ZA MERJENJE PO POŠTENI VREDNOSTI PREK POSLOVNEGA IZIDA</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MSRP 7, 8.(e)(i) člen; MSRP 9, 4.2.2. člen; člen 8(1), točka (a), in člen 8(6) Direktive 2013/34/EU. MRS 39, 9. člen.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0070 predloge F 01.02. prilog III in IV k tej izvedbeni uredbi.</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IZVEDENI FINANČNI INSTRUMENTI – OBRAČUNAVANJE VAROVANJA PRED TVEGANJEM</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MSRP 9, 6.2.1. člen; del 1.26 Priloge V k tej izvedbeni uredbi. člen 8(1), točka (a), (6) in (8), točka (a), Direktive 2013/34/EU.</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Informacije, poročane v tej vrstici, ustrezajo vrstici 0150 predloge F 01.02. prilog III in IV k tej izvedbeni uredbi.</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SPREMEMBE POŠTENE VREDNOSTI SKUPINE VAROVANIH POSTAVK PRED OBRESTNIM TVEGANJEM</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MRS 39, 89.A(b) člen; MSRP 9, 6.5.8. člen; člen 8, odstavka 5 in 6, Direktive 2013/34/EU; del 2.8 Priloge V k tej izvedbeni uredbi.</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0160 predloge F 01.02. prilog III in IV k tej izvedbeni uredbi.</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ODBITKI ZA TRGOVALNE OBVEZNOSTI PO POŠTENI VREDNOSTI</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 1.29 Priloge V k tej izvedbeni uredbi.</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Informacije, poročane v tej vrstici, ustrezajo vrstici 0295 predloge F 01.02. prilog III in IV k tej izvedbeni uredbi.</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DRUGE OBVEZNOSTI</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Obveznosti iz Priloge V, del 2, odstavek 13, k tej izvedbeni uredbi, kolikor so vrednotene po pošteni vrednosti.</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OBVEZNOSTI, VKLJUČENE V SKUPINE ZA ODTUJITEV, RAZVRŠČENE KOT V POSESTI ZA PRODAJO</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Obveznosti iz Priloge V, del 2, odstavek 14, k tej izvedbeni uredbi, kolikor so vrednotene po pošteni vrednosti.</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rsidRPr="002B64C5">
        <w:rPr>
          <w:u w:val="none"/>
        </w:rPr>
        <w:tab/>
      </w:r>
      <w:r>
        <w:rPr>
          <w:rFonts w:ascii="Times New Roman" w:hAnsi="Times New Roman"/>
          <w:sz w:val="24"/>
        </w:rPr>
        <w:t>C 32.02 – Preudarno vrednotenje: Temeljni pristop (</w:t>
      </w:r>
      <w:proofErr w:type="spellStart"/>
      <w:r>
        <w:rPr>
          <w:rFonts w:ascii="Times New Roman" w:hAnsi="Times New Roman"/>
          <w:sz w:val="24"/>
        </w:rPr>
        <w:t>PruVal</w:t>
      </w:r>
      <w:proofErr w:type="spellEnd"/>
      <w:r>
        <w:rPr>
          <w:rFonts w:ascii="Times New Roman" w:hAnsi="Times New Roman"/>
          <w:sz w:val="24"/>
        </w:rPr>
        <w:t xml:space="preserve">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rsidRPr="002B64C5">
        <w:rPr>
          <w:u w:val="none"/>
        </w:rPr>
        <w:tab/>
      </w:r>
      <w:r>
        <w:rPr>
          <w:rFonts w:ascii="Times New Roman" w:hAnsi="Times New Roman"/>
          <w:sz w:val="24"/>
        </w:rPr>
        <w:t>Splošne opombe</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178</w:t>
      </w:r>
      <w:r>
        <w:fldChar w:fldCharType="end"/>
      </w:r>
      <w:r>
        <w:t>. Namen te predloge je zagotoviti informacije o sestavi skupne dodatne prilagoditve vrednosti, ki jo je treba odšteti od kapitala v skladu s členoma 34 in 105 Uredbe (EU) št. 575/2013, skupaj z relevantnimi informacijami o računovodski vrednosti pozicij, na podlagi katere se določijo dodatne prilagoditve vrednosti.</w:t>
      </w:r>
    </w:p>
    <w:p w14:paraId="6CF38957"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179</w:t>
      </w:r>
      <w:r>
        <w:fldChar w:fldCharType="end"/>
      </w:r>
      <w:r>
        <w:t xml:space="preserve">. To predlogo izpolnijo vse institucije, ki: </w:t>
      </w:r>
    </w:p>
    <w:p w14:paraId="55E8BBED" w14:textId="77777777" w:rsidR="001332E7" w:rsidRPr="002A677E" w:rsidRDefault="001332E7" w:rsidP="001332E7">
      <w:pPr>
        <w:pStyle w:val="InstructionsText2"/>
        <w:numPr>
          <w:ilvl w:val="0"/>
          <w:numId w:val="0"/>
        </w:numPr>
        <w:ind w:left="1353" w:hanging="360"/>
      </w:pPr>
      <w:r>
        <w:t>(a) morajo uporabljati temeljni pristop, ker presegajo prag iz člena 4(1) Delegirane uredbe (EU) 2016/101 na posamični ali konsolidirani podlagi, kot je določeno v členu 4(3) navedene uredbe, ali</w:t>
      </w:r>
    </w:p>
    <w:p w14:paraId="5C7E4D89" w14:textId="77777777" w:rsidR="001332E7" w:rsidRPr="002A677E" w:rsidRDefault="001332E7" w:rsidP="001332E7">
      <w:pPr>
        <w:pStyle w:val="InstructionsText2"/>
        <w:numPr>
          <w:ilvl w:val="0"/>
          <w:numId w:val="0"/>
        </w:numPr>
        <w:ind w:left="1353" w:hanging="360"/>
      </w:pPr>
      <w:r>
        <w:t xml:space="preserve">(b) so se odločile uporabljati temeljni pristop kljub temu, da niso presegle praga. </w:t>
      </w:r>
    </w:p>
    <w:p w14:paraId="747163D2"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180</w:t>
      </w:r>
      <w:r>
        <w:fldChar w:fldCharType="end"/>
      </w:r>
      <w:r>
        <w:t>. Za namene te predloge „visoka negotovost“ pomeni naslednje: kot je določeno v členu 8(2) Delegirane uredbe (EU) 2016/101, se dodatne prilagoditve vrednosti izračunajo kot razlika med pošteno vrednostjo in preudarnim vrednotenjem, ki je določeno na podlagi 90-odstotne gotovosti, da lahko institucija izstopi iz izpostavljenosti na dani ali boljši točki v hipotetičnem razponu verjetnih vrednosti. Zgornja vrednost ali „visoka negotovost“ je nasprotna točka v porazdelitvi verjetnih vrednosti, na kateri je institucija samo 10-odstotno gotova, da lahko izstopi iz pozicije na tej ali boljši točki. Visoka negotovost se izračuna in združi na isti podlagi kot skupna dodatna prilagoditev vrednosti, pri čemer se z 10-odstotno stopnjo gotovosti nadomesti 90-odstotna, ki se uporablja za skupno dodatno prilagoditev vrednosti.</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sidRPr="002B64C5">
        <w:rPr>
          <w:u w:val="none"/>
        </w:rPr>
        <w:tab/>
      </w:r>
      <w:r>
        <w:rPr>
          <w:rFonts w:ascii="Times New Roman" w:hAnsi="Times New Roman"/>
          <w:sz w:val="24"/>
          <w:u w:val="none"/>
        </w:rPr>
        <w:t>Navodila za posamezne pozicije</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Stolpci</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NA RAVNI KATEGORIJE</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Dodatne prilagoditve vrednosti na ravni kategorije za nestabilnost tržnih cen, stroške zapiranja pozicij, tveganje, povezano z uporabo modela, koncentracije pozicij, prihodnje administrativne stroške, predčasno zapiranje pozicij in operativno </w:t>
            </w:r>
            <w:r>
              <w:rPr>
                <w:rFonts w:ascii="Times New Roman" w:hAnsi="Times New Roman"/>
                <w:sz w:val="24"/>
              </w:rPr>
              <w:lastRenderedPageBreak/>
              <w:t>tveganje se izračunajo, kot je opisano v členih 9, 10, 11 oziroma 14 do 17 Delegirane uredbe (EU) 2016/101.</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Za kategorije „nestabilnost tržnih cen“, „stroški zapiranja pozicij“ in „tveganje, povezano z uporabo modela“, pri katerih se upoštevajo koristi zaradi razpršitve, kot je določeno v členu 9(6), 10(7) oziroma 11(7) Delegirane uredbe (EU) 2016/101, se dodatne prilagoditve vrednosti na ravni kategorije, razen če je navedeno drugače, poročajo kot enostavna vsota posameznih dodatnih prilagoditev vrednosti pred koristijo zaradi razpršitve [ker se koristi zaradi razpršitve, izračunane z metodo 1 ali metodo 2 iz Priloge k Delegirani uredbi (EU) 2016/101, poročajo v postavkah 1.1.2, 1.1.2.1 in 1.1.2.2 predloge].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Za kategorije „nestabilnost tržnih cen“, „stroški zapiranja pozicij“ in „tveganje, povezano z uporabo modela“, se zneski, izračunani z uporabo pristopa na podlagi strokovnega mnenja iz členov 9(5), točka (b), 10(6), točka (b), in 11(4) Delegirane uredbe (EU) 2016/101, poročajo ločeno v stolpcih 0020, 0040 in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NESTABILNOST TRŽNIH CEN</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Člen 105(10) Uredbe (EU) št.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 Delegirane uredbe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9(5), točka (b), Delegirane uredbe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Člen 105(10) Uredbe (EU) št.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stroške zapiranja pozicij, izračunane v skladu s členom 10 Delegirane uredbe (EU)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Dodatne prilagoditve vrednosti za stroške zapiranja pozicij, izračunane v skladu s členom 10(6), točka (b), Delegirane uredbe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105(10) Uredbe (EU) št.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tveganje, povezano z uporabo modela, izračunane v skladu s členom 11 Delegirane uredbe (EU)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Dodatne prilagoditve vrednosti za tveganje, povezano z uporabo modela, izračunane v skladu s členom 11(4) Delegirane uredbe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105(11) Uredbe (EU) št.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koncentracije pozicij, izračunane v skladu s členom 14 Delegirane uredbe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105(10) Uredbe (EU) št.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prihodnje administrativne stroške, izračunane v skladu s členom 15 Delegirane uredbe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105(10) Uredbe (EU) št.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predčasno zapiranje pozicij, izračunane v skladu s členom 16 Delegirane uredbe (EU)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105(10) Uredbe (EU) št.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operativno tveganje, izračunane v skladu s členom 17 Delegirane uredbe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SKUPNA DODATNA PRILAGODITEV VREDNOSTI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Vrstica 0010: </w:t>
            </w:r>
            <w:r>
              <w:rPr>
                <w:rFonts w:ascii="Times New Roman" w:hAnsi="Times New Roman"/>
                <w:sz w:val="24"/>
              </w:rPr>
              <w:t>skupna dodatna prilagoditev vrednosti, ki se odbije od kapitala v skladu s členoma 34 in 105 Uredbe (EU) št. 575/2013 ter ustrezno poroča v vrstici 0290 predloge C 01.00.</w:t>
            </w:r>
            <w:r>
              <w:rPr>
                <w:rStyle w:val="InstructionsTabelleberschrift"/>
                <w:rFonts w:ascii="Times New Roman" w:hAnsi="Times New Roman"/>
                <w:b w:val="0"/>
                <w:sz w:val="24"/>
                <w:u w:val="none"/>
              </w:rPr>
              <w:t xml:space="preserve"> Skupna dodatna prilagoditev vrednosti je vsota vrstic 0030 in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Vrstica 0020: delež skupne dodatne prilagoditve vrednosti, poročane v vrstici 0010, ki izhaja iz pozicij v trgovalni knjigi (absolutna vrednost).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Vrstice 0030 do 0160: vsota stolpcev 0010, 0030, 0050 in 0070 do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Vrstice 0180 do 0210: skupna dodatna prilagoditev vrednosti, ki izhaja iz portfeljev po nadomestnem pristopu.</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VISOKA NEGOTOVOST</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8(2)</w:t>
            </w:r>
            <w:r>
              <w:rPr>
                <w:rFonts w:ascii="Times New Roman" w:hAnsi="Times New Roman"/>
                <w:sz w:val="24"/>
              </w:rPr>
              <w:t xml:space="preserve"> Delegirane uredbe (EU) 2016/101.</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Visoka negotovost se izračuna in združi na isti podlagi kot skupna dodatna prilagoditev vrednosti, izračunana v stolpcu 0110, pri čemer se z 10-odstotno stopnjo gotovosti nadomesti 90-odstotna, ki se uporablja za skupno dodatno prilagoditev vrednosti.</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Absolutna vrednost sredstev in obveznosti po pošteni vrednosti, ki ustreza zneskom dodatne prilagoditve vrednosti, poročanim v vrsticah 0010 do 0130 in vrstici 0180. Za nekatere vrstice, zlasti vrstice 0090 do 0130, je za te zneske treba uporabiti približek ali jih razporediti na podlagi strokovne presoje.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Vrstica 0010: skupna absolutna vrednost sredstev in obveznosti po pošteni vrednosti, vključenih v izračun praga iz člena 4(1)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Vrstica 0010 je vsota vrstice 0030 in vrstice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0020: delež skupne absolutne vrednosti sredstev in obveznosti po pošteni vrednosti, poročane v vrstici 0010, ki izhaja iz pozicij v trgovalni knjigi (absolutna vrednost).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Vrstica 0030: absolutna vrednost sredstev in obveznosti po pošteni vrednosti, ki ustrezajo portfeljem iz členov 9 do 17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Vrstica 0030 je vsota vrstic 0090 do 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0050: absolutna vrednost sredstev in obveznosti po pošteni vrednosti, vključena v obseg izračuna dodatne prilagoditve vrednosti za nerealizirane kreditne razmike.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0060: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0070: absolutna vrednost sredstev in obveznosti po pošteni vrednosti, ki ustrezajo izpostavljenostim vrednotenja, pri katerih je ocenjena dodatna prilagoditev vrednosti nič, iz člena 9(2) Delegirane uredbe (EU) 2016/101.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0080: absolutna vrednost sredstev in obveznosti po pošteni vrednosti, ki ustrezajo izpostavljenostim vrednotenja, pri katerih je ocenjena dodatna prilagoditev vrednosti nič, iz člena 10, odstavka 2 in 3, Delegirane uredbe (EU) 2016/101.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Vrstice 0090 do 0130: absolutna vrednost sredstev in obveznosti po pošteni vrednosti, razporejenih, kot je določeno spodaj (glej navodila za ustrezne vrstice), v skladu z naslednjimi kategorijami tveganja: obrestno tveganje, valutno tveganje, kreditno tveganje, tveganje lastniških finančnih instrumentov in blagovno tveganje. </w:t>
            </w:r>
            <w:r>
              <w:rPr>
                <w:rFonts w:ascii="Times New Roman" w:hAnsi="Times New Roman"/>
                <w:sz w:val="24"/>
              </w:rPr>
              <w:lastRenderedPageBreak/>
              <w:t>To vključuje absolutno vrednost sredstev in obveznosti po pošteni vrednosti, za katere ocenjene dodatne prilagoditve vrednosti znašajo nič v skladu s členom 9(2), 10(2) ali 10(3) Delegirane uredbe (EU) 2016/101, ki se tudi ločeno poročajo v vrsticah 0070 in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0180: absolutna vrednost sredstev in obveznosti po pošteni vrednosti, ki ustrezajo portfeljem v skladu z nadomestnim pristopom.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w:t>
            </w:r>
            <w:r>
              <w:rPr>
                <w:rStyle w:val="InstructionsTabelleberschrift"/>
                <w:rFonts w:ascii="Times New Roman" w:hAnsi="Times New Roman"/>
                <w:b w:val="0"/>
                <w:sz w:val="24"/>
                <w:u w:val="none"/>
              </w:rPr>
              <w:t>sredstev po pošteni vrednosti, ki ustreza različnim vrsticam, kot je obrazloženo v navodilih za stolpca 0130–0140 zgoraj.</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w:t>
            </w:r>
            <w:r>
              <w:rPr>
                <w:rStyle w:val="InstructionsTabelleberschrift"/>
                <w:rFonts w:ascii="Times New Roman" w:hAnsi="Times New Roman"/>
                <w:b w:val="0"/>
                <w:sz w:val="24"/>
                <w:u w:val="none"/>
              </w:rPr>
              <w:t>obveznosti po pošteni vrednosti, ki ustreza različnim vrsticam, kot je obrazloženo v navodilih za stolpca 0130–0140 zgoraj.</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PRIHODKI V ČDP</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Prihodki v četrtletju do datuma poročanja („prihodki v ČDP“) od zadnjega datuma poročanja, pripisani sredstvom in obveznostim po pošteni vrednosti, </w:t>
            </w:r>
            <w:r>
              <w:rPr>
                <w:rStyle w:val="InstructionsTabelleberschrift"/>
                <w:rFonts w:ascii="Times New Roman" w:hAnsi="Times New Roman"/>
                <w:b w:val="0"/>
                <w:sz w:val="24"/>
                <w:u w:val="none"/>
              </w:rPr>
              <w:t>ki ustrezajo različnim vrsticam, kot je obrazloženo v navodilih za stolpca 0130–0140 zgoraj, razporejeni ali približno ocenjeni na podlagi strokovnega mnenja, kjer je relevantno</w:t>
            </w:r>
            <w:r>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Vsota po vseh pozicijah in faktorjih tveganja zneskov neprilagojenih razlik („razlika na podlagi NPC“), izračunana konec meseca, ki je najbližje datumu poročanja, v skladu s postopkom neodvisnega pregleda cen (NPC), izvedenim v skladu s členom 105(8) </w:t>
            </w:r>
            <w:r>
              <w:rPr>
                <w:rFonts w:ascii="Times New Roman" w:hAnsi="Times New Roman"/>
                <w:sz w:val="24"/>
              </w:rPr>
              <w:t>Uredbe (EU) št. 575/2013</w:t>
            </w:r>
            <w:r>
              <w:rPr>
                <w:rStyle w:val="InstructionsTabelleberschrift"/>
                <w:rFonts w:ascii="Times New Roman" w:hAnsi="Times New Roman"/>
                <w:b w:val="0"/>
                <w:sz w:val="24"/>
                <w:u w:val="none"/>
              </w:rPr>
              <w:t xml:space="preserve">, glede na najboljše razpoložljive neodvisne podatke za relevantno pozicijo ali faktor tveganja.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Zneski neprilagojenih razlik se nanašajo na neprilagojene razlike med vrednotenji, ki jih ustvari sistem trgovanja, in vrednotenji, določenimi med mesečnim postopkom NPC.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Prilagoditve, včasih omenjene tudi kot „rezerve“, potencialno uporabljene pri računovodski pošteni vrednosti institucije, ki se izvedejo zunaj modela vrednotenja, uporabljenega za ustvarjanje knjigovodskih vrednosti (brez odložitve dobičkov in izgub na prvi dan), in za katere se lahko določi, da obravnavajo isti vir negotovosti pri vrednotenju kot zadevna dodatna prilagoditev vrednosti. Odražale bi lahko faktorje tveganja, ki niso zajeti v tehniki vrednotenja, ki so v obliki premije za tveganje ali izstopnega stroška in so skladni z opredelitvijo poštene vrednosti. Kljub temu jih udeleženci na trgu upoštevajo pri določanju cene. (MSRP 13, 9. in 88. člen)</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NESTABILNOST TRŽNIH CEN</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Prilagoditev, uporabljena pri pošteni vrednosti institucije, s katero se odraža premija za tveganje, ki izhaja iz obstoja nabora opazovanih cen za enakovredne instrumente, ali, v zvezi vhodnim tržnim parametrom za model vrednotenja, instrumentov, na podlagi katerih je bil umerjen ta vhodni parameter, in za katero se lahko tako določi, da obravnava isti vir negotovosti pri vrednotenju kot dodatna prilagoditev vrednosti za nestabilnost tržnih cen.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Prilagoditev, uporabljena pri pošteni vrednosti institucije, s katero se prilagodi za dejstvo, da vrednotenja na ravni pozicij ne odražajo izstopne cene za pozicijo ali portfelj, zlasti kadar so taka vrednotenja umerjena na srednjo tržno ceno, in za katero se lahko tako določi, da obravnava isti vir negotovosti pri vrednotenju kot </w:t>
            </w:r>
            <w:r>
              <w:rPr>
                <w:rFonts w:ascii="Times New Roman" w:hAnsi="Times New Roman"/>
                <w:sz w:val="24"/>
              </w:rPr>
              <w:t>dodatna prilagoditev vrednosti za stroške zapiranja pozicij</w:t>
            </w:r>
            <w:r>
              <w:rPr>
                <w:rStyle w:val="InstructionsTabelleberschrift"/>
                <w:rFonts w:ascii="Times New Roman" w:hAnsi="Times New Roman"/>
                <w:b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Prilagoditev, uporabljena pri pošteni vrednosti institucije, s katero se odražajo tržni dejavniki ali dejavniki, povezani s produktom, ki niso zajeti z modelom, uporabljenim za izračunavanje dnevnih vrednosti in tveganj pozicij („model vrednotenja“), ali ustrezna raven preudarnosti glede negotovosti, ki izhaja iz obstoja nabora alternativnih veljavnih modelov in umeritev modelov, in za katero se lahko tako določi, da obravnava isti vir negotovosti pri vrednotenju kot </w:t>
            </w:r>
            <w:r>
              <w:rPr>
                <w:rFonts w:ascii="Times New Roman" w:hAnsi="Times New Roman"/>
                <w:sz w:val="24"/>
              </w:rPr>
              <w:t>dodatna prilagoditev vrednosti za tveganje, povezano z uporabo modela</w:t>
            </w:r>
            <w:r>
              <w:rPr>
                <w:rStyle w:val="InstructionsTabelleberschrift"/>
                <w:rFonts w:ascii="Times New Roman" w:hAnsi="Times New Roman"/>
                <w:b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Prilagoditev, uporabljena pri pošteni vrednosti institucije, s katero se odraža dejstvo, da je združena pozicija institucije večja od običajne trgovane količine ali večja od velikosti pozicij, na katerih temeljijo kotacije ali posli, ki jih je mogoče opazovati, uporabljeni za umeritev cene ali vhodnih podatkov, uporabljenih v modelu vrednotenja, in za katero se lahko tako določi, da obravnava isti vir</w:t>
            </w:r>
            <w:r>
              <w:rPr>
                <w:rFonts w:ascii="Times New Roman" w:hAnsi="Times New Roman"/>
                <w:sz w:val="24"/>
              </w:rPr>
              <w:t xml:space="preserve"> negotovosti pri vrednotenju kot dodatna prilagoditev vrednosti za koncentracije pozicij</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RAZMIKI</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Prilagoditev, uporabljena pri pošteni vrednosti institucije, s katero se pokrijejo pričakovane izgube zaradi neplačila nasprotne stranke pri pozicijah v izvedenih finančnih instrumentih (tj. skupna prilagoditev kreditnega vrednotenja (CVA) na ravni institucije).</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INVESTIRANJA IN FINANCIRANJA</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Prilagoditev, uporabljena pri pošteni vrednosti institucije, s katero se kompenzira v primerih, v katerih modeli vrednotenja ne odražajo v celoti stroškov financiranja, ki bi jih udeleženci na trgu upoštevali pri izstopni ceni za pozicijo ali portfelj (tj. skupna prilagoditev vrednotenja financiranja na ravni institucije, kadar institucija izračuna tako prilagoditev, ali, alternativno, enakovredna prilagoditev).</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Prilagoditev, uporabljena pri pošteni vrednosti institucije, s katero se odražajo administrativni stroški, nastali pri portfelju ali poziciji, ki niso upoštevani v modelu vrednotenja ali v cenah, uporabljenih za umeritev vhodnih podatkov za ta model, in za katero se lahko tako določi, da obravnava isti vir negotovosti pri vrednotenju kot dodatna prilagoditev vrednosti za prihodnje administrativne stroške.</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Prilagoditve, uporabljene pri pošteni vrednosti institucije, s katerimi se odražajo pogodbena ali </w:t>
            </w:r>
            <w:proofErr w:type="spellStart"/>
            <w:r>
              <w:rPr>
                <w:rStyle w:val="InstructionsTabelleberschrift"/>
                <w:rFonts w:ascii="Times New Roman" w:hAnsi="Times New Roman"/>
                <w:b w:val="0"/>
                <w:sz w:val="24"/>
                <w:u w:val="none"/>
              </w:rPr>
              <w:t>nepogodbena</w:t>
            </w:r>
            <w:proofErr w:type="spellEnd"/>
            <w:r>
              <w:rPr>
                <w:rStyle w:val="InstructionsTabelleberschrift"/>
                <w:rFonts w:ascii="Times New Roman" w:hAnsi="Times New Roman"/>
                <w:b w:val="0"/>
                <w:sz w:val="24"/>
                <w:u w:val="none"/>
              </w:rPr>
              <w:t xml:space="preserve"> pričakovanja glede predčasnega zapiranja pozicij, ki niso upoštevana v modelu vrednotenja, in za katere se lahko tako določi, da obravnavajo isti vir negotovosti pri vrednotenju kot dodatna prilagoditev vrednosti za predčasno zapiranje pozicij.</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Prilagoditve, uporabljene pri pošteni vrednosti institucije, s katerimi se odraža premija za tveganje, ki bi jo udeleženci na trgu zaračunali kot nadomestilo za operativna tveganja, ki izhajajo iz varovanja pred tveganjem, upravljanja in poravnave pogodb v portfelju, in za katere se lahko tako določi, da obravnavajo isti vir negotovosti pri vrednotenju kot dodatna prilagoditev vrednosti za operativno tveganje.</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Prilagoditve, ki odražajo primere, v katerih se v modelu vrednotenja skupaj z vsemi drugimi relevantnimi prilagoditvami poštene vrednosti, ki se uporabljajo za pozicijo ali portfelj, ni upoštevala plačana ali prejeta cene na prvi dan pripoznanja, tj. odložitev dobičkov in izgub na prvi dan (MSRP 9, B5.1.2A člen).</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OPIS POJASNILA</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Opis pozicij, obravnavanih v skladu s členom 7(2), točka (b), Delegirane uredbe (EU) 2016/101, in razloga, zaradi katerega ni bilo mogoče uporabiti členov 9 do 17 navedene uredbe.</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28"/>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Vrstice</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TEMELJNI PRISTOP SKUPAJ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Delegirane uredbe Komisije (EU)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na podlagi temeljnega pristopa, kot je določen v poglavju 3 Delegirane uredbe (EU) 2016/101, za sredstva in obveznosti po pošteni vrednosti, vključene v izračun praga v skladu s členom 4(1) navedene uredbe. To vključuje koristi zaradi razpršitve, poročane v vrstici 0140 v skladu s členi 9(6), 10(7) in 11(7) Delegirane uredbe (EU)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TRGOVALNA KNJIGA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Delegirane uredbe Komisije (EU)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Za vsako relevantno kategorijo dodatnih prilagoditev vrednosti iz stolpcev 0010 do 0110 delež skupne dodatne prilagoditve vrednosti, poročane v vrstici 0010, ki izhaja iz pozicij v trgovalni knjigi (absolutna vrednost).</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PORTFELJI V SKLADU S ČLENI 9 DO 17 DELEGIRANE UREDBE KOMISIJE (EU) 2016/101 – SKUPAJ NA RAVNI KATEGORIJE PO RAZPRŠITVI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točka (a), Delegirane uredbe Komisije (EU)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v skladu s členi 9 do 17 Delegirane uredbe (EU) 2016/101, za sredstva in obveznosti po pošteni vrednosti, vključene v izračun praga v skladu s členom 4(1) navedene uredbe, razen sredstev in obveznosti po pošteni vrednosti, za katere se uporablja obravnava iz člena 7(2), točka (b), Delegirane uredbe (EU) 2016/101.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 vključuje koristi zaradi razpršitve, poročane v vrstici 0140 v skladu s členi 9(6), 10(7) in 11(7) Delegirane uredbe (EU) 2016/101.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Vrstica 0030 je razlika med vrsticama 0040 in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SKUPAJ NA RAVNI KATEGORIJE PRED RAZPRŠITVIJO</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Institucije za vrstice 0090 do 0130 razporedijo svoja sredstva in obveznosti po pošteni vrednosti, vključene v izračun praga v skladu s členom 4(1) Delegirane uredbe (EU) 2016/101 (trgovalna in netrgovalna knjiga), glede na naslednje kategorije tveganja: obrestno tveganje, valutno tveganje, kreditno tveganje, tveganje lastniških finančnih instrumentov in blagovno tveganje.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 ta namen se morajo institucije zanašati na svojo notranjo strukturo za upravljanje tveganj in po razvoju metode razporejanja na podlagi strokovnega presoje razporediti svoja poslovna področja ali trgovalne enote v najustreznejšo kategorijo tveganja. Dodatne prilagoditve vrednosti, prilagoditve poštene vrednosti in druge zahtevane informacije, ki ustrezajo razporejenim poslovnim področjem ali trgovalnim enotam, se razporedijo v isto relevantno kategorijo tveganja, da se na ravni vrstice za vsako kategorijo tveganja zagotovi dosleden pregled nad prilagoditvami, izvedenimi za tako za bonitetne kot računovodske namene, in podatek o velikosti zadevnih pozicij (v smislu sredstev in obveznosti po pošteni vrednosti). Če se dodatne prilagoditve vrednosti ali druge prilagoditve izračunajo na drugačni ravni združevanja, zlasti na ravni podjetja, institucije razvijejo metodologijo za razporeditev dodatnih prilagoditev vrednosti po </w:t>
            </w:r>
            <w:r>
              <w:rPr>
                <w:rFonts w:ascii="Times New Roman" w:hAnsi="Times New Roman"/>
                <w:sz w:val="24"/>
              </w:rPr>
              <w:lastRenderedPageBreak/>
              <w:t xml:space="preserve">relevantnih nizih pozicij. Metodologija za razporeditev povzroči, da je vrstica 0040 vsota vrstic 0050 do 0130 za stolpce 0010 do 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Ne glede na uporabljen pristop so poročane informacije kolikor je mogoče dosledne na ravni vrstice, ker se bodo zagotovljene informacije primerjale na tej ravni (zneski dodatnih prilagoditev vrednosti, visoka negotovost, zneski poštene vrednosti in morebitne prilagoditve poštene vrednosti).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Razčlenitev v vrsticah 0090 do 0130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Koristi zaradi razpršitve se poročajo v vrstici 0140 v skladu s členi 9(6), 10(7) in 11(7) Delegirane uredbe (EU) 2016/101 in so zato izključene iz vrstic 0040 do 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OD TEGA: DODATNA PRILAGODITEV VREDNOSTI ZA NEREALIZIRANE KREDITNE RAZMIKE</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105(10) Uredbe (EU) št. 575/2013 in člen 12 Delegirane uredbe (EU)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uporabo modela, v skladu s členom 12 Delegirane uredbe (EU)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vključitve – po upoštevanju koristi zaradi razpršitve – v relevantno dodatno prilagoditev vrednosti na ravni kategorije.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vrednosti, vključena v obseg izračuna dodatnih prilagoditev vrednosti za nerealizirane kreditne razmike.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DODATNA PRILAGODITEV VREDNOSTI ZA STROŠKE INVESTIRANJA IN FINANCIRANJA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Člen 105(10) Uredbe (EU) št. 575/2013 in člen 17 Delegirane uredbe (EU)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Skupna dodatna prilagoditev vrednosti za stroške investiranja in financiranja in njena razporeditev med dodatno prilagoditev vrednosti za nestabilnost tržnih cen, dodatno prilagoditev vrednosti za stroške zapiranja pozicij ali dodatno prilagoditev vrednosti za tveganje, povezano z uporabo modela, v skladu s členom 13 Delegirane uredbe (EU)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vključitve – po upoštevanju koristi zaradi razpršitve – v relevantno dodatno prilagoditev vrednosti na ravni kategorije.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OD TEGA: OCENJENA DODATNA PRILAGODITEV VREDNOSTI ENAKA NIČ NA PODLAGI ČLENA 9(2)</w:t>
            </w:r>
            <w:r>
              <w:rPr>
                <w:rFonts w:ascii="Times New Roman" w:hAnsi="Times New Roman"/>
                <w:b/>
                <w:caps/>
                <w:sz w:val="24"/>
              </w:rPr>
              <w:t xml:space="preserve"> Delegirane uredbe (EU)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Absolutna vrednost sredstev in obveznosti po pošteni vrednosti, ki ustrezajo izpostavljenostim vrednotenja, pri katerih je ocenjena dodatna prilagoditev vrednosti nič na podlagi člena 9(2) Delegirane uredbe (EU)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OD TEGA: OCENJENA DODATNA PRILAGODITEV VREDNOSTI ENAKA NIČ NA PODLAGI ČLENA 10, ODSTAVKA 2 IN 3,</w:t>
            </w:r>
            <w:r>
              <w:rPr>
                <w:rFonts w:ascii="Times New Roman" w:hAnsi="Times New Roman"/>
                <w:b/>
                <w:caps/>
                <w:sz w:val="24"/>
              </w:rPr>
              <w:t xml:space="preserve"> Delegirane uredbe (EU)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ki ustrezajo izpostavljenostim vrednotenja, pri katerih je ocenjena dodatna prilagoditev vrednosti nič v skladu s členom 10(2) ali 10(3) Delegirane uredbe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OBRESTNO TVEGANJE</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VALUTNO TVEGANJE</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KREDITNO TVEGANJE</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TVEGANJE V LASTNIŠKIH FINANČNIH INSTRUMENTIH</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BLAGOVNO TVEGANJE</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zaradi razpršitve</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Skupna korist zaradi razpršitve. Vsota vrstic 0150 in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Koristi zaradi razpršitve, izračunane z uporabo metode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Za tiste kategorije dodatnih prilagoditev vrednosti, združene na podlagi metode 1 v skladu s členi 9(6), 10(7) in 11(6) Delegirane uredbe (EU) 2016/101, razlika med vsoto posameznih dodatnih prilagoditev vrednosti in skupno dodatno prilagoditvijo vrednosti na ravni kategorije po prilagoditvi za združevanje.</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Koristi zaradi razpršitve, izračunane z uporabo metode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Za tiste kategorije dodatnih prilagoditev vrednosti, združene na podlagi metode 2 v skladu s členi 9(6), 10(7) in 11(6) Delegirane uredbe (EU) 2016/101, razlika med vsoto posameznih dodatnih prilagoditev vrednosti in skupno dodatno prilagoditvijo vrednosti na ravni kategorije po prilagoditvi za združevanje.</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Pojasnjevalna postavka: dodatne prilagoditve vrednosti pred razpršitvijo, zmanjšane za več kot 90 % z razpršitvijo po metodi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 terminologiji metode 2 je to vsota FV – PV za vse izpostavljenosti vrednotenja, pri katerih je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Portfelji, izračunani z nadomestnim pristopom</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točka (b), Delegirane uredbe Komisije (EU) 2016/101.</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Za portfelje, za katere se uporablja nadomestni pristop v skladu s členom 7(2), točka (b), Delegirane uredbe (EU) 2016/101, se skupna dodatna prilagoditev vrednosti izračuna kot vsota vrstic 0190, 0200 in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Relevantne bilančne in druge spremne informacije se zagotovijo v stolpcih 0130–0260. V stolpcu 0270 se navede opis pozicij in razlog, zaradi katerega ni bilo mogoče uporabiti členov 9 do 17 Delegirane uredbe (EU) 2016/101.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Nadomestni pristop; 100 % nerealiziranega dobička</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točka (b)(i), Delegirane uredbe Komisije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Nadomestni pristop; 10 % teoretične vrednosti</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točka (b)(ii), Delegirane uredbe Komisije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Nadomestni pristop; 25 % vrednosti ob sklenitvi</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Člen 7(2), točka (b)(iii), Delegirane uredbe Komisije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lastRenderedPageBreak/>
        <w:t xml:space="preserve">6.3 </w:t>
      </w:r>
      <w:r>
        <w:rPr>
          <w:rFonts w:ascii="Times New Roman" w:hAnsi="Times New Roman"/>
          <w:sz w:val="24"/>
        </w:rPr>
        <w:t>C 32.03 – Preudarno vrednotenje: Dodatna prilagoditev vrednosti za tveganje, povezano z uporabo modela (</w:t>
      </w:r>
      <w:proofErr w:type="spellStart"/>
      <w:r>
        <w:rPr>
          <w:rFonts w:ascii="Times New Roman" w:hAnsi="Times New Roman"/>
          <w:sz w:val="24"/>
        </w:rPr>
        <w:t>PruVal</w:t>
      </w:r>
      <w:proofErr w:type="spellEnd"/>
      <w:r>
        <w:rPr>
          <w:rFonts w:ascii="Times New Roman" w:hAnsi="Times New Roman"/>
          <w:sz w:val="24"/>
        </w:rPr>
        <w:t>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rsidRPr="002B64C5">
        <w:rPr>
          <w:u w:val="none"/>
        </w:rPr>
        <w:tab/>
      </w:r>
      <w:r>
        <w:rPr>
          <w:rFonts w:ascii="Times New Roman" w:hAnsi="Times New Roman"/>
          <w:sz w:val="24"/>
        </w:rPr>
        <w:t>Splošne opombe</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181</w:t>
      </w:r>
      <w:r>
        <w:fldChar w:fldCharType="end"/>
      </w:r>
      <w:r>
        <w:t>. To predlogo izpolnijo samo institucije, ki presegajo prag iz člena 4(1) Delegirane uredbe (EU) 2016/101 na svoji ravni. Institucije, ki so del skupine, ki presega prag na konsolidirani ravni, morajo poročati to predlogo samo, če presegajo prag tudi na svoji ravni.</w:t>
      </w:r>
    </w:p>
    <w:p w14:paraId="5D109DA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182</w:t>
      </w:r>
      <w:r>
        <w:fldChar w:fldCharType="end"/>
      </w:r>
      <w:r>
        <w:t>. Ta predloga se uporablja za poročanje podrobnosti o 20 največjih posameznih dodatnih prilagoditvah vrednosti za tveganje, povezano z uporabo modela, v smislu zneska dodatne prilagoditve vrednosti, ki prispevajo k skupni dodatni prilagoditvi vrednosti za tveganje, povezano z uporabo modela, na ravni kategorije v skladu s členom 11 Delegirane uredbe (EU) 2016/101. Te informacije ustrezajo informacijam, poročanim v stolpcu 0050 predloge C 32.02.</w:t>
      </w:r>
    </w:p>
    <w:p w14:paraId="617DAF2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183</w:t>
      </w:r>
      <w:r>
        <w:fldChar w:fldCharType="end"/>
      </w:r>
      <w:r>
        <w:t xml:space="preserve">. 20 največjih posameznih dodatnih prilagoditev vrednosti za tveganje, povezano z uporabo modela, se poroča v padajočem vrstnem redu, pri čemer se začne z največjo posamezno dodatno prilagoditvijo vrednosti za tveganje, povezano z uporabo modela. </w:t>
      </w:r>
    </w:p>
    <w:p w14:paraId="2DB5DCBD"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184</w:t>
      </w:r>
      <w:r>
        <w:fldChar w:fldCharType="end"/>
      </w:r>
      <w:r>
        <w:t xml:space="preserve">. Produkti, ki ustrezajo tem največjim posameznim dodatnim prilagoditvam vrednosti za tveganje, povezano z uporabo modela, se poročajo z uporabo popisa produktov, ki ga zahteva člen 19(3), točka (a), Delegirane uredbe (EU) 2016/101. </w:t>
      </w:r>
    </w:p>
    <w:p w14:paraId="34E20984"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185</w:t>
      </w:r>
      <w:r>
        <w:fldChar w:fldCharType="end"/>
      </w:r>
      <w:r>
        <w:t>. Če so produkti dovolj homogeni, kar zadeva model vrednotenja in dodatno prilagoditev vrednosti za tveganje, povezano z uporabo modela, se združijo in prikažejo v eni vrstici za namene čim večje pokritosti te predloge glede skupne dodatne prilagoditve vrednosti za tveganje institucije, povezano z uporabo modela, na ravni kategorije.</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rsidRPr="002B64C5">
        <w:rPr>
          <w:u w:val="none"/>
        </w:rPr>
        <w:tab/>
      </w:r>
      <w:r>
        <w:rPr>
          <w:rFonts w:ascii="Times New Roman" w:hAnsi="Times New Roman"/>
          <w:sz w:val="24"/>
        </w:rPr>
        <w:t>Navodila za posamezne pozicije</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Stolpci</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UVRSTITEV</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predlogi. Sledi številčnemu zaporedju 1, 2, 3 itd., pri čemer se 1 pripiše najvišji posamezni dodatni prilagoditvi vrednosti za tveganje, povezano z uporabo modela, 2 drugi najvišji in tako naprej.</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Interno ime (</w:t>
            </w:r>
            <w:proofErr w:type="spellStart"/>
            <w:r>
              <w:rPr>
                <w:rFonts w:ascii="Times New Roman" w:hAnsi="Times New Roman"/>
                <w:sz w:val="24"/>
              </w:rPr>
              <w:t>alfanumerično</w:t>
            </w:r>
            <w:proofErr w:type="spellEnd"/>
            <w:r>
              <w:rPr>
                <w:rFonts w:ascii="Times New Roman" w:hAnsi="Times New Roman"/>
                <w:sz w:val="24"/>
              </w:rPr>
              <w:t>) modela, ki ga institucija uporablja za identifikacijo modela.</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Kategorija tveganja (obrestno tveganje, valutno tveganje, kreditno tveganje, tveganje lastniških finančnih instrumentov in blagovno tveganje), ki najustrezneje označuje produkt ali skupino produktov, pri katerih je potrebna prilagoditev vrednosti za tveganje, povezano z uporabo modela.</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Institucije poročajo naslednje kode:</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obrestno tveganje</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valutno tveganje</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kreditno tveganje</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blagovno tveganje</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Interno ime (</w:t>
            </w:r>
            <w:proofErr w:type="spellStart"/>
            <w:r>
              <w:rPr>
                <w:rFonts w:ascii="Times New Roman" w:hAnsi="Times New Roman"/>
                <w:sz w:val="24"/>
              </w:rPr>
              <w:t>alfanumerično</w:t>
            </w:r>
            <w:proofErr w:type="spellEnd"/>
            <w:r>
              <w:rPr>
                <w:rFonts w:ascii="Times New Roman" w:hAnsi="Times New Roman"/>
                <w:sz w:val="24"/>
              </w:rPr>
              <w:t>) produkta ali skupine produktov v skladu s popisom produktov, ki se zahteva s členom 19(3), točka (a), Delegirane uredbe (EU) 2016/101, ki se vrednoti z uporabo modela.</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PREVERLJIVOST</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Število opazovanih cen za produkt ali skupino produktov v zadnjih dvanajstih mesecih, ki izpolnjujejo katero koli od naslednjih meril:</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opazovana cena je cena, po kateri je institucija sklenila posel,</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gre za preverljivo ceno za dejanski posel med tretjimi osebami,</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cena je pridobljena iz zavezujoče ponudbe.</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Institucije poročajo eno od naslednjih vrednosti: „nič“,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TVEGANJE, POVEZANO Z UPORABO MODELA</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Člen 11(1)</w:t>
            </w:r>
            <w:r>
              <w:rPr>
                <w:rFonts w:ascii="Times New Roman" w:hAnsi="Times New Roman"/>
                <w:sz w:val="24"/>
              </w:rPr>
              <w:t xml:space="preserve"> Delegirane uredbe Komisije (EU)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Posamezna dodatna prilagoditev vrednosti za tveganje, povezano z uporabo modela, pred koristjo zaradi razpršitve, vendar po pobotu portfelja, kjer je relevantno.</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 UPORABO PRISTOPA NA PODLAGI STROKOVNEGA MNENJA</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Zneski v stolpcu 0050, ki so bili izračunani z uporabo pristopa na podlagi strokovnega mnenja iz člena 11(4) Delegirane uredbe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ZDRUŽENO Z UPORABO METODE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Zneski v stolpcu 0050, ki so bili združeni z uporabo metode 2 iz Priloge k Delegirani uredbi (EU) 2016/101. Ti zneski ustrezajo „FV – PV“ v terminologiji navedene priloge.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ZDRUŽENA DODATNA PRILAGODITEV VREDNOSTI, IZRAČUNANA PO METODI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Prispevek posameznih dodatnih prilagoditev vrednosti za tveganje, povezano z uporabo modela, združenih z uporabo metode 2 iz Priloge k </w:t>
            </w:r>
            <w:r>
              <w:rPr>
                <w:rFonts w:ascii="Times New Roman" w:hAnsi="Times New Roman"/>
                <w:sz w:val="24"/>
              </w:rPr>
              <w:t>Delegirani uredbi (EU) 2016/101,</w:t>
            </w:r>
            <w:r>
              <w:rPr>
                <w:rStyle w:val="InstructionsTabelleberschrift"/>
                <w:rFonts w:ascii="Times New Roman" w:hAnsi="Times New Roman"/>
                <w:b w:val="0"/>
                <w:sz w:val="24"/>
                <w:u w:val="none"/>
              </w:rPr>
              <w:t xml:space="preserve"> k skupni dodatni prilagoditvi vrednosti za tveganje, povezano z uporabo modela, na ravni kategorije, kot se izračuna v skladu s členom 11(7) </w:t>
            </w:r>
            <w:r>
              <w:rPr>
                <w:rFonts w:ascii="Times New Roman" w:hAnsi="Times New Roman"/>
                <w:sz w:val="24"/>
              </w:rPr>
              <w:t>navedene uredbe</w:t>
            </w:r>
            <w:r>
              <w:rPr>
                <w:rStyle w:val="InstructionsTabelleberschrift"/>
                <w:rFonts w:ascii="Times New Roman" w:hAnsi="Times New Roman"/>
                <w:b w:val="0"/>
                <w:sz w:val="24"/>
                <w:u w:val="none"/>
              </w:rPr>
              <w:t xml:space="preserve">. </w:t>
            </w:r>
            <w:r>
              <w:rPr>
                <w:rFonts w:ascii="Times New Roman" w:hAnsi="Times New Roman"/>
                <w:sz w:val="24"/>
              </w:rPr>
              <w:t>Ta znesek ustreza „APVA“ v terminologiji Priloge.</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sredstev in obveznosti po pošteni vrednosti, ovrednotenih z uporabo modela, poročanega v stolpcu 0010, kot je navedena v računovodskih izkazih, pripravljenih v skladu z veljavnim računovodskim okvirom.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Absolutna vrednost sredstev po pošteni vrednosti, ovrednotenih z uporabo modela, poročanega v stolpcu 0010, kot je navedena v računovodskih izkazih, pripravljenih v skladu z veljavnim računovodskim okvirom</w:t>
            </w:r>
            <w:r>
              <w:rPr>
                <w:rStyle w:val="InstructionsTabelleberschrift"/>
                <w:rFonts w:ascii="Times New Roman" w:hAnsi="Times New Roman"/>
                <w:b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Absolutna vrednost obveznosti po pošteni vrednosti, ovrednotenih z uporabo modela, poročanega v stolpcu 0010, kot je navedena v računovodskih izkazih, pripravljenih v skladu z veljavnim računovodskim okvirom.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 (TESTIRANJE IZHODNIH PODATKOV)</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w:t>
            </w:r>
            <w:r>
              <w:rPr>
                <w:rFonts w:ascii="Times New Roman" w:hAnsi="Times New Roman"/>
                <w:sz w:val="24"/>
              </w:rPr>
              <w:t>Uredbe (EU) št. 575/2013</w:t>
            </w:r>
            <w:r>
              <w:rPr>
                <w:rStyle w:val="InstructionsTabelleberschrift"/>
                <w:rFonts w:ascii="Times New Roman" w:hAnsi="Times New Roman"/>
                <w:b w:val="0"/>
                <w:sz w:val="24"/>
                <w:u w:val="none"/>
              </w:rPr>
              <w:t xml:space="preserve">, glede na najboljše razpoložljive neodvisne podatke za ustrezni produkt ali skupino produktov.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NPC.</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Tukaj se vključijo samo rezultati, ki so bili umerjeni na podlagi cen instrumentov, ki bi bile razporejene na isti produkt (testiranje izhodnih podatkov). Rezultati testiranja vhodnih podatkov na podlagi vhodnih tržnih podatkov, ki se testirajo glede na ravni, umerjene na podlagi drugačnih produktov, se ne vključijo.</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POKRITOST Z NPC (TESTIRANJE IZHODNIH PODATKOV)</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Odstotek tistih pozicij, razporejenih na model, tehtan z dodatno prilagoditvijo vrednosti za tveganje, povezano z uporabo modela, ki je pokrit z rezultati testiranja izhodnih podatkov NPC, navedenih v stolpcu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Prilagoditve poštene vrednosti iz stolpcev 0190 in 0240 predloge C 32.02, ki so se uporabile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Prilagoditve, kot so opredeljene v stolpcu 0260 predloge C 32.02, ki so se uporabile za pozicije, razporejene na </w:t>
            </w:r>
            <w:r>
              <w:rPr>
                <w:rFonts w:ascii="Times New Roman" w:hAnsi="Times New Roman"/>
                <w:sz w:val="24"/>
              </w:rPr>
              <w:t>model iz stolpca 0010</w:t>
            </w:r>
            <w:r>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t xml:space="preserve">6.4 </w:t>
      </w:r>
      <w:r>
        <w:rPr>
          <w:rFonts w:ascii="Times New Roman" w:hAnsi="Times New Roman"/>
          <w:sz w:val="24"/>
        </w:rPr>
        <w:t>C 32.04 – Preudarno vrednotenje: dodatna prilagoditev vrednosti za koncentracije pozicij (</w:t>
      </w:r>
      <w:proofErr w:type="spellStart"/>
      <w:r>
        <w:rPr>
          <w:rFonts w:ascii="Times New Roman" w:hAnsi="Times New Roman"/>
          <w:sz w:val="24"/>
        </w:rPr>
        <w:t>PruVal</w:t>
      </w:r>
      <w:proofErr w:type="spellEnd"/>
      <w:r>
        <w:rPr>
          <w:rFonts w:ascii="Times New Roman" w:hAnsi="Times New Roman"/>
          <w:sz w:val="24"/>
        </w:rPr>
        <w:t>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rsidRPr="002B64C5">
        <w:rPr>
          <w:u w:val="none"/>
        </w:rPr>
        <w:tab/>
      </w:r>
      <w:r>
        <w:rPr>
          <w:rFonts w:ascii="Times New Roman" w:hAnsi="Times New Roman"/>
          <w:sz w:val="24"/>
        </w:rPr>
        <w:t>Splošne opombe</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186</w:t>
      </w:r>
      <w:r>
        <w:fldChar w:fldCharType="end"/>
      </w:r>
      <w:r>
        <w:t>. To predlogo izpolnijo samo institucije, ki presegajo prag iz člena 4(1) Delegirane uredbe (EU) 2016/101. Institucije, ki so del skupine, ki presega prag na konsolidirani ravni, poročajo to predlogo samo, če presegajo prag tudi na svoji ravni.</w:t>
      </w:r>
    </w:p>
    <w:p w14:paraId="0D2CFCE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187</w:t>
      </w:r>
      <w:r>
        <w:fldChar w:fldCharType="end"/>
      </w:r>
      <w:r>
        <w:t xml:space="preserve">. Ta predloga se uporablja za poročanje podrobnosti o 20 največjih posameznih dodatnih prilagoditvah vrednosti za koncentracije pozicij v smislu zneska dodatne prilagoditve vrednosti, ki prispevajo k skupni dodatni prilagoditvi vrednosti za koncentracije pozicij na ravni kategorije v skladu s členom 14 Delegirane uredbe (EU) 2016/101. Te informacije ustrezajo informacijam, poročanim v stolpcu 0070 predloge C 32.02. </w:t>
      </w:r>
    </w:p>
    <w:p w14:paraId="11EF9CE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188</w:t>
      </w:r>
      <w:r>
        <w:fldChar w:fldCharType="end"/>
      </w:r>
      <w:r>
        <w:t>. 20 največjih dodatnih prilagoditev vrednosti za koncentracije pozicij se poroča v padajočem vrstnem redu, pri čemer se začne z največjo posamezno dodatno prilagoditvijo vrednosti za koncentracije pozicij.</w:t>
      </w:r>
    </w:p>
    <w:p w14:paraId="306372CF"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189</w:t>
      </w:r>
      <w:r>
        <w:fldChar w:fldCharType="end"/>
      </w:r>
      <w:r>
        <w:t>. Produkti, ki ustrezajo tem največjim posameznim dodatnim prilagoditvam vrednosti za koncentracije pozicij, se poročajo z uporabo popisa produktov, ki ga zahteva člen 19(3), točka (a), Delegirane uredbe (EU) 2016/101.</w:t>
      </w:r>
    </w:p>
    <w:p w14:paraId="723832B5"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190</w:t>
      </w:r>
      <w:r>
        <w:fldChar w:fldCharType="end"/>
      </w:r>
      <w:r>
        <w:t>. Pozicije, ki so homogene v smislu metodologije izračuna dodatne prilagoditve vrednosti, se združijo, kjer je to mogoče, da se zagotovi čim večja pokritost te predloge.</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rsidRPr="002B64C5">
        <w:rPr>
          <w:u w:val="none"/>
        </w:rPr>
        <w:tab/>
      </w:r>
      <w:r>
        <w:rPr>
          <w:rFonts w:ascii="Times New Roman" w:hAnsi="Times New Roman"/>
          <w:sz w:val="24"/>
        </w:rPr>
        <w:t>Navodila za posamezne pozicije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Stolpci</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UVRSTITEV</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predlogi. Sledi številčnemu zaporedju 1, 2, 3 itd., pri čemer se 1 pripiše najvišji posamezni dodatni prilagoditvi vrednosti za koncentracije pozicij, 2 drugi najvišji in tako naprej.</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Kategorija tveganja (obrestno tveganje, valutno tveganje, kreditno tveganje, tveganje lastniških finančnih instrumentov in blagovno tveganje), ki najustrezneje označuje pozicijo.</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Institucije poročajo naslednje kode:</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obrestno tveganje</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valutno tveganje</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kreditno tveganje</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blagovno tveganje</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Interno ime produkta ali skupine produktov v skladu s popisom produktov, ki se zahteva s členom 19(3), točka (a), Delegirane uredbe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OSNOVA</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Interno ime osnove ali osnov v primeru izvedenih finančnih instrumentov ali instrumentov v primeru neizvedenih instrumentov.</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VELIKOST KONCENTRACIJE POZICIJ</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posamezne koncentrirane pozicije vrednotenja, kot je določena v skladu s členom 14(1), točka (a), Delegirane uredbe (EU) 2016/101, izražena v enoti, opisani v stolpcu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MERILO VELIKOSTI</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Enota merila velikosti, ki se uporablja interno kot del identifikacije koncentrirane pozicije vrednotenja za izračun velikosti koncentrirane pozicije vrednotenja iz stolpca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primeru pozicij v obveznicah ali lastniških instrumentih, poročate enoto, </w:t>
            </w:r>
            <w:r>
              <w:rPr>
                <w:rFonts w:ascii="Times New Roman" w:hAnsi="Times New Roman"/>
                <w:sz w:val="24"/>
              </w:rPr>
              <w:t>ki se upravlja za notranje upravljanje tveganj</w:t>
            </w:r>
            <w:r>
              <w:rPr>
                <w:rStyle w:val="InstructionsTabelleberschrift"/>
                <w:rFonts w:ascii="Times New Roman" w:hAnsi="Times New Roman"/>
                <w:b w:val="0"/>
                <w:sz w:val="24"/>
                <w:u w:val="none"/>
              </w:rPr>
              <w:t xml:space="preserve">, kot so „število obveznic“, „število delnic“ ali „tržna vrednost“.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V primeru pozicije v izvedenih finančnih instrumentih, poročate enoto, ki se uporablja za notranje upravljanje tveganj, kot je „PV01; EUR pri vzporednem premiku na krivulji donosa za eno bazično točko“.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TRŽNA VREDNOST</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Tržna vrednost pozicije.</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PREUDARNO IZSTOPNO OBDOBJE</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Preudarno izstopno obdobje v številu dni, ocenjeno v skladu s členom 14(1), točka (b), Delegirane uredbe (EU) 2016/101.</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KONCENTRACIJE POZICIJ</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Znesek dodatne prilagoditve vrednosti za koncentracije pozicij, izračunan v skladu s členom 14(1) </w:t>
            </w:r>
            <w:r>
              <w:rPr>
                <w:rFonts w:ascii="Times New Roman" w:hAnsi="Times New Roman"/>
                <w:sz w:val="24"/>
              </w:rPr>
              <w:t>Delegirane uredbe (EU) 2016/101,</w:t>
            </w:r>
            <w:r>
              <w:rPr>
                <w:rStyle w:val="InstructionsTabelleberschrift"/>
                <w:rFonts w:ascii="Times New Roman" w:hAnsi="Times New Roman"/>
                <w:b w:val="0"/>
                <w:sz w:val="24"/>
                <w:u w:val="none"/>
              </w:rPr>
              <w:t xml:space="preserve"> za zadevno posamezno koncentrirano pozicijo vrednotenja.</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PRILAGODITEV POŠTENE VREDNOSTI KONCENTRACIJE POZICIJ</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Znesek katere koli prilagoditve poštene vrednosti, s katero se odraža dejstvo, da je združena pozicija institucije večja od običajne trgovane količine ali večja od velikosti pozicij, na katerih temeljijo kotacije ali posli, uporabljeni za umeritev cene ali vhodnih podatkov, uporabljenih v modelu vrednotenja.</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Poročani znesek ustreza znesku, ki se je uporabil za zadevno posamezno koncentrirano pozicijo vrednotenja.</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w:t>
            </w:r>
            <w:r>
              <w:rPr>
                <w:rFonts w:ascii="Times New Roman" w:hAnsi="Times New Roman"/>
                <w:sz w:val="24"/>
              </w:rPr>
              <w:t>Uredbe (EU) št. 575/2013</w:t>
            </w:r>
            <w:r>
              <w:rPr>
                <w:rStyle w:val="InstructionsTabelleberschrift"/>
                <w:rFonts w:ascii="Times New Roman" w:hAnsi="Times New Roman"/>
                <w:b w:val="0"/>
                <w:sz w:val="24"/>
                <w:u w:val="none"/>
              </w:rPr>
              <w:t xml:space="preserve">, glede na najboljše razpoložljive neodvisne podatke za posamezno koncentrirano pozicijo vrednotenja.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neodvisnega pregleda cen.</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095BC36" w:rsidR="00897334" w:rsidRPr="002B64C5" w:rsidRDefault="002B64C5" w:rsidP="00AC3DE3">
      <w:pPr>
        <w:rPr>
          <w:rFonts w:ascii="Times New Roman" w:hAnsi="Times New Roman"/>
          <w:sz w:val="24"/>
          <w:szCs w:val="32"/>
        </w:rPr>
      </w:pPr>
      <w:r w:rsidRPr="002B64C5">
        <w:rPr>
          <w:rFonts w:ascii="Times New Roman" w:hAnsi="Times New Roman"/>
          <w:sz w:val="24"/>
          <w:szCs w:val="32"/>
        </w:rPr>
        <w:t>“</w:t>
      </w:r>
    </w:p>
    <w:sectPr w:rsidR="00897334" w:rsidRPr="002B64C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ab/>
        <w:t>Delegirana uredba Komisije (EU) 2016/101 z dne 26. oktobra 2015 o dopolnitvi Uredbe (EU) št. 575/2013 Evropskega parlamenta in Sveta v zvezi z regulativnimi tehničnimi standardi za preudarno vrednotenje v skladu s členom 105(14) (UL L 21, 28.1.2016, str.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tab/>
      </w:r>
      <w:r>
        <w:rPr>
          <w:sz w:val="20"/>
        </w:rPr>
        <w:t>Uredba (ES) št. 1606/2002 Evropskega parlamenta in Sveta z dne 19. julija 2002 o uporabi mednarodnih računovodskih standardov (</w:t>
      </w:r>
      <w:r>
        <w:rPr>
          <w:rStyle w:val="Emphasis"/>
          <w:sz w:val="20"/>
        </w:rPr>
        <w:t>UL L 243, 11.9.2002, str.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Direktiva 2013/34/EU Evropskega parlamenta in Sveta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C750CA96"/>
    <w:lvl w:ilvl="0" w:tplc="987C4B98">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6958AE94"/>
    <w:lvl w:ilvl="0" w:tplc="8ADCB664">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2B64C5"/>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sl-SI"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sl-SI"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sl-SI"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B16A871C-B378-4E4A-918F-82A97C6210C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7692</Words>
  <Characters>42003</Characters>
  <Application>Microsoft Office Word</Application>
  <DocSecurity>0</DocSecurity>
  <Lines>1000</Lines>
  <Paragraphs>606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VOLAVSEK Andrej (DGT)</cp:lastModifiedBy>
  <cp:revision>8</cp:revision>
  <dcterms:created xsi:type="dcterms:W3CDTF">2024-05-28T10:37:00Z</dcterms:created>
  <dcterms:modified xsi:type="dcterms:W3CDTF">2025-01-23T14:41:00Z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2025-01-23T14:41:20Z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aa42b9f8-7298-476f-a4b6-9540723f29de</vt:lpwstr>
  </property>
  <property fmtid="{D5CDD505-2E9C-101B-9397-08002B2CF9AE}" pid="12" name="MSIP_Label_6bd9ddd1-4d20-43f6-abfa-fc3c07406f94_ContentBits">
    <vt:lpwstr>0</vt:lpwstr>
  </property>
</Properties>
</file>