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CAB54" w14:textId="77777777" w:rsidR="00023C1E" w:rsidRDefault="00023C1E" w:rsidP="00023C1E">
      <w:pPr>
        <w:jc w:val="center"/>
        <w:rPr>
          <w:sz w:val="24"/>
          <w:szCs w:val="22"/>
          <w:rFonts w:ascii="Times New Roman" w:hAnsi="Times New Roman"/>
        </w:rPr>
      </w:pPr>
      <w:r>
        <w:rPr>
          <w:sz w:val="24"/>
          <w:rFonts w:ascii="Times New Roman" w:hAnsi="Times New Roman"/>
        </w:rPr>
        <w:t xml:space="preserve">DA</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BILAG II</w:t>
      </w:r>
    </w:p>
    <w:p w14:paraId="3C60A640" w14:textId="77777777" w:rsidR="00EC5F08" w:rsidRPr="00037E7B" w:rsidRDefault="00EC5F08" w:rsidP="00EC5F08">
      <w:pPr>
        <w:jc w:val="center"/>
        <w:rPr>
          <w:sz w:val="24"/>
          <w:rFonts w:ascii="Times New Roman" w:hAnsi="Times New Roman"/>
        </w:rPr>
      </w:pPr>
      <w:r>
        <w:rPr>
          <w:sz w:val="24"/>
          <w:rFonts w:ascii="Times New Roman" w:hAnsi="Times New Roman"/>
        </w:rPr>
        <w:t xml:space="preserve">"BILAG II</w:t>
      </w:r>
    </w:p>
    <w:p w14:paraId="62D6C096" w14:textId="77777777" w:rsidR="00EC5F08" w:rsidRPr="00037E7B" w:rsidRDefault="00EC5F08" w:rsidP="00EC5F08">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63A72470" w14:textId="77777777" w:rsidR="00EC5F08" w:rsidRDefault="00EC5F08" w:rsidP="00EC5F08"/>
    <w:p w14:paraId="1E2DD6C0" w14:textId="77777777" w:rsidR="00EC5F08" w:rsidRDefault="00EC5F08" w:rsidP="00EC5F08">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5F94331A" w14:textId="77777777" w:rsidR="00EC5F08"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37964DB" w14:textId="77777777" w:rsidR="00EC5F08" w:rsidRPr="00736637" w:rsidRDefault="00EC5F08" w:rsidP="00EC5F08">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0" w:name="_Toc473561055"/>
      <w:bookmarkStart w:id="1" w:name="_Toc151714522"/>
      <w:r>
        <w:rPr>
          <w:sz w:val="24"/>
          <w:u w:val="none"/>
          <w:rFonts w:ascii="Times New Roman" w:hAnsi="Times New Roman"/>
        </w:rPr>
        <w:t xml:space="preserve">7.</w:t>
      </w:r>
      <w:r>
        <w:tab/>
      </w:r>
      <w:r>
        <w:rPr>
          <w:sz w:val="24"/>
          <w:rFonts w:ascii="Times New Roman" w:hAnsi="Times New Roman"/>
        </w:rPr>
        <w:t xml:space="preserve">C 33.00 — Eksponeringer mod offentlig forvaltning og service (GOV)</w:t>
      </w:r>
      <w:bookmarkEnd w:id="0"/>
      <w:bookmarkEnd w:id="1"/>
    </w:p>
    <w:p w14:paraId="47ECBF7E" w14:textId="77777777" w:rsidR="00BD16F2" w:rsidRPr="002A677E" w:rsidRDefault="00BD16F2" w:rsidP="00BD16F2">
      <w:pPr>
        <w:pStyle w:val="Instructionsberschrift2"/>
        <w:numPr>
          <w:ilvl w:val="0"/>
          <w:numId w:val="0"/>
        </w:numPr>
        <w:ind w:left="357" w:hanging="357"/>
        <w:rPr>
          <w:sz w:val="24"/>
          <w:rFonts w:ascii="Times New Roman" w:hAnsi="Times New Roman" w:cs="Times New Roman"/>
        </w:rPr>
      </w:pPr>
      <w:bookmarkStart w:id="2" w:name="_Toc367202008"/>
      <w:bookmarkStart w:id="3" w:name="_Toc473561056"/>
      <w:bookmarkStart w:id="4" w:name="_Toc151714523"/>
      <w:r>
        <w:rPr>
          <w:sz w:val="24"/>
          <w:u w:val="none"/>
          <w:rFonts w:ascii="Times New Roman" w:hAnsi="Times New Roman"/>
        </w:rPr>
        <w:t xml:space="preserve">7.1.</w:t>
      </w:r>
      <w:r>
        <w:tab/>
      </w:r>
      <w:r>
        <w:rPr>
          <w:sz w:val="24"/>
          <w:rFonts w:ascii="Times New Roman" w:hAnsi="Times New Roman"/>
        </w:rPr>
        <w:t xml:space="preserve">Generelle bemærkninger</w:t>
      </w:r>
      <w:bookmarkEnd w:id="2"/>
      <w:bookmarkEnd w:id="3"/>
      <w:bookmarkEnd w:id="4"/>
      <w:r>
        <w:rPr>
          <w:sz w:val="24"/>
          <w:rFonts w:ascii="Times New Roman" w:hAnsi="Times New Roman"/>
        </w:rPr>
        <w:t xml:space="preserve"> </w:t>
      </w:r>
    </w:p>
    <w:p w14:paraId="607B1B9D" w14:textId="4D6DEBA3"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191</w:t>
      </w:r>
      <w:r>
        <w:fldChar w:fldCharType="end"/>
      </w:r>
      <w:r>
        <w:t xml:space="preserve">.</w:t>
      </w:r>
      <w:r>
        <w:tab/>
      </w:r>
      <w:r>
        <w:t xml:space="preserve"> </w:t>
      </w:r>
      <w:r>
        <w:t xml:space="preserve">De oplysninger, der skal indsættes i skema C 33.00, skal dække alle eksponeringer mod "Offentlig forvaltning og service" som omhandlet i punkt 42, litra b), i bilag V til denne gennemførelsesforordning.</w:t>
      </w:r>
    </w:p>
    <w:p w14:paraId="6DDF43E1" w14:textId="777647EB"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192</w:t>
      </w:r>
      <w:r>
        <w:fldChar w:fldCharType="end"/>
      </w:r>
      <w:r>
        <w:t xml:space="preserve">.</w:t>
      </w:r>
      <w:r>
        <w:tab/>
      </w:r>
      <w:r>
        <w:t xml:space="preserve"> </w:t>
      </w:r>
      <w:r>
        <w:t xml:space="preserve">Hvis eksponeringerne mod "Offentlig forvaltning og service" er omfattet af kapitalgrundlagskravene i overensstemmelse med tredje del, afsnit II, i forordning (EU) nr. 575/2013, medtages eksponeringerne mod "Offentlig forvaltning og service" i forskellige eksponeringsklasser, jf. artikel 112 og 147 i nævnte forordning, som beskrevet i instrukserne til udfyldelse af skema C 07.00, C 08.01 og C 08.02.</w:t>
      </w:r>
      <w:r>
        <w:t xml:space="preserve"> </w:t>
      </w:r>
    </w:p>
    <w:p w14:paraId="293BF385" w14:textId="0FB1F10B"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193</w:t>
      </w:r>
      <w:r>
        <w:fldChar w:fldCharType="end"/>
      </w:r>
      <w:r>
        <w:t xml:space="preserve">.</w:t>
      </w:r>
      <w:r>
        <w:tab/>
      </w:r>
      <w:r>
        <w:t xml:space="preserve"> </w:t>
      </w:r>
      <w:r>
        <w:t xml:space="preserve">Tabel 2 (standardmetoden) og tabel 3 (IRB-metoden), som findes i del 3 i bilag V til denne gennemførelsesforordning, skal følges, når eksponeringsklasser, der anvendes ved beregningen af kapitalkrav i overensstemmelse med forordning (EU) nr. 575/2013, og modpartssektoren "Offentlig forvaltning og service" sammenstilles.</w:t>
      </w:r>
      <w:r>
        <w:t xml:space="preserve"> </w:t>
      </w:r>
    </w:p>
    <w:p w14:paraId="7BF9F4A1" w14:textId="3878F16A"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194</w:t>
      </w:r>
      <w:r>
        <w:fldChar w:fldCharType="end"/>
      </w:r>
      <w:r>
        <w:t xml:space="preserve">.</w:t>
      </w:r>
      <w:r>
        <w:t xml:space="preserve"> </w:t>
      </w:r>
      <w:r>
        <w:t xml:space="preserve">Oplysninger skal indberettes for samlede aggregerede eksponeringer (dvs. summen af alle lande, hvor banken har eksponeringer over for stater) og for hvert land på grundlag af modpartens hjemsted med udgangspunkt i den umiddelbare låntager.</w:t>
      </w:r>
      <w:r>
        <w:t xml:space="preserve"> </w:t>
      </w:r>
    </w:p>
    <w:p w14:paraId="3F2AB0FC" w14:textId="12D22EC0"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195</w:t>
      </w:r>
      <w:r>
        <w:fldChar w:fldCharType="end"/>
      </w:r>
      <w:r>
        <w:t xml:space="preserve">.</w:t>
      </w:r>
      <w:r>
        <w:tab/>
      </w:r>
      <w:r>
        <w:t xml:space="preserve"> </w:t>
      </w:r>
      <w:r>
        <w:t xml:space="preserve">Eksponeringer henføres til eksponeringsklasser eller jurisdiktioner uden hensyntagen til kreditrisikoreduktionsteknikker og især uden hensyntagen til substitutionsvirkninger.</w:t>
      </w:r>
      <w:r>
        <w:t xml:space="preserve"> </w:t>
      </w:r>
      <w:r>
        <w:t xml:space="preserve">I beregningen af eksponeringsværdier og risikovægtede eksponeringer for hver eksponeringsklasse og hver jurisdiktion indgår virkningen af kreditrisikoreduktionsteknikker, herunder substitutionsvirkninger, dog.</w:t>
      </w:r>
      <w:r>
        <w:t xml:space="preserve"> </w:t>
      </w:r>
    </w:p>
    <w:p w14:paraId="63D48DFC" w14:textId="24583AEB"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196</w:t>
      </w:r>
      <w:r>
        <w:fldChar w:fldCharType="end"/>
      </w:r>
      <w:r>
        <w:t xml:space="preserve">.</w:t>
      </w:r>
      <w:r>
        <w:tab/>
      </w:r>
      <w:r>
        <w:t xml:space="preserve"> </w:t>
      </w:r>
      <w:r>
        <w:t xml:space="preserve">Indberetningen af oplysninger om eksponeringer mod "Offentlig forvaltning og service" efter den jurisdiktion, som er den umiddelbare modparts hjemsted, bortset fra det indberettende instituts nationale jurisdiktion, er underlagt tærsklerne i denne gennemførelsesforordnings artikel 6, stk. 3.</w:t>
      </w:r>
    </w:p>
    <w:p w14:paraId="6C57DF9A"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5" w:name="_Toc367202009"/>
      <w:bookmarkStart w:id="6" w:name="_Toc473561057"/>
      <w:bookmarkStart w:id="7" w:name="_Toc151714524"/>
      <w:r>
        <w:rPr>
          <w:sz w:val="24"/>
          <w:u w:val="none"/>
          <w:rFonts w:ascii="Times New Roman" w:hAnsi="Times New Roman"/>
        </w:rPr>
        <w:t xml:space="preserve">7.2.</w:t>
      </w:r>
      <w:r>
        <w:tab/>
      </w:r>
      <w:r>
        <w:rPr>
          <w:sz w:val="24"/>
          <w:rFonts w:ascii="Times New Roman" w:hAnsi="Times New Roman"/>
        </w:rPr>
        <w:t xml:space="preserve">Omfanget af skemaet</w:t>
      </w:r>
      <w:bookmarkEnd w:id="5"/>
      <w:r>
        <w:rPr>
          <w:sz w:val="24"/>
          <w:rFonts w:ascii="Times New Roman" w:hAnsi="Times New Roman"/>
        </w:rPr>
        <w:t xml:space="preserve"> om eksponeringer mod "Offentlig forvaltning og service"</w:t>
      </w:r>
      <w:bookmarkEnd w:id="6"/>
      <w:bookmarkEnd w:id="7"/>
    </w:p>
    <w:p w14:paraId="0229F5BC" w14:textId="67D90191"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197</w:t>
      </w:r>
      <w:r>
        <w:fldChar w:fldCharType="end"/>
      </w:r>
      <w:r>
        <w:t xml:space="preserve">.</w:t>
      </w:r>
      <w:r>
        <w:tab/>
      </w:r>
      <w:r>
        <w:t xml:space="preserve"> </w:t>
      </w:r>
      <w:r>
        <w:t xml:space="preserve">Omfanget af GOV-skemaet dækker balanceførte og ikkebalanceførte eksponeringer samt direkte derivateksponeringer mod "Offentlig forvaltning og service" i handelsbeholdningen og anlægsbeholdningen.</w:t>
      </w:r>
      <w:r>
        <w:t xml:space="preserve"> </w:t>
      </w:r>
      <w:r>
        <w:t xml:space="preserve">Endvidere kræves også en memorandumpost om indirekte eksponeringer i form af kreditderivater, der er solgt på grundlag af eksponeringer mod offentlig forvaltning og service.</w:t>
      </w:r>
    </w:p>
    <w:p w14:paraId="1EC4D83C" w14:textId="376B0B1B"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198</w:t>
      </w:r>
      <w:r>
        <w:fldChar w:fldCharType="end"/>
      </w:r>
      <w:r>
        <w:t xml:space="preserve">.</w:t>
      </w:r>
      <w:r>
        <w:tab/>
      </w:r>
      <w:r>
        <w:t xml:space="preserve"> </w:t>
      </w:r>
      <w:r>
        <w:t xml:space="preserve">En eksponering er en direkte eksponering, når den umiddelbare modpart er en enhed, der er en "Offentlig forvaltning og service" som omhandlet i punkt 42, litra b), i bilag V til denne gennemførelsesforordning.</w:t>
      </w:r>
      <w:r>
        <w:t xml:space="preserve"> </w:t>
      </w:r>
    </w:p>
    <w:p w14:paraId="00A82C5A" w14:textId="7F0E5E44" w:rsidR="00BD16F2" w:rsidRPr="002A677E" w:rsidRDefault="00BD16F2" w:rsidP="00BD16F2">
      <w:pPr>
        <w:pStyle w:val="InstructionsText2"/>
        <w:numPr>
          <w:ilvl w:val="0"/>
          <w:numId w:val="0"/>
        </w:numPr>
        <w:ind w:left="993"/>
      </w:pPr>
      <w:r>
        <w:fldChar w:fldCharType="begin" w:dirty="true"/>
      </w:r>
      <w:r>
        <w:instrText xml:space="preserve"> seq paragraphs </w:instrText>
      </w:r>
      <w:r>
        <w:fldChar w:fldCharType="separate"/>
      </w:r>
      <w:r>
        <w:t xml:space="preserve">199</w:t>
      </w:r>
      <w:r>
        <w:fldChar w:fldCharType="end"/>
      </w:r>
      <w:r>
        <w:t xml:space="preserve">.</w:t>
      </w:r>
      <w:r>
        <w:tab/>
      </w:r>
      <w:r>
        <w:t xml:space="preserve"> </w:t>
      </w:r>
      <w:r>
        <w:t xml:space="preserve">Skemaet er inddelt i to afsnit.</w:t>
      </w:r>
      <w:r>
        <w:t xml:space="preserve"> </w:t>
      </w:r>
      <w:r>
        <w:t xml:space="preserve">Det første er baseret på en opdeling af eksponeringer efter risiko, lovgivningsmæssig fremgangsmåde og eksponeringsklasse, mens det andet er baseret på en opdeling efter restløbetid.</w:t>
      </w:r>
    </w:p>
    <w:p w14:paraId="4EBA25CD" w14:textId="77777777" w:rsidR="00BD16F2" w:rsidRPr="002A677E" w:rsidRDefault="00BD16F2" w:rsidP="00BD16F2">
      <w:pPr>
        <w:pStyle w:val="Instructionsberschrift2"/>
        <w:numPr>
          <w:ilvl w:val="0"/>
          <w:numId w:val="0"/>
        </w:numPr>
        <w:rPr>
          <w:sz w:val="24"/>
          <w:rFonts w:ascii="Times New Roman" w:hAnsi="Times New Roman" w:cs="Times New Roman"/>
        </w:rPr>
      </w:pPr>
      <w:bookmarkStart w:id="8" w:name="_Toc473561058"/>
      <w:bookmarkStart w:id="9" w:name="_Toc151714525"/>
      <w:r>
        <w:rPr>
          <w:sz w:val="24"/>
          <w:u w:val="none"/>
          <w:rFonts w:ascii="Times New Roman" w:hAnsi="Times New Roman"/>
        </w:rPr>
        <w:t xml:space="preserve">7.3.</w:t>
      </w:r>
      <w:r>
        <w:tab/>
      </w:r>
      <w:r>
        <w:rPr>
          <w:sz w:val="24"/>
          <w:rFonts w:ascii="Times New Roman" w:hAnsi="Times New Roman"/>
        </w:rPr>
        <w:t xml:space="preserve">Instrukser vedrørende specifikke positioner</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Kolonner</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Instrukser</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DIREKTE EKSPONERINGER</w:t>
            </w:r>
            <w:r>
              <w:rPr>
                <w:b/>
                <w:sz w:val="24"/>
                <w:u w:val="single"/>
                <w:rFonts w:ascii="Times New Roman" w:hAnsi="Times New Roman"/>
              </w:rPr>
              <w:t xml:space="preserv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0010-0140</w:t>
            </w:r>
          </w:p>
        </w:tc>
        <w:tc>
          <w:tcPr>
            <w:tcW w:w="8640" w:type="dxa"/>
          </w:tcPr>
          <w:p w14:paraId="70877AF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BALANCEFØRTE EKSPONERINGER</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640" w:type="dxa"/>
          </w:tcPr>
          <w:p w14:paraId="00745A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Regnskabsmæssig bruttoværdi i alt af finansielle aktiver, bortset fra derivater</w:t>
            </w:r>
            <w:r>
              <w:rPr>
                <w:b/>
                <w:sz w:val="24"/>
                <w:u w:val="single"/>
                <w:rFonts w:ascii="Times New Roman" w:hAnsi="Times New Roman"/>
              </w:rPr>
              <w:t xml:space="preserv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samlede sum af den regnskabsmæssige bruttoværdi, som bestemt i overensstemmelse med del 1, punkt 34, i bilag V til denne gennemførelsesforordning, af finansielle aktiver, bortset fra derivater, mod offentlig forvaltning og service, for alle porteføljeregnskaber under IFRS eller nationale almindeligt anerkendte regnskabsprincipper GAAP baseret på Rådets direktiv 86/635/EØF, defineret i del 1, punkt 15-22, i bilag V til denne gennemførelsesforordning og opført i kolonne 0030-0120.</w:t>
            </w:r>
            <w:r>
              <w:rPr>
                <w:sz w:val="24"/>
                <w:rFonts w:ascii="Times New Roman" w:hAnsi="Times New Roman"/>
              </w:rPr>
              <w:t xml:space="preserve">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Justeringer som følge af forsigtighedsbaseret værdiansættelse reducerer ikke den regnskabsmæssige bruttoværdi af eksponeringer i og uden for handelsbeholdningen målt til dagsværdi.</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w:t>
            </w:r>
          </w:p>
        </w:tc>
        <w:tc>
          <w:tcPr>
            <w:tcW w:w="8640" w:type="dxa"/>
          </w:tcPr>
          <w:p w14:paraId="6AED785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Regnskabsmæssig værdi i alt af finansielle aktiver (fratrukket korte positioner)</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samlede sum af den regnskabsmæssige værdi, som omhandlet i del 1, punkt 27, i bilag V til denne gennemførelsesforordning, af finansielle aktiver, bortset fra derivater, mod offentlig forvaltning og service, for alle porteføljeregnskaber under IFRS eller nationale almindeligt anerkendte regnskabsprincipper GAAP baseret på Rådets direktiv 86/635/EØF, defineret i del 1, punkt 15-22, i bilag V til denne gennemførelsesforordning og opført i kolonne 0030-0120, fratrukket korte positioner.</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Hvis instituttet har en kort position, for den samme restløbetid og </w:t>
            </w:r>
            <w:r>
              <w:rPr>
                <w:sz w:val="24"/>
                <w:rFonts w:ascii="Times New Roman" w:hAnsi="Times New Roman"/>
              </w:rPr>
              <w:t xml:space="preserve">for den samme umiddelbare modpart, der er denomineret i den samme valuta</w:t>
            </w:r>
            <w:r>
              <w:rPr>
                <w:sz w:val="24"/>
                <w:rFonts w:ascii="Times New Roman" w:hAnsi="Times New Roman"/>
              </w:rPr>
              <w:t xml:space="preserve">, modregnes den regnskabsmæssige værdi af den korte position mod den regnskabsmæssige værdi af den direkte position.</w:t>
            </w:r>
            <w:r>
              <w:rPr>
                <w:sz w:val="24"/>
                <w:rFonts w:ascii="Times New Roman" w:hAnsi="Times New Roman"/>
              </w:rPr>
              <w:t xml:space="preserve"> </w:t>
            </w:r>
            <w:r>
              <w:rPr>
                <w:sz w:val="24"/>
                <w:rFonts w:ascii="Times New Roman" w:hAnsi="Times New Roman"/>
              </w:rPr>
              <w:t xml:space="preserve">Denne nettoværdi betragtes som nul, når den er negativ.</w:t>
            </w:r>
            <w:r>
              <w:rPr>
                <w:sz w:val="24"/>
                <w:rFonts w:ascii="Times New Roman" w:hAnsi="Times New Roman"/>
              </w:rPr>
              <w:t xml:space="preserve"> </w:t>
            </w:r>
            <w:r>
              <w:rPr>
                <w:sz w:val="24"/>
                <w:rFonts w:ascii="Times New Roman" w:hAnsi="Times New Roman"/>
              </w:rPr>
              <w:t xml:space="preserve">Hvis et institut har en kort position uden matchende direkte position, betragtes den korte position som nul med henblik på denne kolonne.</w:t>
            </w:r>
            <w:r>
              <w:rPr>
                <w:sz w:val="24"/>
                <w:rFonts w:ascii="Times New Roman" w:hAnsi="Times New Roman"/>
              </w:rPr>
              <w:t xml:space="preserve">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0030-0120</w:t>
            </w:r>
          </w:p>
        </w:tc>
        <w:tc>
          <w:tcPr>
            <w:tcW w:w="8640" w:type="dxa"/>
          </w:tcPr>
          <w:p w14:paraId="77D588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BORTSET FRA DERIVATER, EFTER PORTEFØLJEREGNSKABER</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samlede sum af den regnskabsmæssige værdi af finansielle aktiver, som ikke er derivater, som defineret i rækken ovenfor i denne tabel, mod offentlig forvaltning og service efter porteføljeregnskab i henhold til de gældende regnskabsregler</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640" w:type="dxa"/>
          </w:tcPr>
          <w:p w14:paraId="536B204E"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Finansielle aktiver, som besiddes med handel for øje</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7.8(a)(ii),</w:t>
            </w:r>
            <w:r>
              <w:rPr>
                <w:sz w:val="24"/>
                <w:rFonts w:ascii="Times New Roman" w:hAnsi="Times New Roman"/>
              </w:rPr>
              <w:t xml:space="preserve"> </w:t>
            </w:r>
            <w:r>
              <w:rPr>
                <w:sz w:val="24"/>
                <w:rFonts w:ascii="Times New Roman" w:hAnsi="Times New Roman"/>
              </w:rPr>
              <w:t xml:space="preserve">IFRS 9 Appendiks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640" w:type="dxa"/>
          </w:tcPr>
          <w:p w14:paraId="5F82DDB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i handelsbeholdningen</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32 og 33 i Rådets direktiv 86/635/EØF,</w:t>
            </w:r>
            <w:r>
              <w:rPr>
                <w:sz w:val="24"/>
                <w:rFonts w:ascii="Times New Roman" w:hAnsi="Times New Roman"/>
              </w:rPr>
              <w:t xml:space="preserve"> </w:t>
            </w:r>
            <w:r>
              <w:rPr>
                <w:sz w:val="24"/>
                <w:rFonts w:ascii="Times New Roman" w:hAnsi="Times New Roman"/>
              </w:rPr>
              <w:t xml:space="preserve">del 1, punkt 16, i bilag V til denne gennemførelsesforordning,</w:t>
            </w:r>
            <w:r>
              <w:rPr>
                <w:sz w:val="24"/>
                <w:rFonts w:ascii="Times New Roman" w:hAnsi="Times New Roman"/>
              </w:rPr>
              <w:t xml:space="preserve"> </w:t>
            </w:r>
            <w:r>
              <w:rPr>
                <w:sz w:val="24"/>
                <w:rFonts w:ascii="Times New Roman" w:hAnsi="Times New Roman"/>
              </w:rPr>
              <w:t xml:space="preserve">artikel 8, stk. 1, litra a), i direktiv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Indberettes kun af institutter efter nationale almindeligt anerkendte regnskabsprincipper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640" w:type="dxa"/>
          </w:tcPr>
          <w:p w14:paraId="00F501F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uden for handelsbeholdningen, som skal måles til dagsværdi gennem resultatet</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7.8(a)(ii),</w:t>
            </w:r>
            <w:r>
              <w:rPr>
                <w:sz w:val="24"/>
                <w:rFonts w:ascii="Times New Roman" w:hAnsi="Times New Roman"/>
              </w:rPr>
              <w:t xml:space="preserve"> </w:t>
            </w:r>
            <w:r>
              <w:rPr>
                <w:sz w:val="24"/>
                <w:rFonts w:ascii="Times New Roman" w:hAnsi="Times New Roman"/>
              </w:rPr>
              <w:t xml:space="preserve">IFRS 9.4.1.4.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640" w:type="dxa"/>
          </w:tcPr>
          <w:p w14:paraId="6F96930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klassificeret til dagsværdi gennem resultatet</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7.8(a)(i),</w:t>
            </w:r>
            <w:r>
              <w:rPr>
                <w:sz w:val="24"/>
                <w:rFonts w:ascii="Times New Roman" w:hAnsi="Times New Roman"/>
              </w:rPr>
              <w:t xml:space="preserve"> </w:t>
            </w:r>
            <w:r>
              <w:rPr>
                <w:sz w:val="24"/>
                <w:rFonts w:ascii="Times New Roman" w:hAnsi="Times New Roman"/>
              </w:rPr>
              <w:t xml:space="preserve">IFRS 9.4.1.5 og artikel 8, stk. 1, litra a), og artikel 8, stk. 6, i direktiv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640" w:type="dxa"/>
          </w:tcPr>
          <w:p w14:paraId="68D7390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bortset fra derivater, uden for handelsbeholdningen, målt til dagsværdi gennem resultatet</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36, stk. 2, i Rådets direktiv 86/635/EØF,</w:t>
            </w:r>
            <w:r>
              <w:rPr>
                <w:sz w:val="24"/>
                <w:rFonts w:ascii="Times New Roman" w:hAnsi="Times New Roman"/>
              </w:rPr>
              <w:t xml:space="preserve"> </w:t>
            </w:r>
            <w:r>
              <w:rPr>
                <w:sz w:val="24"/>
                <w:rFonts w:ascii="Times New Roman" w:hAnsi="Times New Roman"/>
              </w:rPr>
              <w:t xml:space="preserve">artikel 8, stk. 1, litra a), i direktiv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Indberettes kun af institutter efter nationale almindeligt anerkendte regnskabsprincipper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640" w:type="dxa"/>
          </w:tcPr>
          <w:p w14:paraId="3A843C3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til dagsværdi gennem anden totalindkomst</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IFRS 7.8(d),</w:t>
            </w:r>
            <w:r>
              <w:rPr>
                <w:sz w:val="24"/>
                <w:rFonts w:ascii="Times New Roman" w:hAnsi="Times New Roman"/>
              </w:rPr>
              <w:t xml:space="preserve"> </w:t>
            </w:r>
            <w:r>
              <w:rPr>
                <w:sz w:val="24"/>
                <w:rFonts w:ascii="Times New Roman" w:hAnsi="Times New Roman"/>
              </w:rPr>
              <w:t xml:space="preserve">IFRS 9.4.1.2A.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640" w:type="dxa"/>
          </w:tcPr>
          <w:p w14:paraId="508FA16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bortset fra derivater, uden for handelsbeholdningen, målt til dagsværdi i egenkapitalen</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8, stk. 1, litra a), og artikel 8, stk. 8, i direktiv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Indberettes kun af institutter efter nationale almindeligt anerkendte regnskabsprincipper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640" w:type="dxa"/>
          </w:tcPr>
          <w:p w14:paraId="479F694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til amortiseret kostpris</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IFRS 7.8(f),</w:t>
            </w:r>
            <w:r>
              <w:rPr>
                <w:sz w:val="24"/>
                <w:rFonts w:ascii="Times New Roman" w:hAnsi="Times New Roman"/>
              </w:rPr>
              <w:t xml:space="preserve"> </w:t>
            </w:r>
            <w:r>
              <w:rPr>
                <w:sz w:val="24"/>
                <w:rFonts w:ascii="Times New Roman" w:hAnsi="Times New Roman"/>
              </w:rPr>
              <w:t xml:space="preserve">IFRS 9.4.1.2,</w:t>
            </w:r>
            <w:r>
              <w:rPr>
                <w:sz w:val="24"/>
                <w:rFonts w:ascii="Times New Roman" w:hAnsi="Times New Roman"/>
              </w:rPr>
              <w:t xml:space="preserve"> </w:t>
            </w:r>
            <w:r>
              <w:rPr>
                <w:sz w:val="24"/>
                <w:rFonts w:ascii="Times New Roman" w:hAnsi="Times New Roman"/>
              </w:rPr>
              <w:t xml:space="preserve">bilag V, del 1, punkt 15</w:t>
            </w:r>
            <w:r>
              <w:rPr>
                <w:sz w:val="24"/>
                <w:rFonts w:ascii="Times New Roman" w:hAnsi="Times New Roman"/>
              </w:rPr>
              <w:t xml:space="preserve">, til denne gennemførelsesforordning</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640" w:type="dxa"/>
          </w:tcPr>
          <w:p w14:paraId="766084D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Finansielle aktiver, bortset fra derivater, uden for handelsbeholdningen, målt med en omkostningsbaseret metode</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35 i Rådets direktiv 86/635/EØF,</w:t>
            </w:r>
            <w:r>
              <w:rPr>
                <w:sz w:val="24"/>
                <w:rFonts w:ascii="Times New Roman" w:hAnsi="Times New Roman"/>
              </w:rPr>
              <w:t xml:space="preserve"> </w:t>
            </w:r>
            <w:r>
              <w:rPr>
                <w:sz w:val="24"/>
                <w:rFonts w:ascii="Times New Roman" w:hAnsi="Times New Roman"/>
              </w:rPr>
              <w:t xml:space="preserve">artikel 6, stk. 1, nr. i), og artikel 8, stk. 2, i direktiv 2013/34/EU,</w:t>
            </w:r>
            <w:r>
              <w:rPr>
                <w:sz w:val="24"/>
                <w:rFonts w:ascii="Times New Roman" w:hAnsi="Times New Roman"/>
              </w:rPr>
              <w:t xml:space="preserve"> </w:t>
            </w:r>
            <w:r>
              <w:rPr>
                <w:sz w:val="24"/>
                <w:rFonts w:ascii="Times New Roman" w:hAnsi="Times New Roman"/>
              </w:rPr>
              <w:t xml:space="preserve">bilag V, del 1, punkt 16, til denne gennemførelsesforordning</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Indberettes kun af institutter efter nationale almindeligt anerkendte regnskabsprincipper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640" w:type="dxa"/>
          </w:tcPr>
          <w:p w14:paraId="4E4E0E80"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Andre finansielle aktiver, bortset fra derivater, uden for handelsbeholdningen</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37 i Rådets direktiv 86/635/EØF,</w:t>
            </w:r>
            <w:r>
              <w:rPr>
                <w:sz w:val="24"/>
                <w:rFonts w:ascii="Times New Roman" w:hAnsi="Times New Roman"/>
              </w:rPr>
              <w:t xml:space="preserve"> </w:t>
            </w:r>
            <w:r>
              <w:rPr>
                <w:sz w:val="24"/>
                <w:rFonts w:ascii="Times New Roman" w:hAnsi="Times New Roman"/>
              </w:rPr>
              <w:t xml:space="preserve">artikel 12, stk. 7, i direktiv 2013/34/EU,</w:t>
            </w:r>
            <w:r>
              <w:rPr>
                <w:sz w:val="24"/>
                <w:rFonts w:ascii="Times New Roman" w:hAnsi="Times New Roman"/>
              </w:rPr>
              <w:t xml:space="preserve"> </w:t>
            </w:r>
            <w:r>
              <w:rPr>
                <w:sz w:val="24"/>
                <w:rFonts w:ascii="Times New Roman" w:hAnsi="Times New Roman"/>
              </w:rPr>
              <w:t xml:space="preserve">bilag V, del 1, punkt 16, til denne gennemførelsesforordning</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Indberettes kun af institutter efter nationale almindeligt anerkendte regnskabsprincipper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640" w:type="dxa"/>
          </w:tcPr>
          <w:p w14:paraId="76C04A1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Korte positioner</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regnskabsmæssige værdi af korte positioner som defineret i IFRS 9 BA.7(b), hvis den direkte modpart er en enhed inden for offentlig forvaltning og service, som defineret i punkt 155-160 i bilaget.</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Korte positioner opstår, hvis instituttet sælger værdipapirer, der er erhvervet ved et omvendt repolån eller er lånt i en transaktion med udlån af værdipapirer.</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regnskabsmæssige værdi er dagsværdien af de korte positioner.</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Korte positioner skal indberettes efter restløbetidsklasse, som opført i række 0170-0230, og efter umiddelbar modpart.</w:t>
            </w:r>
            <w:r>
              <w:rPr>
                <w:sz w:val="24"/>
                <w:rFonts w:ascii="Times New Roman" w:hAnsi="Times New Roman"/>
              </w:rPr>
              <w:t xml:space="preserve">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 korte positioner, der indberettes i denne kolonne, kan modregnes i positioner med samme restløbetid og umiddelbare modpart og angivet i samme valuta som indberettet i kolonne 0030 til 0120 for at opnå den nettoposition, der er indberettet i kolonne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640" w:type="dxa"/>
          </w:tcPr>
          <w:p w14:paraId="7E8B659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Heraf: Korte positioner fra omvendte repolån klassificeret som "besiddes med handel for øje" eller er i handelsbeholdningen</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regnskabsmæssige værdi af korte positioner som defineret i IFRS 9 BA.7(b), der opstår, når instituttet sælger værdipapirer, der er erhvervet ved et omvendt repolån, hvis den direkte modpart for disse værdipapirer er en enhed inden for offentlig forvaltning og service, og som indgår i porteføljen over finansielle aktiver, som "besiddes med handel for øje" eller er i handelsbeholdningen (kolonne 0030 eller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Korte positioner, der opstår, når de solgte værdipapirer blev lånt i en transaktion med udlån af værdipapirer, medtages ikke i denne kolonne.</w:t>
            </w:r>
            <w:r>
              <w:rPr>
                <w:sz w:val="24"/>
                <w:rFonts w:ascii="Times New Roman" w:hAnsi="Times New Roman"/>
              </w:rPr>
              <w:t xml:space="preserve">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0150</w:t>
            </w:r>
          </w:p>
        </w:tc>
        <w:tc>
          <w:tcPr>
            <w:tcW w:w="8640" w:type="dxa"/>
          </w:tcPr>
          <w:p w14:paraId="6965A7CA"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Akkumuleret værdiforringelse</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Aggregeret akkumuleret værdiforringelse vedrørende finansielle aktiver, bortset fra derivater, der er indberettet i kolonne 0080-0120 (bilag V, del 2, punkt 70 og 71, til denne gennemførelsesforordning)</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640" w:type="dxa"/>
          </w:tcPr>
          <w:p w14:paraId="053E70B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Akkumuleret værdiforringelse — heraf: fra finansielle aktiver til dagsværdi gennem anden totalindkomst eller fra finansielle aktiver, bortset fra derivater, uden for handelsbeholdningen, målt til dagsværdi i egenkapitalen</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Aggregeret akkumuleret værdiforringelse vedrørende finansielle aktiver, bortset fra derivater, der er indberettet i kolonne 0080 og 0090.</w:t>
            </w:r>
            <w:r>
              <w:rPr>
                <w:sz w:val="24"/>
                <w:rFonts w:ascii="Times New Roman" w:hAnsi="Times New Roman"/>
              </w:rPr>
              <w:t xml:space="preserve">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bCs/>
                <w:sz w:val="24"/>
                <w:rFonts w:ascii="Times New Roman" w:hAnsi="Times New Roman"/>
              </w:rPr>
            </w:pPr>
            <w:r>
              <w:rPr>
                <w:sz w:val="24"/>
                <w:rFonts w:ascii="Times New Roman" w:hAnsi="Times New Roman"/>
              </w:rPr>
              <w:t xml:space="preserve">0170</w:t>
            </w:r>
          </w:p>
        </w:tc>
        <w:tc>
          <w:tcPr>
            <w:tcW w:w="8640" w:type="dxa"/>
          </w:tcPr>
          <w:p w14:paraId="7BD9BE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Akkumulerede negative ændringer i dagsværdi på grund af kreditrisiko</w:t>
            </w:r>
            <w:r>
              <w:rPr>
                <w:b/>
                <w:sz w:val="24"/>
                <w:u w:val="single"/>
                <w:rFonts w:ascii="Times New Roman" w:hAnsi="Times New Roman"/>
              </w:rPr>
              <w:t xml:space="preserve">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aggregerede sum af akkumulerede negative ændringer i dagsværdi på grund af kreditrisiko vedrørende positioner angivet i kolonne 0050, 0060, 0070, 0080 og 0090 (del 2, punkt 69, i bilag V til denne gennemførelsesforordning)</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0180</w:t>
            </w:r>
          </w:p>
        </w:tc>
        <w:tc>
          <w:tcPr>
            <w:tcW w:w="8640" w:type="dxa"/>
          </w:tcPr>
          <w:p w14:paraId="78160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Akkumulerede negative ændringer i dagsværdi på grund af kreditrisiko — heraf: fra finansielle aktiver, uden for handelsbeholdningen, som skal måles til dagsværdi gennem resultatet, finansielle aktiver klassificeret til dagsværdi gennem resultatet eller fra finansielle aktiver uden for handelsbeholdningen, målt til dagsværdi gennem resultatet</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aggregerede sum af akkumulerede negative ændringer i dagsværdi på grund af kreditrisiko vedrørende positioner angivet i kolonne 0050, 0060 og 0070.</w:t>
            </w:r>
          </w:p>
          <w:p w14:paraId="24A9000C"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0190</w:t>
            </w:r>
          </w:p>
        </w:tc>
        <w:tc>
          <w:tcPr>
            <w:tcW w:w="8640" w:type="dxa"/>
          </w:tcPr>
          <w:p w14:paraId="6C4F0B8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Akkumulerede negative ændringer i dagsværdi på grund af kreditrisiko — heraf: fra finansielle aktiver til dagsværdi gennem anden totalindkomst eller fra finansielle aktiver, bortset fra derivater, uden for handelsbeholdningen, målt til dagsværdi i egenkapitalen</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aggregerede sum af akkumulerede negative ændringer i dagsværdi på grund af kreditrisiko vedrørende positioner angivet i kolonne 0080 og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0200-0230</w:t>
            </w:r>
          </w:p>
        </w:tc>
        <w:tc>
          <w:tcPr>
            <w:tcW w:w="8640" w:type="dxa"/>
          </w:tcPr>
          <w:p w14:paraId="1A3371F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Direkte derivatpositioner skal indberettes i kolonne 0200-0230.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Hvad angår indberetning af derivater, som er genstand for både modpartsrisiko og kapitalkrav vedrørende markedsrisiko, henvises til instrukserne for opdelingen af række.</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0200-0210</w:t>
            </w:r>
          </w:p>
        </w:tc>
        <w:tc>
          <w:tcPr>
            <w:tcW w:w="8640" w:type="dxa"/>
          </w:tcPr>
          <w:p w14:paraId="7FE3AF34"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 med positiv dagsværdi</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Alle derivater, som har en modpart inden for offentlig forvaltning og service, og som har en positiv dagsværdi for instituttet på indberetningsdatoen, uanset om disse instrumenter anvendes i et sikringsforhold, der kan betegnes som sådan, besiddes med handel for øje eller medregnes i handelsporteføljen under IFRS og nationale almindeligt anerkendte regnskabsprincipper baseret på Rådets direktiv 86/635/EØF.</w:t>
            </w:r>
            <w:r>
              <w:rPr>
                <w:sz w:val="24"/>
                <w:rFonts w:ascii="Times New Roman" w:hAnsi="Times New Roman"/>
              </w:rPr>
              <w:t xml:space="preserve">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Derivater, der anvendes til økonomisk sikring, skal indberettes her, når de medregnes i handelsporteføljen eller i porteføljen "besiddes med handel for øje" (del 2, punkt 120, 124, 125 og 137-140, i bilag V til denne gennemførelsesforordning).</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0200</w:t>
            </w:r>
          </w:p>
        </w:tc>
        <w:tc>
          <w:tcPr>
            <w:tcW w:w="8640" w:type="dxa"/>
          </w:tcPr>
          <w:p w14:paraId="3E1D07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 med positiv dagsværdi:</w:t>
            </w:r>
            <w:r>
              <w:rPr>
                <w:b/>
                <w:sz w:val="24"/>
                <w:u w:val="single"/>
                <w:rFonts w:ascii="Times New Roman" w:hAnsi="Times New Roman"/>
              </w:rPr>
              <w:t xml:space="preserve"> </w:t>
            </w:r>
            <w:r>
              <w:rPr>
                <w:b/>
                <w:sz w:val="24"/>
                <w:u w:val="single"/>
                <w:rFonts w:ascii="Times New Roman" w:hAnsi="Times New Roman"/>
              </w:rPr>
              <w:t xml:space="preserve">Regnskabsmæssig værdi</w:t>
            </w:r>
            <w:r>
              <w:rPr>
                <w:b/>
                <w:sz w:val="24"/>
                <w:u w:val="single"/>
                <w:rFonts w:ascii="Times New Roman" w:hAnsi="Times New Roman"/>
              </w:rPr>
              <w:t xml:space="preserve">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regnskabsmæssige værdi af de derivater, der regnes for finansielle aktiver på referencedatoen for indberetning.</w:t>
            </w:r>
            <w:r>
              <w:rPr>
                <w:sz w:val="24"/>
                <w:rFonts w:ascii="Times New Roman" w:hAnsi="Times New Roman"/>
              </w:rPr>
              <w:t xml:space="preserve">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Ved anvendelse af almindeligt anerkendte regnskabsprincipper baseret på Rådets direktiv 86/635/EØF omfatter derivater, der skal indberettes i disse kolonner, de derivater, der måles til kostpris eller den laveste værdi af kostprisen eller markedsværdien, og som medregnes i handelsporteføljen eller klassificeres som sikringsinstrumenter.</w:t>
            </w:r>
            <w:r>
              <w:rPr>
                <w:sz w:val="24"/>
                <w:rFonts w:ascii="Times New Roman" w:hAnsi="Times New Roman"/>
              </w:rPr>
              <w:t xml:space="preserv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0210</w:t>
            </w:r>
          </w:p>
        </w:tc>
        <w:tc>
          <w:tcPr>
            <w:tcW w:w="8640" w:type="dxa"/>
          </w:tcPr>
          <w:p w14:paraId="2BD96D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 med positiv dagsværdi:</w:t>
            </w:r>
            <w:r>
              <w:rPr>
                <w:b/>
                <w:sz w:val="24"/>
                <w:u w:val="single"/>
                <w:rFonts w:ascii="Times New Roman" w:hAnsi="Times New Roman"/>
              </w:rPr>
              <w:t xml:space="preserve"> </w:t>
            </w:r>
            <w:r>
              <w:rPr>
                <w:b/>
                <w:sz w:val="24"/>
                <w:u w:val="single"/>
                <w:rFonts w:ascii="Times New Roman" w:hAnsi="Times New Roman"/>
              </w:rPr>
              <w:t xml:space="preserve">Notionel værdi</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Ved anvendelse af IFRS og nationale almindeligt anerkendte regnskabsprincipper baseret på Rådets direktiv 86/635/EØF er dette den nominelle værdi, som defineret i bilag V, del 2, punkt 133-135, til denne gennemførelsesforordning, af alle derivatkontrakter, der er indgået og endnu ikke afregnet på referencedatoen for indberetning, og hvis modpart er en enhed inden for offentlig forvaltning og service, som defineret i punkt 191 til 196 i dette bilag, når derivatets dagsværdi er positiv for instituttet på referencedatoen.</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0220-0230</w:t>
            </w:r>
          </w:p>
        </w:tc>
        <w:tc>
          <w:tcPr>
            <w:tcW w:w="8640" w:type="dxa"/>
          </w:tcPr>
          <w:p w14:paraId="51C3AE6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 med negativ dagsværdi</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Alle derivater, som har en modpart inden for offentlig forvaltning og service, og som har en negativ dagsværdi for instituttet på referencedatoen for indberetning, uanset om disse instrumenter anvendes i et sikringsforhold, der kan betegnes som sådan, besiddes med handel for øje eller medregnes i handelsporteføljen under IFRS og nationale almindeligt anerkendte regnskabsprincipper baseret på Rådets direktiv 86/635/EØF.</w:t>
            </w:r>
            <w:r>
              <w:rPr>
                <w:sz w:val="24"/>
                <w:rFonts w:ascii="Times New Roman" w:hAnsi="Times New Roman"/>
              </w:rPr>
              <w:t xml:space="preserve">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Derivater, der anvendes til økonomisk sikring, skal indberettes her, når de medregnes i handelsporteføljen eller i porteføljen "besiddes med handel for øje" (del 2, punkt 120, 124, 125 og 137-140, i bilag V til denne gennemførelsesforordning).</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0220</w:t>
            </w:r>
          </w:p>
        </w:tc>
        <w:tc>
          <w:tcPr>
            <w:tcW w:w="8640" w:type="dxa"/>
          </w:tcPr>
          <w:p w14:paraId="1F315A9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 med negativ dagsværdi:</w:t>
            </w:r>
            <w:r>
              <w:rPr>
                <w:b/>
                <w:sz w:val="24"/>
                <w:u w:val="single"/>
                <w:rFonts w:ascii="Times New Roman" w:hAnsi="Times New Roman"/>
              </w:rPr>
              <w:t xml:space="preserve"> </w:t>
            </w:r>
            <w:r>
              <w:rPr>
                <w:b/>
                <w:sz w:val="24"/>
                <w:u w:val="single"/>
                <w:rFonts w:ascii="Times New Roman" w:hAnsi="Times New Roman"/>
              </w:rPr>
              <w:t xml:space="preserve">Regnskabsmæssig værdi</w:t>
            </w:r>
            <w:r>
              <w:rPr>
                <w:b/>
                <w:sz w:val="24"/>
                <w:u w:val="single"/>
                <w:rFonts w:ascii="Times New Roman" w:hAnsi="Times New Roman"/>
              </w:rPr>
              <w:t xml:space="preserve">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regnskabsmæssige værdi af de derivater, der regnes for finansielle forpligtelser på referencedatoen for indberetning.</w:t>
            </w:r>
            <w:r>
              <w:rPr>
                <w:sz w:val="24"/>
                <w:rFonts w:ascii="Times New Roman" w:hAnsi="Times New Roman"/>
              </w:rPr>
              <w:t xml:space="preserve">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Ved anvendelse af almindeligt anerkendte regnskabsprincipper baseret på Rådets direktiv 86/635/EØF omfatter derivater, der skal indberettes i disse kolonner, de derivater, der måles til kostpris eller den laveste værdi af kostprisen eller markedsværdien, og som medregnes i handelsporteføljen eller klassificeres som sikringsinstrumenter.</w:t>
            </w:r>
            <w:r>
              <w:rPr>
                <w:sz w:val="24"/>
                <w:rFonts w:ascii="Times New Roman" w:hAnsi="Times New Roman"/>
              </w:rPr>
              <w:t xml:space="preserv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0230</w:t>
            </w:r>
          </w:p>
        </w:tc>
        <w:tc>
          <w:tcPr>
            <w:tcW w:w="8640" w:type="dxa"/>
          </w:tcPr>
          <w:p w14:paraId="2C9A0CD6" w14:textId="77777777" w:rsidR="00BD16F2" w:rsidRPr="002A677E" w:rsidRDefault="00BD16F2" w:rsidP="00E07FE9">
            <w:pPr>
              <w:spacing w:before="0" w:after="0"/>
              <w:rPr>
                <w:b/>
                <w:bCs/>
                <w:sz w:val="24"/>
                <w:u w:val="single"/>
                <w:rFonts w:ascii="Times New Roman" w:hAnsi="Times New Roman"/>
              </w:rPr>
            </w:pPr>
            <w:r>
              <w:rPr>
                <w:b/>
                <w:sz w:val="24"/>
                <w:u w:val="single"/>
                <w:rFonts w:ascii="Times New Roman" w:hAnsi="Times New Roman"/>
              </w:rPr>
              <w:t xml:space="preserve">Derivater med negativ dagsværdi:</w:t>
            </w:r>
            <w:r>
              <w:rPr>
                <w:b/>
                <w:sz w:val="24"/>
                <w:u w:val="single"/>
                <w:rFonts w:ascii="Times New Roman" w:hAnsi="Times New Roman"/>
              </w:rPr>
              <w:t xml:space="preserve"> </w:t>
            </w:r>
            <w:r>
              <w:rPr>
                <w:b/>
                <w:sz w:val="24"/>
                <w:u w:val="single"/>
                <w:rFonts w:ascii="Times New Roman" w:hAnsi="Times New Roman"/>
              </w:rPr>
              <w:t xml:space="preserve">Notionel værdi</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Ved anvendelse af IFRS og nationale almindeligt anerkendte regnskabsprincipper baseret på Rådets direktiv 86/635/EØF er dette den nominelle værdi, som defineret i del 2, punkt 133-135, i bilag V til denne gennemførelsesforordning, af alle derivatkontrakter, der er indgået og endnu ikke afregnet på referencedatoen, og hvis modpart er en enhed inden for offentlig forvaltning og service, som defineret i punkt 191 til 196 i dette bilag, når derivatets dagsværdi er negativ for instituttet på referencedatoen.</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0240-0260</w:t>
            </w:r>
          </w:p>
        </w:tc>
        <w:tc>
          <w:tcPr>
            <w:tcW w:w="8640" w:type="dxa"/>
          </w:tcPr>
          <w:p w14:paraId="006F006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IKKEBALANCEFØRTE EKSPONERINGER</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0240</w:t>
            </w:r>
          </w:p>
        </w:tc>
        <w:tc>
          <w:tcPr>
            <w:tcW w:w="8640" w:type="dxa"/>
          </w:tcPr>
          <w:p w14:paraId="3ED0E67D"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Nominel værdi</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Når den direkte modpart for den ikkebalanceførte post er en enhed inden for offentlig forvaltning og service som defineret i punkt 155 til 160 i dette bilag, er dette den nominelle værdi af de forpligtelser og finansielle garantier, der ikke betragtes som derivater i overensstemmelse med IFRS eller nationale almindeligt anerkendte regnskabsprincipper baseret på Rådets direktiv 86/635/EØF (del 2, punkt 102-119, i bilag V til denne gennemførelsesforordning).</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b/>
                <w:bCs/>
                <w:sz w:val="24"/>
                <w:u w:val="single"/>
                <w:rFonts w:ascii="Times New Roman" w:hAnsi="Times New Roman"/>
              </w:rPr>
            </w:pPr>
            <w:r>
              <w:rPr>
                <w:sz w:val="24"/>
                <w:rFonts w:ascii="Times New Roman" w:hAnsi="Times New Roman"/>
              </w:rPr>
              <w:t xml:space="preserve">I henhold til del 2, punkt 43 og 44, i bilag V til denne gennemførelsesforordning er enheden inden for offentlig forvaltning og service den direkte modpart:</w:t>
            </w:r>
            <w:r>
              <w:rPr>
                <w:sz w:val="24"/>
                <w:rFonts w:ascii="Times New Roman" w:hAnsi="Times New Roman"/>
              </w:rPr>
              <w:t xml:space="preserve"> </w:t>
            </w:r>
            <w:r>
              <w:rPr>
                <w:sz w:val="24"/>
                <w:rFonts w:ascii="Times New Roman" w:hAnsi="Times New Roman"/>
              </w:rPr>
              <w:t xml:space="preserve">a) i afgivne finansielle garantier, når den er den direkte modpart i det garanterede gældsinstrument, og b) i afgivne lånetilsagn og andre tilsagn, når den er den modpart, hvis kreditrisiko antages af det indberettende institut.</w:t>
            </w:r>
            <w:r>
              <w:rPr>
                <w:sz w:val="24"/>
                <w:rFonts w:ascii="Times New Roman" w:hAnsi="Times New Roman"/>
              </w:rPr>
              <w:t xml:space="preserv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0250</w:t>
            </w:r>
          </w:p>
        </w:tc>
        <w:tc>
          <w:tcPr>
            <w:tcW w:w="8640" w:type="dxa"/>
          </w:tcPr>
          <w:p w14:paraId="22A72945"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Hensættelser</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Artikel 4 "passiver", nr. 6, litra c), og "ikke balanceførte poster", artikel 27, nr. 11, artikel 28, nr. 8, og artikel 33 i Rådets direktiv 86/635/EØF;</w:t>
            </w:r>
            <w:r>
              <w:rPr>
                <w:sz w:val="24"/>
                <w:rFonts w:ascii="Times New Roman" w:hAnsi="Times New Roman"/>
              </w:rPr>
              <w:t xml:space="preserve"> </w:t>
            </w:r>
            <w:r>
              <w:rPr>
                <w:sz w:val="24"/>
                <w:rFonts w:ascii="Times New Roman" w:hAnsi="Times New Roman"/>
              </w:rPr>
              <w:t xml:space="preserve">IFRS 9.4.2.1(c)(ii),(d)(ii), 9.5.5.20; IAS 37, IFRS 4, del 2.11 i bilag V til denne gennemførelsesforordning.</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Hensættelser for alle ikkebalanceførte eksponeringer, uanset hvordan de måles, bortset fra dem, der måles til dagsværdi gennem resultatet i overensstemmelse med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Ved anvendelse af IFRS indberettes værdiforringelsen af et afgivet lånetilsagn i kolonne 150, når instituttet ikke kan identificere de forventede kredittab vedrørende den udnyttede og uudnyttede værdi af gældsinstrumentet.</w:t>
            </w:r>
            <w:r>
              <w:rPr>
                <w:sz w:val="24"/>
                <w:rFonts w:ascii="Times New Roman" w:hAnsi="Times New Roman"/>
              </w:rPr>
              <w:t xml:space="preserve"> </w:t>
            </w:r>
            <w:r>
              <w:rPr>
                <w:sz w:val="24"/>
                <w:rFonts w:ascii="Times New Roman" w:hAnsi="Times New Roman"/>
              </w:rPr>
              <w:t xml:space="preserve">Hvis det kombinerede forventede kredittab for det pågældende finansielle instrument overstiger den regnskabsmæssige bruttoværdi af instrumentets lånekomponent, skal restbeløbet for de forventede kredittab indberettes som en hensættelse i kolonne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0260</w:t>
            </w:r>
          </w:p>
        </w:tc>
        <w:tc>
          <w:tcPr>
            <w:tcW w:w="8640" w:type="dxa"/>
          </w:tcPr>
          <w:p w14:paraId="1E41EC8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Akkumulerede negative ændringer i dagsværdi på grund af kreditrisiko</w:t>
            </w:r>
            <w:r>
              <w:rPr>
                <w:b/>
                <w:sz w:val="24"/>
                <w:u w:val="single"/>
                <w:rFonts w:ascii="Times New Roman" w:hAnsi="Times New Roman"/>
              </w:rPr>
              <w:t xml:space="preserve">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For ikkebalanceførte poster, der måles til dagsværdi gennem resultatet i overensstemmelse med IFRS 9, de akkumulerede negative ændringer i dagsværdi på grund af kreditrisiko (del 2, punkt 110, i bilag V til denne gennemførelsesforordning).</w:t>
            </w:r>
          </w:p>
          <w:p w14:paraId="14DC17A6" w14:textId="77777777" w:rsidR="00BD16F2" w:rsidRPr="002A677E" w:rsidRDefault="00BD16F2" w:rsidP="00E07FE9">
            <w:pPr>
              <w:spacing w:before="0" w:after="0"/>
              <w:ind w:left="33"/>
              <w:rPr>
                <w:b/>
                <w:bCs/>
                <w:sz w:val="24"/>
                <w:u w:val="single"/>
                <w:rFonts w:ascii="Times New Roman" w:hAnsi="Times New Roman"/>
              </w:rPr>
            </w:pPr>
            <w:r>
              <w:rPr>
                <w:sz w:val="24"/>
                <w:u w:val="single"/>
                <w:rFonts w:ascii="Times New Roman" w:hAnsi="Times New Roman"/>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Memorandumpost:</w:t>
            </w:r>
            <w:r>
              <w:rPr>
                <w:b/>
                <w:sz w:val="24"/>
                <w:u w:val="single"/>
                <w:rFonts w:ascii="Times New Roman" w:hAnsi="Times New Roman"/>
              </w:rPr>
              <w:t xml:space="preserve"> </w:t>
            </w:r>
            <w:r>
              <w:rPr>
                <w:b/>
                <w:sz w:val="24"/>
                <w:u w:val="single"/>
                <w:rFonts w:ascii="Times New Roman" w:hAnsi="Times New Roman"/>
              </w:rPr>
              <w:t xml:space="preserve">Kreditderivater, der er solgt på grundlag af eksponeringer mod offentlig forvaltning og service</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Kreditderivater, der ikke opfylder definitionen af finansielle garantier i bilag V, del 2, punkt 58, som det indberettende institut har indgået med andre modparter end offentlig forvaltning og service, og hvis referenceeksponering er en enhed inden for offentlig forvaltning og service, skal indberettes.</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Disse kolonner indberettes ikke for eksponeringer, der opdeles efter risiko, lovgivningsmæssig fremgangsmåde og eksponeringsklasse (række 0020-0160).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 med positiv dagsværdi — Regnskabsmæssig værdi</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aggregerede regnskabsmæssige værdi af de indberettede kreditderivater, som er solgt på grundlag af eksponeringer mod offentlig forvaltning og service, og som har en positiv dagsværdi for instituttet på referencedatoen for indberetning, uden at justeringer som følge af forsigtighedsbaseret værdiansættelse tages i betragtning.</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For derivater, der er omfattet af IFRS, er den værdi, der skal indberettes, den regnskabsmæssige værdi af de derivater, der er finansielle aktiver på indberetningsdatoen.</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For derivater, der er omfattet af almindeligt anerkendte regnskabsprincipper baseret på Rådets direktiv 86/635/EØF, er den værdi, der skal indberettes i denne kolonne, dagsværdien af de derivater, der har en positiv dagsværdi på referencedatoen for indberetning, uanset hvordan de medregnes.</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Derivater med negativ dagsværdi — Regnskabsmæssig værdi</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aggregerede regnskabsmæssige værdi af de indberettede kreditderivater, som er solgt på grundlag af eksponeringer mod offentlig forvaltning og service, og som har en negativ dagsværdi for instituttet på referencedatoen for indberetning, uden at justeringer som følge af forsigtighedsbaseret værdiansættelse tages i betragtning.</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For derivater, der er omfattet af IFRS, er den værdi, der skal indberettes i denne kolonne, den regnskabsmæssige værdi af de derivater, der er finansielle forpligtelser på indberetningsdatoen.</w:t>
            </w:r>
            <w:r>
              <w:rPr>
                <w:sz w:val="24"/>
                <w:rFonts w:ascii="Times New Roman" w:hAnsi="Times New Roman"/>
              </w:rPr>
              <w:t xml:space="preserv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For derivater, der er omfattet af almindeligt anerkendte regnskabsprincipper baseret på Rådets direktiv 86/635/EØF, er den værdi, der skal indberettes i denne kolonne, dagsværdien af de derivater, der har en negativ dagsværdi på referencedatoen for indberetning, uanset hvordan de medregnes.</w:t>
            </w:r>
            <w:r>
              <w:rPr>
                <w:sz w:val="24"/>
                <w:b/>
                <w:u w:val="single"/>
                <w:rFonts w:ascii="Times New Roman" w:hAnsi="Times New Roman"/>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bCs/>
                <w:sz w:val="24"/>
                <w:rFonts w:ascii="Times New Roman" w:hAnsi="Times New Roman"/>
              </w:rPr>
            </w:pPr>
            <w:r>
              <w:rPr>
                <w:sz w:val="24"/>
                <w:rFonts w:ascii="Times New Roman" w:hAnsi="Times New Roman"/>
              </w:rPr>
              <w:t xml:space="preserve">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Eksponeringsværdi</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Eksponeringsværdi for eksponeringer, der er omfattet af kreditrisikorammen.</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For eksponeringer opgjort efter standardmetoden (SA):</w:t>
            </w:r>
            <w:r>
              <w:rPr>
                <w:sz w:val="24"/>
                <w:rFonts w:ascii="Times New Roman" w:hAnsi="Times New Roman"/>
              </w:rPr>
              <w:t xml:space="preserve"> </w:t>
            </w:r>
            <w:r>
              <w:rPr>
                <w:sz w:val="24"/>
                <w:rFonts w:ascii="Times New Roman" w:hAnsi="Times New Roman"/>
              </w:rPr>
              <w:t xml:space="preserve">se artikel 111 i forordning (EU) nr. 575/2013.</w:t>
            </w:r>
            <w:r>
              <w:rPr>
                <w:sz w:val="24"/>
                <w:rFonts w:ascii="Times New Roman" w:hAnsi="Times New Roman"/>
              </w:rPr>
              <w:t xml:space="preserve"> </w:t>
            </w:r>
            <w:r>
              <w:rPr>
                <w:sz w:val="24"/>
                <w:rFonts w:ascii="Times New Roman" w:hAnsi="Times New Roman"/>
              </w:rPr>
              <w:t xml:space="preserve">For eksponeringer opgjort efter IRB-metoden:</w:t>
            </w:r>
            <w:r>
              <w:rPr>
                <w:sz w:val="24"/>
                <w:rFonts w:ascii="Times New Roman" w:hAnsi="Times New Roman"/>
              </w:rPr>
              <w:t xml:space="preserve"> </w:t>
            </w:r>
            <w:r>
              <w:rPr>
                <w:sz w:val="24"/>
                <w:rFonts w:ascii="Times New Roman" w:hAnsi="Times New Roman"/>
              </w:rPr>
              <w:t xml:space="preserve">se artikel 166 og artikel 230, stk. 1, andet punktum, i forordning (EU) nr.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Hvad angår indberetning af derivater, som er genstand for både modpartsrisiko og kapitalkrav vedrørende markedsrisiko, henvises til instrukserne for opdelingen af række.</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 eksponeringer, der indberettes i kolonne 0270 og 0280, skal ikke tages i betragtning i denne kolonne, da værdien i denne kolonne udelukkende er baseret på direkte eksponeringer.</w:t>
            </w:r>
            <w:r>
              <w:rPr>
                <w:sz w:val="24"/>
                <w:rFonts w:ascii="Times New Roman" w:hAnsi="Times New Roman"/>
              </w:rPr>
              <w:t xml:space="preserv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Risikovægtet eksponering</w:t>
            </w:r>
            <w:r>
              <w:rPr>
                <w:b/>
                <w:sz w:val="24"/>
                <w:u w:val="single"/>
                <w:rFonts w:ascii="Times New Roman" w:hAnsi="Times New Roman"/>
              </w:rPr>
              <w:t xml:space="preserve">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Beløb for risikovægtede eksponeringer for eksponeringer, der er omfattet af kreditrisikorammen.</w:t>
            </w:r>
            <w:r>
              <w:rPr>
                <w:sz w:val="24"/>
                <w:rFonts w:ascii="Times New Roman" w:hAnsi="Times New Roman"/>
              </w:rPr>
              <w:t xml:space="preserve">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For eksponeringer opgjort efter standardmetoden (SA):</w:t>
            </w:r>
            <w:r>
              <w:rPr>
                <w:sz w:val="24"/>
                <w:rFonts w:ascii="Times New Roman" w:hAnsi="Times New Roman"/>
              </w:rPr>
              <w:t xml:space="preserve"> </w:t>
            </w:r>
            <w:r>
              <w:rPr>
                <w:sz w:val="24"/>
                <w:rFonts w:ascii="Times New Roman" w:hAnsi="Times New Roman"/>
              </w:rPr>
              <w:t xml:space="preserve">se artikel 113, stk. 1-5, i forordning (EU) nr. 575/2013.</w:t>
            </w:r>
            <w:r>
              <w:rPr>
                <w:sz w:val="24"/>
                <w:rFonts w:ascii="Times New Roman" w:hAnsi="Times New Roman"/>
              </w:rPr>
              <w:t xml:space="preserve"> </w:t>
            </w:r>
            <w:r>
              <w:rPr>
                <w:sz w:val="24"/>
                <w:rFonts w:ascii="Times New Roman" w:hAnsi="Times New Roman"/>
              </w:rPr>
              <w:t xml:space="preserve">For eksponeringer opgjort efter IRB-metoden:</w:t>
            </w:r>
            <w:r>
              <w:rPr>
                <w:sz w:val="24"/>
                <w:rFonts w:ascii="Times New Roman" w:hAnsi="Times New Roman"/>
              </w:rPr>
              <w:t xml:space="preserve"> </w:t>
            </w:r>
            <w:r>
              <w:rPr>
                <w:sz w:val="24"/>
                <w:rFonts w:ascii="Times New Roman" w:hAnsi="Times New Roman"/>
              </w:rPr>
              <w:t xml:space="preserve">se artikel 153, stk. 1 og 3, i forordning (EU) nr.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For indberetning af direkte eksponeringer inden for anvendelsesområdet for artikel 271 i forordning (EU) nr. 575/2013, som er omfattet af kapitalgrundlagskrav i relation til både modpartsrisiko og markedsrisiko, henvises til instrukser for opdelingen af rækken.</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b/>
                <w:bCs/>
                <w:sz w:val="24"/>
                <w:u w:val="single"/>
                <w:rFonts w:ascii="Times New Roman" w:hAnsi="Times New Roman"/>
              </w:rPr>
            </w:pPr>
            <w:r>
              <w:rPr>
                <w:sz w:val="24"/>
                <w:rFonts w:ascii="Times New Roman" w:hAnsi="Times New Roman"/>
              </w:rPr>
              <w:t xml:space="preserve">De eksponeringer, der indberettes i kolonne 0270 og 0280, skal ikke tages i betragtning i denne kolonne, da værdien i denne kolonne udelukkende er baseret på direkte eksponeringer.</w:t>
            </w:r>
            <w:r>
              <w:rPr>
                <w:sz w:val="24"/>
                <w:rFonts w:ascii="Times New Roman" w:hAnsi="Times New Roman"/>
              </w:rPr>
              <w:t xml:space="preserv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Rækker</w:t>
            </w:r>
          </w:p>
        </w:tc>
        <w:tc>
          <w:tcPr>
            <w:tcW w:w="8701" w:type="dxa"/>
            <w:shd w:val="clear" w:color="auto" w:fill="CCCCCC"/>
          </w:tcPr>
          <w:p w14:paraId="59E26EF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Instrukser</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OPDELING AF EKSPONERINGER EFTER LOVGIVNINGSMÆSSIG FREMGANGSMÅDE</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0010</w:t>
            </w:r>
          </w:p>
        </w:tc>
        <w:tc>
          <w:tcPr>
            <w:tcW w:w="8701" w:type="dxa"/>
            <w:shd w:val="clear" w:color="auto" w:fill="auto"/>
          </w:tcPr>
          <w:p w14:paraId="45AF8DB6"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Samlede eksponeringer</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samlede sum af eksponeringer mod offentlig forvaltning og service, som defineret i punkt 191 til 196 i dette bilag.</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0020-0155</w:t>
            </w:r>
          </w:p>
        </w:tc>
        <w:tc>
          <w:tcPr>
            <w:tcW w:w="8701" w:type="dxa"/>
          </w:tcPr>
          <w:p w14:paraId="7E2E9BC1" w14:textId="77777777" w:rsidR="00BD16F2" w:rsidRPr="002A677E" w:rsidRDefault="00BD16F2" w:rsidP="00E07FE9">
            <w:pPr>
              <w:spacing w:before="0" w:after="0"/>
              <w:ind w:left="33"/>
              <w:rPr>
                <w:bCs/>
                <w:sz w:val="24"/>
                <w:rFonts w:ascii="Times New Roman" w:hAnsi="Times New Roman"/>
              </w:rPr>
            </w:pPr>
            <w:r>
              <w:rPr>
                <w:b/>
                <w:sz w:val="24"/>
                <w:u w:val="single"/>
                <w:rFonts w:ascii="Times New Roman" w:hAnsi="Times New Roman"/>
              </w:rPr>
              <w:t xml:space="preserve">Eksponeringer omfattet af kreditrisikorammen</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 samlede sum af eksponeringer mod offentlig forvaltning og service, der risikovægtes i overensstemmelse med tredje del, afsnit II, i forordning (EU) nr. 575/2013.</w:t>
            </w:r>
            <w:r>
              <w:rPr>
                <w:sz w:val="24"/>
                <w:rFonts w:ascii="Times New Roman" w:hAnsi="Times New Roman"/>
              </w:rPr>
              <w:t xml:space="preserve"> </w:t>
            </w:r>
            <w:r>
              <w:rPr>
                <w:sz w:val="24"/>
                <w:rFonts w:ascii="Times New Roman" w:hAnsi="Times New Roman"/>
              </w:rPr>
              <w:t xml:space="preserve">Eksponeringer, der er omfattet af kreditrisikorammen, omfatter eksponeringer både uden for og i handelsbeholdningen, der er underlagt et kapitalkrav for modpartsrisiko.</w:t>
            </w:r>
            <w:r>
              <w:rPr>
                <w:sz w:val="24"/>
                <w:rFonts w:ascii="Times New Roman" w:hAnsi="Times New Roman"/>
              </w:rPr>
              <w:t xml:space="preserve">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Direkte eksponeringer inden for anvendelsesområdet for artikel 271 i forordning (EU) nr. 575/2013, som er omfattet af kapitalgrundlagskrav i relation til både modpartsrisiko og markedsrisiko, indberettes både i kreditrisikorækkerne (0020-0155) og markedsrisikorækken (0160):</w:t>
            </w:r>
            <w:r>
              <w:rPr>
                <w:sz w:val="24"/>
                <w:rFonts w:ascii="Times New Roman" w:hAnsi="Times New Roman"/>
              </w:rPr>
              <w:t xml:space="preserve"> </w:t>
            </w:r>
            <w:r>
              <w:rPr>
                <w:sz w:val="24"/>
                <w:rFonts w:ascii="Times New Roman" w:hAnsi="Times New Roman"/>
              </w:rPr>
              <w:t xml:space="preserve">De eksponeringer, der følger af modpartsrisiko, indberettes i kreditrisikorækkerne, mens de eksponeringer, der følger af markedsrisiko, indberettes i markedsrisikorækken.</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0030</w:t>
            </w:r>
          </w:p>
        </w:tc>
        <w:tc>
          <w:tcPr>
            <w:tcW w:w="8701" w:type="dxa"/>
          </w:tcPr>
          <w:p w14:paraId="7376AEA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Standardmetoden</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offentlig forvaltning og service, der skal risikovægtes i overensstemmelse med tredje del, afsnit II, kapitel 2, i forordning (EU) nr. 575/2013, herunder eksponeringer uden for handelsbeholdningen, for hvilke risikovægtningen i overensstemmelse med nævnte kapitel håndterer modpartsrisiko.</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0040</w:t>
            </w:r>
          </w:p>
        </w:tc>
        <w:tc>
          <w:tcPr>
            <w:tcW w:w="8701" w:type="dxa"/>
          </w:tcPr>
          <w:p w14:paraId="7AB5772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Centralregeringer</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 offentlig forvaltning og service, der er centralregeringer.</w:t>
            </w:r>
            <w:r>
              <w:rPr>
                <w:sz w:val="24"/>
                <w:rFonts w:ascii="Times New Roman" w:hAnsi="Times New Roman"/>
              </w:rPr>
              <w:t xml:space="preserve"> </w:t>
            </w:r>
            <w:r>
              <w:rPr>
                <w:sz w:val="24"/>
                <w:rFonts w:ascii="Times New Roman" w:hAnsi="Times New Roman"/>
              </w:rPr>
              <w:t xml:space="preserve">Disse eksponeringer henføres til eksponeringsklassen "Centralregeringer eller centralbanker" i overensstemmelse med artikel 112 og 114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0050</w:t>
            </w:r>
          </w:p>
        </w:tc>
        <w:tc>
          <w:tcPr>
            <w:tcW w:w="8701" w:type="dxa"/>
          </w:tcPr>
          <w:p w14:paraId="005C4B43"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Regionale eller lokale myndigheder</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 offentlig forvaltning og service, der er regionale eller lokale myndigheder.</w:t>
            </w:r>
            <w:r>
              <w:rPr>
                <w:sz w:val="24"/>
                <w:rFonts w:ascii="Times New Roman" w:hAnsi="Times New Roman"/>
              </w:rPr>
              <w:t xml:space="preserve"> </w:t>
            </w:r>
            <w:r>
              <w:rPr>
                <w:sz w:val="24"/>
                <w:rFonts w:ascii="Times New Roman" w:hAnsi="Times New Roman"/>
              </w:rPr>
              <w:t xml:space="preserve">Disse eksponeringer henføres til eksponeringsklassen "Regionale eller lokale myndigheder" i overensstemmelse med artikel 112 og 115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0060</w:t>
            </w:r>
          </w:p>
        </w:tc>
        <w:tc>
          <w:tcPr>
            <w:tcW w:w="8701" w:type="dxa"/>
          </w:tcPr>
          <w:p w14:paraId="66765FAB"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Offentlige enheder</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 offentlig forvaltning og service, der er offentlige myndigheder.</w:t>
            </w:r>
            <w:r>
              <w:rPr>
                <w:sz w:val="24"/>
                <w:rFonts w:ascii="Times New Roman" w:hAnsi="Times New Roman"/>
              </w:rPr>
              <w:t xml:space="preserve"> </w:t>
            </w:r>
            <w:r>
              <w:rPr>
                <w:sz w:val="24"/>
                <w:rFonts w:ascii="Times New Roman" w:hAnsi="Times New Roman"/>
              </w:rPr>
              <w:t xml:space="preserve">Disse eksponeringer henføres til eksponeringsklassen "Offentlige enheder" i overensstemmelse med artikel 112 og 116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0070</w:t>
            </w:r>
          </w:p>
        </w:tc>
        <w:tc>
          <w:tcPr>
            <w:tcW w:w="8701" w:type="dxa"/>
          </w:tcPr>
          <w:p w14:paraId="259C4BF7"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Internationale organisationer</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inden for offentlig forvaltning og service, som er internationale organisationer.</w:t>
            </w:r>
            <w:r>
              <w:rPr>
                <w:sz w:val="24"/>
                <w:rFonts w:ascii="Times New Roman" w:hAnsi="Times New Roman"/>
              </w:rPr>
              <w:t xml:space="preserve"> </w:t>
            </w:r>
            <w:r>
              <w:rPr>
                <w:sz w:val="24"/>
                <w:rFonts w:ascii="Times New Roman" w:hAnsi="Times New Roman"/>
              </w:rPr>
              <w:t xml:space="preserve">Disse eksponeringer henføres til eksponeringsklasserne "Internationale organisationer" i overensstemmelse med artikel 112 og 118 i forordning (EU) nr. 575/2013,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0075</w:t>
            </w:r>
          </w:p>
        </w:tc>
        <w:tc>
          <w:tcPr>
            <w:tcW w:w="8701" w:type="dxa"/>
          </w:tcPr>
          <w:p w14:paraId="5A60039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Andre eksponeringer mod enheder inden for offentlig forvaltning og service omfattet af standardmetoden</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Andre eksponeringer mod offentlig forvaltning og service end dem i række 0040-0070 ovenfor, som henføres til eksponeringsklasser efter standardmetoden i overensstemmelse med artikel 112 i forordning (EU) nr. 575/2013 med henblik på at beregne kapitalgrundlagskrav.</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0080</w:t>
            </w:r>
          </w:p>
        </w:tc>
        <w:tc>
          <w:tcPr>
            <w:tcW w:w="8701" w:type="dxa"/>
          </w:tcPr>
          <w:p w14:paraId="3D441571"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IRB-metoden</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offentlig forvaltning og service, der skal risikovægtes i overensstemmelse med tredje del, afsnit II, kapitel 3, i forordning (EU) nr. 575/2013, herunder eksponeringer uden for handelsbeholdningen, for hvilke risikovægtningen i overensstemmelse med nævnte kapitel håndterer modpartsrisiko.</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0090</w:t>
            </w:r>
          </w:p>
        </w:tc>
        <w:tc>
          <w:tcPr>
            <w:tcW w:w="8701" w:type="dxa"/>
          </w:tcPr>
          <w:p w14:paraId="5371101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Centralregeringer</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inden for offentlig forvaltning og service, som er centralregeringer, og som henføres til eksponeringsklassen "Centralregeringer og centralbanker" i overensstemmelse med artikel 147, stk. 3, litra a),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0100</w:t>
            </w:r>
          </w:p>
        </w:tc>
        <w:tc>
          <w:tcPr>
            <w:tcW w:w="8701" w:type="dxa"/>
          </w:tcPr>
          <w:p w14:paraId="590811E9"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Regionale eller lokale myndigheder [Centralregeringer og centralbanker]</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inden for offentlig forvaltning og service, som er regionale eller lokale myndigheder, og som henføres til eksponeringsklassen "Centralregeringer og centralbanker" i overensstemmelse med artikel 147, stk. 3a,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0110</w:t>
            </w:r>
          </w:p>
        </w:tc>
        <w:tc>
          <w:tcPr>
            <w:tcW w:w="8701" w:type="dxa"/>
          </w:tcPr>
          <w:p w14:paraId="6A830321" w14:textId="624574DD"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Regionale eller lokale myndigheder</w:t>
            </w:r>
            <w:r>
              <w:rPr>
                <w:b/>
                <w:sz w:val="24"/>
                <w:u w:val="single"/>
                <w:rFonts w:ascii="Times New Roman" w:hAnsi="Times New Roman"/>
              </w:rPr>
              <w:t xml:space="preserve">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regionale eller lokale myndigheder, og som henføres til eksponeringsklassen "Regionale eller lokale myndigheder" i overensstemmelse med artikel 147, stk. 2, litra aa), nr. i),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0120</w:t>
            </w:r>
          </w:p>
        </w:tc>
        <w:tc>
          <w:tcPr>
            <w:tcW w:w="8701" w:type="dxa"/>
          </w:tcPr>
          <w:p w14:paraId="6B31BA5C"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Offentlige enheder [Centralregeringer og centralbanker]</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inden for offentlig forvaltning og service, som er offentlige enheder i overensstemmelse med artikel 4, nr. 8), i forordning (EU) nr. 575/2013, og som henføres til eksponeringsklassen "Centralregeringer eller centralbanker" i overensstemmelse med artikel 147, stk. 3a, i nævnte forordning,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0130</w:t>
            </w:r>
          </w:p>
        </w:tc>
        <w:tc>
          <w:tcPr>
            <w:tcW w:w="8701" w:type="dxa"/>
          </w:tcPr>
          <w:p w14:paraId="4211C115" w14:textId="1030AFC3"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Offentlige enheder</w:t>
            </w:r>
            <w:r>
              <w:rPr>
                <w:b/>
                <w:sz w:val="24"/>
                <w:u w:val="single"/>
                <w:rFonts w:ascii="Times New Roman" w:hAnsi="Times New Roman"/>
              </w:rPr>
              <w:t xml:space="preserve">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offentlige enheder i overensstemmelse med artikel 4, nr. 8), i forordning (EU) nr. 575/2013, som henføres til eksponeringsklassen "Offentlige enheder" i overensstemmelse med artikel 147, stk. 2, litra aa), nr. ii), i nævnte forordning,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bCs/>
                <w:sz w:val="24"/>
                <w:rFonts w:ascii="Times New Roman" w:hAnsi="Times New Roman"/>
              </w:rPr>
            </w:pPr>
            <w:r>
              <w:rPr>
                <w:sz w:val="24"/>
                <w:rFonts w:ascii="Times New Roman" w:hAnsi="Times New Roman"/>
              </w:rPr>
              <w:t xml:space="preserve">0140</w:t>
            </w:r>
          </w:p>
        </w:tc>
        <w:tc>
          <w:tcPr>
            <w:tcW w:w="8701" w:type="dxa"/>
          </w:tcPr>
          <w:p w14:paraId="1BE8FBD8"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Internationale organisationer [Centralregeringer og centralbanker]</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enheder inden for offentlig forvaltning og service, som er internationale organisationer, og som henføres til eksponeringsklassen "Centralregeringer og centralbanker" i overensstemmelse med artikel 147, stk. 3, litra c), i forordning (EU) nr. 575/2013,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0155</w:t>
            </w:r>
          </w:p>
        </w:tc>
        <w:tc>
          <w:tcPr>
            <w:tcW w:w="8701" w:type="dxa"/>
          </w:tcPr>
          <w:p w14:paraId="205F29D2"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Andre eksponeringer mod enheder inden for offentlig forvaltning og service omfattet af IRB-metoden</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Andre eksponeringer mod offentlig forvaltning og service end dem i række 0090-0140 ovenfor, som henføres til eksponeringsklasser efter IRB-metoden i overensstemmelse med artikel 147 i forordning (EU) nr. 575/2013 med henblik på at beregne kapitalgrundlagskrav.</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0160</w:t>
            </w:r>
          </w:p>
        </w:tc>
        <w:tc>
          <w:tcPr>
            <w:tcW w:w="8701" w:type="dxa"/>
          </w:tcPr>
          <w:p w14:paraId="1066509F" w14:textId="77777777" w:rsidR="00BD16F2" w:rsidRPr="002A677E" w:rsidRDefault="00BD16F2" w:rsidP="00E07FE9">
            <w:pPr>
              <w:spacing w:before="0" w:after="0"/>
              <w:ind w:left="33"/>
              <w:rPr>
                <w:b/>
                <w:bCs/>
                <w:sz w:val="24"/>
                <w:u w:val="single"/>
                <w:rFonts w:ascii="Times New Roman" w:hAnsi="Times New Roman"/>
              </w:rPr>
            </w:pPr>
            <w:r>
              <w:rPr>
                <w:b/>
                <w:sz w:val="24"/>
                <w:u w:val="single"/>
                <w:rFonts w:ascii="Times New Roman" w:hAnsi="Times New Roman"/>
              </w:rPr>
              <w:t xml:space="preserve">Eksponeringer underlagt markedsrisiko</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Denne række omfatter positioner, for hvilke et af følgende kapitalgrundlagskrav i tredje del, afsnit IV, i forordning (EU) nr. 575/2013 beregnes:</w:t>
            </w:r>
          </w:p>
          <w:p w14:paraId="4D91BB25" w14:textId="77777777" w:rsidR="00BD16F2" w:rsidRPr="002A677E" w:rsidRDefault="00BD16F2" w:rsidP="00BD16F2">
            <w:pPr>
              <w:pStyle w:val="ListParagraph"/>
              <w:numPr>
                <w:ilvl w:val="0"/>
                <w:numId w:val="19"/>
              </w:numPr>
              <w:contextualSpacing w:val="0"/>
              <w:rPr>
                <w:bCs/>
                <w:sz w:val="24"/>
                <w:rFonts w:ascii="Times New Roman" w:hAnsi="Times New Roman"/>
              </w:rPr>
            </w:pPr>
            <w:r>
              <w:rPr>
                <w:sz w:val="24"/>
                <w:rFonts w:ascii="Times New Roman" w:hAnsi="Times New Roman"/>
              </w:rPr>
              <w:t xml:space="preserve">Kapitalgrundlagskravene i relation til positionsrisiko i overensstemmelse med artikel 326 i forordning (EU) nr. 575/2013.</w:t>
            </w:r>
          </w:p>
          <w:p w14:paraId="6AC569B5" w14:textId="6FA3AEB0" w:rsidR="00BD16F2" w:rsidRPr="000059B8" w:rsidRDefault="00BD16F2" w:rsidP="00BD16F2">
            <w:pPr>
              <w:pStyle w:val="ListParagraph"/>
              <w:numPr>
                <w:ilvl w:val="0"/>
                <w:numId w:val="19"/>
              </w:numPr>
              <w:contextualSpacing w:val="0"/>
            </w:pPr>
            <w:r>
              <w:rPr>
                <w:sz w:val="24"/>
                <w:rFonts w:ascii="Times New Roman" w:hAnsi="Times New Roman"/>
              </w:rPr>
              <w:t xml:space="preserve">Kapitalgrundlagskravene i relation til specifik og generel risiko i overensstemmelse med tredje del, afsnit IV, kapitel 5, i nævnte forordning</w:t>
            </w:r>
          </w:p>
          <w:p w14:paraId="32753AD8" w14:textId="77777777" w:rsidR="00BD16F2" w:rsidRPr="008735B6" w:rsidRDefault="00BD16F2" w:rsidP="00BD16F2">
            <w:pPr>
              <w:pStyle w:val="ListParagraph"/>
              <w:numPr>
                <w:ilvl w:val="0"/>
                <w:numId w:val="19"/>
              </w:numPr>
              <w:contextualSpacing w:val="0"/>
            </w:pPr>
            <w:r>
              <w:rPr>
                <w:sz w:val="24"/>
                <w:rFonts w:ascii="Times New Roman" w:hAnsi="Times New Roman"/>
              </w:rPr>
              <w:t xml:space="preserve">Kapitalgrundlagskravene i relation til kreditspændsrisiko og misligholdelsesrisiko i overensstemmelse med tredje del, afsnit IV, kapitel 1a, i nævnte forordning</w:t>
            </w:r>
            <w:r>
              <w:rPr>
                <w:sz w:val="24"/>
                <w:rFonts w:ascii="Times New Roman" w:hAnsi="Times New Roman"/>
              </w:rPr>
              <w:t xml:space="preserve"> </w:t>
            </w:r>
          </w:p>
          <w:p w14:paraId="565F2E22" w14:textId="77777777" w:rsidR="00BD16F2" w:rsidRPr="002A677E" w:rsidRDefault="00BD16F2" w:rsidP="00BD16F2">
            <w:pPr>
              <w:pStyle w:val="ListParagraph"/>
              <w:numPr>
                <w:ilvl w:val="0"/>
                <w:numId w:val="19"/>
              </w:numPr>
              <w:contextualSpacing w:val="0"/>
            </w:pPr>
            <w:r>
              <w:rPr>
                <w:sz w:val="24"/>
                <w:rFonts w:ascii="Times New Roman" w:hAnsi="Times New Roman"/>
              </w:rPr>
              <w:t xml:space="preserve">Kapitalgrundlagskravene beregnet i overensstemmelse med tredje del, afsnit IV, kapitel 1a, i nævnte forordning, hvor positionen påvirkes af risikofaktorer i den brede risikofaktorkategori "kreditspænd" eller medtages i instituttets interne model for misligholdelsesrisiko.</w:t>
            </w:r>
          </w:p>
          <w:p w14:paraId="1C79BB00"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Direkte eksponeringer inden for anvendelsesområdet for artikel 271 i forordning (EU) nr. 575/2013, som er omfattet af kapitalgrundlagskrav i relation til både modpartsrisiko og markedsrisiko, indberettes både i kreditrisikorækkerne (0020-0155) og markedsrisikorækken (0160):</w:t>
            </w:r>
            <w:r>
              <w:rPr>
                <w:sz w:val="24"/>
                <w:rFonts w:ascii="Times New Roman" w:hAnsi="Times New Roman"/>
              </w:rPr>
              <w:t xml:space="preserve"> </w:t>
            </w:r>
            <w:r>
              <w:rPr>
                <w:sz w:val="24"/>
                <w:rFonts w:ascii="Times New Roman" w:hAnsi="Times New Roman"/>
              </w:rPr>
              <w:t xml:space="preserve">De eksponeringer, der følger af modpartsrisiko, indberettes i kreditrisikorækkerne, mens de eksponeringer, der følger af markedsrisiko, indberettes i markedsrisikorækken.</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0170-0230</w:t>
            </w:r>
          </w:p>
        </w:tc>
        <w:tc>
          <w:tcPr>
            <w:tcW w:w="8701" w:type="dxa"/>
          </w:tcPr>
          <w:p w14:paraId="08A57F53" w14:textId="77777777" w:rsidR="00BD16F2" w:rsidRPr="002A677E" w:rsidRDefault="00BD16F2" w:rsidP="00E07FE9">
            <w:pPr>
              <w:spacing w:before="0" w:after="0"/>
              <w:ind w:left="33"/>
              <w:rPr>
                <w:b/>
                <w:bCs/>
                <w:sz w:val="24"/>
                <w:rFonts w:ascii="Times New Roman" w:hAnsi="Times New Roman"/>
              </w:rPr>
            </w:pPr>
            <w:r>
              <w:rPr>
                <w:b/>
                <w:sz w:val="24"/>
                <w:rFonts w:ascii="Times New Roman" w:hAnsi="Times New Roman"/>
              </w:rPr>
              <w:t xml:space="preserve">OPDELING AF EKSPONERINGER EFTER RESTLØBETID</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Restløbetiden opgøres i antal dage mellem den kontraktlige forfaldsdato og referencedatoen for indberetning for alle positioner.</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mod offentlig forvaltning og service opdeles efter restløbetid og henføres til de fastsatte klasser som følger:</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tab/>
            </w:r>
            <w:r>
              <w:rPr>
                <w:sz w:val="24"/>
                <w:b/>
                <w:rFonts w:ascii="Times New Roman" w:hAnsi="Times New Roman"/>
              </w:rPr>
              <w:t xml:space="preserve">[ 0 - 3M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Under 90 dage</w:t>
            </w:r>
          </w:p>
          <w:p w14:paraId="0F58301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tab/>
            </w:r>
            <w:r>
              <w:rPr>
                <w:sz w:val="24"/>
                <w:b/>
                <w:rFonts w:ascii="Times New Roman" w:hAnsi="Times New Roman"/>
              </w:rPr>
              <w:t xml:space="preserve">[ 3M - 1Å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Lig med eller over 90 dage og under 365 dage</w:t>
            </w:r>
          </w:p>
          <w:p w14:paraId="4538DC89"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tab/>
            </w:r>
            <w:r>
              <w:rPr>
                <w:sz w:val="24"/>
                <w:b/>
                <w:rFonts w:ascii="Times New Roman" w:hAnsi="Times New Roman"/>
              </w:rPr>
              <w:t xml:space="preserve">[ 1Å – 2Å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Lig med eller over 365 dage og under 730 dage</w:t>
            </w:r>
          </w:p>
          <w:p w14:paraId="31713DE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tab/>
            </w:r>
            <w:r>
              <w:rPr>
                <w:sz w:val="24"/>
                <w:b/>
                <w:rFonts w:ascii="Times New Roman" w:hAnsi="Times New Roman"/>
              </w:rPr>
              <w:t xml:space="preserve">[ 2Å – 3Å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Lig med eller over 730 dage og under 1 095 dage</w:t>
            </w:r>
          </w:p>
          <w:p w14:paraId="605F868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tab/>
            </w:r>
            <w:r>
              <w:rPr>
                <w:sz w:val="24"/>
                <w:b/>
                <w:rFonts w:ascii="Times New Roman" w:hAnsi="Times New Roman"/>
              </w:rPr>
              <w:t xml:space="preserve">[ 3Å – 5Å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Lig med eller over 1 095 dage og under 1 825 dage</w:t>
            </w:r>
          </w:p>
          <w:p w14:paraId="4BB7CB52"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tab/>
            </w:r>
            <w:r>
              <w:rPr>
                <w:sz w:val="24"/>
                <w:b/>
                <w:rFonts w:ascii="Times New Roman" w:hAnsi="Times New Roman"/>
              </w:rPr>
              <w:t xml:space="preserve">[ 5Å – 10Å [</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Lig med eller over 1 825 dage og under 3 650 dage</w:t>
            </w:r>
          </w:p>
          <w:p w14:paraId="64FFD510" w14:textId="77777777" w:rsidR="00BD16F2" w:rsidRPr="002A677E" w:rsidRDefault="00BD16F2" w:rsidP="00E07FE9">
            <w:pPr>
              <w:spacing w:before="0" w:after="0"/>
              <w:ind w:left="808" w:hanging="360"/>
              <w:rPr>
                <w:bCs/>
                <w:sz w:val="24"/>
                <w:rFonts w:ascii="Times New Roman" w:hAnsi="Times New Roman"/>
              </w:rPr>
            </w:pPr>
            <w:r>
              <w:rPr>
                <w:sz w:val="24"/>
                <w:rFonts w:ascii="Symbol" w:hAnsi="Symbol"/>
              </w:rPr>
              <w:t xml:space="preserve"></w:t>
            </w:r>
            <w:r>
              <w:tab/>
            </w:r>
            <w:r>
              <w:rPr>
                <w:sz w:val="24"/>
                <w:b/>
                <w:rFonts w:ascii="Times New Roman" w:hAnsi="Times New Roman"/>
              </w:rPr>
              <w:t xml:space="preserve">[ 10Å – over</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Lig med eller over 3 650 dage.</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bCs/>
                <w:sz w:val="24"/>
                <w:rFonts w:ascii="Times New Roman" w:hAnsi="Times New Roman"/>
              </w:rPr>
            </w:pPr>
            <w:r>
              <w:rPr>
                <w:sz w:val="24"/>
                <w:rFonts w:ascii="Times New Roman" w:hAnsi="Times New Roman"/>
              </w:rPr>
              <w:t xml:space="preserve">Hvis den kontraktlige forfaldsdato ligger før referencedatoen for indberetning (dvs. forskellen mellem referencedatoen for indberetning og forfaldsdatoen er en negativ værdi), henføres eksponeringen til undergruppen [0-3M].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bCs/>
                <w:sz w:val="24"/>
                <w:rFonts w:ascii="Times New Roman" w:hAnsi="Times New Roman"/>
              </w:rPr>
            </w:pPr>
            <w:r>
              <w:rPr>
                <w:sz w:val="24"/>
                <w:rFonts w:ascii="Times New Roman" w:hAnsi="Times New Roman"/>
              </w:rPr>
              <w:t xml:space="preserve">Eksponeringer uden restløbetid henføres til undergruppen for restløbetid på grundlag af deres opsigelsesfrist eller andre kontraktlige angivelser vedrørende løbetid.</w:t>
            </w:r>
            <w:r>
              <w:rPr>
                <w:sz w:val="24"/>
                <w:rFonts w:ascii="Times New Roman" w:hAnsi="Times New Roman"/>
              </w:rPr>
              <w:t xml:space="preserve"> </w:t>
            </w:r>
            <w:r>
              <w:rPr>
                <w:sz w:val="24"/>
                <w:rFonts w:ascii="Times New Roman" w:hAnsi="Times New Roman"/>
              </w:rPr>
              <w:t xml:space="preserve">Hvis der ikke er nogen forud fastsat opsigelsesfrist eller anden kontraktlig angivelse af løbetid, henføres eksponeringerne til den resterende løbetidsklasse [10Å — over].</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9A95A" w14:textId="6AF3BF07" w:rsidR="00BD16F2" w:rsidRDefault="00BD16F2">
    <w:pPr>
      <w:pStyle w:val="Header"/>
    </w:pPr>
    <w: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9F67" w14:textId="6AACFABF" w:rsidR="00BD16F2" w:rsidRDefault="00BD16F2">
    <w:pPr>
      <w:pStyle w:val="Header"/>
    </w:pPr>
    <w: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FBAF6" w14:textId="6E2DFCB8" w:rsidR="00BD16F2" w:rsidRDefault="00BD16F2">
    <w:pPr>
      <w:pStyle w:val="Header"/>
    </w:pPr>
    <w: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val="da-DK"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da-D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val="da-DK"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da-DK"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val="da-DK"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da-DK"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val="da-DK"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da-DK"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val="da-DK"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da-DK"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val="da-DK"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da-DK"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da-DK"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val="da-DK"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val="da-DK"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val="da-DK"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da-DK"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lang w:val="da-DK"/>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da-DK"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val="da-DK"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da-DK"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lang w:val="da-DK"/>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lang w:val="da-DK"/>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lang w:val="da-DK"/>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lang w:val="da-DK"/>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BD16F2"/>
    <w:pPr>
      <w:numPr>
        <w:numId w:val="23"/>
      </w:numPr>
      <w:spacing w:after="0" w:line="240" w:lineRule="auto"/>
    </w:pPr>
    <w:rPr>
      <w:rFonts w:eastAsiaTheme="minorEastAsia"/>
      <w:kern w:val="0"/>
      <w:lang w:val="da-DK"/>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lang w:val="da-DK"/>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lang w:val="da-DK"/>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da-DK"/>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lang w:val="da-DK"/>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lang w:val="da-DK"/>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val="da-DK"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lang w:val="da-DK"/>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lang w:val="da-DK"/>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lang w:val="da-DK"/>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lang w:val="da-DK"/>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val="da-DK"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lang w:val="da-DK"/>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val="da-DK"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da-DK"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val="da-DK"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E936C1A1-4A71-4957-B368-31959001CCC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4476</Words>
  <Characters>25519</Characters>
  <Application>Microsoft Office Word</Application>
  <DocSecurity>0</DocSecurity>
  <Lines>212</Lines>
  <Paragraphs>59</Paragraphs>
  <ScaleCrop>false</ScaleCrop>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