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9C87C" w14:textId="77777777" w:rsidR="00E50DD0" w:rsidRDefault="00E50DD0" w:rsidP="00E50DD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6F8CF8C3" w14:textId="77777777" w:rsidR="00E50DD0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33BF0F02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 II</w:t>
      </w:r>
    </w:p>
    <w:p w14:paraId="43AF84F6" w14:textId="77777777" w:rsidR="00DD798A" w:rsidRPr="00037E7B" w:rsidRDefault="00DD798A" w:rsidP="00DD798A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6B9B322A" w14:textId="77777777" w:rsidR="00E26A90" w:rsidRDefault="00E26A90"/>
    <w:p w14:paraId="2A45E9E8" w14:textId="77777777" w:rsidR="00A931D0" w:rsidRDefault="00A931D0" w:rsidP="00A931D0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MAL-FORMOLI</w:t>
      </w:r>
    </w:p>
    <w:p w14:paraId="572B21DA" w14:textId="77777777" w:rsidR="00A931D0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2CBE875B" w14:textId="77777777" w:rsidR="00A931D0" w:rsidRPr="00736637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7289C48A" w14:textId="77777777" w:rsidR="00A931D0" w:rsidRDefault="00A931D0"/>
    <w:p w14:paraId="7D324BFC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C 09.01 – Diżaggregazzjoni ġeografika ta’ skoperturi skont ir-residenza tad-debitur: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skoperturi SA (CR GB 1)</w:t>
      </w:r>
    </w:p>
    <w:p w14:paraId="0D9A10C4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63"/>
      <w:bookmarkStart w:id="1" w:name="_Toc473560914"/>
      <w:bookmarkStart w:id="2" w:name="_Toc151714418"/>
      <w:r>
        <w:rPr>
          <w:sz w:val="24"/>
          <w:u w:val="none"/>
          <w:rFonts w:ascii="Times New Roman" w:hAnsi="Times New Roman"/>
        </w:rPr>
        <w:t xml:space="preserve">3,4.1,1.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1235ED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9D6580" w:rsidRPr="002A677E" w14:paraId="08CE2FB2" w14:textId="77777777" w:rsidTr="00822842">
        <w:tc>
          <w:tcPr>
            <w:tcW w:w="1188" w:type="dxa"/>
          </w:tcPr>
          <w:p w14:paraId="75E0B30C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4841BFD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ORIĠINARJA QABEL IL-FATTURI TA’ KONVERŻJONI</w:t>
            </w:r>
          </w:p>
          <w:p w14:paraId="1D6A0F0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0010 tal-formola CR SA</w:t>
            </w:r>
          </w:p>
        </w:tc>
      </w:tr>
      <w:tr w:rsidR="009D6580" w:rsidRPr="002A677E" w14:paraId="5F923D3B" w14:textId="77777777" w:rsidTr="00822842">
        <w:tc>
          <w:tcPr>
            <w:tcW w:w="1188" w:type="dxa"/>
          </w:tcPr>
          <w:p w14:paraId="690878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04F3B53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inadempjenti</w:t>
            </w:r>
          </w:p>
          <w:p w14:paraId="147BD4ED" w14:textId="29FBEBE8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Fatturi ta’ qabel il-konverżjoni tal-iskopertura oriġinali għal dawk l-iskoperturi li ġew ikklassifikati bħala “skoperturi inadempjenti” u għal skoperturi inadempjenti assenjati fil-klassi tal-iskoperturi “skoperturi ta’ ekwità” u skoperturi inadempjenti assenjati għall-klassi tal-iskoperturi “Skoperturi fil-forma ta’ unitajiet jew ishma f’impriżi ta’ investiment kollettiv (“CIUs”)”.</w:t>
            </w:r>
          </w:p>
          <w:p w14:paraId="6DA448A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Din l-“entrata ta’ memorandum” għandha tipprovdi iktar informazzjoni dwar l-istruttura tad-debitur ta’ skoperturi inadempjenti.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Skoperturi kklassifikati bħala “skoperturi f’inadempjenza” kif imsemmi fl-Artikolu 112, il-punt (j)</w:t>
            </w:r>
            <w:r>
              <w:rPr>
                <w:sz w:val="24"/>
                <w:rFonts w:ascii="Times New Roman" w:hAnsi="Times New Roman"/>
              </w:rPr>
              <w:t xml:space="preserve">, tar-Regolament (UE) Nru 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għandhom jiġu rrapportati fejn l-obbliganti kienu jkunu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br/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rrapportati li kieku l-iskoperturi ma ġewx assenjati lill-klassijiet tal-iskoperturi “skoperturi f’inadempjenza”.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52855171" w14:textId="65C7A920" w:rsidR="009D6580" w:rsidRPr="002A677E" w:rsidRDefault="00123F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Din l-informazzjoni hija “entrata ta’ memorandum” – għaldaqstant ma taffettwax il-kalkolu ta’ ammonti tal-iskopertura ponderati għar-riskju tal-klassijiet tal-iskopertura “skoperturi f’inadempjenza”, “skoperturi ta’ ekwità” jew “skoperturi fil-forma ta’ unitajiet jew ishma f’impriżi ta’ investiment kollettiv (“CIUs”) kif imsemmi fl-Artikolu 112, il-punti (j), (p) u (o)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9D6580" w:rsidRPr="002A677E" w14:paraId="12737C01" w14:textId="77777777" w:rsidTr="00822842">
        <w:tc>
          <w:tcPr>
            <w:tcW w:w="1188" w:type="dxa"/>
          </w:tcPr>
          <w:p w14:paraId="0843F0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17ABA2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Inadempjenzi ġodda osservati għall-perjodu</w:t>
            </w:r>
          </w:p>
          <w:p w14:paraId="4C451CE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L-ammont ta’ skoperturi oriġinali li tmexxew fil-klassi tal-iskoperturi ‘Skoperturi f’inadempjenza’ matul il-perjodu ta’ tliet xhur mill-aħħar data ta’ referenza tar-rapportar, għandu jiġi rapportat kontra l-klassi tal-iskoperturi li fiha kien jappartjeni oriġinarjament id-debitur.</w:t>
            </w:r>
          </w:p>
        </w:tc>
      </w:tr>
      <w:tr w:rsidR="009D6580" w:rsidRPr="002A677E" w14:paraId="59173FA8" w14:textId="77777777" w:rsidTr="00822842">
        <w:tc>
          <w:tcPr>
            <w:tcW w:w="1188" w:type="dxa"/>
          </w:tcPr>
          <w:p w14:paraId="7368E5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1A491AA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ġenerali għar-riskju ta’ kreditu</w:t>
            </w:r>
          </w:p>
          <w:p w14:paraId="019027A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kif imsemmi fl-Artikolu 110 tar-Regolament (UE) Nru 575/2013, kif ukoll fir-Regolament (UE) Nru 183/2014.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24DE0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l-entrata għandha tinkludi l-aġġustamenti ġenerali għar-riskju ta’ kreditu li huma eliġibbli għal inklużjoni fil-kapital tal-Grad 2, qabel l-applikazzjoni tal-limitu massimu msemmi fl-Artikolu 62, il-punt (c) tar-Regolament (UE) Nru 575/2013.</w:t>
            </w:r>
          </w:p>
          <w:p w14:paraId="50B8B57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li għandu jiġi rapportat għandu jkun gross mill-effetti tat-taxxa.</w:t>
            </w:r>
          </w:p>
        </w:tc>
      </w:tr>
      <w:tr w:rsidR="009D6580" w:rsidRPr="002A677E" w14:paraId="18048AF8" w14:textId="77777777" w:rsidTr="00822842">
        <w:tc>
          <w:tcPr>
            <w:tcW w:w="1188" w:type="dxa"/>
          </w:tcPr>
          <w:p w14:paraId="6BF1FD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3DA55F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speċifiċi għar-riskju ta’ kreditu</w:t>
            </w:r>
          </w:p>
          <w:p w14:paraId="0C4040D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kif imsemmi fl-Artikolu 110 tar-Regolament (UE) Nru 575/2013, kif ukoll fir-Regolament (UE) Nru 183/2014.</w:t>
            </w:r>
          </w:p>
        </w:tc>
      </w:tr>
      <w:tr w:rsidR="009D6580" w:rsidRPr="002A677E" w14:paraId="1433D694" w14:textId="77777777" w:rsidTr="00822842">
        <w:tc>
          <w:tcPr>
            <w:tcW w:w="1188" w:type="dxa"/>
          </w:tcPr>
          <w:p w14:paraId="0154002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E9754A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Tħassir</w:t>
            </w:r>
          </w:p>
          <w:p w14:paraId="5E984FA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Tħassir kif imsemmi fl-IFRS 9.5.4.4 u B5.4.9.</w:t>
            </w:r>
          </w:p>
        </w:tc>
      </w:tr>
      <w:tr w:rsidR="009D6580" w:rsidRPr="002A677E" w14:paraId="1CFA94CF" w14:textId="77777777" w:rsidTr="00822842">
        <w:tc>
          <w:tcPr>
            <w:tcW w:w="1188" w:type="dxa"/>
          </w:tcPr>
          <w:p w14:paraId="23BBA9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8640" w:type="dxa"/>
          </w:tcPr>
          <w:p w14:paraId="7173ECB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addizzjonali fil-valur u tnaqqis ieħor tal-fondi proprji</w:t>
            </w:r>
          </w:p>
          <w:p w14:paraId="074C80E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111 tar-Regolament (UE) Nru 575/2013.</w:t>
            </w:r>
          </w:p>
        </w:tc>
      </w:tr>
      <w:tr w:rsidR="009D6580" w:rsidRPr="002A677E" w14:paraId="2939F77F" w14:textId="77777777" w:rsidTr="00822842">
        <w:tc>
          <w:tcPr>
            <w:tcW w:w="1188" w:type="dxa"/>
          </w:tcPr>
          <w:p w14:paraId="542B9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2643490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għar-riskju ta’ kreditu/tħassir għal inadempjenzi ġodda osservati</w:t>
            </w:r>
          </w:p>
          <w:p w14:paraId="7E554B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Total tal-aġġustamenti għar-riskju tal-kreditu u tħassir għal dawk l-iskoperturi li ġew klassifikati bħala ‘skoperturi inadempjenti’ matul il-perjodu ta’ 3 xhur mill-aħħar sottomissjoni tad-data.</w:t>
            </w:r>
          </w:p>
        </w:tc>
      </w:tr>
      <w:tr w:rsidR="009D6580" w:rsidRPr="002A677E" w14:paraId="2CA30DE3" w14:textId="77777777" w:rsidTr="00822842">
        <w:tc>
          <w:tcPr>
            <w:tcW w:w="1188" w:type="dxa"/>
          </w:tcPr>
          <w:p w14:paraId="2FD897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640" w:type="dxa"/>
          </w:tcPr>
          <w:p w14:paraId="233BFDC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4F84970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0200 tal-formola CR SA</w:t>
            </w:r>
          </w:p>
        </w:tc>
      </w:tr>
      <w:tr w:rsidR="009D6580" w:rsidRPr="002A677E" w14:paraId="09BD9174" w14:textId="77777777" w:rsidTr="00822842">
        <w:tc>
          <w:tcPr>
            <w:tcW w:w="1188" w:type="dxa"/>
          </w:tcPr>
          <w:p w14:paraId="06587A3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0B560F31" w14:textId="46CDE534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QABEL IL-FATTURI TA’ APPOĠĠ U QABEL L-ISPARIĠĠ-FX</w:t>
            </w:r>
          </w:p>
          <w:p w14:paraId="7F91718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0215 tal-formola CR SA</w:t>
            </w:r>
          </w:p>
        </w:tc>
      </w:tr>
      <w:tr w:rsidR="009D6580" w:rsidRPr="002A677E" w14:paraId="172392A5" w14:textId="77777777" w:rsidTr="00822842">
        <w:tc>
          <w:tcPr>
            <w:tcW w:w="1188" w:type="dxa"/>
          </w:tcPr>
          <w:p w14:paraId="4881CC3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0081</w:t>
            </w:r>
          </w:p>
        </w:tc>
        <w:tc>
          <w:tcPr>
            <w:tcW w:w="8640" w:type="dxa"/>
          </w:tcPr>
          <w:p w14:paraId="3683E884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AĠĠUSTAMENT GĦALL-AMMONT TAL-ISKOPERTURA PONDERAT GĦAR-RISKJU DOVUT GĦALL-FATTUR TA’ APPOĠĠ TAL-SMEs</w:t>
            </w:r>
          </w:p>
          <w:p w14:paraId="7D7BF2E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0216 tal-formola CR SA</w:t>
            </w:r>
          </w:p>
        </w:tc>
      </w:tr>
      <w:tr w:rsidR="009D6580" w:rsidRPr="002A677E" w14:paraId="7C7A5C85" w14:textId="77777777" w:rsidTr="00822842">
        <w:tc>
          <w:tcPr>
            <w:tcW w:w="1188" w:type="dxa"/>
          </w:tcPr>
          <w:p w14:paraId="4ABD72E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0082</w:t>
            </w:r>
          </w:p>
        </w:tc>
        <w:tc>
          <w:tcPr>
            <w:tcW w:w="8640" w:type="dxa"/>
          </w:tcPr>
          <w:p w14:paraId="60EE9D4D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AĠĠUSTAMENT GĦALL-AMMONT TAL-ISKOPERTURA PONDERAT GĦAR-RISKJU DOVUT GĦALL-FATTUR TA’ APPOĠĠ GĦALL-INFRASTRUTTURA</w:t>
            </w:r>
          </w:p>
          <w:p w14:paraId="3D157D7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0217 tal-formola CR SA</w:t>
            </w:r>
          </w:p>
        </w:tc>
      </w:tr>
      <w:tr w:rsidR="009D6580" w:rsidRPr="002A677E" w14:paraId="2271C08F" w14:textId="77777777" w:rsidTr="00822842">
        <w:tc>
          <w:tcPr>
            <w:tcW w:w="1188" w:type="dxa"/>
          </w:tcPr>
          <w:p w14:paraId="7D3C5F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4080AC" w14:textId="77777777" w:rsidR="00AF2BE6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WARA L-FATTURI TA’ APPOĠĠ U WARA L-ISPARIĠĠ-FX</w:t>
            </w:r>
          </w:p>
          <w:p w14:paraId="5F17785F" w14:textId="6397E6C0" w:rsidR="009D6580" w:rsidRPr="002A677E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0220 tal-formola CR SA</w:t>
            </w:r>
          </w:p>
        </w:tc>
      </w:tr>
    </w:tbl>
    <w:p w14:paraId="00F504F2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2A677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2A677E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9D6580" w:rsidRPr="002A677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Gvernijiet ċentrali jew banek ċentrali</w:t>
            </w:r>
          </w:p>
          <w:p w14:paraId="701FDDD6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(a) tar-Regolament (UE) Nru 575/2013</w:t>
            </w:r>
          </w:p>
        </w:tc>
      </w:tr>
      <w:tr w:rsidR="009D6580" w:rsidRPr="002A677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Gvernijiet reġjonali jew awtoritajiet lokali</w:t>
            </w:r>
          </w:p>
          <w:p w14:paraId="06578FE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(b) tar-Regolament (UE) Nru 575/2013</w:t>
            </w:r>
          </w:p>
        </w:tc>
      </w:tr>
      <w:tr w:rsidR="009D6580" w:rsidRPr="002A677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Entitajiet tas-settur pubbliku</w:t>
            </w:r>
          </w:p>
          <w:p w14:paraId="451BD94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(c) tar-Regolament (UE) Nru 575/2013</w:t>
            </w:r>
          </w:p>
        </w:tc>
      </w:tr>
      <w:tr w:rsidR="009D6580" w:rsidRPr="002A677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Banek multilaterali tal-iżvilupp</w:t>
            </w:r>
          </w:p>
          <w:p w14:paraId="59A0267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(d) tar-Regolament (UE) Nru 575/2013</w:t>
            </w:r>
          </w:p>
        </w:tc>
      </w:tr>
      <w:tr w:rsidR="009D6580" w:rsidRPr="002A677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Organizzazzjonijiet internazzjonali</w:t>
            </w:r>
          </w:p>
          <w:p w14:paraId="17C7FCF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(e) tar-Regolament (UE) 575/2013</w:t>
            </w:r>
          </w:p>
        </w:tc>
      </w:tr>
      <w:tr w:rsidR="009D6580" w:rsidRPr="002A677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Istituzzjonijiet</w:t>
            </w:r>
          </w:p>
          <w:p w14:paraId="153928C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(e) tar-Regolament (UE) 575/2013</w:t>
            </w:r>
          </w:p>
        </w:tc>
      </w:tr>
      <w:tr w:rsidR="009D6580" w:rsidRPr="002A677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Korporattivi</w:t>
            </w:r>
          </w:p>
          <w:p w14:paraId="2131631A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(e) tar-Regolament (UE) 575/2013</w:t>
            </w:r>
          </w:p>
        </w:tc>
      </w:tr>
      <w:tr w:rsidR="009D6580" w:rsidRPr="002A677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SME</w:t>
            </w:r>
          </w:p>
          <w:p w14:paraId="54A9735B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0020 tal-formola CR SA</w:t>
            </w:r>
          </w:p>
        </w:tc>
      </w:tr>
      <w:tr w:rsidR="009D6580" w:rsidRPr="002A677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Self speċjalizzat</w:t>
            </w:r>
          </w:p>
          <w:p w14:paraId="78348E89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 122 a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</w:p>
        </w:tc>
      </w:tr>
      <w:tr w:rsidR="009D6580" w:rsidRPr="002A677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Fil-livell tal-konsumatur</w:t>
            </w:r>
          </w:p>
          <w:p w14:paraId="4C73D39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(h) tar-Regolament (UE) Nru 575/2013</w:t>
            </w:r>
          </w:p>
        </w:tc>
      </w:tr>
      <w:tr w:rsidR="009D6580" w:rsidRPr="002A677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SME</w:t>
            </w:r>
          </w:p>
          <w:p w14:paraId="08FE43D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0020 tal-formola CR SA</w:t>
            </w:r>
          </w:p>
        </w:tc>
      </w:tr>
      <w:tr w:rsidR="009D6580" w:rsidRPr="002A677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u skoperturi ADC</w:t>
            </w:r>
          </w:p>
          <w:p w14:paraId="6DD925ED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(i), tar-Regolament (UE) 575/2013</w:t>
            </w:r>
          </w:p>
        </w:tc>
      </w:tr>
      <w:tr w:rsidR="0020657D" w:rsidRPr="002A677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— mhux IPRE (garantiti)</w:t>
            </w:r>
          </w:p>
          <w:p w14:paraId="5BC0E4C6" w14:textId="5F815813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– mhux IPRE (mhux garantiti)</w:t>
            </w:r>
          </w:p>
          <w:p w14:paraId="607C903E" w14:textId="583159E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– Oħra – mhux IPRE</w:t>
            </w:r>
          </w:p>
          <w:p w14:paraId="311E3CF5" w14:textId="5245D766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– IPRE</w:t>
            </w:r>
          </w:p>
          <w:p w14:paraId="2090782C" w14:textId="64D92CBC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– Oħra – IPRE</w:t>
            </w:r>
          </w:p>
          <w:p w14:paraId="18E3F7B1" w14:textId="00D9A105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mhux IPRE (garantiti)</w:t>
            </w:r>
          </w:p>
          <w:p w14:paraId="1DD8A6CF" w14:textId="2D56F96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mhux IPRE (mhux garantiti)</w:t>
            </w:r>
          </w:p>
          <w:p w14:paraId="37DA45D4" w14:textId="1AC5F0E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Oħra – mhux IPRE</w:t>
            </w:r>
          </w:p>
          <w:p w14:paraId="653F8A23" w14:textId="727D9E5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IPRE</w:t>
            </w:r>
          </w:p>
          <w:p w14:paraId="5C23C6C1" w14:textId="64A934F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Oħra – IPRE</w:t>
            </w:r>
          </w:p>
          <w:p w14:paraId="4CFFBC8C" w14:textId="16697C60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20657D" w:rsidRPr="002A677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Akkwist, żvilupp u kostruzzjoni (ADC)</w:t>
            </w:r>
          </w:p>
          <w:p w14:paraId="0CFE246E" w14:textId="00399E0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Ara l-formola CR SA</w:t>
            </w:r>
          </w:p>
        </w:tc>
      </w:tr>
      <w:tr w:rsidR="009D6580" w:rsidRPr="002A677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SME</w:t>
            </w:r>
          </w:p>
          <w:p w14:paraId="6A4AA475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0020 tal-formola CR SA</w:t>
            </w:r>
          </w:p>
        </w:tc>
      </w:tr>
      <w:tr w:rsidR="009D6580" w:rsidRPr="002A677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f’inadempjenza</w:t>
            </w:r>
          </w:p>
          <w:p w14:paraId="24E89ACE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(j), tar-Regolament (UE) Nru 575/2013</w:t>
            </w:r>
          </w:p>
        </w:tc>
      </w:tr>
      <w:tr w:rsidR="009D6580" w:rsidRPr="002A677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ta' dejn subordinat</w:t>
            </w:r>
          </w:p>
          <w:p w14:paraId="7F19547A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(h) tar-Regolament (UE) Nru 575/2013</w:t>
            </w:r>
          </w:p>
        </w:tc>
      </w:tr>
      <w:tr w:rsidR="009D6580" w:rsidRPr="002A677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Bonds koperti</w:t>
            </w:r>
          </w:p>
          <w:p w14:paraId="68F7689A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(l), tar-Regolament (UE) Nru 575/2013</w:t>
            </w:r>
          </w:p>
        </w:tc>
      </w:tr>
      <w:tr w:rsidR="009D6580" w:rsidRPr="002A677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  <w:p w14:paraId="7980BCE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2A677E" w:rsidRDefault="009D6580" w:rsidP="00822842">
            <w:pPr>
              <w:ind w:left="72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Pretensjonijiet għal istituzzjonijiet u għal impriżi b’valutazzjoni tal-kreditu ta’ terminu qasir</w:t>
            </w:r>
          </w:p>
          <w:p w14:paraId="53F92677" w14:textId="77777777" w:rsidR="009D6580" w:rsidRPr="002A677E" w:rsidRDefault="009D6580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(n), tar-Regolament (UE) Nru 575/2013</w:t>
            </w:r>
          </w:p>
        </w:tc>
      </w:tr>
      <w:tr w:rsidR="009D6580" w:rsidRPr="002A677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Impriżi ta’ investiment kollettiv (CIU)</w:t>
            </w:r>
          </w:p>
          <w:p w14:paraId="6BE6CAC2" w14:textId="77777777" w:rsidR="009D6580" w:rsidRPr="002A677E" w:rsidRDefault="009D6580" w:rsidP="00822842">
            <w:pPr>
              <w:ind w:left="72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(o), tar-Regolament (UE) Nru 575/2013</w:t>
            </w:r>
          </w:p>
          <w:p w14:paraId="0FFD53A4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minn 0141 sa 0143</w:t>
            </w:r>
          </w:p>
        </w:tc>
      </w:tr>
      <w:tr w:rsidR="009D6580" w:rsidRPr="002A677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taċ-ċar kristall</w:t>
            </w:r>
          </w:p>
          <w:p w14:paraId="00783183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0281 tal-formola CR SA</w:t>
            </w:r>
          </w:p>
        </w:tc>
      </w:tr>
      <w:tr w:rsidR="009D6580" w:rsidRPr="002A677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ibbażat fuq mandat</w:t>
            </w:r>
          </w:p>
          <w:p w14:paraId="1FD3865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0282 tal-formola CR SA</w:t>
            </w:r>
          </w:p>
        </w:tc>
      </w:tr>
      <w:tr w:rsidR="009D6580" w:rsidRPr="002A677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ta’ riżerva</w:t>
            </w:r>
          </w:p>
          <w:p w14:paraId="2EA9AADD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0283 tal-formola CR SA</w:t>
            </w:r>
          </w:p>
        </w:tc>
      </w:tr>
      <w:tr w:rsidR="009D6580" w:rsidRPr="002A677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tal-ekwità</w:t>
            </w:r>
          </w:p>
          <w:p w14:paraId="3170DAF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(o), tar-Regolament (UE) Nru 575/2013</w:t>
            </w:r>
          </w:p>
        </w:tc>
      </w:tr>
      <w:tr w:rsidR="009D6580" w:rsidRPr="002A677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oħrajn</w:t>
            </w:r>
          </w:p>
          <w:p w14:paraId="5D70834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112, il-punt (q), tar-Regolament (UE) Nru 575/2013</w:t>
            </w:r>
          </w:p>
        </w:tc>
      </w:tr>
      <w:tr w:rsidR="009D6580" w:rsidRPr="002A677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totali</w:t>
            </w:r>
          </w:p>
        </w:tc>
      </w:tr>
    </w:tbl>
    <w:p w14:paraId="2EB3E5B0" w14:textId="77777777" w:rsidR="009D6580" w:rsidRPr="002A677E" w:rsidRDefault="009D6580" w:rsidP="009D6580">
      <w:pPr>
        <w:spacing w:before="0" w:after="200" w:line="312" w:lineRule="auto"/>
        <w:jc w:val="left"/>
        <w:rPr>
          <w:sz w:val="24"/>
          <w:rFonts w:ascii="Times New Roman" w:hAnsi="Times New Roman"/>
        </w:rPr>
      </w:pPr>
      <w:bookmarkStart w:id="3" w:name="_Toc292456210"/>
    </w:p>
    <w:p w14:paraId="467F6DC6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360188364"/>
      <w:bookmarkStart w:id="5" w:name="_Toc473560915"/>
      <w:bookmarkStart w:id="6" w:name="_Toc151714419"/>
      <w:r>
        <w:rPr>
          <w:sz w:val="24"/>
          <w:u w:val="none"/>
          <w:rFonts w:ascii="Times New Roman" w:hAnsi="Times New Roman"/>
        </w:rPr>
        <w:t xml:space="preserve">3.4.2.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09.02 – Diżaggregazzjoni ġeografika ta’ skoperturi skont ir-residenza tad-debitur:</w:t>
      </w:r>
      <w:r>
        <w:rPr>
          <w:sz w:val="24"/>
          <w:rFonts w:ascii="Times New Roman" w:hAnsi="Times New Roman"/>
        </w:rPr>
        <w:t xml:space="preserve"> </w:t>
      </w:r>
      <w:r>
        <w:t xml:space="preserve">Skoperturi IRB</w:t>
      </w:r>
      <w:bookmarkEnd w:id="4"/>
      <w:r>
        <w:t xml:space="preserve"> (CR GB 2)</w:t>
      </w:r>
      <w:bookmarkEnd w:id="5"/>
      <w:bookmarkEnd w:id="6"/>
    </w:p>
    <w:p w14:paraId="21A320CB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7" w:name="_Toc360188365"/>
      <w:bookmarkStart w:id="8" w:name="_Toc473560916"/>
      <w:bookmarkStart w:id="9" w:name="_Toc151714420"/>
      <w:r>
        <w:rPr>
          <w:sz w:val="24"/>
          <w:u w:val="none"/>
          <w:rFonts w:ascii="Times New Roman" w:hAnsi="Times New Roman"/>
        </w:rPr>
        <w:t xml:space="preserve">3.4.2,1.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CF7BB7D" w14:textId="77777777" w:rsidTr="00822842">
        <w:tc>
          <w:tcPr>
            <w:tcW w:w="1188" w:type="dxa"/>
          </w:tcPr>
          <w:p w14:paraId="1DF8677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5DA72BDB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SKOPERTURA ORIĠINARJA QABEL IL-FATTURI TA’ KONVERŻJONI</w:t>
            </w:r>
          </w:p>
          <w:p w14:paraId="714A5DA7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L-istess definizzjoni bħal dik għall-kolonna 0020 tal-formola CR IRB</w:t>
            </w:r>
          </w:p>
        </w:tc>
      </w:tr>
      <w:tr w:rsidR="009D6580" w:rsidRPr="002A677E" w14:paraId="770F3897" w14:textId="77777777" w:rsidTr="00822842">
        <w:tc>
          <w:tcPr>
            <w:tcW w:w="1188" w:type="dxa"/>
          </w:tcPr>
          <w:p w14:paraId="56E092E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0071C39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inadempjenti</w:t>
            </w:r>
          </w:p>
          <w:p w14:paraId="2768B5B2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Il-valur tal-iskopertura oriġinali għal dawk l-iskoperturi li ġew klassifikati bħala skoperturi inadempjenti f’konformità mal-Artikolu 178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</w:p>
        </w:tc>
      </w:tr>
      <w:tr w:rsidR="009D6580" w:rsidRPr="002A677E" w14:paraId="7AD6E18B" w14:textId="77777777" w:rsidTr="00822842">
        <w:tc>
          <w:tcPr>
            <w:tcW w:w="1188" w:type="dxa"/>
          </w:tcPr>
          <w:p w14:paraId="1DFAF6C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FD9DA2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Inadempjenzi ġodda osservati għall-perjodu</w:t>
            </w:r>
          </w:p>
          <w:p w14:paraId="2393DEC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L-ammont ta’ skoperturi oriġinali li tmexxew fil-klassi tal-iskoperturi ‘skoperturi f’inadempjenza’ matul il-perjodu ta’ tliet xhur mill-aħħar data ta’ referenza tar-rapportar għandu jiġi rapportat kontra l-klassi tal-iskoperturi li fiha kien jappartjeni oriġinarjament id-debitur.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382342DD" w14:textId="77777777" w:rsidTr="00822842">
        <w:tc>
          <w:tcPr>
            <w:tcW w:w="1188" w:type="dxa"/>
          </w:tcPr>
          <w:p w14:paraId="20977C7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E8FD64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ġenerali għar-riskju ta’ kreditu</w:t>
            </w:r>
          </w:p>
          <w:p w14:paraId="1F1D0A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kif imsemmi fl-Artikolu 110 tar-Regolament (UE) Nru 575/2013, kif ukoll fir-Regolament (UE) Nru 183/2014.</w:t>
            </w:r>
          </w:p>
        </w:tc>
      </w:tr>
      <w:tr w:rsidR="009D6580" w:rsidRPr="002A677E" w14:paraId="63C2E396" w14:textId="77777777" w:rsidTr="00822842">
        <w:tc>
          <w:tcPr>
            <w:tcW w:w="1188" w:type="dxa"/>
          </w:tcPr>
          <w:p w14:paraId="3BC8F12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26D828F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speċifiċi għar-riskju ta’ kreditu</w:t>
            </w:r>
          </w:p>
          <w:p w14:paraId="4DA8E76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għar-riskju ta’ kreditu kif imsemmi fl-Artikolu 110 tar-Regolament (UE) Nru 575/2013, kif ukoll fir-Regolament (UE) Nru 183/2014.</w:t>
            </w:r>
          </w:p>
        </w:tc>
      </w:tr>
      <w:tr w:rsidR="009D6580" w:rsidRPr="002A677E" w14:paraId="24582208" w14:textId="77777777" w:rsidTr="00822842">
        <w:tc>
          <w:tcPr>
            <w:tcW w:w="1188" w:type="dxa"/>
          </w:tcPr>
          <w:p w14:paraId="46A1EB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4CC236D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Tħassir</w:t>
            </w:r>
          </w:p>
          <w:p w14:paraId="51BEEB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Tħassir kif imsemmi fl-IFRS 9.5.4.4 u B5.4.9.</w:t>
            </w:r>
          </w:p>
        </w:tc>
      </w:tr>
      <w:tr w:rsidR="009D6580" w:rsidRPr="002A677E" w14:paraId="615BD0D9" w14:textId="77777777" w:rsidTr="00822842">
        <w:tc>
          <w:tcPr>
            <w:tcW w:w="1188" w:type="dxa"/>
          </w:tcPr>
          <w:p w14:paraId="641E5F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7C362C1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għar-riskju ta’ kreditu/tħassir għal inadempjenzi ġodda osservati</w:t>
            </w:r>
          </w:p>
          <w:p w14:paraId="454774E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Total tal-aġġustamenti għar-riskju tal-kreditu u tħassir għal dawk l-iskoperturi li ġew klassifikati bħala “skoperturi inadempjenti” matul il-perjodu ta’ tliet xhur mill-aħħar preżentazzjoni tad-data</w:t>
            </w:r>
          </w:p>
        </w:tc>
      </w:tr>
      <w:tr w:rsidR="009D6580" w:rsidRPr="002A677E" w14:paraId="4B7452D7" w14:textId="77777777" w:rsidTr="00822842">
        <w:tc>
          <w:tcPr>
            <w:tcW w:w="1188" w:type="dxa"/>
          </w:tcPr>
          <w:p w14:paraId="1A6811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256EF248" w14:textId="77777777" w:rsidR="009D6580" w:rsidRPr="002A677E" w:rsidRDefault="009D6580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SKALA TA’ KLASSIFIKAZZJONI INTERNA/PD ASSENJATA LILL-GRAD JEW LILL-AGGREGAZZJONI TAD-DEBITUR (%)</w:t>
            </w:r>
          </w:p>
          <w:p w14:paraId="2C51714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0010 tal-formola CR IRB</w:t>
            </w:r>
          </w:p>
        </w:tc>
      </w:tr>
      <w:tr w:rsidR="009D6580" w:rsidRPr="002A677E" w14:paraId="18989AFE" w14:textId="77777777" w:rsidTr="00822842">
        <w:tc>
          <w:tcPr>
            <w:tcW w:w="1188" w:type="dxa"/>
          </w:tcPr>
          <w:p w14:paraId="489AE0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B53B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LGD MEDJU PONDERAT SKONT L-ISKOPERTURA (%)</w:t>
            </w:r>
          </w:p>
          <w:p w14:paraId="5BC89E8E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L-istess definizzjoni bħal dik għall-kolonni 0230 u 0240 tal-formula tas-CR IRB: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il-medja ponderata skont l-iskopertura LGD (%) għandha tirreferi għall-iskoperturi kollha, inklużi skoperturi għal entitajiet kbar tas-settur finanzjarju u entitajiet finanzjarji mhux regolati.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Għandu japplika l-Artikolu 181(1), il-punt (h)</w:t>
            </w:r>
            <w:r>
              <w:rPr>
                <w:sz w:val="24"/>
                <w:rFonts w:ascii="Times New Roman" w:hAnsi="Times New Roman"/>
              </w:rPr>
              <w:t xml:space="preserve"> tar-Regolament (UE)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575/2013.</w:t>
            </w:r>
          </w:p>
          <w:p w14:paraId="3A7794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ta’ għoti ta’ self speċjalizzat fejn tiġi stmata l-PD, il-valur irrapportat jenħtieġ li jkun l-LGD stmat jew regolatorju.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ta’ għoti ta’ self speċjalizzat imsemmija fl-Artikolu 153(5) tar-Regolament (UE) Nru 575/2013, id-data ma tistax tiġi rapportata billi mhijiex disponibbli.</w:t>
            </w:r>
          </w:p>
        </w:tc>
      </w:tr>
      <w:tr w:rsidR="009D6580" w:rsidRPr="002A677E" w14:paraId="66756C12" w14:textId="77777777" w:rsidTr="00822842">
        <w:tc>
          <w:tcPr>
            <w:tcW w:w="1188" w:type="dxa"/>
          </w:tcPr>
          <w:p w14:paraId="317ECE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68CF6D3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inadempjenti</w:t>
            </w:r>
          </w:p>
          <w:p w14:paraId="789E281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Il-valur tal-iskopertura oriġinali għal dawk l-iskoperturi li ġew klassifikati bħala skoperturi inadempjenti f’konformità mal-Artikolu 178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</w:p>
        </w:tc>
      </w:tr>
      <w:tr w:rsidR="009D6580" w:rsidRPr="002A677E" w14:paraId="187792F5" w14:textId="77777777" w:rsidTr="00822842">
        <w:tc>
          <w:tcPr>
            <w:tcW w:w="1188" w:type="dxa"/>
          </w:tcPr>
          <w:p w14:paraId="41BFEDD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7B14423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533E4F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0110 tal-formola CR IRB</w:t>
            </w:r>
          </w:p>
        </w:tc>
      </w:tr>
      <w:tr w:rsidR="009D6580" w:rsidRPr="002A677E" w14:paraId="48402149" w14:textId="77777777" w:rsidTr="00822842">
        <w:tc>
          <w:tcPr>
            <w:tcW w:w="1188" w:type="dxa"/>
          </w:tcPr>
          <w:p w14:paraId="3E4D714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FEC9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QABEL IL-FATTURI TA’ APPOĠĠ</w:t>
            </w:r>
          </w:p>
          <w:p w14:paraId="38950726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0255 tal-formola CR IRB</w:t>
            </w:r>
          </w:p>
        </w:tc>
      </w:tr>
      <w:tr w:rsidR="009D6580" w:rsidRPr="002A677E" w14:paraId="321AA4CE" w14:textId="77777777" w:rsidTr="00822842">
        <w:tc>
          <w:tcPr>
            <w:tcW w:w="1188" w:type="dxa"/>
          </w:tcPr>
          <w:p w14:paraId="5F49B73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2A07E1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 inadempjenti</w:t>
            </w:r>
          </w:p>
          <w:p w14:paraId="0B72119F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Il-valur tal-iskopertura oriġinali għal dawk l-iskoperturi li ġew klassifikati bħala skoperturi inadempjenti f’konformità mal-Artikolu 178(1)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</w:p>
        </w:tc>
      </w:tr>
      <w:tr w:rsidR="009D6580" w:rsidRPr="002A677E" w14:paraId="4F58B17C" w14:textId="77777777" w:rsidTr="00822842">
        <w:tc>
          <w:tcPr>
            <w:tcW w:w="1188" w:type="dxa"/>
          </w:tcPr>
          <w:p w14:paraId="4331347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0121</w:t>
            </w:r>
          </w:p>
        </w:tc>
        <w:tc>
          <w:tcPr>
            <w:tcW w:w="8640" w:type="dxa"/>
          </w:tcPr>
          <w:p w14:paraId="51B6E44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 FL-AMMONT TAL-ISKOPERTURA PONDERAT GĦAR-RISKJU DOVUT GĦALL-FATTUR’ TA’ SOSTENN LILL-SMEs</w:t>
            </w:r>
          </w:p>
          <w:p w14:paraId="7060DF0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0256 tal-formola CR IRB</w:t>
            </w:r>
          </w:p>
        </w:tc>
      </w:tr>
      <w:tr w:rsidR="009D6580" w:rsidRPr="002A677E" w14:paraId="6DA9FCB6" w14:textId="77777777" w:rsidTr="00822842">
        <w:tc>
          <w:tcPr>
            <w:tcW w:w="1188" w:type="dxa"/>
          </w:tcPr>
          <w:p w14:paraId="189DC6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0122</w:t>
            </w:r>
          </w:p>
        </w:tc>
        <w:tc>
          <w:tcPr>
            <w:tcW w:w="8640" w:type="dxa"/>
          </w:tcPr>
          <w:p w14:paraId="77E1724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 GĦALL-AMMONT TAL-ISKOPERTURA PONDERAT GĦAR-RISKJU DOVUT GĦALL-FATTUR TA’ APPOĠĠ GĦALL-INFRASTRUTTURA</w:t>
            </w:r>
          </w:p>
          <w:p w14:paraId="1EE90D2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0257 tal-formola CR IRB</w:t>
            </w:r>
          </w:p>
        </w:tc>
      </w:tr>
      <w:tr w:rsidR="009D6580" w:rsidRPr="002A677E" w14:paraId="0A79EDF4" w14:textId="77777777" w:rsidTr="00822842">
        <w:tc>
          <w:tcPr>
            <w:tcW w:w="1188" w:type="dxa"/>
          </w:tcPr>
          <w:p w14:paraId="2D50BBC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0125</w:t>
            </w:r>
          </w:p>
        </w:tc>
        <w:tc>
          <w:tcPr>
            <w:tcW w:w="8640" w:type="dxa"/>
          </w:tcPr>
          <w:p w14:paraId="0D402C8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WARA L-FATTURI TA’ APPOĠĠ</w:t>
            </w:r>
          </w:p>
          <w:p w14:paraId="71F977E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0260 tal-formola CR IRB</w:t>
            </w:r>
          </w:p>
        </w:tc>
      </w:tr>
      <w:tr w:rsidR="009D6580" w:rsidRPr="002A677E" w14:paraId="058051CC" w14:textId="77777777" w:rsidTr="00822842">
        <w:tc>
          <w:tcPr>
            <w:tcW w:w="1188" w:type="dxa"/>
          </w:tcPr>
          <w:p w14:paraId="02AA680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5E66C6B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TA’ TELF MISTENNI</w:t>
            </w:r>
          </w:p>
          <w:p w14:paraId="27E1337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definizzjoni bħal dik għall-kolonna 0280 tal-formola CR IRB</w:t>
            </w:r>
          </w:p>
        </w:tc>
      </w:tr>
    </w:tbl>
    <w:p w14:paraId="26CEB25D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1D216F1" w14:textId="77777777" w:rsidTr="00822842">
        <w:tc>
          <w:tcPr>
            <w:tcW w:w="1188" w:type="dxa"/>
          </w:tcPr>
          <w:p w14:paraId="12CBEF0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349EA9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Banek ċentrali u gvernijiet ċentrali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5CC186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(a) tar-Regolament (UE) Nru 575/2013</w:t>
            </w:r>
          </w:p>
        </w:tc>
      </w:tr>
      <w:tr w:rsidR="009D6580" w:rsidRPr="002A677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reġjonali jew awtoritajiet lokali</w:t>
            </w:r>
          </w:p>
          <w:p w14:paraId="4864E15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147(3a) tar-Regolament (UE) Nru 575/2013</w:t>
            </w:r>
          </w:p>
        </w:tc>
      </w:tr>
      <w:tr w:rsidR="009D6580" w:rsidRPr="002A677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reġjonali jew awtoritajiet lokali</w:t>
            </w:r>
          </w:p>
          <w:p w14:paraId="19FE9B5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(a1)(i), tar-Regolament (UE) Nru 575/2013</w:t>
            </w:r>
          </w:p>
        </w:tc>
      </w:tr>
      <w:tr w:rsidR="009D6580" w:rsidRPr="002A677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pubbliku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DE1AA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(a1)(ii) tar-Regolament (UE) Nru 575/2013</w:t>
            </w:r>
          </w:p>
        </w:tc>
      </w:tr>
      <w:tr w:rsidR="009D6580" w:rsidRPr="002A677E" w14:paraId="0C55C95D" w14:textId="77777777" w:rsidTr="00822842">
        <w:tc>
          <w:tcPr>
            <w:tcW w:w="1188" w:type="dxa"/>
          </w:tcPr>
          <w:p w14:paraId="6C8F06F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460BDDF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Istituzzjonijiet</w:t>
            </w:r>
          </w:p>
          <w:p w14:paraId="504F46A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(b) tar-Regolament (UE) Nru 575/2013</w:t>
            </w:r>
          </w:p>
        </w:tc>
      </w:tr>
      <w:tr w:rsidR="009D6580" w:rsidRPr="002A677E" w14:paraId="2B29BE20" w14:textId="77777777" w:rsidTr="00822842">
        <w:tc>
          <w:tcPr>
            <w:tcW w:w="1188" w:type="dxa"/>
          </w:tcPr>
          <w:p w14:paraId="521AA8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63C7233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Korporattivi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99F9BD2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kollha għall-impriżi kif imsemmi fl-Artikolu 147(2), il-punt (c), tar-Regolament (UE) Nru 575/2013</w:t>
            </w:r>
          </w:p>
        </w:tc>
      </w:tr>
      <w:tr w:rsidR="009D6580" w:rsidRPr="002A677E" w14:paraId="55C3FE5A" w14:textId="77777777" w:rsidTr="00822842">
        <w:tc>
          <w:tcPr>
            <w:tcW w:w="1188" w:type="dxa"/>
          </w:tcPr>
          <w:p w14:paraId="198D8F5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6C0F4F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SME</w:t>
            </w:r>
          </w:p>
          <w:p w14:paraId="13819074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(c) tar-Regolament (UE) Nru 575/2013</w:t>
            </w:r>
          </w:p>
          <w:p w14:paraId="6C8F6FE1" w14:textId="408BCC75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 tal-klassifikazzjoni għal din il-klassi ta’ subskoperturi, l-entitajiet ta’ rapportar għandhom jużaw id-definizzjoni ta’ SME li tinsab fl-Artikolu 5(8)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56773" w:rsidRPr="00E47484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2A677E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Korporattivi kbar</w:t>
            </w:r>
          </w:p>
          <w:p w14:paraId="503F359E" w14:textId="77777777" w:rsidR="00B56773" w:rsidRPr="00B56773" w:rsidRDefault="00B56773" w:rsidP="00B5677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147(2)(c) tar-Regolament (UE) 575/2013.</w:t>
            </w:r>
          </w:p>
          <w:p w14:paraId="23F8CBD6" w14:textId="77777777" w:rsidR="00B56773" w:rsidRPr="00E47484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Għall-fini tal-klassifikazzjoni għal din il-klassi ta’ subskoperturi, l-entitajiet ta’ rapportar għandhom jużaw id-definizzjoni ta’ Korporattiva Kbira li tinsab fl-Artikolu 142(1), il-punt (5a) tar-Regolament (UE) Nru 575/2013.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56773" w:rsidRPr="00E47484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2A677E" w:rsidDel="000306F2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Għoti ta’ Self Speċjalizzat</w:t>
            </w:r>
          </w:p>
          <w:p w14:paraId="510C1D3E" w14:textId="683EFC86" w:rsidR="00B56773" w:rsidRPr="00B56773" w:rsidDel="000306F2" w:rsidRDefault="00B56773" w:rsidP="007400C4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(c)(ii)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1.</w:t>
            </w:r>
          </w:p>
        </w:tc>
      </w:tr>
      <w:tr w:rsidR="00B56773" w:rsidRPr="00E47484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72FDE0D4" w:rsidRDefault="00B56773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0053-0056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021099" w:rsidRDefault="00B56773" w:rsidP="00B56773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Self Speċjalizzat</w:t>
            </w:r>
            <w:r>
              <w:rPr>
                <w:b/>
                <w:sz w:val="24"/>
                <w:rFonts w:ascii="Times New Roman" w:hAnsi="Times New Roman"/>
              </w:rPr>
              <w:t xml:space="preserve"> — tipi ta’ skoperturi ta’ self speċjalizzat</w:t>
            </w:r>
          </w:p>
          <w:p w14:paraId="1E4AC942" w14:textId="49F536D6" w:rsidR="00B56773" w:rsidRPr="00F16E4D" w:rsidRDefault="00B56773" w:rsidP="00822842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it-tipi ta’ skoperturi ta’ għoti ta’ self speċjalizzat imsemmija fl-Artikolu 147(8), it-tieni subparagrafu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fir-ringiela korrispondenti:.Self speċjalizzat “finanzjament ta’ proġetti”, “finanzjament ta’ oġġetti”, “finanzjament ta’ komoditajiet” u “proprjetà immobbli li tipproduċi introjtu” (IPRE).</w:t>
            </w:r>
          </w:p>
        </w:tc>
      </w:tr>
      <w:tr w:rsidR="009D6580" w:rsidRPr="00E47484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Riċevibbli mixtrija</w:t>
            </w:r>
          </w:p>
          <w:p w14:paraId="40628222" w14:textId="77777777" w:rsidR="009D6580" w:rsidRPr="00E47484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(c)(iii) tar-Regolament (UE) 575/2013.</w:t>
            </w:r>
          </w:p>
        </w:tc>
      </w:tr>
      <w:tr w:rsidR="00F16E4D" w:rsidRPr="002A677E" w14:paraId="27B47EEA" w14:textId="77777777" w:rsidTr="00822842">
        <w:tc>
          <w:tcPr>
            <w:tcW w:w="1188" w:type="dxa"/>
          </w:tcPr>
          <w:p w14:paraId="329ABF25" w14:textId="3906F1E5" w:rsidR="00F16E4D" w:rsidRPr="002A677E" w:rsidRDefault="00F16E4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0058</w:t>
            </w:r>
          </w:p>
        </w:tc>
        <w:tc>
          <w:tcPr>
            <w:tcW w:w="8640" w:type="dxa"/>
          </w:tcPr>
          <w:p w14:paraId="27CFAA09" w14:textId="513D8D7F" w:rsidR="00F16E4D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</w:t>
            </w:r>
          </w:p>
          <w:p w14:paraId="75A3CB20" w14:textId="69737D7D" w:rsidR="00F16E4D" w:rsidRPr="002A677E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147(2), il-punt I(i) tar-Regolament (UE) Nru 575/2013</w:t>
            </w:r>
          </w:p>
        </w:tc>
      </w:tr>
      <w:tr w:rsidR="009D6580" w:rsidRPr="002A677E" w14:paraId="3CAC5C4A" w14:textId="77777777" w:rsidTr="00822842">
        <w:tc>
          <w:tcPr>
            <w:tcW w:w="1188" w:type="dxa"/>
          </w:tcPr>
          <w:p w14:paraId="50AFEE2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84F36E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Fil-livell tal-konsumatur</w:t>
            </w:r>
          </w:p>
          <w:p w14:paraId="61F9869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kollha fil-livell tal-konsumatur kif imsemmi fl-Artikolu 147(2), il-punt (d) tar-Regolament (UE) Nru 575/2013.</w:t>
            </w:r>
          </w:p>
        </w:tc>
      </w:tr>
      <w:tr w:rsidR="009D6580" w:rsidRPr="002A677E" w14:paraId="3126FC45" w14:textId="77777777" w:rsidTr="00822842">
        <w:tc>
          <w:tcPr>
            <w:tcW w:w="1188" w:type="dxa"/>
          </w:tcPr>
          <w:p w14:paraId="3B5D672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094A84E8" w14:textId="1D426AD8" w:rsidR="009D6580" w:rsidRPr="002A677E" w:rsidRDefault="005B37F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Livell tal-konsumatur – Garantiti bi proprjetà immobbli</w:t>
            </w:r>
          </w:p>
          <w:p w14:paraId="35B1F6E7" w14:textId="4962CAD8" w:rsidR="00FD0F61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kif definit fl-Artikolu 147(2), il-punt (d) tar-Regolament (UE) Nru 575/2013 li huma ggarantiti bi proprjetà immobbli kif definiti fl-Artikolu 4(1), il-punt (75f il-punt (d) tar-Regolament (UE) Nru 575/2013.</w:t>
            </w:r>
          </w:p>
          <w:p w14:paraId="0CD06107" w14:textId="22291817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9D6580" w:rsidRPr="002A677E" w14:paraId="49CD7917" w14:textId="77777777" w:rsidTr="00822842">
        <w:tc>
          <w:tcPr>
            <w:tcW w:w="1188" w:type="dxa"/>
          </w:tcPr>
          <w:p w14:paraId="3FA8BBC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4738C3E5" w14:textId="186F9DD4" w:rsidR="009D6580" w:rsidRPr="002A677E" w:rsidRDefault="00FD0F61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SME</w:t>
            </w:r>
          </w:p>
          <w:p w14:paraId="67BFF2AB" w14:textId="02FB7D89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kif definit fl-Artikolu 147(2), il-punt (d) tar-Regolament (UE) Nru 575/2013, irrapportati taħt B.6.1 sa B.6.4, li huma ggarantiti bi proprjetà immobbli kif definit fl-Artikolu 4(1), il-punt (75f, il-punt d) tar-Regolament (UE) Nru 575/2013, flimkien mal-Artikolu 5(8)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E47484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E47484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mhux SME</w:t>
            </w:r>
          </w:p>
          <w:p w14:paraId="68647661" w14:textId="272EAD03" w:rsidR="00837F98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kif definit fl-Artikolu 147(2), il-punt (d) tar-Regolament (UE) Nru 575/2013, irrapportati taħt B.6.1 sa B.6.4, li huma ggarantiti bi proprjetà immobbli kif definit fl-Artikolu 4(1), il-punt (75f, il-punt (d) tar-Regolament (UE) Nru 575/2013, mhux flimkien mal-Artikolu 5(8) tar-Regolament (UE) Nru 575/2013.</w:t>
            </w:r>
          </w:p>
          <w:p w14:paraId="34F371DC" w14:textId="683F21EB" w:rsidR="009D6580" w:rsidRPr="00D10012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2A677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2A677E" w:rsidRDefault="00910F6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Iggarantiti bi proprjetà immobbli residenzjali</w:t>
            </w:r>
          </w:p>
          <w:p w14:paraId="3B8B837D" w14:textId="77777777" w:rsidR="00910F63" w:rsidRPr="00910F63" w:rsidRDefault="00910F63" w:rsidP="00910F6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kif imsemmija fl-Artikolu 147(2), il-punt (d)(ii), tar-Regolament (UE) Nru 575/2013.</w:t>
            </w:r>
          </w:p>
          <w:p w14:paraId="7240267A" w14:textId="77777777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fil-livell tal-konsumatur iggarantiti bi proprjetà immobbli residenzjali se jitqiesu bħala kwalunkwe skopertura fil-livell tal-konsumatur iggarantita bi proprjetà immobbli residenzjali rikonoxxuta bħala kollateral, irrispettivament mill-proporzjon tal-valur tal-kollateral mal-iskopertura jew mill-iskop tas-self.</w:t>
            </w:r>
          </w:p>
        </w:tc>
      </w:tr>
      <w:tr w:rsidR="009D6580" w:rsidRPr="002A677E" w14:paraId="38AD5BBA" w14:textId="77777777" w:rsidTr="00822842">
        <w:tc>
          <w:tcPr>
            <w:tcW w:w="1188" w:type="dxa"/>
          </w:tcPr>
          <w:p w14:paraId="48A5C8D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1B160106" w14:textId="7C65E11F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Rotanti li jikkwalifikaw</w:t>
            </w:r>
          </w:p>
          <w:p w14:paraId="363209C3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konsumatur kif imsemmi fl-Artikolu 147(2), il-punt (d)(i) flimkien mal-Artikolu 154(4) tar-Regolament (UE) Nru 575/2013</w:t>
            </w:r>
          </w:p>
        </w:tc>
      </w:tr>
      <w:tr w:rsidR="009D6580" w:rsidRPr="002A677E" w14:paraId="26D0338D" w14:textId="77777777" w:rsidTr="00822842">
        <w:tc>
          <w:tcPr>
            <w:tcW w:w="1188" w:type="dxa"/>
          </w:tcPr>
          <w:p w14:paraId="6DA4B8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63563096" w14:textId="485ECEE6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Riċevibbli mixtrija</w:t>
            </w:r>
          </w:p>
          <w:p w14:paraId="7C92CD05" w14:textId="77777777" w:rsidR="009D6580" w:rsidRPr="00B7761D" w:rsidRDefault="009D6580" w:rsidP="00822842">
            <w:pPr>
              <w:rPr>
                <w:sz w:val="18"/>
                <w:szCs w:val="18"/>
                <w:rFonts w:cs="Calibri"/>
              </w:rPr>
            </w:pPr>
            <w:r>
              <w:rPr>
                <w:sz w:val="24"/>
                <w:rFonts w:ascii="Times New Roman" w:hAnsi="Times New Roman"/>
              </w:rPr>
              <w:t xml:space="preserve">Skoperturi fil-livell tal-konsumatur kif imsemmija fl-Artikolu 147(2), il-punt (d)(iii), tar-Regolament (UE) Nru 575/2013</w:t>
            </w:r>
          </w:p>
        </w:tc>
      </w:tr>
      <w:tr w:rsidR="009D6580" w:rsidRPr="002A677E" w14:paraId="551F153F" w14:textId="77777777" w:rsidTr="00822842">
        <w:tc>
          <w:tcPr>
            <w:tcW w:w="1188" w:type="dxa"/>
          </w:tcPr>
          <w:p w14:paraId="1C567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169086" w14:textId="5BA51B78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Livell tal-Konsumatur Ieħor</w:t>
            </w:r>
          </w:p>
          <w:p w14:paraId="6BB335AD" w14:textId="5184DC86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oħra fil-livell tal-konsumatur kif imsemmija fl-Artikolu 147(2), il-punt (d)(iv) tar-Regolament (UE) Nru 575/2013.</w:t>
            </w:r>
          </w:p>
        </w:tc>
      </w:tr>
      <w:tr w:rsidR="009D6580" w:rsidRPr="002A677E" w14:paraId="1879AB2D" w14:textId="77777777" w:rsidTr="00822842">
        <w:tc>
          <w:tcPr>
            <w:tcW w:w="1188" w:type="dxa"/>
          </w:tcPr>
          <w:p w14:paraId="247F053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37F76446" w14:textId="0C2F5C96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SME</w:t>
            </w:r>
          </w:p>
          <w:p w14:paraId="28CE96BD" w14:textId="7A3420F8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oħra fil-livell tal-konsumatur kif imsemmija fl-Artikolu 147(2), il-punt (d)(iv) tar-Regolament (UE) Nru 575/2013 flimkien mal-Artikolu 5(8)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6140E6E8" w14:textId="77777777" w:rsidTr="00822842">
        <w:tc>
          <w:tcPr>
            <w:tcW w:w="1188" w:type="dxa"/>
          </w:tcPr>
          <w:p w14:paraId="4DD007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40BDF108" w14:textId="2B96A314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mhux SME</w:t>
            </w:r>
          </w:p>
          <w:p w14:paraId="51D486B6" w14:textId="251D2008" w:rsidR="009D6580" w:rsidRPr="002A677E" w:rsidRDefault="00837F9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oħra fil-livell tal-konsumatur kif imsemmija fl-Artikolu 147(2), il-punt (d)(iv), tar-Regolament (UE) Nru 575/2013, mhux flimkien mal-Artikolu 5(8) tar-Regolament (UE) Nru 575/2013.</w:t>
            </w:r>
          </w:p>
        </w:tc>
      </w:tr>
      <w:tr w:rsidR="009D6580" w:rsidRPr="002A677E" w14:paraId="70A29A85" w14:textId="77777777" w:rsidTr="00822842">
        <w:tc>
          <w:tcPr>
            <w:tcW w:w="1188" w:type="dxa"/>
          </w:tcPr>
          <w:p w14:paraId="5C2874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640" w:type="dxa"/>
          </w:tcPr>
          <w:p w14:paraId="170B9280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Impriżi ta’ investiment kollettiv (CIU)</w:t>
            </w:r>
          </w:p>
          <w:p w14:paraId="4237C58D" w14:textId="4E266C1C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t xml:space="preserve">L-Artikolu 147(2), il-punt (e1) tar-Regolament (UE) Nru 575/2013</w:t>
            </w:r>
          </w:p>
        </w:tc>
      </w:tr>
      <w:tr w:rsidR="009D6580" w:rsidRPr="002A677E" w14:paraId="72EBDFDD" w14:textId="77777777" w:rsidTr="00822842">
        <w:tc>
          <w:tcPr>
            <w:tcW w:w="1188" w:type="dxa"/>
          </w:tcPr>
          <w:p w14:paraId="290EDA8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0133</w:t>
            </w:r>
          </w:p>
        </w:tc>
        <w:tc>
          <w:tcPr>
            <w:tcW w:w="8640" w:type="dxa"/>
          </w:tcPr>
          <w:p w14:paraId="39E22A69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taċ-ċar kristall</w:t>
            </w:r>
          </w:p>
          <w:p w14:paraId="3481CEEB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0190 tal-formola CR IRB</w:t>
            </w:r>
          </w:p>
        </w:tc>
      </w:tr>
      <w:tr w:rsidR="009D6580" w:rsidRPr="002A677E" w14:paraId="6520599F" w14:textId="77777777" w:rsidTr="00822842">
        <w:tc>
          <w:tcPr>
            <w:tcW w:w="1188" w:type="dxa"/>
          </w:tcPr>
          <w:p w14:paraId="5DF820F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0134</w:t>
            </w:r>
          </w:p>
        </w:tc>
        <w:tc>
          <w:tcPr>
            <w:tcW w:w="8640" w:type="dxa"/>
          </w:tcPr>
          <w:p w14:paraId="13156AFE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ibbażat fuq mandat</w:t>
            </w:r>
          </w:p>
          <w:p w14:paraId="37B63BC9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0200 tal-formola CR IRB</w:t>
            </w:r>
          </w:p>
        </w:tc>
      </w:tr>
      <w:tr w:rsidR="009D6580" w:rsidRPr="002A677E" w14:paraId="57B2C532" w14:textId="77777777" w:rsidTr="00822842">
        <w:tc>
          <w:tcPr>
            <w:tcW w:w="1188" w:type="dxa"/>
          </w:tcPr>
          <w:p w14:paraId="251B0D2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0135</w:t>
            </w:r>
          </w:p>
        </w:tc>
        <w:tc>
          <w:tcPr>
            <w:tcW w:w="8640" w:type="dxa"/>
          </w:tcPr>
          <w:p w14:paraId="19D4ED63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Approċċ ta’ riżerva</w:t>
            </w:r>
          </w:p>
          <w:p w14:paraId="18A39C60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L-istess definizzjoni bħar-ringiela 0210 tal-formola CR IRB</w:t>
            </w:r>
          </w:p>
        </w:tc>
      </w:tr>
      <w:bookmarkEnd w:id="3"/>
      <w:tr w:rsidR="009D6580" w:rsidRPr="002A677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Ekwità</w:t>
            </w:r>
          </w:p>
          <w:p w14:paraId="1A033F1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tal-ekwità kif imsemmi fl-Artikolu 147(2), il-punt (e), tar-Regolament (UE) Nru 575/2013</w:t>
            </w:r>
          </w:p>
        </w:tc>
      </w:tr>
      <w:tr w:rsidR="009D6580" w:rsidRPr="002A677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</w:p>
        </w:tc>
      </w:tr>
    </w:tbl>
    <w:p w14:paraId="7728923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60188366"/>
      <w:bookmarkStart w:id="11" w:name="_Toc473560917"/>
      <w:bookmarkStart w:id="12" w:name="_Toc151714421"/>
      <w:r>
        <w:rPr>
          <w:sz w:val="24"/>
          <w:u w:val="none"/>
          <w:rFonts w:ascii="Times New Roman" w:hAnsi="Times New Roman"/>
        </w:rPr>
        <w:t xml:space="preserve">3.4.3.</w:t>
      </w:r>
      <w:r>
        <w:rPr>
          <w:sz w:val="24"/>
          <w:u w:val="none"/>
          <w:rFonts w:ascii="Times New Roman" w:hAnsi="Times New Roman"/>
        </w:rPr>
        <w:tab/>
      </w:r>
      <w:r>
        <w:t xml:space="preserve">C 09.04 – Diżaggregazzjoni tal-iskoperturi ta’ kreditu rilevanti għall-kalkolu tal-buffer kontroċikliku skont il-pajjiż u r-rata tal-buffer kontroċikliku speċifiku għall-istituzzjoni</w:t>
      </w:r>
      <w:bookmarkEnd w:id="10"/>
      <w:r>
        <w:t xml:space="preserve"> (CCB)</w:t>
      </w:r>
      <w:bookmarkEnd w:id="11"/>
      <w:bookmarkEnd w:id="12"/>
    </w:p>
    <w:p w14:paraId="600FC3A3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360188367"/>
      <w:bookmarkStart w:id="14" w:name="_Toc473560918"/>
      <w:bookmarkStart w:id="15" w:name="_Toc151714422"/>
      <w:r>
        <w:rPr>
          <w:sz w:val="24"/>
          <w:u w:val="none"/>
          <w:rFonts w:ascii="Times New Roman" w:hAnsi="Times New Roman"/>
        </w:rPr>
        <w:t xml:space="preserve">3.4.3,1.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13"/>
      <w:bookmarkEnd w:id="14"/>
      <w:bookmarkEnd w:id="15"/>
    </w:p>
    <w:p w14:paraId="57D13BA6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88</w:t>
      </w:r>
      <w:r>
        <w:fldChar w:fldCharType="end"/>
      </w:r>
      <w:r>
        <w:t xml:space="preserve">.</w:t>
      </w:r>
      <w:r>
        <w:tab/>
      </w:r>
      <w:r>
        <w:t xml:space="preserve">Din il-formola għandha l-għan li tirċievi iktar informazzjoni dwar l-elementi tal-buffer kontroċikliku speċifiku għall-istituzzjoni.</w:t>
      </w:r>
      <w:r>
        <w:t xml:space="preserve"> </w:t>
      </w:r>
      <w:r>
        <w:t xml:space="preserve">L-informazzjoni meħtieġa tirreferi għar-rekwiżiti ta’ fondi proprji determinati f’konformità mal-Parti Tlieta, it-Titolu II u t-Titolu IV tar-Regolament (UE) Nru 575/2013 u l-pożizzjoni ġeografika ta’ skoperturi ta’ kreditu, skoperturi ta’ titolizzazzjoni u skoperturi tal-portafoll tan-negozjar rilevanti għall-kalkolu tal-buffer tal-kapital kontroċikliku (countercyclical capital buffer, CCB) speċifika għall-istituzzjoni f’konformità mal-Artikolu 140 tad-Direttiva 2013/36/UE (skoperturi ta’ kreditu rilevanti).</w:t>
      </w:r>
      <w:r>
        <w:t xml:space="preserve"> </w:t>
      </w:r>
    </w:p>
    <w:p w14:paraId="10EA3DAD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89</w:t>
      </w:r>
      <w:r>
        <w:fldChar w:fldCharType="end"/>
      </w:r>
      <w:r>
        <w:t xml:space="preserve">.</w:t>
      </w:r>
      <w:r>
        <w:tab/>
      </w:r>
      <w:r>
        <w:t xml:space="preserve">L-informazzjoni fil-Formola C 09.04 għandha tiġi rapportata għat-“Total” ta’ skoperturi ta’ kreditu rilevanti matul il-ġuriżdizzjonijiet kollha fejn dawk l-iskoperturi jkunu lokalizzati u b’mod individwali għal kull waħda mill-ġuriżdizzjonijiet fejn jinsabu l-iskoperturi tal-kreditu relevanti.</w:t>
      </w:r>
      <w:r>
        <w:t xml:space="preserve"> </w:t>
      </w:r>
      <w:r>
        <w:t xml:space="preserve">Iċ-ċifri totali kif ukoll l-informazzjoni ta’ kull ġuriżdizzjoni għandha tiġi rapportata f’dimensjoni separata.</w:t>
      </w:r>
      <w:r>
        <w:t xml:space="preserve"> </w:t>
      </w:r>
    </w:p>
    <w:p w14:paraId="054CDEAF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90</w:t>
      </w:r>
      <w:r>
        <w:fldChar w:fldCharType="end"/>
      </w:r>
      <w:r>
        <w:t xml:space="preserve">.</w:t>
      </w:r>
      <w:r>
        <w:tab/>
      </w:r>
      <w:r>
        <w:t xml:space="preserve">Il-livell limitu stabbilit fl-Artikolu 5(5) ta’ dan ir-Regolament ta’ Implimentazzjoni ma għandux japplika għar-rapportar ta’ din id-diżaggregazzjoni.</w:t>
      </w:r>
    </w:p>
    <w:bookmarkStart w:id="16" w:name="_Hlk151650982"/>
    <w:p w14:paraId="710781F7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>
        <w:t>91</w:t>
      </w:r>
      <w:r>
        <w:fldChar w:fldCharType="end"/>
      </w:r>
      <w:r>
        <w:t xml:space="preserve">.</w:t>
      </w:r>
      <w:r>
        <w:tab/>
      </w:r>
      <w:r>
        <w:t xml:space="preserve">Sabiex tiġi determinata l-pożizzjoni ġeografika, l-iskoperturi għandhom jiġu allokati fuq bażi ta’ debitur immedjat kif previst fir-Regolament ta’ Delega tal-Kummissjoni (UE) Nru 1152/2014</w:t>
      </w:r>
      <w:r w:rsidRPr="002A677E">
        <w:footnoteReference w:id="1"/>
      </w:r>
      <w:r>
        <w:t xml:space="preserve">.</w:t>
      </w:r>
      <w:r>
        <w:t xml:space="preserve"> </w:t>
      </w:r>
      <w:r>
        <w:t xml:space="preserve">Għalhekk it-tekniki tas-CRM ma għandhomx jibdlu l-allokazzjoni ta’ skopertura mal-pożizzjoni ġeografiku tagħha għall-finijiet ta’ rapportar ta’ informazzjoni stabbiliti f’din il-formola.</w:t>
      </w:r>
    </w:p>
    <w:p w14:paraId="4811C8E1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7" w:name="_Toc360188368"/>
      <w:bookmarkStart w:id="18" w:name="_Toc473560919"/>
      <w:bookmarkStart w:id="19" w:name="_Toc151714423"/>
      <w:bookmarkEnd w:id="16"/>
      <w:r>
        <w:rPr>
          <w:sz w:val="24"/>
          <w:u w:val="none"/>
          <w:rFonts w:ascii="Times New Roman" w:hAnsi="Times New Roman"/>
        </w:rPr>
        <w:t xml:space="preserve">3.4.3,2.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6B14BCBD" w14:textId="77777777" w:rsidTr="00822842">
        <w:tc>
          <w:tcPr>
            <w:tcW w:w="1697" w:type="dxa"/>
          </w:tcPr>
          <w:p w14:paraId="5CBD6D84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A1F53D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</w:t>
            </w:r>
          </w:p>
          <w:p w14:paraId="4EDF643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tal-iskoperturi ta’ kreditu relevanti u rekwiżiti ta’ fondi proprji determinati f’konformità mal-istruzzjonijiet għar-ringiela rispettiva.</w:t>
            </w:r>
          </w:p>
        </w:tc>
      </w:tr>
      <w:tr w:rsidR="009D6580" w:rsidRPr="002A677E" w14:paraId="29BB3D71" w14:textId="77777777" w:rsidTr="00822842">
        <w:tc>
          <w:tcPr>
            <w:tcW w:w="1697" w:type="dxa"/>
          </w:tcPr>
          <w:p w14:paraId="15999D4B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4133F8D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Persentaġġ</w:t>
            </w:r>
          </w:p>
          <w:p w14:paraId="01DD816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2A677E" w14:paraId="2A8BD3C1" w14:textId="77777777" w:rsidTr="00822842">
        <w:tc>
          <w:tcPr>
            <w:tcW w:w="1697" w:type="dxa"/>
          </w:tcPr>
          <w:p w14:paraId="0F30E1C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61529C4E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Informazzjoni Kwalitattiva</w:t>
            </w:r>
          </w:p>
          <w:p w14:paraId="394356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tiġi rapportata biss għall-pajjiż ta’ residenza tal-istituzzjoni (il-ġuriżdizzjoni korrispondenti fl-Istat Membru ta’ domiċilju tagħha) u t-“Total” tal-pajjiżi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61B5E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{i} jew {l}f’konformità mal-istruzzjonijiet għar-ringiela rilevanti.</w:t>
            </w:r>
          </w:p>
        </w:tc>
      </w:tr>
    </w:tbl>
    <w:p w14:paraId="51476A7B" w14:textId="77777777" w:rsidR="009D6580" w:rsidRPr="002A677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70661EF5" w14:textId="77777777" w:rsidTr="00822842">
        <w:tc>
          <w:tcPr>
            <w:tcW w:w="1697" w:type="dxa"/>
          </w:tcPr>
          <w:p w14:paraId="563EAAB9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0010–0020</w:t>
            </w:r>
          </w:p>
        </w:tc>
        <w:tc>
          <w:tcPr>
            <w:tcW w:w="8131" w:type="dxa"/>
          </w:tcPr>
          <w:p w14:paraId="3D2862F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ta’ kreditu rilevanti – Riskju ta’ kreditu</w:t>
            </w:r>
          </w:p>
          <w:p w14:paraId="516A26F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ta’ kreditu rilevanti kif imsemmi fl-Artikolu 140(4), il-punt (a), tad-Direttiva 2013/36/UE.</w:t>
            </w:r>
          </w:p>
        </w:tc>
      </w:tr>
      <w:tr w:rsidR="009D6580" w:rsidRPr="002A677E" w14:paraId="527A1F7E" w14:textId="77777777" w:rsidTr="00822842">
        <w:tc>
          <w:tcPr>
            <w:tcW w:w="1697" w:type="dxa"/>
          </w:tcPr>
          <w:p w14:paraId="18BE8A8D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0D60C4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skont l-Approċċ standardizzat</w:t>
            </w:r>
          </w:p>
          <w:p w14:paraId="0EA1DD75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kkalkolat f’konformità mal-Artikolu 111 tar-Regolament (UE) Nru 575/2013 għall-iskoperturi ta’ kreditu rilevanti kif imsemmi fl-Artikolu 140(4), il-punt (a) tad-Direttiva 2013/36/UE.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B986ED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tal-iskoperturi tal-pożizzjonijiet ta’ titolizzazzjoni fil-portafoll bankarju għandhom ikunu esklużi minn din ir-ringiela u rapportati fir-ringiela 0055.</w:t>
            </w:r>
          </w:p>
        </w:tc>
      </w:tr>
      <w:tr w:rsidR="009D6580" w:rsidRPr="002A677E" w14:paraId="367F78C6" w14:textId="77777777" w:rsidTr="00822842">
        <w:tc>
          <w:tcPr>
            <w:tcW w:w="1697" w:type="dxa"/>
          </w:tcPr>
          <w:p w14:paraId="3217061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385211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skont l-approċċ IRB</w:t>
            </w:r>
          </w:p>
          <w:p w14:paraId="3F80BC3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kkalkolat f’konformità mal-Artikolu 166 tar-Regolament (UE) Nru 575/2013 għall-iskoperturi ta’ kreditu rilevanti kif imsemmi fl-Artikolu 140(4), il-punt (a) tad-Direttiva 2013/36/UE.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C130F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tal-iskoperturi tal-pożizzjonijiet ta’ titolizzazzjoni fil-portafoll bankarju għandhom ikunu esklużi minn din ir-ringiela u rapportati fir-ringiela 0055.</w:t>
            </w:r>
          </w:p>
        </w:tc>
      </w:tr>
      <w:tr w:rsidR="009D6580" w:rsidRPr="002A677E" w14:paraId="613420F2" w14:textId="77777777" w:rsidTr="00822842">
        <w:tc>
          <w:tcPr>
            <w:tcW w:w="1697" w:type="dxa"/>
          </w:tcPr>
          <w:p w14:paraId="53491AF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0030– 0040</w:t>
            </w:r>
          </w:p>
        </w:tc>
        <w:tc>
          <w:tcPr>
            <w:tcW w:w="8131" w:type="dxa"/>
          </w:tcPr>
          <w:p w14:paraId="369D85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rilevanti tal-kreditu – Ir-riskju tas-suq</w:t>
            </w:r>
          </w:p>
          <w:p w14:paraId="54050F9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ta’ kreditu rilevanti kif imsemmi fl-Artikolu 140(4), il-punt (b), tad-Direttiva 2013/36/UE.</w:t>
            </w:r>
          </w:p>
        </w:tc>
      </w:tr>
      <w:tr w:rsidR="009D6580" w:rsidRPr="002A677E" w14:paraId="670769C5" w14:textId="77777777" w:rsidTr="00822842">
        <w:tc>
          <w:tcPr>
            <w:tcW w:w="1697" w:type="dxa"/>
          </w:tcPr>
          <w:p w14:paraId="27E0BEE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740784D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 tal-pożizzjonijiet twal u qosra ta’ skoperturi tal-portafoll tan-negozjar għal approċċ Standardizzat</w:t>
            </w:r>
          </w:p>
          <w:p w14:paraId="5F803AC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tal-pożizzjonijiet twal netti u qosra netti f’konformità mal-Artikolu 327 tar-Regolament (UE) Nru 575/2013 tal-iskoperturi ta’ kreditu rilevanti kif imsemmi fl-Artikolu 140(4), il-punt (b) tad-Direttiva 2013/36/UE soġġetti għar-rekwiżiti ta’ fondi proprji f’konformità mal-Parti Tliet, it-Titolu IV, il-Kapitolu 2 tar-Regolament (UE) Nru 575/2013: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5B6B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skoperturi għal strumenti ta’ dejn mhux ta’ titolizzazzjoni;</w:t>
            </w:r>
          </w:p>
          <w:p w14:paraId="2F347ECD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skoperturi għal pożizzjonijiet ta’ titolizzazzjoni fil-portafoll tan-negozjar;</w:t>
            </w:r>
          </w:p>
          <w:p w14:paraId="0BF14848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skoperturi għal portafolli tan-negozjar ta’ korrelazzjoni;</w:t>
            </w:r>
          </w:p>
          <w:p w14:paraId="426EA2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skoperturi għal titoli ta’ ekwità;</w:t>
            </w:r>
          </w:p>
          <w:p w14:paraId="29596F16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skoperturi għal CIUs meta r-rekwiżiti kapitali jkunu kkalkolati f’konformità mal-Artikolu 348 tar-Regolament (UE) Nru 575/2013.</w:t>
            </w:r>
          </w:p>
        </w:tc>
      </w:tr>
      <w:tr w:rsidR="009D6580" w:rsidRPr="002A677E" w14:paraId="1B5F6FE5" w14:textId="77777777" w:rsidTr="00822842">
        <w:tc>
          <w:tcPr>
            <w:tcW w:w="1697" w:type="dxa"/>
          </w:tcPr>
          <w:p w14:paraId="22718F0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31" w:type="dxa"/>
          </w:tcPr>
          <w:p w14:paraId="7989891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tal-portafoll tan-negozjar skont il-mudelli interni</w:t>
            </w:r>
          </w:p>
          <w:p w14:paraId="2C5D070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ta’ kreditu rilevanti kif imsemmi fl-Artikolu 140(4), il-punt (b) tad-Direttiva 2013/36/UE soġġetti għar-rekwiżiti ta’ fondi proprji skont il-Parti Tlieta, it-Titolu IV, il-Kapitoli 2 u 5 tar-Regolament (UE) Nru 575/2013, għandu jiġi rapportat it-total ta’ dawn li ġejjin:</w:t>
            </w:r>
          </w:p>
          <w:p w14:paraId="07E28E81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-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Valur ġust ta’ pożizzjonijiet mhux derivattivi, li jirrappreżentaw l-iskoperturi ta’ kreditu rilevanti kif imsemmi fl-Artikolu 140(4), il-punt (b) tad-Direttiva 2013/36/UE, determinati f’konformità mal-Artikolu 104 tar-Regolament (UE) Nru 575/2013.</w:t>
            </w:r>
          </w:p>
          <w:p w14:paraId="198195E0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-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Il-valur nozzjonali tad-derivattivi, li jirrappreżentaw l-iskoperturi ta’ kreditu rilevanti kif imsemmi fl-Artikolu 140(4), il-punt (b) tad-Direttiva 2013/36/UE.</w:t>
            </w:r>
          </w:p>
        </w:tc>
      </w:tr>
      <w:tr w:rsidR="009D6580" w:rsidRPr="002A677E" w14:paraId="6BA1E71E" w14:textId="77777777" w:rsidTr="00822842">
        <w:tc>
          <w:tcPr>
            <w:tcW w:w="1697" w:type="dxa"/>
          </w:tcPr>
          <w:p w14:paraId="37545C8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131" w:type="dxa"/>
          </w:tcPr>
          <w:p w14:paraId="3A6EE46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ta’ kreditu rilevanti – Pożizzjonijiet ta’ titolizzazzjoni fil-portafoll bankarju</w:t>
            </w:r>
          </w:p>
          <w:p w14:paraId="4B3C84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kkalkolat f’konformità mal-Artikolu 248 tar-Regolament (UE) Nru 575/2013 għall-iskoperturi ta’ kreditu rilevanti kif imsemmi fl-Artikolu 140(4), il-punt (c) tad-Direttiva 2013/36/UE.</w:t>
            </w:r>
          </w:p>
        </w:tc>
      </w:tr>
      <w:tr w:rsidR="009D6580" w:rsidRPr="002A677E" w14:paraId="2A6651FC" w14:textId="77777777" w:rsidTr="00822842">
        <w:tc>
          <w:tcPr>
            <w:tcW w:w="1697" w:type="dxa"/>
          </w:tcPr>
          <w:p w14:paraId="3D2C5D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0070-0110</w:t>
            </w:r>
          </w:p>
        </w:tc>
        <w:tc>
          <w:tcPr>
            <w:tcW w:w="8131" w:type="dxa"/>
          </w:tcPr>
          <w:p w14:paraId="6A03AF3B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u ponderazzjonijiet ta’ fondi proprji</w:t>
            </w:r>
          </w:p>
        </w:tc>
      </w:tr>
      <w:tr w:rsidR="009D6580" w:rsidRPr="002A677E" w14:paraId="5C042A5F" w14:textId="77777777" w:rsidTr="00822842">
        <w:tc>
          <w:tcPr>
            <w:tcW w:w="1697" w:type="dxa"/>
          </w:tcPr>
          <w:p w14:paraId="32640B7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31" w:type="dxa"/>
          </w:tcPr>
          <w:p w14:paraId="431787D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totali għas-CCB</w:t>
            </w:r>
          </w:p>
          <w:p w14:paraId="78C2961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tar-ringieli 0080, 0090 u 0100.</w:t>
            </w:r>
          </w:p>
        </w:tc>
      </w:tr>
      <w:tr w:rsidR="009D6580" w:rsidRPr="002A677E" w14:paraId="7D74E37B" w14:textId="77777777" w:rsidTr="00822842">
        <w:tc>
          <w:tcPr>
            <w:tcW w:w="1697" w:type="dxa"/>
          </w:tcPr>
          <w:p w14:paraId="26DA65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31" w:type="dxa"/>
          </w:tcPr>
          <w:p w14:paraId="2381AF1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għall-iskoperturi ta’ kreditu rilevanti – Riskju ta’ kreditu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126D1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kkalkolati f’konformità mal-Parti Tlieta, it-Titolu II, il-Kapitoli minn 1 sa 4 u l-Kapitolu 6 tar-Regolament (UE) Nru 575/2013 għal skoperturi ta’ kreditu rilevanti kif imsemmi fl-Artikolu 140(4), il-punt (a) tad-Direttiva 2013/36/UE, fil-pajjiż inkwistjoni.</w:t>
            </w:r>
          </w:p>
          <w:p w14:paraId="094DA9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għal pożizzjonijiet ta’ titolizzazzjoni fil-portafoll bankarju għandhom ikunu esklużi minn din ir-ringiela u rrapportati fir-ringiela 0100.</w:t>
            </w:r>
          </w:p>
          <w:p w14:paraId="037A149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huma 8 % tal-ammont tal-iskopertura ponderata għar-riskju determinat f’konformità mal-Parti Tlieta, it-Titolu II, il-Kapitoli minn 1 sa 4 u l-Kapitolu 6 tar-Regolament (UE) Nru 575/2013.</w:t>
            </w:r>
          </w:p>
        </w:tc>
      </w:tr>
      <w:tr w:rsidR="009D6580" w:rsidRPr="002A677E" w14:paraId="6CE5DB0E" w14:textId="77777777" w:rsidTr="00822842">
        <w:tc>
          <w:tcPr>
            <w:tcW w:w="1697" w:type="dxa"/>
          </w:tcPr>
          <w:p w14:paraId="0847E4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31" w:type="dxa"/>
          </w:tcPr>
          <w:p w14:paraId="4922C9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għall-iskoperturi ta’ kreditu rilevanti – Riskju tas-suq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686B88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kkalkolati f’konformità mal-Parti Tlieta, it-Titolu IV, il-Kapitolu 2 tar-Regolament (UE) Nru 575/2013 għal riskju speċifiku, jew f’konformità mal-Parti Tlieta, it-Titolu IV, il-Kapitolu 5 tar-Regolament (UE) Nru 575/2013 għal riskju inkrementali ta’ inadempjenza u ta’ migrazzjoni għal skoperturi ta’ kreditu rilevanti kif imsemmi fl-Artikolu 140(4), il-punt (b) tad-Direttiva 2013/36/UE, fil-pajjiż inkwistjoni.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61181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għal skoperturi ta’ kreditu rilevanti skont il-qafas tar-riskju tas-suq għandhom jinkludu, fost oħrajn, ir-rekwiżiti ta’ fondi proprji għal pożizzjonijiet ta’ titolizzazzjoni kkalkolati f’konformità mal-Parti Tlieta, it-Titolu IV, il-Kapitolu 2 tar-Regolament (UE) Nru 575/2013 u r-rekwiżiti ta’ fondi proprji għall-iskoperturi għal Impriżi ta’ Investiment Kollettiv determinati f’konformità mal-Artikolu 348 ta’ dak ir-Regolament.</w:t>
            </w:r>
          </w:p>
        </w:tc>
      </w:tr>
      <w:tr w:rsidR="009D6580" w:rsidRPr="002A677E" w14:paraId="655D63DC" w14:textId="77777777" w:rsidTr="00822842">
        <w:tc>
          <w:tcPr>
            <w:tcW w:w="1697" w:type="dxa"/>
          </w:tcPr>
          <w:p w14:paraId="4911AAD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31" w:type="dxa"/>
          </w:tcPr>
          <w:p w14:paraId="45D3AC3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 għall-iskoperturi ta’ kreditu rilevanti – Pożizzjonijiet ta’ titolizzazzjoni fil-portafoll bankarju</w:t>
            </w:r>
          </w:p>
          <w:p w14:paraId="6483412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kkalkolati f’konformità mal-Parti Tlieta, it-Titolu II, il-Kapitolu 5 tar-Regolament (UE) Nru 575/2013 għal skoperturi ta’ kreditu rilevanti kif imsemmi fl-Artikolu 140(4), il-punt (c) tad-Direttiva 2013/36/UE, fil-pajjiż inkwistjoni.</w:t>
            </w:r>
          </w:p>
          <w:p w14:paraId="1A6665D5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huma 8 % tal-ammont tal-iskopertura ponderata għar-riskju ikkalkulat f’konformità mal-Parti Tlieta, it-Titolu II, il-Kapitolu 5 tar-Regolament (UE) Nru 575/2013.</w:t>
            </w:r>
          </w:p>
        </w:tc>
      </w:tr>
      <w:tr w:rsidR="009D6580" w:rsidRPr="002A677E" w14:paraId="4015A9D7" w14:textId="77777777" w:rsidTr="00822842">
        <w:tc>
          <w:tcPr>
            <w:tcW w:w="1697" w:type="dxa"/>
          </w:tcPr>
          <w:p w14:paraId="4ACCD3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31" w:type="dxa"/>
          </w:tcPr>
          <w:p w14:paraId="2EE25FA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Fatturi ta’ ponderazzjonijiet tar-rekwiżiti ta’ fondi proprji</w:t>
            </w:r>
          </w:p>
          <w:p w14:paraId="3D7B890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Il-fattur ta’ ponderazzjoni applikat għar-rata tal-buffer kontroċikliku f’kull pajjiż għandu jiġi kkalkolat bħala proporzjon tar-rekwiżiti ta’ fondi proprji, determinat kif ġej:</w:t>
            </w:r>
          </w:p>
          <w:p w14:paraId="47443D0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Numeratur: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Ir-rekwiżiti ta’ fondi proprji totali li huma relatati mal-iskoperturi ta’ kreditu rilevanti fil-pajjiż konċernat [r0070;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karta ta’ informazzjoni tal-pajjiż ],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FE57E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Denominatur: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Ir-rekwiżiti ta’ fondi proprji totali li jirrigwardaw l-iskoperturi ta’ kreditu rilevanti kollha għall-kalkolu tal-buffer kontroċikliku kif imsemmi fl-Artikolu 140(4) tad-Direttiva Nru 2013/36/KE [r0070;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“Total”].</w:t>
            </w:r>
          </w:p>
          <w:p w14:paraId="423D2DDF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dwar il-ponderazzjonijiet tar-rekwiżiti ta’ fondi proprji ma għandhiex tiġi rapportata għat-“Total” tal-pajjiżi kollha.</w:t>
            </w:r>
          </w:p>
        </w:tc>
      </w:tr>
      <w:tr w:rsidR="009D6580" w:rsidRPr="002A677E" w14:paraId="5C4BC14D" w14:textId="77777777" w:rsidTr="00822842">
        <w:tc>
          <w:tcPr>
            <w:tcW w:w="1697" w:type="dxa"/>
          </w:tcPr>
          <w:p w14:paraId="1A2171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0120-0140</w:t>
            </w:r>
          </w:p>
        </w:tc>
        <w:tc>
          <w:tcPr>
            <w:tcW w:w="8131" w:type="dxa"/>
          </w:tcPr>
          <w:p w14:paraId="0FFF9D8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tal-buffer kontroċikliku</w:t>
            </w:r>
          </w:p>
        </w:tc>
      </w:tr>
      <w:tr w:rsidR="009D6580" w:rsidRPr="002A677E" w14:paraId="3D2AE883" w14:textId="77777777" w:rsidTr="00822842">
        <w:tc>
          <w:tcPr>
            <w:tcW w:w="1697" w:type="dxa"/>
          </w:tcPr>
          <w:p w14:paraId="61437E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31" w:type="dxa"/>
          </w:tcPr>
          <w:p w14:paraId="756100DA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tal-buffer tal-kapital kontroċikliku stabbilit mill-Awtorità Deżinjata</w:t>
            </w:r>
          </w:p>
          <w:p w14:paraId="256AAB4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tal-buffer tal-kapital kontroċikliku stabbilit għall-pajjiż inkwistjoni mill-Awtorità Deżinjata ta’ dak il-pajjiż f’konformità mal-Artikoli 136, 137, 139, l-Artikolu 140(2), il-punti (a) u (c) u l-Artikolu 140(3), il-punti (b) tad-Direttiva 2013/36/UE.</w:t>
            </w:r>
          </w:p>
          <w:p w14:paraId="08387A1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titħalla vojta meta r-rata tal-buffer kontroċikliku kienet stabbilita għall-pajjiż inkwistjoni mill-awtorità responsabbli ta’ dak il-pajjiż.</w:t>
            </w:r>
          </w:p>
          <w:p w14:paraId="79AF7A0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Ir-rati tal-buffer tal-kapital kontroċikliku li ġew stabbiliti mill-Awtorità Deżinjata, iżda li jkunu għadhom mhumiex applikabbli fil-pajjiż inkwistjoni fid-data ta’ referenza tar-rapportar ma għandhomx jiġu rapportati.</w:t>
            </w:r>
          </w:p>
          <w:p w14:paraId="5BEA0E1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Informazzjoni dwar ir-rata tal-buffer tal-kapital kontroċikliku stabbilita mill-Awtorità Deżinjata ma għandhiex tiġi rapportata għat-“Total” tal-pajjiżi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01E6253D" w14:textId="77777777" w:rsidTr="00822842">
        <w:tc>
          <w:tcPr>
            <w:tcW w:w="1697" w:type="dxa"/>
          </w:tcPr>
          <w:p w14:paraId="3226BBD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31" w:type="dxa"/>
          </w:tcPr>
          <w:p w14:paraId="1301D1B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tal-buffer tal-kapital kontroċikliku applikabbli għall-pajjiż tal-istituzzjoni</w:t>
            </w:r>
          </w:p>
          <w:p w14:paraId="47D66D49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tal-buffer tal-kapital kontroċikliku applikabbli għall-pajjiż inkwistjoni li ġiet stabbilita mill-Awtorità Deżinjata tal-pajjiż ta’ residenza tal-istituzzjoni, f’konformità mal-Artikoli 137, 138, 139 u l-Artikolu 140(2), il-punt (b) u l-Artikolu 140(3), il-punt (a) tad-Direttiva 2013/36/UE.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Ir-rati tal-buffer tal-kapital kontroċikliku li jkunu għadhom mhumiex applikabbli fid-data ta’ referenza tar-rapportar ma għandhomx jiġu rapportati.</w:t>
            </w:r>
          </w:p>
          <w:p w14:paraId="082B584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dwar ir-rata tal-buffer tal-kapital kontroċikliku applikabbli fil-pajjiż tal-istituzzjoni ma għandhiex tiġi rapportata għat-“Total” tal-pajjiżi kollha.</w:t>
            </w:r>
          </w:p>
        </w:tc>
      </w:tr>
      <w:tr w:rsidR="009D6580" w:rsidRPr="002A677E" w14:paraId="3FF424DB" w14:textId="77777777" w:rsidTr="00822842">
        <w:tc>
          <w:tcPr>
            <w:tcW w:w="1697" w:type="dxa"/>
          </w:tcPr>
          <w:p w14:paraId="752F44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31" w:type="dxa"/>
          </w:tcPr>
          <w:p w14:paraId="315BAE6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tal-buffer tal-kapital kontroċikliku speċifiku għall-istituzzjoni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53E054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tal-buffer tal-kapital kontroċikliku speċifiku għall-istituzzjoni, ikkalkolata f’konformità mal-Artikolu 140(1) tad-Direttiva 2013/36/UE.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75D2B3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Ir-rata tal-buffer tal-kapital kontroċikliku speċifiku għall-istituzzjoni għandha tiġi kkalkolata bħala l-medja ponderata tar-rati tal-buffer tal-kapital kontroċikliku li japplikaw fil-ġuriżdizzjoni fejn l-iskoperturi ta’ kreditu rilevanti tal-istituzzjoni jkunu jinsabu, jew jiġu applikati għall-finijiet tal-Artikolu 140 bis-saħħa tal-Artikolu 139, il-paragrafi 2 jew 3 tad-Direttiva 2013/36/UE.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Ir-rata tar-riżerva kontroċiklika relevanti għandha tiġi rrapportata f’[r0120;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karta ta’ informazzjoni tal-pajjiż], jew [r0130;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karta ta’ informazzjoni tal-pajjiż], kif applikabbli.</w:t>
            </w:r>
          </w:p>
          <w:p w14:paraId="2C4ECB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Il-ponderazzjoni applikata għall-buffer tal-kapital kontroċikliku f’kull pajjiż għandha tkun is-sehem tar-rekwiżiti ta’ fondi proprji fir-rekwiżiti ta’ fondi proprji totali, u għandu jiġi rapportat f’[r0110;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karta ta’ informazzjoni tal-pajjiż].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E93DC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dwar ir-rata tal-buffer tal-kapital kontroċikliku speċifiku għall-istituzzjoni għandha tiġi rapportata biss għat-“Total” tal-pajjiżi kollha u mhux għal kull pajjiż separatament.</w:t>
            </w:r>
          </w:p>
        </w:tc>
      </w:tr>
      <w:tr w:rsidR="009D6580" w:rsidRPr="002A677E" w14:paraId="0CA64D03" w14:textId="77777777" w:rsidTr="00822842">
        <w:tc>
          <w:tcPr>
            <w:tcW w:w="1697" w:type="dxa"/>
          </w:tcPr>
          <w:p w14:paraId="1436C16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0150-0160</w:t>
            </w:r>
          </w:p>
        </w:tc>
        <w:tc>
          <w:tcPr>
            <w:tcW w:w="8131" w:type="dxa"/>
          </w:tcPr>
          <w:p w14:paraId="13A71A3D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Użu tal-livell limitu ta’ 2 %</w:t>
            </w:r>
          </w:p>
        </w:tc>
      </w:tr>
      <w:tr w:rsidR="009D6580" w:rsidRPr="002A677E" w14:paraId="4C39701D" w14:textId="77777777" w:rsidTr="00822842">
        <w:tc>
          <w:tcPr>
            <w:tcW w:w="1697" w:type="dxa"/>
          </w:tcPr>
          <w:p w14:paraId="62E51E1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31" w:type="dxa"/>
          </w:tcPr>
          <w:p w14:paraId="0ABF51F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Użu tal-livell limitu ta’ 2 % għal skoperturi ta’ kreditu ġenerali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B71CE8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2(5), il-punt (b) tar-Regolament ta’ Delega tal-Kummissjoni (UE) Nru 1152/2014, skoperturi tar-riskju ta’ kreditu ġenerali barranin, li l-aggregat tagħhom ma jaqbiżx 2 % tal-aggregat tal-kreditu ġenerali, il-portafoll tan-negozjar u l-iskoperturi tat-titolizzazzjoni ta’ dik l-istituzzjoni, jistgħu jiġu allokati lil tal-Istat Membru tad-domiċilju tal-istituzzjoni.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L-aggregat tal-kreditu ġenerali, il-portafoll tan-negozjar u l-iskoperturi tat-titolizzazzjoni jiġi kkalkulat billi jiġu esklużi l-iskoperturi ta’ kreditu ġenerali fil-post f’konformità mal-Artikolu 2(5), il-punt (a), u l-Artikolu 2(4) tar-Regolament ta’ Delega (UE) Nru 1152/2014.</w:t>
            </w:r>
          </w:p>
          <w:p w14:paraId="53DCDD6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l-istituzzjoni tagħmel użu minn din id-deroga, din għandha tindika “y” fil-formola ta’ ġuriżdizzjoni li tikkorrispondi għall-Istat Membru tad-domiċilju tiegħu u għat-“Total” tal-pajjiżi kollha.</w:t>
            </w:r>
          </w:p>
          <w:p w14:paraId="5B2597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istituzzjoni ma tagħmilx użu minn din id-deroga, din għandha tindika “n” fiċ-ċellola rispettiva.</w:t>
            </w:r>
          </w:p>
        </w:tc>
      </w:tr>
      <w:tr w:rsidR="009D6580" w:rsidRPr="002A677E" w14:paraId="7179BBF6" w14:textId="77777777" w:rsidTr="00822842">
        <w:tc>
          <w:tcPr>
            <w:tcW w:w="1697" w:type="dxa"/>
          </w:tcPr>
          <w:p w14:paraId="528EEA5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31" w:type="dxa"/>
          </w:tcPr>
          <w:p w14:paraId="4FC000D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Użu tal-livell limitu ta’ 2 % għal skoperturi tal-portafoll tan-negozjar</w:t>
            </w:r>
          </w:p>
          <w:p w14:paraId="13ED02AA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3(3) tar-Regolament ta’ Delega tal-Kummissjoni (UE) Nru 1152/2014, l-istituzzjonijiet jistgħu jallokaw l-iskoperturi tal-portafoll tan-negozjar lejn l-Istat Membru ta’ domiċilju tagħhom, meta t-total tal-iskoperturi fil-portafoll tan-negozjar ma jaqbżux 2 % tat-total ġenerali tal-kreditu tagħhom, tal-portafoll tan-negozjar u tal-iskoperturi tat-titolizzazzjoni.</w:t>
            </w:r>
          </w:p>
          <w:p w14:paraId="068BDCF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l-istituzzjoni tagħmel użu minn din id-deroga, din għandha tindika “y” fil-formola ta’ ġuriżdizzjoni li tikkorrispondi għall-Istat Membru tad-domiċilju tiegħu u għat-“Total” tal-pajjiżi kollha.</w:t>
            </w:r>
          </w:p>
          <w:p w14:paraId="3EA8EC30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istituzzjoni ma tagħmilx użu minn din id-deroga, din għandha tindika “n” fiċ-ċellola rispettiva.</w:t>
            </w:r>
          </w:p>
        </w:tc>
      </w:tr>
    </w:tbl>
    <w:p w14:paraId="41871259" w14:textId="77777777" w:rsidR="009D6580" w:rsidRDefault="009D6580"/>
    <w:p w14:paraId="6D451BBA" w14:textId="77777777" w:rsidR="009D6580" w:rsidRDefault="009D6580"/>
    <w:sectPr w:rsidR="009D6580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sz w:val="20"/>
          <w:szCs w:val="20"/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ab/>
      </w:r>
      <w:r>
        <w:t xml:space="preserve">Ir-Regolament ta’ Delega tal-Kummissjoni (UE) Nru 1152/2014 tal-4 ta' Ġunju 2014 li jissupplimenta d-Direttiva 2013/36/UE tal-Parlament Ewropew u tal-Kunsill fir-rigward tal-istandards tekniċi regolatorji dwar l-identifikazzjoni tal-pożizzjoni ġeografika tal-iskoperturi ta' kreditu rilevanti biex jiġu kkalkulati r-rati speċifiċi għall-istituzzjoni tal-bafer tal-kapital kontroċikliku (ĠU L 309, 30.10.2014, p.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B96088-F67D-4B3C-B81E-EB57F65BAE47}"/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3827</Words>
  <Characters>22237</Characters>
  <Application>Microsoft Office Word</Application>
  <DocSecurity>0</DocSecurity>
  <Lines>427</Lines>
  <Paragraphs>138</Paragraphs>
  <ScaleCrop>false</ScaleCrop>
  <Company/>
  <LinksUpToDate>false</LinksUpToDate>
  <CharactersWithSpaces>25926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2024-07-04T16:47:00Z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