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AB900" w14:textId="77777777" w:rsidR="001C3967" w:rsidRDefault="001C3967" w:rsidP="001C3967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DA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BILAG II</w:t>
      </w:r>
    </w:p>
    <w:p w14:paraId="4E0B1D04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"BILAG II</w:t>
      </w:r>
    </w:p>
    <w:p w14:paraId="1B650450" w14:textId="77777777" w:rsidR="0086495E" w:rsidRPr="00037E7B" w:rsidRDefault="0086495E" w:rsidP="0086495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INSTRUKSER TIL INDBERETNING AF KAPITALGRUNDLAG OG KAPITALGRUNDLAGSKRAV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DEL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INSTRUKSER VEDRØRENDE SKEMAER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(...)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3.5a.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C 10.00 — Kreditrisiko, modpartsrisiko og leveringsrisiko (free deliveries):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IRB-eksponeringer omfattet af outputgulvet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0" w:name="_Toc151714425"/>
      <w:r>
        <w:rPr>
          <w:sz w:val="24"/>
          <w:u w:val="none"/>
          <w:rFonts w:ascii="Times New Roman" w:hAnsi="Times New Roman"/>
        </w:rPr>
        <w:t xml:space="preserve">3.5a.1.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Generelle bemærkninger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91b.</w:t>
      </w:r>
      <w:r>
        <w:t xml:space="preserve"> </w:t>
      </w:r>
      <w:r>
        <w:t xml:space="preserve">Institutter, som anvender IRB-metoden, skal i skema C 10.00 indberette IRB-eksponeringer opdelt efter SA-eksponeringsklasser og oplysninger om beregningen af de standardiserede samlede risikoeksponeringsværdier for disse eksponeringer.</w:t>
      </w:r>
      <w:r>
        <w:t xml:space="preserve"> </w:t>
      </w:r>
      <w:r>
        <w:t xml:space="preserve">I kolonne 0100-0120 indsamles der oplysninger om virkningen af overgangsbestemmelser relateret til outputgulvet for disse eksponeringer.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91c.</w:t>
      </w:r>
      <w:r>
        <w:t xml:space="preserve"> </w:t>
      </w:r>
      <w:r>
        <w:t xml:space="preserve">Institutter, som anvender metoden med interne modeller (IMM) som fastsat i afsnit 6 i kapitel 6 i forordning (EU) nr. 575/2013 til at beregne eksponeringsværdierne for eksponeringer opgjort efter standardmetoden, skal indberette række 0270 i dette skema.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1" w:name="_Toc151714426"/>
      <w:r>
        <w:rPr>
          <w:sz w:val="24"/>
          <w:u w:val="none"/>
          <w:rFonts w:ascii="Times New Roman" w:hAnsi="Times New Roman"/>
        </w:rPr>
        <w:t xml:space="preserve">3.5a.2.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Instrukser vedrørende specifikke positioner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Kolonner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 xml:space="preserve">OPRINDELIG EKSPONERING FØR ANVENDELSE AF KONVERTERINGSFAKTORER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 til skema C 07.00, kolonne 0010.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(-) VÆRDIJUSTERINGER OG HENSÆTTELSER I FORBINDELSE MED DEN OPRINDELIGE EKSPONERING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 til skema C 07.00, kolonne 0030.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 EFTER INDREGNING AF VÆRDIJUSTERINGER OG HENSÆTTELSER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Summen af kolonne 0010 og 0020.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EKSPONERINGSVÆRDI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t xml:space="preserve">Se instrukser til skema C 07.00, kolonne 0200.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SOM OPSTÅR I FORBINDELSE MED MODPARTSRISIKO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 instrukser til skema C 07.00, kolonne 0210.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0060-0080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OUTPUTGULV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92, 3 og artikel 92, stk. 5,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S-TREA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standardiserede samlede risikoeksponering (S-TREA) beregnes i overensstemmelse med artikel 92, stk. 5, i forordning (EU) nr. 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SOM OPSTÅR I FORBINDELSE MED MODPARTSRISIKO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S-TREA for modpartskreditrisiko beregnes i overensstemmelse med de metoder, der er fastsat i tredje del, afsnit II, kapitel 6, i forordning (EU) nr. 575/2013.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MED KREDITVURDERING FORETAGET AF UDPEGET ECAI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112, litra a)-d), f), g), l), n) o) og q), i forordning (EU) nr. 575/2013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0090-0110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MEMORANDUMPOSTER: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RISIKOVÆGTEDE EKSPONERINGER (RWEA) KNYTTET TIL VIRKNINGEN AF ANVENDELSEN AF VISSE OVERGANGSBESTEMMELSER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92, stk. 3, og artikel 465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Forskellen mellem RWEA uden anvendelse af overgangsbestemmelserne og RWEA ved anvendelse af overgangsbestemmelserne skal indberettes.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SIKRET VED PANT I BEBOELSESEJENDOM PÅ OP TIL 55 % AF EJENDOMSVÆRDIEN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465, stk. 5, litra a), i forordning (EU) nr. 575/2013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SIKRET VED PANT I BEBOELSESEJENDOM PÅ MELLEM 55 % OG 80 % AF EJENDOMSVÆRDIEN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 465, stk. 5, litra b), i forordning (EU) nr. 575/2013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MOD IKKERATEDE SELSKABER MED PD-ESTIMAT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465, stk. 3, i forordning (EU) nr. 575/2013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OPGJORT EFTER IRB-METODEN, DER ER UNDERLAGT MODPARTSRISIKO I HENHOLD TIL METODEN MED INTERNE MODELLER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465, stk. 4, i forordning (EU) nr. 575/2013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Rækker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SAMLEDE EKSPONERINGER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92, stk. 3, og artikel 95, 96 og 98, i forordning (EU) nr. 575/2013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Yderligere strengere tilsynskrav på grundlag af artikel 124 i forordning (EU) nr. 575/2013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skal indberette de yderligere risikoeksponeringer, der er nødvendige for at opfylde de strengere tilsynskrav som meddelt institutterne efter høring af EBA, jf. artikel 124, stk. 2 og 5, i forordning (EU) nr. 575/2013.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Eksponeringsklasser i henhold til standardmetoden, eksklusive securitiseringspositioner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CR SA-skema på niveauet for samlede eksponeringer.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Eksponeringsklasserne i henhold til standardmetoden er de klasser, der er nævnt i artikel 112 i forordning (EU) nr. 575/2013, med undtagelse af securitiseringspositioner.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Centralregeringer eller centralbanker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Regionale eller lokale myndigheder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Offentlige enheder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Multilaterale udviklingsbanker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Internationale organisationer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Institutter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Selskaber — Andre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mod ikkeratede selskaber med PD-estimat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465, stk. 3, i forordning (EU) nr. 575/2013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Erhvervede fordringer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Eksponeringer, der efter IRB-metoden henføres til eksponeringsklassen "Erhvervede fordringer" i medfør af artikel 147, stk. 2, litra c), nr. iii), i forordning (EU) nr. 575/2013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Selskaber — Specialiseret långivning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Detail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Kvalificerede revolverende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Eksponeringer, der efter IRB-metoden henføres til eksponeringsklassen "Kvalificerede revolverende detaileksponeringer" i medfør af artikel 147, stk. 2, litra d), nr. i), i forordning (EU) nr. 575/2013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Erhvervede fordringer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Eksponeringer, der efter IRB-metoden henføres til eksponeringsklassen "Erhvervede detailfordringer" i medfør af artikel 147, stk. 2, litra d), nr. iii), i forordning (EU) nr. 575/2013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 fast ejendom og ADC-eksponeringer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sikret ved pant i beboelsesejendom på op til 55 % af ejendomsværdien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465, stk. 5, litra a), i forordning (EU) nr. 575/2013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sikret ved pant i beboelsesejendom på mellem 55 % og 80 % af ejendomsværdien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 465, stk. 5, litra b), i forordning (EU) nr. 575/2013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beboelsesejendom – ikke-IPRE (sikret)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beboelsesejendom – ikke-IPRE (usikret)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beboelsesejendom – Andet – ikke-IPRE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beboelsesejendom – IPRE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erhvervsejendom – Andet – IPRE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erhvervsejendom – ikke-IPRE (sikret)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b/>
                <w:sz w:val="24"/>
                <w:u w:val="single"/>
                <w:rFonts w:ascii="Times New Roman" w:hAnsi="Times New Roman"/>
              </w:rPr>
              <w:t xml:space="preserve">Se CR SA-skemaet.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erhvervsejendom – ikke-IPRE (usikret)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erhvervsejendom – Andet – ikke-IPRE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erhvervsejendom – IPRE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Sikret ved pant i erhvervsejendom – Andet – IPRE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Erhvervelse, udvikling og bebyggelse (ADC)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0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Heraf: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Kategoriseret som sikret ved beboelsesejendom i IRB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Eksponeringer, der efter IRB-metoden henføres til eksponeringsklassen "Detaileksponeringer sikret ved beboelsesejendom" i medfør af artikel 147, stk. 2, litra d), nr. ii), i forordning (EU) nr. 575/2013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ved misligholdelse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mod efterstillet gæld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Særligt dækkede obligationer og særligt dækkede realkreditobligationer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Krav mod institutter og selskaber med kortsigtet kreditvurdering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Kollektive investeringsinstitutter (CIU'er)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Aktieeksponeringer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Andre poster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Se CR SA-skemaet.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</w:rPr>
              <w:t xml:space="preserve">MEMORANDUMPOSTER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Selskaber –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Eksponeringer mod selskaber behandlet efter den grundlæggende IRB-metode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Selskaber –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Eksponeringer mod selskaber behandlet efter den udbyggede IRB-metode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Eksponeringer opgjort efter standardmetoden, der er underlagt modpartsrisiko i henhold til metoden med interne modeller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465, stk. 4, i forordning (EU) nr. 575/2013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da-DK"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66D972-71C9-4AF1-8A73-1B380C1FAA23}"/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2024-06-21T12:20:00Z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