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9C87C" w14:textId="77777777" w:rsidR="00E50DD0" w:rsidRDefault="00E50DD0" w:rsidP="00E50DD0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CS</w:t>
      </w:r>
    </w:p>
    <w:p w14:paraId="6F8CF8C3" w14:textId="77777777" w:rsidR="00E50DD0" w:rsidRDefault="00E50DD0" w:rsidP="00E50DD0">
      <w:pPr>
        <w:rPr>
          <w:rFonts w:asciiTheme="minorHAnsi" w:hAnsiTheme="minorHAnsi"/>
          <w:sz w:val="22"/>
        </w:rPr>
      </w:pPr>
    </w:p>
    <w:p w14:paraId="590BC630" w14:textId="77777777" w:rsidR="00DD798A" w:rsidRPr="00037E7B" w:rsidRDefault="00DD798A" w:rsidP="00DD798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PŘÍLOHA II</w:t>
      </w:r>
    </w:p>
    <w:p w14:paraId="33BF0F02" w14:textId="77777777" w:rsidR="00DD798A" w:rsidRPr="00037E7B" w:rsidRDefault="00DD798A" w:rsidP="00DD798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„PŘÍLOHA II</w:t>
      </w:r>
    </w:p>
    <w:p w14:paraId="43AF84F6" w14:textId="77777777" w:rsidR="00DD798A" w:rsidRPr="00037E7B" w:rsidRDefault="00DD798A" w:rsidP="00DD798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POKYNY PRO PODÁVÁNÍ ZPRÁV O KAPITÁLU A KAPITÁLOVÝCH POŽADAVCÍCH</w:t>
      </w:r>
    </w:p>
    <w:p w14:paraId="6B9B322A" w14:textId="77777777" w:rsidR="00E26A90" w:rsidRDefault="00E26A90"/>
    <w:p w14:paraId="2A45E9E8" w14:textId="77777777" w:rsidR="00A931D0" w:rsidRDefault="00A931D0" w:rsidP="00A931D0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ČÁST II: POKYNY PRO VYPLNĚNÍ ŠABLONY</w:t>
      </w:r>
    </w:p>
    <w:p w14:paraId="572B21DA" w14:textId="77777777" w:rsidR="00A931D0" w:rsidRDefault="00A931D0" w:rsidP="00A931D0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2CBE875B" w14:textId="77777777" w:rsidR="00A931D0" w:rsidRPr="00736637" w:rsidRDefault="00A931D0" w:rsidP="00A931D0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7289C48A" w14:textId="77777777" w:rsidR="00A931D0" w:rsidRDefault="00A931D0"/>
    <w:p w14:paraId="7D324BFC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C 09.01 – Zeměpisné rozložení expozic podle sídla dlužníka: expozice podle standardizovaného přístupu (CR GB 1)</w:t>
      </w:r>
    </w:p>
    <w:p w14:paraId="0D9A10C4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0" w:name="_Toc360188363"/>
      <w:bookmarkStart w:id="1" w:name="_Toc473560914"/>
      <w:bookmarkStart w:id="2" w:name="_Toc151714418"/>
      <w:r>
        <w:rPr>
          <w:rFonts w:ascii="Times New Roman" w:hAnsi="Times New Roman"/>
          <w:sz w:val="24"/>
          <w:u w:val="none"/>
        </w:rPr>
        <w:t>3.4.1.1</w:t>
      </w:r>
      <w:r>
        <w:tab/>
      </w:r>
      <w:r>
        <w:rPr>
          <w:rFonts w:ascii="Times New Roman" w:hAnsi="Times New Roman"/>
          <w:sz w:val="24"/>
        </w:rPr>
        <w:t>Pokyny pro konkrétní pozice</w:t>
      </w:r>
      <w:bookmarkEnd w:id="0"/>
      <w:bookmarkEnd w:id="1"/>
      <w:bookmarkEnd w:id="2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2A677E" w14:paraId="127D8EEC" w14:textId="77777777" w:rsidTr="00822842">
        <w:trPr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6A81D963" w14:textId="77777777" w:rsidR="009D6580" w:rsidRPr="001235ED" w:rsidRDefault="009D6580" w:rsidP="00822842">
            <w:pPr>
              <w:spacing w:after="0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Sloupce</w:t>
            </w:r>
          </w:p>
        </w:tc>
      </w:tr>
      <w:tr w:rsidR="009D6580" w:rsidRPr="002A677E" w14:paraId="08CE2FB2" w14:textId="77777777" w:rsidTr="00822842">
        <w:tc>
          <w:tcPr>
            <w:tcW w:w="1188" w:type="dxa"/>
          </w:tcPr>
          <w:p w14:paraId="75E0B30C" w14:textId="77777777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4841BFDB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PŮVODNÍ EXPOZICE PŘED VYNÁSOBENÍM KONVERZNÍMI FAKTORY</w:t>
            </w:r>
          </w:p>
          <w:p w14:paraId="1D6A0F00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Shoduje se s definicí pro sloupec 0010 šablony CR SA.</w:t>
            </w:r>
          </w:p>
        </w:tc>
      </w:tr>
      <w:tr w:rsidR="009D6580" w:rsidRPr="002A677E" w14:paraId="5F923D3B" w14:textId="77777777" w:rsidTr="00822842">
        <w:tc>
          <w:tcPr>
            <w:tcW w:w="1188" w:type="dxa"/>
          </w:tcPr>
          <w:p w14:paraId="6908781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640" w:type="dxa"/>
          </w:tcPr>
          <w:p w14:paraId="04F3B538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Expozice v selhání</w:t>
            </w:r>
          </w:p>
          <w:p w14:paraId="147BD4ED" w14:textId="29FBEBE8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Původní expozice před vynásobením konverzními faktory u expozic, které jsou zařazeny do kategorie „expozice v selhání“, a u expozic v selhání zařazených do kategorie „akciové expozice“ a expozice v selhání zařazené do kategorie „expozice ve formě podílových jednotek nebo akcií v subjektech kolektivního investování“.</w:t>
            </w:r>
          </w:p>
          <w:p w14:paraId="6DA448AF" w14:textId="77777777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Tato doplňková položka poskytuje dodatečné informace o dlužníkově struktuře expozic v selhání. Expozice zařazené do kategorie „expozice v selhání“ podle čl. 112 písm. j) </w:t>
            </w:r>
            <w:r>
              <w:rPr>
                <w:rFonts w:ascii="Times New Roman" w:hAnsi="Times New Roman"/>
                <w:sz w:val="24"/>
              </w:rPr>
              <w:t>nařízení (EU) č. 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se vykazují v případech, kdy by byli vykázáni dlužníci,</w:t>
            </w:r>
            <w:r>
              <w:br/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pokud by uvedené expozice nebyly zařazeny do kategorií „expozice v selhání“. </w:t>
            </w:r>
          </w:p>
          <w:p w14:paraId="52855171" w14:textId="53D9DC64" w:rsidR="009D6580" w:rsidRPr="002A677E" w:rsidRDefault="00123FDD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Tento údaj je doplňkovou položkou, nemá tedy vliv na výpočet objemů rizikově vážených expozic zařazených do kategorií „expozice v selhání‘ „akciové expozice“ nebo „expozice ve formě podílových jednotek nebo akcií v subjektech kolektivního investování“ podle čl. 112 písm. j), p) a o) </w:t>
            </w:r>
            <w:r>
              <w:rPr>
                <w:rFonts w:ascii="Times New Roman" w:hAnsi="Times New Roman"/>
                <w:sz w:val="24"/>
              </w:rPr>
              <w:t>nařízení (EU) č. 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9D6580" w:rsidRPr="002A677E" w14:paraId="12737C01" w14:textId="77777777" w:rsidTr="00822842">
        <w:tc>
          <w:tcPr>
            <w:tcW w:w="1188" w:type="dxa"/>
          </w:tcPr>
          <w:p w14:paraId="0843F0D4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640" w:type="dxa"/>
          </w:tcPr>
          <w:p w14:paraId="317ABA2D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Nová selhání zjištěná pro dané období</w:t>
            </w:r>
          </w:p>
          <w:p w14:paraId="4C451CED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Objem původních expozic, které byly v průběhu tříměsíčního období od posledního referenčního data vykazování přeřazeny do kategorie „expozice v selhání“, se vykazuje proti kategorii expozic, do níž dlužník původně patřil.</w:t>
            </w:r>
          </w:p>
        </w:tc>
      </w:tr>
      <w:tr w:rsidR="009D6580" w:rsidRPr="002A677E" w14:paraId="59173FA8" w14:textId="77777777" w:rsidTr="00822842">
        <w:tc>
          <w:tcPr>
            <w:tcW w:w="1188" w:type="dxa"/>
          </w:tcPr>
          <w:p w14:paraId="7368E5E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640" w:type="dxa"/>
          </w:tcPr>
          <w:p w14:paraId="1A491AA7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Obecné úpravy o úvěrové riziko</w:t>
            </w:r>
          </w:p>
          <w:p w14:paraId="019027A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Úpravy o úvěrové riziko podle článku 110 nařízení (EU) č. 575/2013 a nařízení (EU) č. 183/2014. </w:t>
            </w:r>
          </w:p>
          <w:p w14:paraId="124DE0E0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V této položce se uvádí obecné úpravy o úvěrové riziko, které lze zahrnout do kapitálu tier 2, před uplatněním stropu uvedeného v čl. 62 písm. c) nařízení (EU) č. 575/2013.</w:t>
            </w:r>
          </w:p>
          <w:p w14:paraId="50B8B57C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Hodnota, která má být vykázána, se uvádí bez zohlednění daňových účinků.</w:t>
            </w:r>
          </w:p>
        </w:tc>
      </w:tr>
      <w:tr w:rsidR="009D6580" w:rsidRPr="002A677E" w14:paraId="18048AF8" w14:textId="77777777" w:rsidTr="00822842">
        <w:tc>
          <w:tcPr>
            <w:tcW w:w="1188" w:type="dxa"/>
          </w:tcPr>
          <w:p w14:paraId="6BF1FDE0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0055</w:t>
            </w:r>
          </w:p>
        </w:tc>
        <w:tc>
          <w:tcPr>
            <w:tcW w:w="8640" w:type="dxa"/>
          </w:tcPr>
          <w:p w14:paraId="3DA55F27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Specifické úpravy o úvěrové riziko</w:t>
            </w:r>
          </w:p>
          <w:p w14:paraId="0C4040D9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Úpravy o úvěrové riziko podle článku 110 nařízení (EU) č. 575/2013 a nařízení (EU) č. 183/2014.</w:t>
            </w:r>
          </w:p>
        </w:tc>
      </w:tr>
      <w:tr w:rsidR="009D6580" w:rsidRPr="002A677E" w14:paraId="1433D694" w14:textId="77777777" w:rsidTr="00822842">
        <w:tc>
          <w:tcPr>
            <w:tcW w:w="1188" w:type="dxa"/>
          </w:tcPr>
          <w:p w14:paraId="0154002C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0E9754AE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Odpisy</w:t>
            </w:r>
          </w:p>
          <w:p w14:paraId="5E984FA2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Odpisy uvedené v IFRS 9 odst. 5.4.4 a B5.4.9</w:t>
            </w:r>
          </w:p>
        </w:tc>
      </w:tr>
      <w:tr w:rsidR="009D6580" w:rsidRPr="002A677E" w14:paraId="1CFA94CF" w14:textId="77777777" w:rsidTr="00822842">
        <w:tc>
          <w:tcPr>
            <w:tcW w:w="1188" w:type="dxa"/>
          </w:tcPr>
          <w:p w14:paraId="23BBA9F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0061</w:t>
            </w:r>
          </w:p>
        </w:tc>
        <w:tc>
          <w:tcPr>
            <w:tcW w:w="8640" w:type="dxa"/>
          </w:tcPr>
          <w:p w14:paraId="7173ECB3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Dodatečné úpravy ocenění a další snížení kapitálu</w:t>
            </w:r>
          </w:p>
          <w:p w14:paraId="074C80EC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V souladu s článkem 111 nařízení (EU) č. 575/2013.</w:t>
            </w:r>
          </w:p>
        </w:tc>
      </w:tr>
      <w:tr w:rsidR="009D6580" w:rsidRPr="002A677E" w14:paraId="2939F77F" w14:textId="77777777" w:rsidTr="00822842">
        <w:tc>
          <w:tcPr>
            <w:tcW w:w="1188" w:type="dxa"/>
          </w:tcPr>
          <w:p w14:paraId="542B901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26434907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Úpravy o úvěrové riziko / odpisy u nově zjištěných selhání</w:t>
            </w:r>
          </w:p>
          <w:p w14:paraId="7E554B62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Součet úprav o úvěrové riziko a odpisů u expozic, které byly zařazeny jako „expozice, u nichž došlo k selhání“ v průběhu tříměsíčního období od posledního předkládání údajů.</w:t>
            </w:r>
          </w:p>
        </w:tc>
      </w:tr>
      <w:tr w:rsidR="009D6580" w:rsidRPr="002A677E" w14:paraId="2CA30DE3" w14:textId="77777777" w:rsidTr="00822842">
        <w:tc>
          <w:tcPr>
            <w:tcW w:w="1188" w:type="dxa"/>
          </w:tcPr>
          <w:p w14:paraId="2FD8979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0075</w:t>
            </w:r>
          </w:p>
        </w:tc>
        <w:tc>
          <w:tcPr>
            <w:tcW w:w="8640" w:type="dxa"/>
          </w:tcPr>
          <w:p w14:paraId="233BFDCE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Hodnota expozice</w:t>
            </w:r>
          </w:p>
          <w:p w14:paraId="4F849709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Shoduje se s definicí pro sloupec 0200 šablony CR SA.</w:t>
            </w:r>
          </w:p>
        </w:tc>
      </w:tr>
      <w:tr w:rsidR="009D6580" w:rsidRPr="002A677E" w14:paraId="09BD9174" w14:textId="77777777" w:rsidTr="00822842">
        <w:tc>
          <w:tcPr>
            <w:tcW w:w="1188" w:type="dxa"/>
          </w:tcPr>
          <w:p w14:paraId="06587A3C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640" w:type="dxa"/>
          </w:tcPr>
          <w:p w14:paraId="0B560F31" w14:textId="46CDE534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OBJEM RIZIKOVĚ VÁŽENÉ EXPOZICE PŘED UPLATNĚNÍM PODPŮRNÝCH KOEFICIENTŮ A PŘED ZOHLEDNĚNÍM MĚNOVÉHO NESOULADU</w:t>
            </w:r>
          </w:p>
          <w:p w14:paraId="7F917189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Shoduje se s definicí pro sloupec 0215 šablony CR SA.</w:t>
            </w:r>
          </w:p>
        </w:tc>
      </w:tr>
      <w:tr w:rsidR="009D6580" w:rsidRPr="002A677E" w14:paraId="172392A5" w14:textId="77777777" w:rsidTr="00822842">
        <w:tc>
          <w:tcPr>
            <w:tcW w:w="1188" w:type="dxa"/>
          </w:tcPr>
          <w:p w14:paraId="4881CC3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0081</w:t>
            </w:r>
          </w:p>
        </w:tc>
        <w:tc>
          <w:tcPr>
            <w:tcW w:w="8640" w:type="dxa"/>
          </w:tcPr>
          <w:p w14:paraId="3683E884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sz w:val="32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(−) ÚPRAVA OBJEMU RIZIKOVĚ VÁŽENÉ EXPOZICE V DŮSLEDKU PODPŮRNÉHO KOEFICIENTU PRO MALÉ A STŘEDNÍ PODNIKY</w:t>
            </w:r>
          </w:p>
          <w:p w14:paraId="7D7BF2EE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Shoduje se s definicí pro sloupec 0216 šablony CR SA.</w:t>
            </w:r>
          </w:p>
        </w:tc>
      </w:tr>
      <w:tr w:rsidR="009D6580" w:rsidRPr="002A677E" w14:paraId="7C7A5C85" w14:textId="77777777" w:rsidTr="00822842">
        <w:tc>
          <w:tcPr>
            <w:tcW w:w="1188" w:type="dxa"/>
          </w:tcPr>
          <w:p w14:paraId="4ABD72EC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0082</w:t>
            </w:r>
          </w:p>
        </w:tc>
        <w:tc>
          <w:tcPr>
            <w:tcW w:w="8640" w:type="dxa"/>
          </w:tcPr>
          <w:p w14:paraId="60EE9D4D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sz w:val="32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(−) ÚPRAVA OBJEMU RIZIKOVĚ VÁŽENÉ EXPOZICE V DŮSLEDKU PODPŮRNÉHO KOEFICIENTU PRO INFRASTRUKTURU</w:t>
            </w:r>
          </w:p>
          <w:p w14:paraId="3D157D72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Shoduje se s definicí pro sloupec 0217 šablony CR SA.</w:t>
            </w:r>
          </w:p>
        </w:tc>
      </w:tr>
      <w:tr w:rsidR="009D6580" w:rsidRPr="002A677E" w14:paraId="2271C08F" w14:textId="77777777" w:rsidTr="00822842">
        <w:tc>
          <w:tcPr>
            <w:tcW w:w="1188" w:type="dxa"/>
          </w:tcPr>
          <w:p w14:paraId="7D3C5FE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640" w:type="dxa"/>
          </w:tcPr>
          <w:p w14:paraId="784080AC" w14:textId="77777777" w:rsidR="00AF2BE6" w:rsidRDefault="009D6580" w:rsidP="00AF2BE6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OBJEM RIZIKOVĚ VÁŽENÉ EXPOZICE PO UPLATNĚNÍ PODPŮRNÝCH KOEFICIENTŮ A PO ZOHLEDNĚNÍ NESOULADU MĚN</w:t>
            </w:r>
          </w:p>
          <w:p w14:paraId="5F17785F" w14:textId="6397E6C0" w:rsidR="009D6580" w:rsidRPr="002A677E" w:rsidRDefault="009D6580" w:rsidP="00AF2BE6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Shoduje se s definicí pro sloupec 0220 šablony CR SA.</w:t>
            </w:r>
          </w:p>
        </w:tc>
      </w:tr>
    </w:tbl>
    <w:p w14:paraId="00F504F2" w14:textId="77777777" w:rsidR="009D6580" w:rsidRPr="002A677E" w:rsidRDefault="009D6580" w:rsidP="009D6580">
      <w:pPr>
        <w:rPr>
          <w:rFonts w:ascii="Times New Roman" w:hAnsi="Times New Roman"/>
          <w:sz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  <w:gridCol w:w="61"/>
      </w:tblGrid>
      <w:tr w:rsidR="009D6580" w:rsidRPr="002A677E" w14:paraId="603A14A1" w14:textId="77777777" w:rsidTr="00822842">
        <w:trPr>
          <w:gridAfter w:val="1"/>
          <w:wAfter w:w="61" w:type="dxa"/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52CB66F8" w14:textId="77777777" w:rsidR="009D6580" w:rsidRPr="002A677E" w:rsidRDefault="009D6580" w:rsidP="00822842">
            <w:pPr>
              <w:spacing w:after="0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Řádky</w:t>
            </w:r>
          </w:p>
        </w:tc>
      </w:tr>
      <w:tr w:rsidR="009D6580" w:rsidRPr="002A677E" w14:paraId="118E5421" w14:textId="77777777" w:rsidTr="00822842">
        <w:tc>
          <w:tcPr>
            <w:tcW w:w="1188" w:type="dxa"/>
            <w:shd w:val="clear" w:color="auto" w:fill="FFFFFF"/>
          </w:tcPr>
          <w:p w14:paraId="2F36564E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299C4CD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Ústřední vlády nebo centrální banky</w:t>
            </w:r>
          </w:p>
          <w:p w14:paraId="701FDDD6" w14:textId="77777777" w:rsidR="009D6580" w:rsidRPr="002A677E" w:rsidRDefault="009D6580" w:rsidP="00822842">
            <w:pPr>
              <w:ind w:left="72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112 písm. a) nařízení (EU) č. 575/2013</w:t>
            </w:r>
          </w:p>
        </w:tc>
      </w:tr>
      <w:tr w:rsidR="009D6580" w:rsidRPr="002A677E" w14:paraId="68375DB0" w14:textId="77777777" w:rsidTr="00822842">
        <w:tc>
          <w:tcPr>
            <w:tcW w:w="1188" w:type="dxa"/>
            <w:shd w:val="clear" w:color="auto" w:fill="FFFFFF"/>
          </w:tcPr>
          <w:p w14:paraId="1C3E335B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944FAD5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Regionální vlády nebo místní orgány</w:t>
            </w:r>
          </w:p>
          <w:p w14:paraId="06578FE1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Ustanovení čl. 112 písm. b) nařízení (EU) č. 575/2013</w:t>
            </w:r>
          </w:p>
        </w:tc>
      </w:tr>
      <w:tr w:rsidR="009D6580" w:rsidRPr="002A677E" w14:paraId="586A7704" w14:textId="77777777" w:rsidTr="00822842">
        <w:tc>
          <w:tcPr>
            <w:tcW w:w="1188" w:type="dxa"/>
            <w:shd w:val="clear" w:color="auto" w:fill="FFFFFF"/>
          </w:tcPr>
          <w:p w14:paraId="2F12168F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0030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63F83BD2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Subjekty veřejného sektoru</w:t>
            </w:r>
          </w:p>
          <w:p w14:paraId="451BD941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112 písm. c) nařízení (EU) č. 575/2013</w:t>
            </w:r>
          </w:p>
        </w:tc>
      </w:tr>
      <w:tr w:rsidR="009D6580" w:rsidRPr="002A677E" w14:paraId="6FF0246D" w14:textId="77777777" w:rsidTr="00822842">
        <w:tc>
          <w:tcPr>
            <w:tcW w:w="1188" w:type="dxa"/>
            <w:shd w:val="clear" w:color="auto" w:fill="FFFFFF"/>
          </w:tcPr>
          <w:p w14:paraId="0764BD9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3EC9AA89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Mezinárodní rozvojové banky</w:t>
            </w:r>
          </w:p>
          <w:p w14:paraId="59A02674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112 písm. d) nařízení (EU) č. 575/2013</w:t>
            </w:r>
          </w:p>
        </w:tc>
      </w:tr>
      <w:tr w:rsidR="009D6580" w:rsidRPr="002A677E" w14:paraId="6E3FD4C2" w14:textId="77777777" w:rsidTr="00822842">
        <w:tc>
          <w:tcPr>
            <w:tcW w:w="1188" w:type="dxa"/>
            <w:shd w:val="clear" w:color="auto" w:fill="FFFFFF"/>
          </w:tcPr>
          <w:p w14:paraId="6AB2663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907B56D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Mezinárodní organizace</w:t>
            </w:r>
          </w:p>
          <w:p w14:paraId="17C7FCF4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112 písm. e) nařízení (EU) č. 575/2013</w:t>
            </w:r>
          </w:p>
        </w:tc>
      </w:tr>
      <w:tr w:rsidR="009D6580" w:rsidRPr="002A677E" w14:paraId="4CDD7211" w14:textId="77777777" w:rsidTr="00822842">
        <w:tc>
          <w:tcPr>
            <w:tcW w:w="1188" w:type="dxa"/>
            <w:shd w:val="clear" w:color="auto" w:fill="FFFFFF"/>
          </w:tcPr>
          <w:p w14:paraId="21D2188E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404BFA7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Instituce</w:t>
            </w:r>
          </w:p>
          <w:p w14:paraId="153928C3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112 písm. f) nařízení (EU) č. 575/2013</w:t>
            </w:r>
          </w:p>
        </w:tc>
      </w:tr>
      <w:tr w:rsidR="009D6580" w:rsidRPr="002A677E" w14:paraId="7EB39EC1" w14:textId="77777777" w:rsidTr="00822842">
        <w:tc>
          <w:tcPr>
            <w:tcW w:w="1188" w:type="dxa"/>
            <w:shd w:val="clear" w:color="auto" w:fill="FFFFFF"/>
          </w:tcPr>
          <w:p w14:paraId="666DDCFA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FC344C1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Podniky</w:t>
            </w:r>
          </w:p>
          <w:p w14:paraId="2131631A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112 písm. g) nařízení (EU) č. 575/2013</w:t>
            </w:r>
          </w:p>
        </w:tc>
      </w:tr>
      <w:tr w:rsidR="009D6580" w:rsidRPr="002A677E" w14:paraId="03BB556F" w14:textId="77777777" w:rsidTr="00822842">
        <w:tc>
          <w:tcPr>
            <w:tcW w:w="1188" w:type="dxa"/>
            <w:shd w:val="clear" w:color="auto" w:fill="FFFFFF"/>
          </w:tcPr>
          <w:p w14:paraId="4BDE48CD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99BAF86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 toho: malé a střední podniky</w:t>
            </w:r>
          </w:p>
          <w:p w14:paraId="54A9735B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Shoduje se s definicí pro řádek 0020 šablony CR SA.</w:t>
            </w:r>
          </w:p>
        </w:tc>
      </w:tr>
      <w:tr w:rsidR="009D6580" w:rsidRPr="002A677E" w14:paraId="134D23F8" w14:textId="77777777" w:rsidTr="00822842">
        <w:tc>
          <w:tcPr>
            <w:tcW w:w="1188" w:type="dxa"/>
            <w:shd w:val="clear" w:color="auto" w:fill="FFFFFF"/>
          </w:tcPr>
          <w:p w14:paraId="44C941F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0076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7F474DF" w14:textId="77777777" w:rsidR="009D6580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 toho: Specializované úvěry</w:t>
            </w:r>
          </w:p>
          <w:p w14:paraId="78348E89" w14:textId="77777777" w:rsidR="009D6580" w:rsidRPr="000059B8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Článek 122a </w:t>
            </w:r>
            <w:r>
              <w:rPr>
                <w:rFonts w:ascii="Times New Roman" w:hAnsi="Times New Roman"/>
                <w:sz w:val="24"/>
              </w:rPr>
              <w:t>nařízení (EU) č. 575/2013</w:t>
            </w:r>
          </w:p>
        </w:tc>
      </w:tr>
      <w:tr w:rsidR="009D6580" w:rsidRPr="002A677E" w14:paraId="128893B5" w14:textId="77777777" w:rsidTr="00822842">
        <w:tc>
          <w:tcPr>
            <w:tcW w:w="1188" w:type="dxa"/>
            <w:shd w:val="clear" w:color="auto" w:fill="FFFFFF"/>
          </w:tcPr>
          <w:p w14:paraId="1169A0DC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C4CE181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Retailové expozice</w:t>
            </w:r>
          </w:p>
          <w:p w14:paraId="4C73D393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112 písm. h) nařízení (EU) č. 575/2013</w:t>
            </w:r>
          </w:p>
        </w:tc>
      </w:tr>
      <w:tr w:rsidR="009D6580" w:rsidRPr="002A677E" w14:paraId="1D7D32D9" w14:textId="77777777" w:rsidTr="00822842">
        <w:tc>
          <w:tcPr>
            <w:tcW w:w="1188" w:type="dxa"/>
            <w:shd w:val="clear" w:color="auto" w:fill="FFFFFF"/>
          </w:tcPr>
          <w:p w14:paraId="1C97506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3F494D2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 toho: malé a střední podniky</w:t>
            </w:r>
          </w:p>
          <w:p w14:paraId="08FE43D7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Shoduje se s definicí pro řádek 0020 šablony CR SA.</w:t>
            </w:r>
          </w:p>
        </w:tc>
      </w:tr>
      <w:tr w:rsidR="009D6580" w:rsidRPr="002A677E" w14:paraId="3E90F1DB" w14:textId="77777777" w:rsidTr="00822842">
        <w:tc>
          <w:tcPr>
            <w:tcW w:w="1188" w:type="dxa"/>
            <w:shd w:val="clear" w:color="auto" w:fill="FFFFFF"/>
          </w:tcPr>
          <w:p w14:paraId="67147AF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7BDF7D3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zajištěné hypotékami na nemovitosti a expozice ADC</w:t>
            </w:r>
          </w:p>
          <w:p w14:paraId="6DD925ED" w14:textId="77777777" w:rsidR="009D6580" w:rsidRPr="002A677E" w:rsidRDefault="009D6580" w:rsidP="00822842">
            <w:pPr>
              <w:ind w:left="72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112 písm. i) nařízení (EU) č. 575/2013</w:t>
            </w:r>
          </w:p>
        </w:tc>
      </w:tr>
      <w:tr w:rsidR="0020657D" w:rsidRPr="002A677E" w14:paraId="121569F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F9610" w14:textId="778F3300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CA920" w14:textId="65F7321C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zajištěné hypotékami na obytné nemovitosti – jiné než IPRE (zajištěné)</w:t>
            </w:r>
          </w:p>
          <w:p w14:paraId="5BC0E4C6" w14:textId="5F815813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Viz šablona CR SA</w:t>
            </w:r>
          </w:p>
        </w:tc>
      </w:tr>
      <w:tr w:rsidR="0020657D" w:rsidRPr="002A677E" w14:paraId="25B6933C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E904D" w14:textId="7F2711DF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2D1EF" w14:textId="72958AEA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zajištěné hypotékami na obytné nemovitosti – jiné než IPRE (nezajištěné)</w:t>
            </w:r>
          </w:p>
          <w:p w14:paraId="607C903E" w14:textId="583159EA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Viz šablona CR SA</w:t>
            </w:r>
          </w:p>
        </w:tc>
      </w:tr>
      <w:tr w:rsidR="0020657D" w:rsidRPr="002A677E" w14:paraId="701555A6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B302C" w14:textId="18CEE166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3FDD9" w14:textId="16FA23A8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zajištěné hypotékami na obytné nemovitosti – ostatní – jiné než IPRE</w:t>
            </w:r>
          </w:p>
          <w:p w14:paraId="311E3CF5" w14:textId="5245D766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Viz šablona CR SA</w:t>
            </w:r>
          </w:p>
        </w:tc>
      </w:tr>
      <w:tr w:rsidR="0020657D" w:rsidRPr="002A677E" w14:paraId="615EF34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3A88D" w14:textId="63260C8C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6351D" w14:textId="44D3576D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zajištěné hypotékami na obytné nemovitosti – IPRE</w:t>
            </w:r>
          </w:p>
          <w:p w14:paraId="2090782C" w14:textId="64D92CBC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Viz šablona CR SA</w:t>
            </w:r>
          </w:p>
        </w:tc>
      </w:tr>
      <w:tr w:rsidR="0020657D" w:rsidRPr="002A677E" w14:paraId="7CA1FEE3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77C41" w14:textId="4CF840EB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0900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68974" w14:textId="0C6812F1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zajištěné hypotékami na obytné nemovitosti – ostatní – IPRE</w:t>
            </w:r>
          </w:p>
          <w:p w14:paraId="18E3F7B1" w14:textId="00D9A105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Viz šablona CR SA</w:t>
            </w:r>
          </w:p>
        </w:tc>
      </w:tr>
      <w:tr w:rsidR="0020657D" w:rsidRPr="002A677E" w14:paraId="1B8412D1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C5681" w14:textId="00CB1918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0901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F7F6F" w14:textId="3D113128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zajištěné hypotékami na obchodní nemovitosti – jiné než IPRE (zajištěné)</w:t>
            </w:r>
          </w:p>
          <w:p w14:paraId="1DD8A6CF" w14:textId="2D56F96D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Viz šablona CR SA</w:t>
            </w:r>
          </w:p>
        </w:tc>
      </w:tr>
      <w:tr w:rsidR="0020657D" w:rsidRPr="002A677E" w14:paraId="4BB5A6B7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29792" w14:textId="67A4B384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0902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D85FF" w14:textId="01F00A09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zajištěné hypotékami na obchodní nemovitosti – jiné než IPRE (nezajištěné)</w:t>
            </w:r>
          </w:p>
          <w:p w14:paraId="37DA45D4" w14:textId="1AC5F0E1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Viz šablona CR SA</w:t>
            </w:r>
          </w:p>
        </w:tc>
      </w:tr>
      <w:tr w:rsidR="0020657D" w:rsidRPr="002A677E" w14:paraId="51A35A79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98603" w14:textId="70C97B22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0903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6D829" w14:textId="34287D44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zajištěné hypotékami na obchodní nemovitosti – ostatní – jiné než IPRE</w:t>
            </w:r>
          </w:p>
          <w:p w14:paraId="653F8A23" w14:textId="727D9E51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Viz šablona CR SA</w:t>
            </w:r>
          </w:p>
        </w:tc>
      </w:tr>
      <w:tr w:rsidR="0020657D" w:rsidRPr="002A677E" w14:paraId="638CB8D2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2B42B" w14:textId="774FFF1B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0904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691C9" w14:textId="20A87DF1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zajištěné hypotékami na obchodní nemovitosti – IPRE</w:t>
            </w:r>
          </w:p>
          <w:p w14:paraId="5C23C6C1" w14:textId="64A934FD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Viz šablona CR SA</w:t>
            </w:r>
          </w:p>
        </w:tc>
      </w:tr>
      <w:tr w:rsidR="0020657D" w:rsidRPr="002A677E" w14:paraId="09F113E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B40E8" w14:textId="0E4A9F4B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0905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5DE58" w14:textId="7E237189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zajištěné hypotékami na obchodní nemovitosti – ostatní – IPRE</w:t>
            </w:r>
          </w:p>
          <w:p w14:paraId="4CFFBC8C" w14:textId="16697C60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Viz šablona CR SA</w:t>
            </w:r>
          </w:p>
        </w:tc>
      </w:tr>
      <w:tr w:rsidR="0020657D" w:rsidRPr="002A677E" w14:paraId="0CC8353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4BAD1" w14:textId="4C383CF0" w:rsidR="0020657D" w:rsidRPr="0020657D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0906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FA51D" w14:textId="404C4240" w:rsidR="0020657D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z pořízení pozemku, přípravy a výstavby (ADC)</w:t>
            </w:r>
          </w:p>
          <w:p w14:paraId="0CFE246E" w14:textId="00399E0A" w:rsidR="0020657D" w:rsidRPr="0020657D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Viz šablona CR SA</w:t>
            </w:r>
          </w:p>
        </w:tc>
      </w:tr>
      <w:tr w:rsidR="009D6580" w:rsidRPr="002A677E" w14:paraId="4C9413B7" w14:textId="77777777" w:rsidTr="00822842">
        <w:tc>
          <w:tcPr>
            <w:tcW w:w="1188" w:type="dxa"/>
            <w:shd w:val="clear" w:color="auto" w:fill="FFFFFF"/>
          </w:tcPr>
          <w:p w14:paraId="5E67C510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4DFFD2E6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 toho: malé a střední podniky</w:t>
            </w:r>
          </w:p>
          <w:p w14:paraId="6A4AA475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Shoduje se s definicí pro řádek 0020 šablony CR SA.</w:t>
            </w:r>
          </w:p>
        </w:tc>
      </w:tr>
      <w:tr w:rsidR="009D6580" w:rsidRPr="002A677E" w14:paraId="0A879D31" w14:textId="77777777" w:rsidTr="00822842">
        <w:tc>
          <w:tcPr>
            <w:tcW w:w="1188" w:type="dxa"/>
            <w:shd w:val="clear" w:color="auto" w:fill="FFFFFF"/>
          </w:tcPr>
          <w:p w14:paraId="67C52CF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25A151C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v selhání</w:t>
            </w:r>
          </w:p>
          <w:p w14:paraId="24E89ACE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112 písm. j) nařízení (EU) č. 575/2013</w:t>
            </w:r>
          </w:p>
        </w:tc>
      </w:tr>
      <w:tr w:rsidR="009D6580" w:rsidRPr="002A677E" w14:paraId="09CAD285" w14:textId="77777777" w:rsidTr="00822842">
        <w:tc>
          <w:tcPr>
            <w:tcW w:w="1188" w:type="dxa"/>
            <w:shd w:val="clear" w:color="auto" w:fill="FFFFFF"/>
          </w:tcPr>
          <w:p w14:paraId="0FA617CD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1EBD362" w14:textId="77777777" w:rsidR="009D6580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Podřízené dluhové expozice</w:t>
            </w:r>
          </w:p>
          <w:p w14:paraId="7F19547A" w14:textId="77777777" w:rsidR="009D6580" w:rsidRPr="000059B8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Ustanovení čl. 112 písm. k) nařízení (EU) č. 575/2013</w:t>
            </w:r>
          </w:p>
        </w:tc>
      </w:tr>
      <w:tr w:rsidR="009D6580" w:rsidRPr="002A677E" w14:paraId="7674C8D0" w14:textId="77777777" w:rsidTr="00822842">
        <w:tc>
          <w:tcPr>
            <w:tcW w:w="1188" w:type="dxa"/>
            <w:shd w:val="clear" w:color="auto" w:fill="FFFFFF"/>
          </w:tcPr>
          <w:p w14:paraId="0BFA54D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D949A7D" w14:textId="77777777" w:rsidR="009D6580" w:rsidRPr="002A677E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Kryté dluhopisy</w:t>
            </w:r>
          </w:p>
          <w:p w14:paraId="68F7689A" w14:textId="77777777" w:rsidR="009D6580" w:rsidRPr="002A677E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Text"/>
                <w:rFonts w:ascii="Times New Roman" w:hAnsi="Times New Roman"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Ustanovení čl. 112 písm. l) nařízení (EU) č. 575/2013</w:t>
            </w:r>
          </w:p>
        </w:tc>
      </w:tr>
      <w:tr w:rsidR="009D6580" w:rsidRPr="002A677E" w14:paraId="18458816" w14:textId="77777777" w:rsidTr="00822842">
        <w:tc>
          <w:tcPr>
            <w:tcW w:w="1188" w:type="dxa"/>
            <w:shd w:val="clear" w:color="auto" w:fill="FFFFFF"/>
          </w:tcPr>
          <w:p w14:paraId="7948D0D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  <w:p w14:paraId="7980BCEA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01" w:type="dxa"/>
            <w:gridSpan w:val="2"/>
            <w:shd w:val="clear" w:color="auto" w:fill="FFFFFF"/>
          </w:tcPr>
          <w:p w14:paraId="5ADC641A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Pohledávky vůči institucím a podnikům s krátkodobým úvěrovým hodnocením</w:t>
            </w:r>
          </w:p>
          <w:p w14:paraId="53F92677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112 písm. n) nařízení (EU) č. 575/2013</w:t>
            </w:r>
          </w:p>
        </w:tc>
      </w:tr>
      <w:tr w:rsidR="009D6580" w:rsidRPr="002A677E" w14:paraId="047E6212" w14:textId="77777777" w:rsidTr="00822842">
        <w:tc>
          <w:tcPr>
            <w:tcW w:w="1188" w:type="dxa"/>
            <w:shd w:val="clear" w:color="auto" w:fill="FFFFFF"/>
          </w:tcPr>
          <w:p w14:paraId="3E827A3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E96D7EF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Subjekty kolektivního investování</w:t>
            </w:r>
          </w:p>
          <w:p w14:paraId="6BE6CAC2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112 písm. o) nařízení (EU) č. 575/2013</w:t>
            </w:r>
          </w:p>
          <w:p w14:paraId="0FFD53A4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Součet řádků 0141 až 0143</w:t>
            </w:r>
          </w:p>
        </w:tc>
      </w:tr>
      <w:tr w:rsidR="009D6580" w:rsidRPr="002A677E" w14:paraId="1E100EF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F572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91D5D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Průhledový přístup</w:t>
            </w:r>
          </w:p>
          <w:p w14:paraId="00783183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Shoduje se s definicí pro řádek 0281 šablony CR SA.</w:t>
            </w:r>
          </w:p>
        </w:tc>
      </w:tr>
      <w:tr w:rsidR="009D6580" w:rsidRPr="002A677E" w14:paraId="10D57CC4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AB8D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16A9B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Přístup založený na pověření</w:t>
            </w:r>
          </w:p>
          <w:p w14:paraId="1FD38657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Shoduje se s definicí pro řádek 0282 šablony CR SA.</w:t>
            </w:r>
          </w:p>
        </w:tc>
      </w:tr>
      <w:tr w:rsidR="009D6580" w:rsidRPr="002A677E" w14:paraId="3E0CB8ED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037C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0143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8BF90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Záložní postup</w:t>
            </w:r>
          </w:p>
          <w:p w14:paraId="2EA9AADD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Shoduje se s definicí pro řádek 0283 šablony CR SA.</w:t>
            </w:r>
          </w:p>
        </w:tc>
      </w:tr>
      <w:tr w:rsidR="009D6580" w:rsidRPr="002A677E" w14:paraId="518DACEB" w14:textId="77777777" w:rsidTr="00822842">
        <w:tc>
          <w:tcPr>
            <w:tcW w:w="1188" w:type="dxa"/>
            <w:shd w:val="clear" w:color="auto" w:fill="FFFFFF"/>
          </w:tcPr>
          <w:p w14:paraId="091F315F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0CB5B1C0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Akciové expozice</w:t>
            </w:r>
          </w:p>
          <w:p w14:paraId="3170DAFB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112 písm. p) nařízení (EU) č. 575/2013</w:t>
            </w:r>
          </w:p>
        </w:tc>
      </w:tr>
      <w:tr w:rsidR="009D6580" w:rsidRPr="002A677E" w14:paraId="406875C9" w14:textId="77777777" w:rsidTr="00822842">
        <w:tc>
          <w:tcPr>
            <w:tcW w:w="1188" w:type="dxa"/>
            <w:shd w:val="clear" w:color="auto" w:fill="FFFFFF"/>
          </w:tcPr>
          <w:p w14:paraId="432F9620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39F32E7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Ostatní expozice</w:t>
            </w:r>
          </w:p>
          <w:p w14:paraId="5D708342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112 písm. q) nařízení (EU) č. 575/2013</w:t>
            </w:r>
          </w:p>
        </w:tc>
      </w:tr>
      <w:tr w:rsidR="009D6580" w:rsidRPr="002A677E" w14:paraId="79E704E6" w14:textId="77777777" w:rsidTr="00822842">
        <w:tc>
          <w:tcPr>
            <w:tcW w:w="1188" w:type="dxa"/>
            <w:shd w:val="clear" w:color="auto" w:fill="FFFFFF"/>
          </w:tcPr>
          <w:p w14:paraId="027B6EB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45271DD" w14:textId="77777777" w:rsidR="009D6580" w:rsidRPr="002A677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Celkové expozice</w:t>
            </w:r>
          </w:p>
        </w:tc>
      </w:tr>
    </w:tbl>
    <w:p w14:paraId="2EB3E5B0" w14:textId="77777777" w:rsidR="009D6580" w:rsidRPr="002A677E" w:rsidRDefault="009D6580" w:rsidP="009D6580">
      <w:pPr>
        <w:spacing w:before="0" w:after="200" w:line="312" w:lineRule="auto"/>
        <w:jc w:val="left"/>
        <w:rPr>
          <w:rFonts w:ascii="Times New Roman" w:hAnsi="Times New Roman"/>
          <w:sz w:val="24"/>
        </w:rPr>
      </w:pPr>
      <w:bookmarkStart w:id="3" w:name="_Toc292456210"/>
    </w:p>
    <w:p w14:paraId="467F6DC6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4" w:name="_Toc360188364"/>
      <w:bookmarkStart w:id="5" w:name="_Toc473560915"/>
      <w:bookmarkStart w:id="6" w:name="_Toc151714419"/>
      <w:r>
        <w:rPr>
          <w:rFonts w:ascii="Times New Roman" w:hAnsi="Times New Roman"/>
          <w:sz w:val="24"/>
          <w:u w:val="none"/>
        </w:rPr>
        <w:t>3.4.2</w:t>
      </w:r>
      <w:r>
        <w:tab/>
      </w:r>
      <w:r>
        <w:rPr>
          <w:rFonts w:ascii="Times New Roman" w:hAnsi="Times New Roman"/>
          <w:sz w:val="24"/>
        </w:rPr>
        <w:t>C 09.02 – Zeměpisné rozložení expozic podle sídla dlužníka: expozice v rámci přístupu IRB</w:t>
      </w:r>
      <w:bookmarkEnd w:id="4"/>
      <w:r>
        <w:t xml:space="preserve"> </w:t>
      </w:r>
      <w:r>
        <w:rPr>
          <w:rFonts w:ascii="Times New Roman" w:hAnsi="Times New Roman"/>
          <w:sz w:val="24"/>
        </w:rPr>
        <w:t>(CR GB 2)</w:t>
      </w:r>
      <w:bookmarkEnd w:id="5"/>
      <w:bookmarkEnd w:id="6"/>
    </w:p>
    <w:p w14:paraId="21A320CB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7" w:name="_Toc360188365"/>
      <w:bookmarkStart w:id="8" w:name="_Toc473560916"/>
      <w:bookmarkStart w:id="9" w:name="_Toc151714420"/>
      <w:r>
        <w:rPr>
          <w:rFonts w:ascii="Times New Roman" w:hAnsi="Times New Roman"/>
          <w:sz w:val="24"/>
          <w:u w:val="none"/>
        </w:rPr>
        <w:t>3.4.2.1</w:t>
      </w:r>
      <w:r>
        <w:tab/>
      </w:r>
      <w:r>
        <w:rPr>
          <w:rFonts w:ascii="Times New Roman" w:hAnsi="Times New Roman"/>
          <w:sz w:val="24"/>
        </w:rPr>
        <w:t>Pokyny pro konkrétní pozice</w:t>
      </w:r>
      <w:bookmarkEnd w:id="7"/>
      <w:bookmarkEnd w:id="8"/>
      <w:bookmarkEnd w:id="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2A677E" w14:paraId="5FD232EC" w14:textId="77777777" w:rsidTr="00822842">
        <w:tc>
          <w:tcPr>
            <w:tcW w:w="1188" w:type="dxa"/>
            <w:shd w:val="clear" w:color="auto" w:fill="CCCCCC"/>
          </w:tcPr>
          <w:p w14:paraId="0A2DD9C0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Sloupce</w:t>
            </w:r>
          </w:p>
        </w:tc>
        <w:tc>
          <w:tcPr>
            <w:tcW w:w="8640" w:type="dxa"/>
            <w:shd w:val="clear" w:color="auto" w:fill="CCCCCC"/>
          </w:tcPr>
          <w:p w14:paraId="1C07519A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4CF7BB7D" w14:textId="77777777" w:rsidTr="00822842">
        <w:tc>
          <w:tcPr>
            <w:tcW w:w="1188" w:type="dxa"/>
          </w:tcPr>
          <w:p w14:paraId="1DF8677F" w14:textId="77777777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5DA72BDB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PŮVODNÍ EXPOZICE PŘED VYNÁSOBENÍM KONVERZNÍMI FAKTORY</w:t>
            </w:r>
          </w:p>
          <w:p w14:paraId="714A5DA7" w14:textId="77777777" w:rsidR="009D6580" w:rsidRPr="002A677E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Shoduje se s definicí pro sloupec 0020 šablony CR IRB.</w:t>
            </w:r>
          </w:p>
        </w:tc>
      </w:tr>
      <w:tr w:rsidR="009D6580" w:rsidRPr="002A677E" w14:paraId="770F3897" w14:textId="77777777" w:rsidTr="00822842">
        <w:tc>
          <w:tcPr>
            <w:tcW w:w="1188" w:type="dxa"/>
          </w:tcPr>
          <w:p w14:paraId="56E092EF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640" w:type="dxa"/>
          </w:tcPr>
          <w:p w14:paraId="0071C394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 toho: v selhání</w:t>
            </w:r>
          </w:p>
          <w:p w14:paraId="2768B5B2" w14:textId="77777777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Hodnota původní expozice u expozic, které jsou zařazeny jako expozice v selhání v souladu s článkem 178 </w:t>
            </w:r>
            <w:r>
              <w:rPr>
                <w:rFonts w:ascii="Times New Roman" w:hAnsi="Times New Roman"/>
                <w:sz w:val="24"/>
              </w:rPr>
              <w:t>nařízení (EU) č. 575/2013.</w:t>
            </w:r>
          </w:p>
        </w:tc>
      </w:tr>
      <w:tr w:rsidR="009D6580" w:rsidRPr="002A677E" w14:paraId="7AD6E18B" w14:textId="77777777" w:rsidTr="00822842">
        <w:tc>
          <w:tcPr>
            <w:tcW w:w="1188" w:type="dxa"/>
          </w:tcPr>
          <w:p w14:paraId="1DFAF6C6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640" w:type="dxa"/>
          </w:tcPr>
          <w:p w14:paraId="3FD9DA2E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Nová selhání zjištěná pro dané období</w:t>
            </w:r>
          </w:p>
          <w:p w14:paraId="2393DECB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Objem původních expozic, které byly v průběhu tříměsíčního období od posledního referenčního data vykazování zařazeny do kategorie „expozice v selhání“, se vykazuje proti kategorii expozic, do níž dlužník původně patřil. </w:t>
            </w:r>
          </w:p>
        </w:tc>
      </w:tr>
      <w:tr w:rsidR="009D6580" w:rsidRPr="002A677E" w14:paraId="382342DD" w14:textId="77777777" w:rsidTr="00822842">
        <w:tc>
          <w:tcPr>
            <w:tcW w:w="1188" w:type="dxa"/>
          </w:tcPr>
          <w:p w14:paraId="20977C7F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640" w:type="dxa"/>
          </w:tcPr>
          <w:p w14:paraId="6E8FD64C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Obecné úpravy o úvěrové riziko</w:t>
            </w:r>
          </w:p>
          <w:p w14:paraId="1F1D0A5D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Úpravy o úvěrové riziko podle článku 110 nařízení (EU) č. 575/2013 a nařízení (EU) č. 183/2014</w:t>
            </w:r>
          </w:p>
        </w:tc>
      </w:tr>
      <w:tr w:rsidR="009D6580" w:rsidRPr="002A677E" w14:paraId="63C2E396" w14:textId="77777777" w:rsidTr="00822842">
        <w:tc>
          <w:tcPr>
            <w:tcW w:w="1188" w:type="dxa"/>
          </w:tcPr>
          <w:p w14:paraId="3BC8F12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0055</w:t>
            </w:r>
          </w:p>
        </w:tc>
        <w:tc>
          <w:tcPr>
            <w:tcW w:w="8640" w:type="dxa"/>
          </w:tcPr>
          <w:p w14:paraId="26D828FB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Specifické úpravy o úvěrové riziko</w:t>
            </w:r>
          </w:p>
          <w:p w14:paraId="4DA8E76B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Úpravy o úvěrové riziko podle článku 110 nařízení (EU) č. 575/2013 a nařízení (EU) č. 183/2014</w:t>
            </w:r>
          </w:p>
        </w:tc>
      </w:tr>
      <w:tr w:rsidR="009D6580" w:rsidRPr="002A677E" w14:paraId="24582208" w14:textId="77777777" w:rsidTr="00822842">
        <w:tc>
          <w:tcPr>
            <w:tcW w:w="1188" w:type="dxa"/>
          </w:tcPr>
          <w:p w14:paraId="46A1EB0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4CC236D8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Odpisy</w:t>
            </w:r>
          </w:p>
          <w:p w14:paraId="51BEEB5D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Odpisy uvedené v IFRS 9 odst. 5.4.4 a B5.4.9</w:t>
            </w:r>
          </w:p>
        </w:tc>
      </w:tr>
      <w:tr w:rsidR="009D6580" w:rsidRPr="002A677E" w14:paraId="615BD0D9" w14:textId="77777777" w:rsidTr="00822842">
        <w:tc>
          <w:tcPr>
            <w:tcW w:w="1188" w:type="dxa"/>
          </w:tcPr>
          <w:p w14:paraId="641E5F2D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7C362C1E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Úpravy o úvěrové riziko / odpisy u nově zjištěných selhání</w:t>
            </w:r>
          </w:p>
          <w:p w14:paraId="454774E2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Součet úprav o úvěrové riziko a odpisů u expozic, které byly zařazeny jako „expozice v selhání“ v průběhu tříměsíčního období od posledního předkládání údajů</w:t>
            </w:r>
          </w:p>
        </w:tc>
      </w:tr>
      <w:tr w:rsidR="009D6580" w:rsidRPr="002A677E" w14:paraId="4B7452D7" w14:textId="77777777" w:rsidTr="00822842">
        <w:tc>
          <w:tcPr>
            <w:tcW w:w="1188" w:type="dxa"/>
          </w:tcPr>
          <w:p w14:paraId="1A68115E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0080</w:t>
            </w:r>
          </w:p>
        </w:tc>
        <w:tc>
          <w:tcPr>
            <w:tcW w:w="8640" w:type="dxa"/>
          </w:tcPr>
          <w:p w14:paraId="256EF248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STUPNICE INTERNÍCH RATINGŮ / PRAVDĚPODOBNOST SELHÁNÍ (PD) PŘIŘAZENÁ STUPNI NEBO SESKUPENÍ DLUŽNÍKŮ (%)</w:t>
            </w:r>
          </w:p>
          <w:p w14:paraId="2C51714D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Shoduje se s definicí pro sloupec 0010 šablony CR IRB.</w:t>
            </w:r>
          </w:p>
        </w:tc>
      </w:tr>
      <w:tr w:rsidR="009D6580" w:rsidRPr="002A677E" w14:paraId="18989AFE" w14:textId="77777777" w:rsidTr="00822842">
        <w:tc>
          <w:tcPr>
            <w:tcW w:w="1188" w:type="dxa"/>
          </w:tcPr>
          <w:p w14:paraId="489AE0F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640" w:type="dxa"/>
          </w:tcPr>
          <w:p w14:paraId="78B53BEB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EXPOZICÍ VÁŽENÁ PRŮMĚRNÁ HODNOTA LGD (%)</w:t>
            </w:r>
          </w:p>
          <w:p w14:paraId="5BC89E8E" w14:textId="77777777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Shoduje se s definicí pro sloupce 0230 a 0240 šablony CR IRB. expozicí vážená průměrná hodnota LGD (%) se vztahuje na veškeré expozice, včetně expozic pro velké subjekty finančního sektoru a neregulované finanční subjekty Použije se ustanovení čl. 181 odst. 1 písm. h) </w:t>
            </w:r>
            <w:r>
              <w:rPr>
                <w:rFonts w:ascii="Times New Roman" w:hAnsi="Times New Roman"/>
                <w:sz w:val="24"/>
              </w:rPr>
              <w:t>nařízení (EU) č. 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  <w:p w14:paraId="3A7794EA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U specializovaných úvěrových expozic, u nichž se odhaduje PD, by vykázanou hodnotou měla být buď odhadnutá, nebo regulatorní LGD. U specializovaných úvěrových expozic uvedených v čl. 153 odst. 5 nařízení (EU) č. 575/2013 nelze údaje vykazovat, protože nejsou k dispozici.</w:t>
            </w:r>
          </w:p>
        </w:tc>
      </w:tr>
      <w:tr w:rsidR="009D6580" w:rsidRPr="002A677E" w14:paraId="66756C12" w14:textId="77777777" w:rsidTr="00822842">
        <w:tc>
          <w:tcPr>
            <w:tcW w:w="1188" w:type="dxa"/>
          </w:tcPr>
          <w:p w14:paraId="317ECEC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640" w:type="dxa"/>
          </w:tcPr>
          <w:p w14:paraId="68CF6D3A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 toho: v selhání</w:t>
            </w:r>
          </w:p>
          <w:p w14:paraId="789E281A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Expozicí vážená hodnota LGD u expozic, které jsou zařazeny jako expozice v selhání“ v souladu s článkem 178 </w:t>
            </w:r>
            <w:r>
              <w:rPr>
                <w:rFonts w:ascii="Times New Roman" w:hAnsi="Times New Roman"/>
                <w:sz w:val="24"/>
              </w:rPr>
              <w:t>nařízení (EU) č. 575/2013</w:t>
            </w:r>
          </w:p>
        </w:tc>
      </w:tr>
      <w:tr w:rsidR="009D6580" w:rsidRPr="002A677E" w14:paraId="187792F5" w14:textId="77777777" w:rsidTr="00822842">
        <w:tc>
          <w:tcPr>
            <w:tcW w:w="1188" w:type="dxa"/>
          </w:tcPr>
          <w:p w14:paraId="41BFEDD8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0105</w:t>
            </w:r>
          </w:p>
        </w:tc>
        <w:tc>
          <w:tcPr>
            <w:tcW w:w="8640" w:type="dxa"/>
          </w:tcPr>
          <w:p w14:paraId="7B14423E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Hodnota expozice</w:t>
            </w:r>
          </w:p>
          <w:p w14:paraId="533E4F5D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Shoduje se s definicí pro sloupec 0110 šablony CR IRB.</w:t>
            </w:r>
          </w:p>
        </w:tc>
      </w:tr>
      <w:tr w:rsidR="009D6580" w:rsidRPr="002A677E" w14:paraId="48402149" w14:textId="77777777" w:rsidTr="00822842">
        <w:tc>
          <w:tcPr>
            <w:tcW w:w="1188" w:type="dxa"/>
          </w:tcPr>
          <w:p w14:paraId="3E4D7142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640" w:type="dxa"/>
          </w:tcPr>
          <w:p w14:paraId="3BFEC9EB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OBJEM RIZIKOVĚ VÁŽENÉ EXPOZICE PŘED UPLATNĚNÍM PODPŮRNÝCH KOEFICIENTŮ</w:t>
            </w:r>
          </w:p>
          <w:p w14:paraId="38950726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Shoduje se s definicí pro sloupec 0255 šablony CR IRB.</w:t>
            </w:r>
          </w:p>
        </w:tc>
      </w:tr>
      <w:tr w:rsidR="009D6580" w:rsidRPr="002A677E" w14:paraId="321AA4CE" w14:textId="77777777" w:rsidTr="00822842">
        <w:tc>
          <w:tcPr>
            <w:tcW w:w="1188" w:type="dxa"/>
          </w:tcPr>
          <w:p w14:paraId="5F49B73F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640" w:type="dxa"/>
          </w:tcPr>
          <w:p w14:paraId="2A07E1E7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 toho: v selhání</w:t>
            </w:r>
          </w:p>
          <w:p w14:paraId="0B72119F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Objem rizikově vážené expozice u expozic, které jsou zařazeny jako expozice v selhání v souladu s čl. 178 odst. 1 </w:t>
            </w:r>
            <w:r>
              <w:rPr>
                <w:rFonts w:ascii="Times New Roman" w:hAnsi="Times New Roman"/>
                <w:sz w:val="24"/>
              </w:rPr>
              <w:t>nařízení (EU) č. 575/2013</w:t>
            </w:r>
          </w:p>
        </w:tc>
      </w:tr>
      <w:tr w:rsidR="009D6580" w:rsidRPr="002A677E" w14:paraId="4F58B17C" w14:textId="77777777" w:rsidTr="00822842">
        <w:tc>
          <w:tcPr>
            <w:tcW w:w="1188" w:type="dxa"/>
          </w:tcPr>
          <w:p w14:paraId="4331347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0121</w:t>
            </w:r>
          </w:p>
        </w:tc>
        <w:tc>
          <w:tcPr>
            <w:tcW w:w="8640" w:type="dxa"/>
          </w:tcPr>
          <w:p w14:paraId="51B6E44A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(−) ÚPRAVA OBJEMU RIZIKOVĚ VÁŽENÉ EXPOZICE V DŮSLEDKU PODPŮRNÉHO KOEFICIENTU PRO MALÉ A STŘEDNÍ PODNIKY</w:t>
            </w:r>
          </w:p>
          <w:p w14:paraId="7060DF05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Shoduje se s definicí pro sloupec 0256 šablony CR IRB.</w:t>
            </w:r>
          </w:p>
        </w:tc>
      </w:tr>
      <w:tr w:rsidR="009D6580" w:rsidRPr="002A677E" w14:paraId="6DA9FCB6" w14:textId="77777777" w:rsidTr="00822842">
        <w:tc>
          <w:tcPr>
            <w:tcW w:w="1188" w:type="dxa"/>
          </w:tcPr>
          <w:p w14:paraId="189DC6D4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0122</w:t>
            </w:r>
          </w:p>
        </w:tc>
        <w:tc>
          <w:tcPr>
            <w:tcW w:w="8640" w:type="dxa"/>
          </w:tcPr>
          <w:p w14:paraId="77E17241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(−) ÚPRAVA OBJEMU RIZIKOVĚ VÁŽENÉ EXPOZICE V DŮSLEDKU PODPŮRNÉHO KOEFICIENTU PRO INFRASTRUKTURU</w:t>
            </w:r>
          </w:p>
          <w:p w14:paraId="1EE90D25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Shoduje se s definicí pro sloupec 0257 šablony CR IRB.</w:t>
            </w:r>
          </w:p>
        </w:tc>
      </w:tr>
      <w:tr w:rsidR="009D6580" w:rsidRPr="002A677E" w14:paraId="0A79EDF4" w14:textId="77777777" w:rsidTr="00822842">
        <w:tc>
          <w:tcPr>
            <w:tcW w:w="1188" w:type="dxa"/>
          </w:tcPr>
          <w:p w14:paraId="2D50BBC4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0125</w:t>
            </w:r>
          </w:p>
        </w:tc>
        <w:tc>
          <w:tcPr>
            <w:tcW w:w="8640" w:type="dxa"/>
          </w:tcPr>
          <w:p w14:paraId="0D402C8B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OBJEM RIZIKOVĚ VÁŽENÉ EXPOZICE PO UPLATNĚNÍ PODPŮRNÝCH KOEFICIENTŮ</w:t>
            </w:r>
          </w:p>
          <w:p w14:paraId="71F977E8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Shoduje se s definicí pro sloupec 0260 šablony CR IRB.</w:t>
            </w:r>
          </w:p>
        </w:tc>
      </w:tr>
      <w:tr w:rsidR="009D6580" w:rsidRPr="002A677E" w14:paraId="058051CC" w14:textId="77777777" w:rsidTr="00822842">
        <w:tc>
          <w:tcPr>
            <w:tcW w:w="1188" w:type="dxa"/>
          </w:tcPr>
          <w:p w14:paraId="02AA680F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640" w:type="dxa"/>
          </w:tcPr>
          <w:p w14:paraId="5E66C6B0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VÝŠE OČEKÁVANÉ ZTRÁTY</w:t>
            </w:r>
          </w:p>
          <w:p w14:paraId="27E13378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Shoduje se s definicí pro sloupec 0280 šablony CR IRB.</w:t>
            </w:r>
          </w:p>
        </w:tc>
      </w:tr>
    </w:tbl>
    <w:p w14:paraId="26CEB25D" w14:textId="77777777" w:rsidR="009D6580" w:rsidRPr="002A677E" w:rsidRDefault="009D6580" w:rsidP="009D6580">
      <w:pPr>
        <w:rPr>
          <w:rFonts w:ascii="Times New Roman" w:hAnsi="Times New Roman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2A677E" w14:paraId="4378F7EC" w14:textId="77777777" w:rsidTr="00822842">
        <w:tc>
          <w:tcPr>
            <w:tcW w:w="1188" w:type="dxa"/>
            <w:shd w:val="clear" w:color="auto" w:fill="CCCCCC"/>
          </w:tcPr>
          <w:p w14:paraId="629D568D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Řádky</w:t>
            </w:r>
          </w:p>
        </w:tc>
        <w:tc>
          <w:tcPr>
            <w:tcW w:w="8640" w:type="dxa"/>
            <w:shd w:val="clear" w:color="auto" w:fill="CCCCCC"/>
          </w:tcPr>
          <w:p w14:paraId="490E44FA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41D216F1" w14:textId="77777777" w:rsidTr="00822842">
        <w:tc>
          <w:tcPr>
            <w:tcW w:w="1188" w:type="dxa"/>
          </w:tcPr>
          <w:p w14:paraId="12CBEF0E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349EA927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Ústřední vlády a centrální banky </w:t>
            </w:r>
          </w:p>
          <w:p w14:paraId="45CC186E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147 odst. 2 písm. a) nařízení (EU) č. 575/2013</w:t>
            </w:r>
          </w:p>
        </w:tc>
      </w:tr>
      <w:tr w:rsidR="009D6580" w:rsidRPr="002A677E" w14:paraId="6125B13A" w14:textId="77777777" w:rsidTr="00822842">
        <w:tc>
          <w:tcPr>
            <w:tcW w:w="1188" w:type="dxa"/>
            <w:shd w:val="clear" w:color="auto" w:fill="auto"/>
          </w:tcPr>
          <w:p w14:paraId="33C6F35E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327D" w14:textId="77777777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 toho: Regionální vlády nebo místní orgány</w:t>
            </w:r>
          </w:p>
          <w:p w14:paraId="4864E157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Ustanovení čl. 147 odst. 3a nařízení (EU) č. 575/2013</w:t>
            </w:r>
          </w:p>
        </w:tc>
      </w:tr>
      <w:tr w:rsidR="009D6580" w:rsidRPr="002A677E" w14:paraId="57997C4B" w14:textId="77777777" w:rsidTr="00822842">
        <w:tc>
          <w:tcPr>
            <w:tcW w:w="1188" w:type="dxa"/>
            <w:shd w:val="clear" w:color="auto" w:fill="auto"/>
          </w:tcPr>
          <w:p w14:paraId="7E0CEA1D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0012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57E4" w14:textId="77777777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Regionální vlády nebo místní orgány</w:t>
            </w:r>
          </w:p>
          <w:p w14:paraId="19FE9B53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Ustanovení čl. 147 odst. 2 písm. a1) bodu i) nařízení (EU) č. 575/2013</w:t>
            </w:r>
          </w:p>
        </w:tc>
      </w:tr>
      <w:tr w:rsidR="009D6580" w:rsidRPr="002A677E" w14:paraId="756631BD" w14:textId="77777777" w:rsidTr="00822842">
        <w:tc>
          <w:tcPr>
            <w:tcW w:w="1188" w:type="dxa"/>
            <w:shd w:val="clear" w:color="auto" w:fill="auto"/>
          </w:tcPr>
          <w:p w14:paraId="36422B7A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0013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C62E" w14:textId="77777777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Subjekty veřejného sektoru </w:t>
            </w:r>
          </w:p>
          <w:p w14:paraId="1DE1AAE7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Ustanovení čl. 147 odst. 2 písm. a1) bodu 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nařízení (EU) č. 575/2013</w:t>
            </w:r>
          </w:p>
        </w:tc>
      </w:tr>
      <w:tr w:rsidR="009D6580" w:rsidRPr="002A677E" w14:paraId="0C55C95D" w14:textId="77777777" w:rsidTr="00822842">
        <w:tc>
          <w:tcPr>
            <w:tcW w:w="1188" w:type="dxa"/>
          </w:tcPr>
          <w:p w14:paraId="6C8F06FC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640" w:type="dxa"/>
          </w:tcPr>
          <w:p w14:paraId="460BDDF8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Instituce</w:t>
            </w:r>
          </w:p>
          <w:p w14:paraId="504F46A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147 odst. 2 písm. b) nařízení (EU) č. 575/2013</w:t>
            </w:r>
          </w:p>
        </w:tc>
      </w:tr>
      <w:tr w:rsidR="009D6580" w:rsidRPr="002A677E" w14:paraId="2B29BE20" w14:textId="77777777" w:rsidTr="00822842">
        <w:tc>
          <w:tcPr>
            <w:tcW w:w="1188" w:type="dxa"/>
          </w:tcPr>
          <w:p w14:paraId="521AA8B6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640" w:type="dxa"/>
          </w:tcPr>
          <w:p w14:paraId="63C7233C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Podniky </w:t>
            </w:r>
          </w:p>
          <w:p w14:paraId="699F9BD2" w14:textId="77777777" w:rsidR="009D6580" w:rsidRPr="002A677E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Všechny expozice vůči podnikům podle čl. 147 odst. 2 písm. c) nařízení (EU) č. 575/2013</w:t>
            </w:r>
          </w:p>
        </w:tc>
      </w:tr>
      <w:tr w:rsidR="009D6580" w:rsidRPr="002A677E" w14:paraId="55C3FE5A" w14:textId="77777777" w:rsidTr="00822842">
        <w:tc>
          <w:tcPr>
            <w:tcW w:w="1188" w:type="dxa"/>
          </w:tcPr>
          <w:p w14:paraId="198D8F58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640" w:type="dxa"/>
          </w:tcPr>
          <w:p w14:paraId="66C0F4F0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 toho: malé a střední podniky</w:t>
            </w:r>
          </w:p>
          <w:p w14:paraId="13819074" w14:textId="77777777" w:rsidR="009D6580" w:rsidRPr="002A677E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147 odst. 2 písm. c) nařízení (EU) č. 575/2013</w:t>
            </w:r>
          </w:p>
          <w:p w14:paraId="6C8F6FE1" w14:textId="408BCC75" w:rsidR="009D6580" w:rsidRPr="002A677E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Pro účely zařazení do této podkategorie expozic použijí vykazující subjekty definici malých a středních podniků uvedenou v čl. 5 odst. 8 nařízení (EU) č. 575/2013. </w:t>
            </w:r>
          </w:p>
        </w:tc>
      </w:tr>
      <w:tr w:rsidR="00B56773" w:rsidRPr="00E47484" w14:paraId="1AB097A1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168F" w14:textId="1A066C7F" w:rsidR="00B56773" w:rsidRPr="002A677E" w:rsidRDefault="00B56773" w:rsidP="007400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C6303" w14:textId="77777777" w:rsidR="00B56773" w:rsidRDefault="00B5677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 toho: velké podniky</w:t>
            </w:r>
          </w:p>
          <w:p w14:paraId="503F359E" w14:textId="77777777" w:rsidR="00B56773" w:rsidRPr="00B56773" w:rsidRDefault="00B56773" w:rsidP="00B56773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147 odst. 2 písm. c) nařízení (EU) č. 575/2013.</w:t>
            </w:r>
          </w:p>
          <w:p w14:paraId="23F8CBD6" w14:textId="77777777" w:rsidR="00B56773" w:rsidRPr="00E47484" w:rsidRDefault="00B5677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Pro účely zařazení do této podkategorie expozic použijí vykazující subjekty definici velkých podniků uvedenou v čl. 142 odst. 1 bodě 5a nařízení (EU) č. 575/2013.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</w:tc>
      </w:tr>
      <w:tr w:rsidR="00B56773" w:rsidRPr="00E47484" w:rsidDel="000306F2" w14:paraId="58CAAB1D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F72A" w14:textId="4457DEBC" w:rsidR="00B56773" w:rsidRPr="002A677E" w:rsidDel="000306F2" w:rsidRDefault="00B56773" w:rsidP="007400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C653" w14:textId="0225B19B" w:rsidR="00B56773" w:rsidRDefault="00B5677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specializované úvěry</w:t>
            </w:r>
          </w:p>
          <w:p w14:paraId="510C1D3E" w14:textId="683EFC86" w:rsidR="00B56773" w:rsidRPr="00B56773" w:rsidDel="000306F2" w:rsidRDefault="00B56773" w:rsidP="007400C4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Ustanovení čl. 147 odst. 2 písm. c) bodu 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nařízení (EU) č. 575/2013. 1.</w:t>
            </w:r>
          </w:p>
        </w:tc>
      </w:tr>
      <w:tr w:rsidR="00B56773" w:rsidRPr="00E47484" w14:paraId="36179D5A" w14:textId="77777777" w:rsidTr="00822842">
        <w:tc>
          <w:tcPr>
            <w:tcW w:w="1188" w:type="dxa"/>
            <w:shd w:val="clear" w:color="auto" w:fill="auto"/>
          </w:tcPr>
          <w:p w14:paraId="7AF18366" w14:textId="6A1B1DDE" w:rsidR="00B56773" w:rsidRPr="72FDE0D4" w:rsidRDefault="00B56773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0053–0056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F836" w14:textId="6CF7767D" w:rsidR="00B56773" w:rsidRPr="00021099" w:rsidRDefault="00B56773" w:rsidP="00B56773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Specializované úvěry</w:t>
            </w:r>
            <w:r>
              <w:rPr>
                <w:rFonts w:ascii="Times New Roman" w:hAnsi="Times New Roman"/>
                <w:b/>
                <w:sz w:val="24"/>
              </w:rPr>
              <w:t xml:space="preserve"> – druhy specializovaných úvěrových expozic</w:t>
            </w:r>
          </w:p>
          <w:p w14:paraId="1E4AC942" w14:textId="49F536D6" w:rsidR="00B56773" w:rsidRPr="00F16E4D" w:rsidRDefault="00B56773" w:rsidP="00822842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vykazují druhy specializovaných úvěrových expozic uvedených v čl. 147 odst. 8 druhém pododstavci: 2 v odpovídajícím řádku: Specializované úvěry „projektové financování“, „objektové financování“, „komoditní financování“ a „nemovitosti vytvářející příjem“ (IPRE).</w:t>
            </w:r>
          </w:p>
        </w:tc>
      </w:tr>
      <w:tr w:rsidR="009D6580" w:rsidRPr="00E47484" w14:paraId="1E272EAA" w14:textId="77777777" w:rsidTr="00822842">
        <w:tc>
          <w:tcPr>
            <w:tcW w:w="1188" w:type="dxa"/>
            <w:shd w:val="clear" w:color="auto" w:fill="auto"/>
          </w:tcPr>
          <w:p w14:paraId="5B01A706" w14:textId="2033B95F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0057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7355" w14:textId="38752705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Pohledávky nabyté za úplatu</w:t>
            </w:r>
          </w:p>
          <w:p w14:paraId="40628222" w14:textId="77777777" w:rsidR="009D6580" w:rsidRPr="00E47484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Ustanovení čl. 147 odst. 2 písm. c) bodu </w:t>
            </w:r>
            <w:proofErr w:type="spellStart"/>
            <w:r>
              <w:rPr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Fonts w:ascii="Times New Roman" w:hAnsi="Times New Roman"/>
                <w:sz w:val="24"/>
              </w:rPr>
              <w:t>) nařízení (EU) č. 575/2013.</w:t>
            </w:r>
          </w:p>
        </w:tc>
      </w:tr>
      <w:tr w:rsidR="00F16E4D" w:rsidRPr="002A677E" w14:paraId="27B47EEA" w14:textId="77777777" w:rsidTr="00822842">
        <w:tc>
          <w:tcPr>
            <w:tcW w:w="1188" w:type="dxa"/>
          </w:tcPr>
          <w:p w14:paraId="329ABF25" w14:textId="3906F1E5" w:rsidR="00F16E4D" w:rsidRPr="002A677E" w:rsidRDefault="00F16E4D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0058</w:t>
            </w:r>
          </w:p>
        </w:tc>
        <w:tc>
          <w:tcPr>
            <w:tcW w:w="8640" w:type="dxa"/>
          </w:tcPr>
          <w:p w14:paraId="27CFAA09" w14:textId="513D8D7F" w:rsidR="00F16E4D" w:rsidRDefault="00F16E4D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Ostatní</w:t>
            </w:r>
          </w:p>
          <w:p w14:paraId="75A3CB20" w14:textId="69737D7D" w:rsidR="00F16E4D" w:rsidRPr="002A677E" w:rsidRDefault="00F16E4D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Ustanovení čl. 147 odst. 2 písm. I) bodu i) nařízení (EU) č. 575/2013</w:t>
            </w:r>
          </w:p>
        </w:tc>
      </w:tr>
      <w:tr w:rsidR="009D6580" w:rsidRPr="002A677E" w14:paraId="3CAC5C4A" w14:textId="77777777" w:rsidTr="00822842">
        <w:tc>
          <w:tcPr>
            <w:tcW w:w="1188" w:type="dxa"/>
          </w:tcPr>
          <w:p w14:paraId="50AFEE2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8640" w:type="dxa"/>
          </w:tcPr>
          <w:p w14:paraId="084F36E4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Retailové expozice</w:t>
            </w:r>
          </w:p>
          <w:p w14:paraId="61F9869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Všechny retailové expozice ve smyslu čl. 147 odst. 2 písm. d) nařízení (EU) č. 575/2013.</w:t>
            </w:r>
          </w:p>
        </w:tc>
      </w:tr>
      <w:tr w:rsidR="009D6580" w:rsidRPr="002A677E" w14:paraId="3126FC45" w14:textId="77777777" w:rsidTr="00822842">
        <w:tc>
          <w:tcPr>
            <w:tcW w:w="1188" w:type="dxa"/>
          </w:tcPr>
          <w:p w14:paraId="3B5D672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094A84E8" w14:textId="1D426AD8" w:rsidR="009D6580" w:rsidRPr="002A677E" w:rsidRDefault="005B37F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 toho: Retailová oblast – se zajištěním nemovitostmi</w:t>
            </w:r>
          </w:p>
          <w:p w14:paraId="35B1F6E7" w14:textId="4962CAD8" w:rsidR="00FD0F61" w:rsidRDefault="00FD0F61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Retailové expozice ve smyslu čl. 147 odst. 2 písm. d) nařízení (EU) č. 575/2013, které jsou zajištěny nemovitostmi ve smyslu čl. 4 odst. 1 bodu 75f písm. d) nařízení (EU) č. 575/2013.</w:t>
            </w:r>
          </w:p>
          <w:p w14:paraId="0CD06107" w14:textId="22291817" w:rsidR="009D6580" w:rsidRPr="002A677E" w:rsidRDefault="00FD0F61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9D6580" w:rsidRPr="002A677E" w14:paraId="49CD7917" w14:textId="77777777" w:rsidTr="00822842">
        <w:tc>
          <w:tcPr>
            <w:tcW w:w="1188" w:type="dxa"/>
          </w:tcPr>
          <w:p w14:paraId="3FA8BBC8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640" w:type="dxa"/>
          </w:tcPr>
          <w:p w14:paraId="4738C3E5" w14:textId="186F9DD4" w:rsidR="009D6580" w:rsidRPr="002A677E" w:rsidRDefault="00FD0F61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 toho: malé a střední podniky</w:t>
            </w:r>
          </w:p>
          <w:p w14:paraId="67BFF2AB" w14:textId="02FB7D89" w:rsidR="009D6580" w:rsidRPr="002A677E" w:rsidRDefault="00FD0F61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Retailové expozice ve smyslu čl. 147 odst. 2 písm. d) nařízení (EU) č. 575/2013 vykázané v položkách B.6.1 až B.6.4, které jsou zajištěny nemovitostmi ve smyslu čl. 4 odst. 1 bodu 75f písm. d) nařízení (EU) č. 575/2013 ve spojení s čl. 5 odst. 8 nařízení (EU) č. 575/2013. </w:t>
            </w:r>
          </w:p>
        </w:tc>
      </w:tr>
      <w:tr w:rsidR="009D6580" w:rsidRPr="00E47484" w14:paraId="7A63D877" w14:textId="77777777" w:rsidTr="00822842">
        <w:tc>
          <w:tcPr>
            <w:tcW w:w="1188" w:type="dxa"/>
            <w:shd w:val="clear" w:color="auto" w:fill="auto"/>
          </w:tcPr>
          <w:p w14:paraId="59E6C6E6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640" w:type="dxa"/>
            <w:shd w:val="clear" w:color="auto" w:fill="auto"/>
          </w:tcPr>
          <w:p w14:paraId="05695520" w14:textId="39C15E5F" w:rsidR="009D6580" w:rsidRPr="00E47484" w:rsidRDefault="00837F9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 toho: Jiné než malé a střední podniky</w:t>
            </w:r>
          </w:p>
          <w:p w14:paraId="68647661" w14:textId="272EAD03" w:rsidR="00837F98" w:rsidRDefault="00837F98" w:rsidP="00234FB5">
            <w:pPr>
              <w:pStyle w:val="ListParagraph"/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Retailové expozice ve smyslu čl. 147 odst. 2 písm. d) nařízení (EU) č. 575/2013 vykázané v položkách B.6.1 až B.6.4, které jsou zajištěny nemovitostmi ve smyslu čl. 4 odst. 1 bodu 75f písm. d) nařízení (EU) č. 575/2013, ve spojení s čl. 5 odst. 8 nařízení (EU) č. 575/2013.</w:t>
            </w:r>
          </w:p>
          <w:p w14:paraId="34F371DC" w14:textId="683F21EB" w:rsidR="009D6580" w:rsidRPr="00D10012" w:rsidRDefault="009D6580" w:rsidP="00822842">
            <w:pPr>
              <w:pStyle w:val="ListParagraph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910F63" w:rsidRPr="002A677E" w14:paraId="22110EE2" w14:textId="77777777" w:rsidTr="00910F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663B" w14:textId="49B20CE1" w:rsidR="00910F63" w:rsidRPr="002A677E" w:rsidRDefault="00910F63" w:rsidP="007400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0095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0C7BD" w14:textId="435F8765" w:rsidR="00910F63" w:rsidRPr="002A677E" w:rsidRDefault="00910F6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zajištěné obytnými nemovitostmi</w:t>
            </w:r>
          </w:p>
          <w:p w14:paraId="3B8B837D" w14:textId="77777777" w:rsidR="00910F63" w:rsidRPr="00910F63" w:rsidRDefault="00910F63" w:rsidP="00910F63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Retailové expozice ve smyslu čl. 147 odst. 2 písm. d) bodu 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nařízení (EU) č. 575/2013.</w:t>
            </w:r>
          </w:p>
          <w:p w14:paraId="7240267A" w14:textId="77777777" w:rsidR="00910F63" w:rsidRPr="002A677E" w:rsidRDefault="00910F6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Za retailové expozice zajištěné obytnými nemovitostmi se považují veškeré retailové expozice zajištěné obytnými nemovitostmi uznanými jako kolaterál bez ohledu na poměr hodnoty kolaterálu k expozici nebo účel úvěru.</w:t>
            </w:r>
          </w:p>
        </w:tc>
      </w:tr>
      <w:tr w:rsidR="009D6580" w:rsidRPr="002A677E" w14:paraId="38AD5BBA" w14:textId="77777777" w:rsidTr="00822842">
        <w:tc>
          <w:tcPr>
            <w:tcW w:w="1188" w:type="dxa"/>
          </w:tcPr>
          <w:p w14:paraId="48A5C8D2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640" w:type="dxa"/>
          </w:tcPr>
          <w:p w14:paraId="1B160106" w14:textId="7C65E11F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Kvalifikované revolvingové expozice</w:t>
            </w:r>
          </w:p>
          <w:p w14:paraId="363209C3" w14:textId="77777777" w:rsidR="009D6580" w:rsidRPr="002A677E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Retailové expozice ve smyslu čl. 147 odst. 2 písm. d) bodu i) ve spojení s čl. 154 odst. 4 nařízení (EU) č. 575/2013</w:t>
            </w:r>
          </w:p>
        </w:tc>
      </w:tr>
      <w:tr w:rsidR="009D6580" w:rsidRPr="002A677E" w14:paraId="26D0338D" w14:textId="77777777" w:rsidTr="00822842">
        <w:tc>
          <w:tcPr>
            <w:tcW w:w="1188" w:type="dxa"/>
          </w:tcPr>
          <w:p w14:paraId="6DA4B8E6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0105</w:t>
            </w:r>
          </w:p>
        </w:tc>
        <w:tc>
          <w:tcPr>
            <w:tcW w:w="8640" w:type="dxa"/>
          </w:tcPr>
          <w:p w14:paraId="63563096" w14:textId="485ECEE6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Pohledávky nabyté za úplatu</w:t>
            </w:r>
          </w:p>
          <w:p w14:paraId="7C92CD05" w14:textId="77777777" w:rsidR="009D6580" w:rsidRPr="00B7761D" w:rsidRDefault="009D6580" w:rsidP="00822842">
            <w:pPr>
              <w:rPr>
                <w:rFonts w:cs="Calibri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</w:rPr>
              <w:t xml:space="preserve">Retailové expozice ve smyslu čl. 147 odst. 2 písm. d) bodu </w:t>
            </w:r>
            <w:proofErr w:type="spellStart"/>
            <w:r>
              <w:rPr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Fonts w:ascii="Times New Roman" w:hAnsi="Times New Roman"/>
                <w:sz w:val="24"/>
              </w:rPr>
              <w:t>) nařízení (EU) č. 575/2013.</w:t>
            </w:r>
          </w:p>
        </w:tc>
      </w:tr>
      <w:tr w:rsidR="009D6580" w:rsidRPr="002A677E" w14:paraId="551F153F" w14:textId="77777777" w:rsidTr="00822842">
        <w:tc>
          <w:tcPr>
            <w:tcW w:w="1188" w:type="dxa"/>
          </w:tcPr>
          <w:p w14:paraId="1C56701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640" w:type="dxa"/>
          </w:tcPr>
          <w:p w14:paraId="3B169086" w14:textId="5BA51B78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Ostatní retailové expozice</w:t>
            </w:r>
          </w:p>
          <w:p w14:paraId="6BB335AD" w14:textId="5184DC86" w:rsidR="009D6580" w:rsidRPr="002A677E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Ostatní retailové expozice ve smyslu čl. 147 odst. 2 písm. d) bodu iv) nařízení (EU) č. 575/2013.</w:t>
            </w:r>
          </w:p>
        </w:tc>
      </w:tr>
      <w:tr w:rsidR="009D6580" w:rsidRPr="002A677E" w14:paraId="1879AB2D" w14:textId="77777777" w:rsidTr="00822842">
        <w:tc>
          <w:tcPr>
            <w:tcW w:w="1188" w:type="dxa"/>
          </w:tcPr>
          <w:p w14:paraId="247F0534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640" w:type="dxa"/>
          </w:tcPr>
          <w:p w14:paraId="37F76446" w14:textId="0C2F5C96" w:rsidR="009D6580" w:rsidRPr="002A677E" w:rsidRDefault="00837F9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 toho: malé a střední podniky</w:t>
            </w:r>
          </w:p>
          <w:p w14:paraId="28CE96BD" w14:textId="7A3420F8" w:rsidR="009D6580" w:rsidRPr="002A677E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Ostatní retailové expozice ve smyslu čl. 147 odst. 2 písm. d) bodu iv) nařízení (EU) č. 575/2013 ve spojení s čl. 5 odst. 8 nařízení (EU) č. 575/2013. </w:t>
            </w:r>
          </w:p>
        </w:tc>
      </w:tr>
      <w:tr w:rsidR="009D6580" w:rsidRPr="002A677E" w14:paraId="6140E6E8" w14:textId="77777777" w:rsidTr="00822842">
        <w:tc>
          <w:tcPr>
            <w:tcW w:w="1188" w:type="dxa"/>
          </w:tcPr>
          <w:p w14:paraId="4DD0078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640" w:type="dxa"/>
          </w:tcPr>
          <w:p w14:paraId="40BDF108" w14:textId="2B96A314" w:rsidR="009D6580" w:rsidRPr="002A677E" w:rsidRDefault="00837F9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 toho: Jiné než malé a střední podniky</w:t>
            </w:r>
          </w:p>
          <w:p w14:paraId="51D486B6" w14:textId="251D2008" w:rsidR="009D6580" w:rsidRPr="002A677E" w:rsidRDefault="00837F98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Ostatní retailové expozice ve smyslu čl. 147 odst. 2 písm. d) bodu iv) nařízení (EU) č. 575/2013, nikoli ve spojení s čl. 5 odst. 8 nařízení (EU) č. 575/2013.</w:t>
            </w:r>
          </w:p>
        </w:tc>
      </w:tr>
      <w:tr w:rsidR="009D6580" w:rsidRPr="002A677E" w14:paraId="70A29A85" w14:textId="77777777" w:rsidTr="00822842">
        <w:tc>
          <w:tcPr>
            <w:tcW w:w="1188" w:type="dxa"/>
          </w:tcPr>
          <w:p w14:paraId="5C28748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0132</w:t>
            </w:r>
          </w:p>
        </w:tc>
        <w:tc>
          <w:tcPr>
            <w:tcW w:w="8640" w:type="dxa"/>
          </w:tcPr>
          <w:p w14:paraId="170B9280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Subjekty kolektivního investování</w:t>
            </w:r>
          </w:p>
          <w:p w14:paraId="4237C58D" w14:textId="4E266C1C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Ustanovení čl. 147 odst. 2 písm. e1) nařízení (EU) č. 575/2013</w:t>
            </w:r>
          </w:p>
        </w:tc>
      </w:tr>
      <w:tr w:rsidR="009D6580" w:rsidRPr="002A677E" w14:paraId="72EBDFDD" w14:textId="77777777" w:rsidTr="00822842">
        <w:tc>
          <w:tcPr>
            <w:tcW w:w="1188" w:type="dxa"/>
          </w:tcPr>
          <w:p w14:paraId="290EDA8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0133</w:t>
            </w:r>
          </w:p>
        </w:tc>
        <w:tc>
          <w:tcPr>
            <w:tcW w:w="8640" w:type="dxa"/>
          </w:tcPr>
          <w:p w14:paraId="39E22A69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Průhledový přístup</w:t>
            </w:r>
          </w:p>
          <w:p w14:paraId="3481CEEB" w14:textId="77777777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Shoduje se s definicí pro řádek 0190 šablony CR IRB.</w:t>
            </w:r>
          </w:p>
        </w:tc>
      </w:tr>
      <w:tr w:rsidR="009D6580" w:rsidRPr="002A677E" w14:paraId="6520599F" w14:textId="77777777" w:rsidTr="00822842">
        <w:tc>
          <w:tcPr>
            <w:tcW w:w="1188" w:type="dxa"/>
          </w:tcPr>
          <w:p w14:paraId="5DF820F6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0134</w:t>
            </w:r>
          </w:p>
        </w:tc>
        <w:tc>
          <w:tcPr>
            <w:tcW w:w="8640" w:type="dxa"/>
          </w:tcPr>
          <w:p w14:paraId="13156AFE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Přístup založený na pověření</w:t>
            </w:r>
          </w:p>
          <w:p w14:paraId="37B63BC9" w14:textId="77777777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Shoduje se s definicí pro řádek 0200 šablony CR IRB.</w:t>
            </w:r>
          </w:p>
        </w:tc>
      </w:tr>
      <w:tr w:rsidR="009D6580" w:rsidRPr="002A677E" w14:paraId="57B2C532" w14:textId="77777777" w:rsidTr="00822842">
        <w:tc>
          <w:tcPr>
            <w:tcW w:w="1188" w:type="dxa"/>
          </w:tcPr>
          <w:p w14:paraId="251B0D2B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0135</w:t>
            </w:r>
          </w:p>
        </w:tc>
        <w:tc>
          <w:tcPr>
            <w:tcW w:w="8640" w:type="dxa"/>
          </w:tcPr>
          <w:p w14:paraId="19D4ED63" w14:textId="77777777" w:rsidR="009D6580" w:rsidRPr="002A677E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Záložní postup</w:t>
            </w:r>
          </w:p>
          <w:p w14:paraId="18A39C60" w14:textId="77777777" w:rsidR="009D6580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Shoduje se s definicí pro řádek 0210 šablony CR IRB.</w:t>
            </w:r>
          </w:p>
        </w:tc>
      </w:tr>
      <w:bookmarkEnd w:id="3"/>
      <w:tr w:rsidR="009D6580" w:rsidRPr="002A677E" w14:paraId="0997369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0375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4F62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Akciové expozice</w:t>
            </w:r>
          </w:p>
          <w:p w14:paraId="1A033F11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Akciové expozice ve smyslu čl. 147 odst. 2 písm. e) nařízení (EU) č. 575/2013</w:t>
            </w:r>
          </w:p>
        </w:tc>
      </w:tr>
      <w:tr w:rsidR="009D6580" w:rsidRPr="002A677E" w14:paraId="6A23B6CC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CFF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13EA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Celkové expozice</w:t>
            </w:r>
          </w:p>
        </w:tc>
      </w:tr>
    </w:tbl>
    <w:p w14:paraId="77289230" w14:textId="77777777" w:rsidR="009D6580" w:rsidRPr="002A677E" w:rsidRDefault="009D6580" w:rsidP="009D6580">
      <w:pPr>
        <w:spacing w:before="0" w:after="200" w:line="312" w:lineRule="auto"/>
        <w:jc w:val="left"/>
        <w:rPr>
          <w:rFonts w:ascii="Times New Roman" w:hAnsi="Times New Roman"/>
          <w:sz w:val="24"/>
        </w:rPr>
      </w:pPr>
    </w:p>
    <w:p w14:paraId="6A7D32B9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0" w:name="_Toc360188366"/>
      <w:bookmarkStart w:id="11" w:name="_Toc473560917"/>
      <w:bookmarkStart w:id="12" w:name="_Toc151714421"/>
      <w:r>
        <w:rPr>
          <w:rFonts w:ascii="Times New Roman" w:hAnsi="Times New Roman"/>
          <w:sz w:val="24"/>
          <w:u w:val="none"/>
        </w:rPr>
        <w:t>3.4.3</w:t>
      </w:r>
      <w:r>
        <w:tab/>
      </w:r>
      <w:r>
        <w:rPr>
          <w:rFonts w:ascii="Times New Roman" w:hAnsi="Times New Roman"/>
          <w:sz w:val="24"/>
        </w:rPr>
        <w:t>C 09.04 – Rozčlenění úvěrových expozic relevantních pro výpočet proticyklické kapitálové rezervy podle zemí a sazby proticyklické rezervy specifické pro danou instituci</w:t>
      </w:r>
      <w:bookmarkEnd w:id="10"/>
      <w:r>
        <w:t xml:space="preserve"> </w:t>
      </w:r>
      <w:r>
        <w:rPr>
          <w:rFonts w:ascii="Times New Roman" w:hAnsi="Times New Roman"/>
          <w:sz w:val="24"/>
        </w:rPr>
        <w:t>(CCB)</w:t>
      </w:r>
      <w:bookmarkEnd w:id="11"/>
      <w:bookmarkEnd w:id="12"/>
    </w:p>
    <w:p w14:paraId="600FC3A3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3" w:name="_Toc360188367"/>
      <w:bookmarkStart w:id="14" w:name="_Toc473560918"/>
      <w:bookmarkStart w:id="15" w:name="_Toc151714422"/>
      <w:r>
        <w:rPr>
          <w:rFonts w:ascii="Times New Roman" w:hAnsi="Times New Roman"/>
          <w:sz w:val="24"/>
          <w:u w:val="none"/>
        </w:rPr>
        <w:t>3.4.3.1</w:t>
      </w:r>
      <w:r>
        <w:tab/>
      </w:r>
      <w:r>
        <w:rPr>
          <w:rFonts w:ascii="Times New Roman" w:hAnsi="Times New Roman"/>
          <w:sz w:val="24"/>
        </w:rPr>
        <w:t>Obecné poznámky</w:t>
      </w:r>
      <w:bookmarkEnd w:id="13"/>
      <w:bookmarkEnd w:id="14"/>
      <w:bookmarkEnd w:id="15"/>
    </w:p>
    <w:p w14:paraId="57D13BA6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88</w:t>
      </w:r>
      <w:r>
        <w:fldChar w:fldCharType="end"/>
      </w:r>
      <w:r>
        <w:t>.</w:t>
      </w:r>
      <w:r>
        <w:tab/>
        <w:t xml:space="preserve">Účelem této šablony je získat více údajů ohledně prvků proticyklické kapitálové rezervy specifické pro danou instituci. Požadované údaje se týkají kapitálových požadavků stanovených v souladu s částí třetí hlavou II a IV nařízení (EU) č. 575/2013 a zeměpisného umístění u úvěrových expozic, sekuritizovaných expozic a expozic obchodního portfolia rozhodných pro výpočet proticyklické kapitálové rezervy specifické pro danou instituci (CCB) v souladu s článkem 140 směrnice 2013/36/EU (rozhodné úvěrové expozice). </w:t>
      </w:r>
    </w:p>
    <w:p w14:paraId="10EA3DAD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89</w:t>
      </w:r>
      <w:r>
        <w:fldChar w:fldCharType="end"/>
      </w:r>
      <w:r>
        <w:t>.</w:t>
      </w:r>
      <w:r>
        <w:tab/>
        <w:t xml:space="preserve">Údaje v šabloně C 09.04 se vykazují pro „celkové“ rozhodné úvěrové expozice ve všech jurisdikcích, ve kterých jsou tyto expozice umístěny, a jednotlivě pro každou z jurisdikcí, v nichž jsou umístěny relevantní úvěrové expozice. Souhrnné údaje se stejně jako údaje o každé jurisdikci vykazují samostatně. </w:t>
      </w:r>
    </w:p>
    <w:p w14:paraId="054CDEAF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90</w:t>
      </w:r>
      <w:r>
        <w:fldChar w:fldCharType="end"/>
      </w:r>
      <w:r>
        <w:t>.</w:t>
      </w:r>
      <w:r>
        <w:tab/>
        <w:t>Prahová hodnota stanovená v čl. 5 odst. 5 tohoto prováděcího nařízení neplatí pro vykazování tohoto rozčlenění.</w:t>
      </w:r>
    </w:p>
    <w:bookmarkStart w:id="16" w:name="_Hlk151650982"/>
    <w:p w14:paraId="710781F7" w14:textId="77777777" w:rsidR="009D6580" w:rsidRPr="002A677E" w:rsidRDefault="009D6580" w:rsidP="009D6580">
      <w:pPr>
        <w:pStyle w:val="InstructionsText2"/>
        <w:numPr>
          <w:ilvl w:val="0"/>
          <w:numId w:val="0"/>
        </w:numPr>
        <w:ind w:left="993"/>
      </w:pPr>
      <w:r>
        <w:fldChar w:fldCharType="begin"/>
      </w:r>
      <w:r>
        <w:instrText>seq paragraphs</w:instrText>
      </w:r>
      <w:r>
        <w:fldChar w:fldCharType="separate"/>
      </w:r>
      <w:r>
        <w:t>91</w:t>
      </w:r>
      <w:r>
        <w:fldChar w:fldCharType="end"/>
      </w:r>
      <w:r>
        <w:t>.</w:t>
      </w:r>
      <w:r>
        <w:tab/>
        <w:t xml:space="preserve">V zájmu určení zeměpisné oblasti jsou expozice přiřazeny na základě bezprostředního dlužníka podle nařízení Komise v přenesené pravomoci (EU) č. </w:t>
      </w:r>
      <w:r>
        <w:lastRenderedPageBreak/>
        <w:t>1152/2014</w:t>
      </w:r>
      <w:r>
        <w:footnoteReference w:id="1"/>
      </w:r>
      <w:r>
        <w:t>. Techniky snižování úvěrového rizika tedy nemohou způsobit změnu v přidělení expozice k zeměpisné oblasti pro účely vykazování údajů uvedených v této šabloně.</w:t>
      </w:r>
    </w:p>
    <w:p w14:paraId="4811C8E1" w14:textId="77777777" w:rsidR="009D6580" w:rsidRPr="002A677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7" w:name="_Toc360188368"/>
      <w:bookmarkStart w:id="18" w:name="_Toc473560919"/>
      <w:bookmarkStart w:id="19" w:name="_Toc151714423"/>
      <w:bookmarkEnd w:id="16"/>
      <w:r>
        <w:rPr>
          <w:rFonts w:ascii="Times New Roman" w:hAnsi="Times New Roman"/>
          <w:sz w:val="24"/>
          <w:u w:val="none"/>
        </w:rPr>
        <w:t>3.4.3.2</w:t>
      </w:r>
      <w:r>
        <w:tab/>
      </w:r>
      <w:r>
        <w:rPr>
          <w:rFonts w:ascii="Times New Roman" w:hAnsi="Times New Roman"/>
          <w:sz w:val="24"/>
        </w:rPr>
        <w:t>Pokyny pro konkrétní pozice</w:t>
      </w:r>
      <w:bookmarkEnd w:id="17"/>
      <w:bookmarkEnd w:id="18"/>
      <w:bookmarkEnd w:id="1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2A677E" w14:paraId="091A9B1D" w14:textId="77777777" w:rsidTr="00822842">
        <w:tc>
          <w:tcPr>
            <w:tcW w:w="1697" w:type="dxa"/>
            <w:shd w:val="clear" w:color="auto" w:fill="CCCCCC"/>
          </w:tcPr>
          <w:p w14:paraId="6D544C28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Sloupce</w:t>
            </w:r>
          </w:p>
        </w:tc>
        <w:tc>
          <w:tcPr>
            <w:tcW w:w="8131" w:type="dxa"/>
            <w:shd w:val="clear" w:color="auto" w:fill="CCCCCC"/>
          </w:tcPr>
          <w:p w14:paraId="55FA945D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6B14BCBD" w14:textId="77777777" w:rsidTr="00822842">
        <w:tc>
          <w:tcPr>
            <w:tcW w:w="1697" w:type="dxa"/>
          </w:tcPr>
          <w:p w14:paraId="5CBD6D84" w14:textId="77777777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131" w:type="dxa"/>
          </w:tcPr>
          <w:p w14:paraId="6A1F53D1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Částka</w:t>
            </w:r>
          </w:p>
          <w:p w14:paraId="4EDF6439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Hodnota rozhodných úvěrových expozic a s nimi spojených kapitálových požadavků stanovených v souladu s pokyny pro příslušný řádek.</w:t>
            </w:r>
          </w:p>
        </w:tc>
      </w:tr>
      <w:tr w:rsidR="009D6580" w:rsidRPr="002A677E" w14:paraId="29BB3D71" w14:textId="77777777" w:rsidTr="00822842">
        <w:tc>
          <w:tcPr>
            <w:tcW w:w="1697" w:type="dxa"/>
          </w:tcPr>
          <w:p w14:paraId="15999D4B" w14:textId="77777777" w:rsidR="009D6580" w:rsidRPr="002A677E" w:rsidRDefault="009D6580" w:rsidP="00822842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131" w:type="dxa"/>
          </w:tcPr>
          <w:p w14:paraId="4133F8D3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Procentní podíl</w:t>
            </w:r>
          </w:p>
          <w:p w14:paraId="01DD816F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9D6580" w:rsidRPr="002A677E" w14:paraId="2A8BD3C1" w14:textId="77777777" w:rsidTr="00822842">
        <w:tc>
          <w:tcPr>
            <w:tcW w:w="1697" w:type="dxa"/>
          </w:tcPr>
          <w:p w14:paraId="0F30E1C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131" w:type="dxa"/>
          </w:tcPr>
          <w:p w14:paraId="61529C4E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Kvalitativní informace</w:t>
            </w:r>
          </w:p>
          <w:p w14:paraId="394356B2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Tyto informace se vykazují pouze pro zemi sídla instituce (jurisdikci, jež odpovídá jejímu domovskému členskému státu) a „celkově“ ze všech zemí. </w:t>
            </w:r>
          </w:p>
          <w:p w14:paraId="6761B5E4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Instituce vykazují {y}, nebo {n} v souladu s pokyny pro relevantní řádek.</w:t>
            </w:r>
          </w:p>
        </w:tc>
      </w:tr>
    </w:tbl>
    <w:p w14:paraId="51476A7B" w14:textId="77777777" w:rsidR="009D6580" w:rsidRPr="002A677E" w:rsidRDefault="009D6580" w:rsidP="009D6580">
      <w:pPr>
        <w:pStyle w:val="InstructionsText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2A677E" w14:paraId="09F6A5AE" w14:textId="77777777" w:rsidTr="00822842">
        <w:tc>
          <w:tcPr>
            <w:tcW w:w="1697" w:type="dxa"/>
            <w:shd w:val="clear" w:color="auto" w:fill="CCCCCC"/>
          </w:tcPr>
          <w:p w14:paraId="3BCCC295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Řádky</w:t>
            </w:r>
          </w:p>
        </w:tc>
        <w:tc>
          <w:tcPr>
            <w:tcW w:w="8131" w:type="dxa"/>
            <w:shd w:val="clear" w:color="auto" w:fill="CCCCCC"/>
          </w:tcPr>
          <w:p w14:paraId="39519610" w14:textId="77777777" w:rsidR="009D6580" w:rsidRPr="002A677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2A677E" w14:paraId="70661EF5" w14:textId="77777777" w:rsidTr="00822842">
        <w:tc>
          <w:tcPr>
            <w:tcW w:w="1697" w:type="dxa"/>
          </w:tcPr>
          <w:p w14:paraId="563EAAB9" w14:textId="77777777" w:rsidR="009D6580" w:rsidRPr="002A677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0010–0020</w:t>
            </w:r>
          </w:p>
        </w:tc>
        <w:tc>
          <w:tcPr>
            <w:tcW w:w="8131" w:type="dxa"/>
          </w:tcPr>
          <w:p w14:paraId="3D2862FC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Rozhodné úvěrové expozice – Úvěrové riziko</w:t>
            </w:r>
          </w:p>
          <w:p w14:paraId="516A26FA" w14:textId="77777777" w:rsidR="009D6580" w:rsidRPr="002A677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Rozhodné úvěrové expozice uvedené v čl. 140 odst. 4 písm. a) směrnice 2013/36/EU.</w:t>
            </w:r>
          </w:p>
        </w:tc>
      </w:tr>
      <w:tr w:rsidR="009D6580" w:rsidRPr="002A677E" w14:paraId="527A1F7E" w14:textId="77777777" w:rsidTr="00822842">
        <w:tc>
          <w:tcPr>
            <w:tcW w:w="1697" w:type="dxa"/>
          </w:tcPr>
          <w:p w14:paraId="18BE8A8D" w14:textId="77777777" w:rsidR="009D6580" w:rsidRPr="002A677E" w:rsidRDefault="009D6580" w:rsidP="00822842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131" w:type="dxa"/>
          </w:tcPr>
          <w:p w14:paraId="60D60C47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Hodnota expozice podle standardizovaného přístupu</w:t>
            </w:r>
          </w:p>
          <w:p w14:paraId="0EA1DD75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Hodnota expozice vypočtená v souladu s článkem 111 nařízení (EU) č. 575/2013 pro rozhodné úvěrové expozice uvedené v čl. 140 odst. 4 písm. a) směrnice 2013/36/EU. </w:t>
            </w:r>
          </w:p>
          <w:p w14:paraId="72B986ED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Hodnota expozice sekuritizovaných pozic v investičním portfoliu je z tohoto řádku vyloučena a vykazuje se v řádku 0055.</w:t>
            </w:r>
          </w:p>
        </w:tc>
      </w:tr>
      <w:tr w:rsidR="009D6580" w:rsidRPr="002A677E" w14:paraId="367F78C6" w14:textId="77777777" w:rsidTr="00822842">
        <w:tc>
          <w:tcPr>
            <w:tcW w:w="1697" w:type="dxa"/>
          </w:tcPr>
          <w:p w14:paraId="3217061B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131" w:type="dxa"/>
          </w:tcPr>
          <w:p w14:paraId="385211C6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Hodnota expozice podle přístupu IRB</w:t>
            </w:r>
          </w:p>
          <w:p w14:paraId="3F80BC36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Hodnota expozice vypočtená v souladu s článkem 166 nařízení (EU) č. 575/2013 pro rozhodné úvěrové expozice uvedené v čl. 140 odst. 4 písm. a) směrnice 2013/36/EU. </w:t>
            </w:r>
          </w:p>
          <w:p w14:paraId="48C130F1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Hodnota expozice sekuritizovaných pozic v investičním portfoliu je z tohoto řádku vyloučena a vykazuje se v řádku 0055.</w:t>
            </w:r>
          </w:p>
        </w:tc>
      </w:tr>
      <w:tr w:rsidR="009D6580" w:rsidRPr="002A677E" w14:paraId="613420F2" w14:textId="77777777" w:rsidTr="00822842">
        <w:tc>
          <w:tcPr>
            <w:tcW w:w="1697" w:type="dxa"/>
          </w:tcPr>
          <w:p w14:paraId="53491AFF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0030–0040</w:t>
            </w:r>
          </w:p>
        </w:tc>
        <w:tc>
          <w:tcPr>
            <w:tcW w:w="8131" w:type="dxa"/>
          </w:tcPr>
          <w:p w14:paraId="369D8506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Rozhodné úvěrové expozice – Tržní riziko</w:t>
            </w:r>
          </w:p>
          <w:p w14:paraId="54050F98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Rozhodné úvěrové expozice uvedené v čl. 140 odst. 4 písm. b) směrnice 2013/36/EU.</w:t>
            </w:r>
          </w:p>
        </w:tc>
      </w:tr>
      <w:tr w:rsidR="009D6580" w:rsidRPr="002A677E" w14:paraId="670769C5" w14:textId="77777777" w:rsidTr="00822842">
        <w:tc>
          <w:tcPr>
            <w:tcW w:w="1697" w:type="dxa"/>
          </w:tcPr>
          <w:p w14:paraId="27E0BEE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131" w:type="dxa"/>
          </w:tcPr>
          <w:p w14:paraId="740784D8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Součet dlouhých a krátkých pozic expozic obchodního portfolia pro standardizovaný přístup</w:t>
            </w:r>
          </w:p>
          <w:p w14:paraId="5F803AC4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Součet čistých dlouhých a krátkých pozic v souladu s článkem 327 nařízení (EU) č. 575/2013 rozhodných úvěrových expozic uvedených v čl. 140 odst. 4 písm. b) směrnice 2013/36/EU, které podléhají kapitálovým požadavkům podle části třetí hlavy IV kapitoly 2 nařízení (EU) č. 575/2013: </w:t>
            </w:r>
          </w:p>
          <w:p w14:paraId="555B6B69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—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expozice vůči dluhovým nástrojům, u nichž se nejedná o sekuritizaci,</w:t>
            </w:r>
          </w:p>
          <w:p w14:paraId="2F347ECD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—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 xml:space="preserve">expozice vůči </w:t>
            </w:r>
            <w:proofErr w:type="spellStart"/>
            <w:r>
              <w:rPr>
                <w:rFonts w:ascii="Times New Roman" w:hAnsi="Times New Roman"/>
                <w:sz w:val="24"/>
              </w:rPr>
              <w:t>sekuritizovaným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pozicím v obchodním portfoliu,</w:t>
            </w:r>
          </w:p>
          <w:p w14:paraId="0BF14848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—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expozice vůči portfoliím obchodování s korelací,</w:t>
            </w:r>
          </w:p>
          <w:p w14:paraId="426EA269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—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expozice vůči kapitálovým cenným papírům,</w:t>
            </w:r>
          </w:p>
          <w:p w14:paraId="29596F16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—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expozice vůči subjektům kolektivního investování, jestliže se kapitálové požadavky vypočítávají podle článku 348 nařízení (EU) č. 575/2013.</w:t>
            </w:r>
          </w:p>
        </w:tc>
      </w:tr>
      <w:tr w:rsidR="009D6580" w:rsidRPr="002A677E" w14:paraId="1B5F6FE5" w14:textId="77777777" w:rsidTr="00822842">
        <w:tc>
          <w:tcPr>
            <w:tcW w:w="1697" w:type="dxa"/>
          </w:tcPr>
          <w:p w14:paraId="22718F0C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131" w:type="dxa"/>
          </w:tcPr>
          <w:p w14:paraId="79898916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Hodnota expozic obchodního portfolia v rámci interních modelů</w:t>
            </w:r>
          </w:p>
          <w:p w14:paraId="2C5D0701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Pro rozhodné úvěrové expozice uvedené v čl. 140 odst. 4 písm. b) směrnice 2013/36/EU podléhající kapitálovým požadavkům podle části třetí hlavy IV kapitol 2 a 5 nařízení (EU) č. 575/2013 se vykazuje součet těchto veličin:</w:t>
            </w:r>
          </w:p>
          <w:p w14:paraId="07E28E81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Calibri" w:hAnsi="Calibri"/>
                <w:sz w:val="24"/>
              </w:rPr>
              <w:t>—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reálné hodnoty jiných než derivátových pozic představujících rozhodné úvěrové expozice, jak jsou uvedeny v čl. 140 odst. 4 písm. b) směrnice 2013/36/EU, stanovené v souladu s článkem 104 nařízení (EU) č. 575/2013,</w:t>
            </w:r>
          </w:p>
          <w:p w14:paraId="198195E0" w14:textId="77777777" w:rsidR="009D6580" w:rsidRPr="002A677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Calibri" w:hAnsi="Calibri"/>
                <w:sz w:val="24"/>
              </w:rPr>
              <w:t>—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pomyslné hodnoty derivátů představujících rozhodné úvěrové expozice, jak jsou uvedeny v čl. 140 odst. 4 písm. b) směrnice 2013/36/EU.</w:t>
            </w:r>
          </w:p>
        </w:tc>
      </w:tr>
      <w:tr w:rsidR="009D6580" w:rsidRPr="002A677E" w14:paraId="6BA1E71E" w14:textId="77777777" w:rsidTr="00822842">
        <w:tc>
          <w:tcPr>
            <w:tcW w:w="1697" w:type="dxa"/>
          </w:tcPr>
          <w:p w14:paraId="37545C8A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0055</w:t>
            </w:r>
          </w:p>
        </w:tc>
        <w:tc>
          <w:tcPr>
            <w:tcW w:w="8131" w:type="dxa"/>
          </w:tcPr>
          <w:p w14:paraId="3A6EE463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Rozhodné úvěrové expozice – Sekuritizované pozice v investičním portfoliu</w:t>
            </w:r>
          </w:p>
          <w:p w14:paraId="4B3C840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Hodnota expozice určená v souladu s článkem 248 nařízení (EU) č. 575/2013 pro rozhodné úvěrové expozice podle čl. 140 odst. 4 písm. c) směrnice 2013/36/EU.</w:t>
            </w:r>
          </w:p>
        </w:tc>
      </w:tr>
      <w:tr w:rsidR="009D6580" w:rsidRPr="002A677E" w14:paraId="2A6651FC" w14:textId="77777777" w:rsidTr="00822842">
        <w:tc>
          <w:tcPr>
            <w:tcW w:w="1697" w:type="dxa"/>
          </w:tcPr>
          <w:p w14:paraId="3D2C5D4A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0070–0110</w:t>
            </w:r>
          </w:p>
        </w:tc>
        <w:tc>
          <w:tcPr>
            <w:tcW w:w="8131" w:type="dxa"/>
          </w:tcPr>
          <w:p w14:paraId="6A03AF3B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Kapitálové požadavky a váhy kapitálových požadavků</w:t>
            </w:r>
          </w:p>
        </w:tc>
      </w:tr>
      <w:tr w:rsidR="009D6580" w:rsidRPr="002A677E" w14:paraId="5C042A5F" w14:textId="77777777" w:rsidTr="00822842">
        <w:tc>
          <w:tcPr>
            <w:tcW w:w="1697" w:type="dxa"/>
          </w:tcPr>
          <w:p w14:paraId="32640B70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131" w:type="dxa"/>
          </w:tcPr>
          <w:p w14:paraId="431787D4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Celkové kapitálové požadavky pro proticyklickou kapitálovou rezervu</w:t>
            </w:r>
          </w:p>
          <w:p w14:paraId="78C29612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Součet řádků 0080, 0090 a 0100.</w:t>
            </w:r>
          </w:p>
        </w:tc>
      </w:tr>
      <w:tr w:rsidR="009D6580" w:rsidRPr="002A677E" w14:paraId="7D74E37B" w14:textId="77777777" w:rsidTr="00822842">
        <w:tc>
          <w:tcPr>
            <w:tcW w:w="1697" w:type="dxa"/>
          </w:tcPr>
          <w:p w14:paraId="26DA65D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131" w:type="dxa"/>
          </w:tcPr>
          <w:p w14:paraId="2381AF17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Kapitálové požadavky pro rozhodné úvěrové expozice – Úvěrové riziko </w:t>
            </w:r>
          </w:p>
          <w:p w14:paraId="4126D1DC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Kapitálové požadavky vypočítané v souladu s částí třetí hlavou II kapitolami 1 až 4 a kapitolou 6 nařízení (EU) č. 575/2013 pro rozhodné úvěrové expozice uvedené v čl. 140 odst. 4 písm. a) směrnice 2013/36/EU v dané zemi.</w:t>
            </w:r>
          </w:p>
          <w:p w14:paraId="094DA9DC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Kapitálové požadavky pro sekuritizované pozice v investičním portfoliu jsou z tohoto řádku vyloučeny a vykazují se v řádku 0100.</w:t>
            </w:r>
          </w:p>
          <w:p w14:paraId="037A1499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Kapitálové požadavky činí 8 % objemu rizikově vážené expozice stanoveného podle ustanovení části třetí hlavy II kapitol 1 až 4 a kapitoly 6 nařízení (EU) č. 575/2013.</w:t>
            </w:r>
          </w:p>
        </w:tc>
      </w:tr>
      <w:tr w:rsidR="009D6580" w:rsidRPr="002A677E" w14:paraId="6CE5DB0E" w14:textId="77777777" w:rsidTr="00822842">
        <w:tc>
          <w:tcPr>
            <w:tcW w:w="1697" w:type="dxa"/>
          </w:tcPr>
          <w:p w14:paraId="0847E4D7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8131" w:type="dxa"/>
          </w:tcPr>
          <w:p w14:paraId="4922C906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Kapitálové požadavky pro rozhodné úvěrové expozice – Tržní riziko </w:t>
            </w:r>
          </w:p>
          <w:p w14:paraId="5686B881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Kapitálové požadavky vypočítané v souladu s částí třetí hlavou IV kapitolou 2 nařízení (EU) č. 575/2013 u specifického rizika, nebo v souladu s částí třetí hlavou IV kapitolou 5 nařízení (EU) č. 575/2013 pro dodatečné riziko selhání a migrace pro rozhodné úvěrové expozice uvedené v čl. 140 odst. 4 písm. b) směrnice 2013/36/EU v dané zemi. </w:t>
            </w:r>
          </w:p>
          <w:p w14:paraId="09611817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Kapitálové požadavky pro rozhodné úvěrové expozice podle rámce pro tržní riziko zahrnují mimo jiné kapitálové požadavky pro sekuritizované pozice vypočítané podle části třetí hlavy IV kapitoly 2 nařízení (EU) č. 575/2013 a kapitálové požadavky pro expozice v subjektech kolektivního investování určené podle článku 348 uvedeného nařízení.</w:t>
            </w:r>
          </w:p>
        </w:tc>
      </w:tr>
      <w:tr w:rsidR="009D6580" w:rsidRPr="002A677E" w14:paraId="655D63DC" w14:textId="77777777" w:rsidTr="00822842">
        <w:tc>
          <w:tcPr>
            <w:tcW w:w="1697" w:type="dxa"/>
          </w:tcPr>
          <w:p w14:paraId="4911AAD6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131" w:type="dxa"/>
          </w:tcPr>
          <w:p w14:paraId="45D3AC3C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Kapitálové požadavky pro rozhodné úvěrové expozice – Sekuritizované pozice v investičním portfoliu</w:t>
            </w:r>
          </w:p>
          <w:p w14:paraId="6483412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Kapitálové požadavky vypočítané v souladu s částí třetí hlavou II kapitolou 5 nařízení (EU) č. 575/2013 pro rozhodné úvěrové expozice uvedené v čl. 140 odst. 4 písm. c) směrnice 2013/36/EU v dané zemi.</w:t>
            </w:r>
          </w:p>
          <w:p w14:paraId="1A6665D5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Kapitálové požadavky činí 8 % objemu rizikově vážené expozice vypočítaného podle ustanovení části třetí hlavy II kapitoly 5 nařízení (EU) č. 575/2013.</w:t>
            </w:r>
          </w:p>
        </w:tc>
      </w:tr>
      <w:tr w:rsidR="009D6580" w:rsidRPr="002A677E" w14:paraId="4015A9D7" w14:textId="77777777" w:rsidTr="00822842">
        <w:tc>
          <w:tcPr>
            <w:tcW w:w="1697" w:type="dxa"/>
          </w:tcPr>
          <w:p w14:paraId="4ACCD3B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131" w:type="dxa"/>
          </w:tcPr>
          <w:p w14:paraId="2EE25FA2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Váhy kapitálových požadavků</w:t>
            </w:r>
          </w:p>
          <w:p w14:paraId="3D7B8904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Váha uplatněná na sazbu proticyklické kapitálové rezervy v každé zemi se vypočítá jako podíl kapitálových požadavků určený takto:</w:t>
            </w:r>
          </w:p>
          <w:p w14:paraId="47443D03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 xml:space="preserve">čitatel: celkové kapitálové požadavky, které se vztahují k rozhodným úvěrovým expozicím v dané zemi [r0070; c0010; list pro danou zemi], </w:t>
            </w:r>
          </w:p>
          <w:p w14:paraId="1FE57EC6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jmenovatel: celkové kapitálové požadavky, které se vztahují k veškerým úvěrovým expozicím rozhodným pro výpočet proticyklické rezervy uvedeným v čl. 140 odst. 4 směrnice 2013/36/EU [r0070; c0010; „Celkově“].</w:t>
            </w:r>
          </w:p>
          <w:p w14:paraId="423D2DDF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Informace týkající se vah kapitálových požadavků se nevykazují v případě „Celkově“ ze všech zemí.</w:t>
            </w:r>
          </w:p>
        </w:tc>
      </w:tr>
      <w:tr w:rsidR="009D6580" w:rsidRPr="002A677E" w14:paraId="5C4BC14D" w14:textId="77777777" w:rsidTr="00822842">
        <w:tc>
          <w:tcPr>
            <w:tcW w:w="1697" w:type="dxa"/>
          </w:tcPr>
          <w:p w14:paraId="1A21712D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0120–0140</w:t>
            </w:r>
          </w:p>
        </w:tc>
        <w:tc>
          <w:tcPr>
            <w:tcW w:w="8131" w:type="dxa"/>
          </w:tcPr>
          <w:p w14:paraId="0FFF9D8C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Sazby proticyklické kapitálové rezervy</w:t>
            </w:r>
          </w:p>
        </w:tc>
      </w:tr>
      <w:tr w:rsidR="009D6580" w:rsidRPr="002A677E" w14:paraId="3D2AE883" w14:textId="77777777" w:rsidTr="00822842">
        <w:tc>
          <w:tcPr>
            <w:tcW w:w="1697" w:type="dxa"/>
          </w:tcPr>
          <w:p w14:paraId="61437EB6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131" w:type="dxa"/>
          </w:tcPr>
          <w:p w14:paraId="756100DA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Sazba proticyklické kapitálové rezervy stanovená pověřeným orgánem</w:t>
            </w:r>
          </w:p>
          <w:p w14:paraId="256AAB4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Sazba proticyklické kapitálové rezervy stanovená pro danou zemi pověřeným orgánem této země v souladu s články 136, 137, 139, čl. 140 odst. 2 písm. a) a c) a čl. 140 odst. 3 písm. b) směrnice 2013/36/EU.</w:t>
            </w:r>
          </w:p>
          <w:p w14:paraId="08387A1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Tento řádek se ponechá prázdný, pokud pověřeným orgánem uvedené země nebyla pro danou zemi sazba proticyklické rezervy stanovena.</w:t>
            </w:r>
          </w:p>
          <w:p w14:paraId="79AF7A0C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Sazby proticyklické kapitálové rezervy, které byly stanoveny pověřeným orgánem, ale nejsou v dané zemi k referenčnímu datu vykázání dosud použitelné, se nevykazují.</w:t>
            </w:r>
          </w:p>
          <w:p w14:paraId="5BEA0E13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Informace týkající se proticyklické kapitálové rezervy stanovené pověřeným orgánem se nevykazují „Celkově“ ze všech zemí. </w:t>
            </w:r>
          </w:p>
        </w:tc>
      </w:tr>
      <w:tr w:rsidR="009D6580" w:rsidRPr="002A677E" w14:paraId="01E6253D" w14:textId="77777777" w:rsidTr="00822842">
        <w:tc>
          <w:tcPr>
            <w:tcW w:w="1697" w:type="dxa"/>
          </w:tcPr>
          <w:p w14:paraId="3226BBDD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0130</w:t>
            </w:r>
          </w:p>
        </w:tc>
        <w:tc>
          <w:tcPr>
            <w:tcW w:w="8131" w:type="dxa"/>
          </w:tcPr>
          <w:p w14:paraId="1301D1B3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Sazba proticyklické kapitálové rezervy použitelná pro zemi instituce</w:t>
            </w:r>
          </w:p>
          <w:p w14:paraId="47D66D49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Sazba proticyklické kapitálové rezervy použitelná pro danou zemi, která byla stanovena pověřeným orgánem země sídla instituce v souladu s články 137, 138, 139 a čl. 140 odst. 2 písm. b) a čl. 140 odst. 3 písm. a) směrnice 2013/36/EU. Sazby proticyklické kapitálové rezervy, které nejsou k referenčnímu datu vykázání dosud použitelné, se nevykazují.</w:t>
            </w:r>
          </w:p>
          <w:p w14:paraId="082B5846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Informace týkající se proticyklické kapitálové rezervy použitelné v zemí instituce, se nevykazují „Celkově“ ze všech zemí.</w:t>
            </w:r>
          </w:p>
        </w:tc>
      </w:tr>
      <w:tr w:rsidR="009D6580" w:rsidRPr="002A677E" w14:paraId="3FF424DB" w14:textId="77777777" w:rsidTr="00822842">
        <w:tc>
          <w:tcPr>
            <w:tcW w:w="1697" w:type="dxa"/>
          </w:tcPr>
          <w:p w14:paraId="752F444A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131" w:type="dxa"/>
          </w:tcPr>
          <w:p w14:paraId="315BAE64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Sazba proticyklické kapitálové rezervy specifická pro danou instituci </w:t>
            </w:r>
          </w:p>
          <w:p w14:paraId="253E0547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Sazba proticyklické kapitálové rezervy specifická pro danou instituci vypočítaná v souladu s čl. 140 odst. 1 směrnice 2013/36/EU. </w:t>
            </w:r>
          </w:p>
          <w:p w14:paraId="575D2B31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Sazba proticyklické kapitálové rezervy stanovené konkrétně pro danou instituci se vypočítá jako vážený průměr sazeb proticyklické kapitálové rezervy, které se použijí v jurisdikcích, kde se nacházejí rozhodné úvěrové expozice dané instituce, nebo které se použijí pro účely článku 140 v důsledku použití čl. 139 odst. 2 nebo 3 směrnice 2013/36/EU. Relevantní sazba proticyklické rezervy se vykazuje v [r0120; c0020; list pro danou zemi] nebo v příslušných případech [r0130; c0020; list pro danou zemi].</w:t>
            </w:r>
          </w:p>
          <w:p w14:paraId="2C4ECBB2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trike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Váha uplatněná na sazbu proticyklické rezervy v každé zemi je podílem kapitálových požadavků na celkových kapitálových požadavcích a je uvedena v [r0110; c0020; list pro danou zemi]. </w:t>
            </w:r>
          </w:p>
          <w:p w14:paraId="65E93DC9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Informace týkající se sazby proticyklické kapitálové rezervy specifické pro danou instituci se vykazují pouze „Celkově“ ze všech zemí, a nikoli pro každou zemi zvlášť.</w:t>
            </w:r>
          </w:p>
        </w:tc>
      </w:tr>
      <w:tr w:rsidR="009D6580" w:rsidRPr="002A677E" w14:paraId="0CA64D03" w14:textId="77777777" w:rsidTr="00822842">
        <w:tc>
          <w:tcPr>
            <w:tcW w:w="1697" w:type="dxa"/>
          </w:tcPr>
          <w:p w14:paraId="1436C16C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0150 – 0160</w:t>
            </w:r>
            <w:proofErr w:type="gramEnd"/>
          </w:p>
        </w:tc>
        <w:tc>
          <w:tcPr>
            <w:tcW w:w="8131" w:type="dxa"/>
          </w:tcPr>
          <w:p w14:paraId="13A71A3D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Použití 2 % prahové hodnoty</w:t>
            </w:r>
          </w:p>
        </w:tc>
      </w:tr>
      <w:tr w:rsidR="009D6580" w:rsidRPr="002A677E" w14:paraId="4C39701D" w14:textId="77777777" w:rsidTr="00822842">
        <w:tc>
          <w:tcPr>
            <w:tcW w:w="1697" w:type="dxa"/>
          </w:tcPr>
          <w:p w14:paraId="62E51E1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131" w:type="dxa"/>
          </w:tcPr>
          <w:p w14:paraId="0ABF51F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Použití 2% prahové hodnoty pro obecnou úvěrovou expozici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8B71CE8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souladu s čl. 2 odst. 5 písm. b) nařízení Komise v přenesené pravomoci (EU) č. 1152/2014 mohou být zahraniční obecné úvěrové expozice, jejichž souhrn nepřesahuje 2 % souhrnu obecných úvěrových expozic, expozic obchodního portfolia a sekuritizačních expozic této instituce, přiřazeny domovskému členskému státu instituce. Souhrn obecných úvěrových expozic, expozic obchodního portfolia a sekuritizačních expozic se vypočítá s vyloučením obecných úvěrových expozic umístěných v souladu s čl. 2 odst. 5 písm. a) a čl. 2 odst. 4 nařízení Komise v přenesené pravomoci (EU) č. 1152/2014.</w:t>
            </w:r>
          </w:p>
          <w:p w14:paraId="53DCDD60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Pokud instituce využije této odchylky, uvede „y“ v šabloně pro jurisdikci, jež odpovídá jejímu domovskému členskému státu, a v šabloně „Celkem“ za všechny země.</w:t>
            </w:r>
          </w:p>
          <w:p w14:paraId="5B2597B2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Jestliže instituce této odchylky nevyužije, uvede v odpovídajícím poli „n“.</w:t>
            </w:r>
          </w:p>
        </w:tc>
      </w:tr>
      <w:tr w:rsidR="009D6580" w:rsidRPr="002A677E" w14:paraId="7179BBF6" w14:textId="77777777" w:rsidTr="00822842">
        <w:tc>
          <w:tcPr>
            <w:tcW w:w="1697" w:type="dxa"/>
          </w:tcPr>
          <w:p w14:paraId="528EEA51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131" w:type="dxa"/>
          </w:tcPr>
          <w:p w14:paraId="4FC000D6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Použití 2% prahové hodnoty pro expozici obchodního portfolia</w:t>
            </w:r>
          </w:p>
          <w:p w14:paraId="13ED02AA" w14:textId="77777777" w:rsidR="009D6580" w:rsidRPr="002A677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 souladu s čl. 3 odst. 3 nařízení Komise v přenesené pravomoci (EU) č. 1152/2014 mohou instituce přiřadit expozice obchodního portfolia svému domovskému členskému státu, pokud souhrn expozic obchodního portfolia nepřesahuje 2 % </w:t>
            </w:r>
            <w:r>
              <w:rPr>
                <w:rFonts w:ascii="Times New Roman" w:hAnsi="Times New Roman"/>
                <w:sz w:val="24"/>
              </w:rPr>
              <w:lastRenderedPageBreak/>
              <w:t>souhrnu obecných úvěrových expozic, expozic obchodního portfolia a sekuritizovaných expozic.</w:t>
            </w:r>
          </w:p>
          <w:p w14:paraId="068BDCF9" w14:textId="77777777" w:rsidR="009D6580" w:rsidRPr="002A677E" w:rsidRDefault="009D6580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Pokud instituce využije této odchylky, uvede „y“ v šabloně pro jurisdikci, jež odpovídá jejímu domovskému členskému státu, a v šabloně „Celkem“ za všechny země.</w:t>
            </w:r>
          </w:p>
          <w:p w14:paraId="3EA8EC30" w14:textId="77777777" w:rsidR="009D6580" w:rsidRPr="002A677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Jestliže instituce této odchylky nevyužije, uvede v odpovídajícím poli „n“.</w:t>
            </w:r>
          </w:p>
        </w:tc>
      </w:tr>
    </w:tbl>
    <w:p w14:paraId="41871259" w14:textId="77777777" w:rsidR="009D6580" w:rsidRDefault="009D6580"/>
    <w:p w14:paraId="6D451BBA" w14:textId="77777777" w:rsidR="009D6580" w:rsidRDefault="009D6580"/>
    <w:sectPr w:rsidR="009D6580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93790" w14:textId="77777777" w:rsidR="00071022" w:rsidRDefault="00071022" w:rsidP="00E26A90">
      <w:pPr>
        <w:spacing w:after="0"/>
      </w:pPr>
      <w:r>
        <w:separator/>
      </w:r>
    </w:p>
  </w:endnote>
  <w:endnote w:type="continuationSeparator" w:id="0">
    <w:p w14:paraId="0E38E4C2" w14:textId="77777777" w:rsidR="00071022" w:rsidRDefault="00071022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6DF55" w14:textId="77777777" w:rsidR="00071022" w:rsidRDefault="00071022" w:rsidP="00E26A90">
      <w:pPr>
        <w:spacing w:after="0"/>
      </w:pPr>
      <w:r>
        <w:separator/>
      </w:r>
    </w:p>
  </w:footnote>
  <w:footnote w:type="continuationSeparator" w:id="0">
    <w:p w14:paraId="0EAFC9C2" w14:textId="77777777" w:rsidR="00071022" w:rsidRDefault="00071022" w:rsidP="00E26A90">
      <w:pPr>
        <w:spacing w:after="0"/>
      </w:pPr>
      <w:r>
        <w:continuationSeparator/>
      </w:r>
    </w:p>
  </w:footnote>
  <w:footnote w:id="1">
    <w:p w14:paraId="662CB3FE" w14:textId="77777777" w:rsidR="009D6580" w:rsidRPr="0002267E" w:rsidRDefault="009D6580" w:rsidP="009D6580">
      <w:pPr>
        <w:pStyle w:val="FootnoteText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tab/>
      </w:r>
      <w:r>
        <w:rPr>
          <w:rFonts w:ascii="Times New Roman" w:hAnsi="Times New Roman"/>
          <w:color w:val="444444"/>
          <w:sz w:val="20"/>
        </w:rPr>
        <w:t>Nařízení Komise v přenesené pravomoci (EU) č. 1152/2014 ze dne 4. června 2014, kterým se doplňuje směrnice Evropského parlamentu a Rady 2013/36/EU, pokud jde o regulační technické normy pro určování zeměpisné oblasti rozhodných úvěrových expozic pro výpočet individuální sazby proticyklické kapitálové rezervy (Úř. věst. L 309, 30.10.2014, s. 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2F7D7F02"/>
    <w:multiLevelType w:val="multilevel"/>
    <w:tmpl w:val="0407001D"/>
    <w:numStyleLink w:val="Formatvorlage3"/>
  </w:abstractNum>
  <w:abstractNum w:abstractNumId="9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4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19"/>
  </w:num>
  <w:num w:numId="3" w16cid:durableId="286200695">
    <w:abstractNumId w:val="27"/>
  </w:num>
  <w:num w:numId="4" w16cid:durableId="487287975">
    <w:abstractNumId w:val="14"/>
  </w:num>
  <w:num w:numId="5" w16cid:durableId="1754350949">
    <w:abstractNumId w:val="22"/>
  </w:num>
  <w:num w:numId="6" w16cid:durableId="1507597667">
    <w:abstractNumId w:val="12"/>
  </w:num>
  <w:num w:numId="7" w16cid:durableId="139271283">
    <w:abstractNumId w:val="26"/>
  </w:num>
  <w:num w:numId="8" w16cid:durableId="763764270">
    <w:abstractNumId w:val="5"/>
  </w:num>
  <w:num w:numId="9" w16cid:durableId="1561986968">
    <w:abstractNumId w:val="20"/>
  </w:num>
  <w:num w:numId="10" w16cid:durableId="1349260748">
    <w:abstractNumId w:val="10"/>
  </w:num>
  <w:num w:numId="11" w16cid:durableId="1097991330">
    <w:abstractNumId w:val="16"/>
  </w:num>
  <w:num w:numId="12" w16cid:durableId="858469680">
    <w:abstractNumId w:val="6"/>
  </w:num>
  <w:num w:numId="13" w16cid:durableId="1485394352">
    <w:abstractNumId w:val="21"/>
  </w:num>
  <w:num w:numId="14" w16cid:durableId="881021889">
    <w:abstractNumId w:val="18"/>
  </w:num>
  <w:num w:numId="15" w16cid:durableId="1923681300">
    <w:abstractNumId w:val="9"/>
  </w:num>
  <w:num w:numId="16" w16cid:durableId="211188018">
    <w:abstractNumId w:val="15"/>
  </w:num>
  <w:num w:numId="17" w16cid:durableId="373817584">
    <w:abstractNumId w:val="8"/>
  </w:num>
  <w:num w:numId="18" w16cid:durableId="1615165847">
    <w:abstractNumId w:val="23"/>
  </w:num>
  <w:num w:numId="19" w16cid:durableId="429467310">
    <w:abstractNumId w:val="4"/>
  </w:num>
  <w:num w:numId="20" w16cid:durableId="1079792157">
    <w:abstractNumId w:val="13"/>
  </w:num>
  <w:num w:numId="21" w16cid:durableId="1333265662">
    <w:abstractNumId w:val="2"/>
  </w:num>
  <w:num w:numId="22" w16cid:durableId="737484550">
    <w:abstractNumId w:val="11"/>
  </w:num>
  <w:num w:numId="23" w16cid:durableId="309210531">
    <w:abstractNumId w:val="25"/>
  </w:num>
  <w:num w:numId="24" w16cid:durableId="166527561">
    <w:abstractNumId w:val="1"/>
  </w:num>
  <w:num w:numId="25" w16cid:durableId="1544101633">
    <w:abstractNumId w:val="24"/>
  </w:num>
  <w:num w:numId="26" w16cid:durableId="44380249">
    <w:abstractNumId w:val="17"/>
  </w:num>
  <w:num w:numId="27" w16cid:durableId="1838038624">
    <w:abstractNumId w:val="0"/>
  </w:num>
  <w:num w:numId="28" w16cid:durableId="1856265522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1099"/>
    <w:rsid w:val="00071022"/>
    <w:rsid w:val="000C5380"/>
    <w:rsid w:val="00117723"/>
    <w:rsid w:val="00123FDD"/>
    <w:rsid w:val="001A2CA7"/>
    <w:rsid w:val="0020657D"/>
    <w:rsid w:val="00234FB5"/>
    <w:rsid w:val="0035336C"/>
    <w:rsid w:val="00381D02"/>
    <w:rsid w:val="003C36D5"/>
    <w:rsid w:val="003D18F9"/>
    <w:rsid w:val="005644CB"/>
    <w:rsid w:val="005B37F0"/>
    <w:rsid w:val="005E7811"/>
    <w:rsid w:val="00631623"/>
    <w:rsid w:val="0064771D"/>
    <w:rsid w:val="00681B25"/>
    <w:rsid w:val="006D3385"/>
    <w:rsid w:val="007F4E89"/>
    <w:rsid w:val="00837F98"/>
    <w:rsid w:val="00910F63"/>
    <w:rsid w:val="009860C5"/>
    <w:rsid w:val="009D6580"/>
    <w:rsid w:val="00A6002C"/>
    <w:rsid w:val="00A931D0"/>
    <w:rsid w:val="00AF2BE6"/>
    <w:rsid w:val="00AF4413"/>
    <w:rsid w:val="00B3003C"/>
    <w:rsid w:val="00B56773"/>
    <w:rsid w:val="00B71F25"/>
    <w:rsid w:val="00BA13AD"/>
    <w:rsid w:val="00C04862"/>
    <w:rsid w:val="00D25C41"/>
    <w:rsid w:val="00DD798A"/>
    <w:rsid w:val="00E26A90"/>
    <w:rsid w:val="00E50DD0"/>
    <w:rsid w:val="00EF07A1"/>
    <w:rsid w:val="00F16E4D"/>
    <w:rsid w:val="00FB1404"/>
    <w:rsid w:val="00FD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580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9D6580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D6580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9D6580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9D6580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9D6580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9D6580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9D6580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9D6580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9D6580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9D6580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9D6580"/>
    <w:rPr>
      <w:rFonts w:ascii="Verdana" w:eastAsia="Arial" w:hAnsi="Verdana" w:cs="Times New Roman"/>
      <w:b/>
      <w:kern w:val="0"/>
      <w:sz w:val="24"/>
      <w:szCs w:val="24"/>
      <w:u w:val="single"/>
      <w:lang w:val="cs-CZ" w:eastAsia="x-none"/>
      <w14:ligatures w14:val="none"/>
    </w:rPr>
  </w:style>
  <w:style w:type="character" w:customStyle="1" w:styleId="Heading3Char">
    <w:name w:val="Heading 3 Char"/>
    <w:aliases w:val="Title 2 Char"/>
    <w:basedOn w:val="DefaultParagraphFont"/>
    <w:uiPriority w:val="99"/>
    <w:rsid w:val="009D658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9D6580"/>
    <w:rPr>
      <w:rFonts w:ascii="Verdana" w:eastAsia="Times New Roman" w:hAnsi="Verdana" w:cs="Times New Roman"/>
      <w:b/>
      <w:kern w:val="0"/>
      <w:sz w:val="20"/>
      <w:szCs w:val="24"/>
      <w:u w:val="single"/>
      <w14:ligatures w14:val="none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9D6580"/>
    <w:rPr>
      <w:rFonts w:ascii="Arial" w:eastAsia="Arial" w:hAnsi="Arial" w:cs="Times New Roman"/>
      <w:b/>
      <w:i/>
      <w:kern w:val="0"/>
      <w:sz w:val="20"/>
      <w:szCs w:val="20"/>
      <w:lang w:val="cs-CZ" w:eastAsia="de-DE"/>
      <w14:ligatures w14:val="none"/>
    </w:rPr>
  </w:style>
  <w:style w:type="character" w:customStyle="1" w:styleId="Heading6Char">
    <w:name w:val="Heading 6 Char"/>
    <w:basedOn w:val="DefaultParagraphFont"/>
    <w:link w:val="Heading6"/>
    <w:rsid w:val="009D6580"/>
    <w:rPr>
      <w:rFonts w:ascii="Times New Roman" w:eastAsia="Arial" w:hAnsi="Times New Roman" w:cs="Times New Roman"/>
      <w:b/>
      <w:bCs/>
      <w:kern w:val="0"/>
      <w:sz w:val="20"/>
      <w:szCs w:val="20"/>
      <w:lang w:val="cs-CZ" w:eastAsia="de-DE"/>
      <w14:ligatures w14:val="none"/>
    </w:rPr>
  </w:style>
  <w:style w:type="character" w:customStyle="1" w:styleId="Heading7Char">
    <w:name w:val="Heading 7 Char"/>
    <w:basedOn w:val="DefaultParagraphFont"/>
    <w:link w:val="Heading7"/>
    <w:rsid w:val="009D6580"/>
    <w:rPr>
      <w:rFonts w:ascii="Times New Roman" w:eastAsia="Arial" w:hAnsi="Times New Roman" w:cs="Times New Roman"/>
      <w:kern w:val="0"/>
      <w:sz w:val="20"/>
      <w:szCs w:val="20"/>
      <w:lang w:val="cs-CZ" w:eastAsia="de-DE"/>
      <w14:ligatures w14:val="none"/>
    </w:rPr>
  </w:style>
  <w:style w:type="character" w:customStyle="1" w:styleId="Heading8Char">
    <w:name w:val="Heading 8 Char"/>
    <w:basedOn w:val="DefaultParagraphFont"/>
    <w:link w:val="Heading8"/>
    <w:rsid w:val="009D6580"/>
    <w:rPr>
      <w:rFonts w:ascii="Times New Roman" w:eastAsia="Arial" w:hAnsi="Times New Roman" w:cs="Times New Roman"/>
      <w:i/>
      <w:iCs/>
      <w:kern w:val="0"/>
      <w:sz w:val="20"/>
      <w:szCs w:val="20"/>
      <w:lang w:val="cs-CZ" w:eastAsia="de-DE"/>
      <w14:ligatures w14:val="none"/>
    </w:rPr>
  </w:style>
  <w:style w:type="character" w:customStyle="1" w:styleId="Heading9Char">
    <w:name w:val="Heading 9 Char"/>
    <w:basedOn w:val="DefaultParagraphFont"/>
    <w:link w:val="Heading9"/>
    <w:rsid w:val="009D6580"/>
    <w:rPr>
      <w:rFonts w:ascii="Arial" w:eastAsia="Arial" w:hAnsi="Arial" w:cs="Times New Roman"/>
      <w:kern w:val="0"/>
      <w:sz w:val="20"/>
      <w:szCs w:val="20"/>
      <w:lang w:val="cs-CZ" w:eastAsia="de-DE"/>
      <w14:ligatures w14:val="none"/>
    </w:rPr>
  </w:style>
  <w:style w:type="paragraph" w:styleId="TableofFigures">
    <w:name w:val="table of figures"/>
    <w:basedOn w:val="Normal"/>
    <w:next w:val="Normal"/>
    <w:qFormat/>
    <w:rsid w:val="009D6580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9D6580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9D6580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9D6580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9D6580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9D6580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9D6580"/>
    <w:rPr>
      <w:rFonts w:ascii="Arial" w:eastAsia="Arial" w:hAnsi="Arial" w:cs="Times New Roman"/>
      <w:kern w:val="0"/>
      <w:sz w:val="16"/>
      <w:szCs w:val="16"/>
      <w:lang w:val="cs-CZ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9D658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9D6580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9D6580"/>
    <w:rPr>
      <w:rFonts w:ascii="Arial" w:eastAsia="Arial" w:hAnsi="Arial" w:cs="Times New Roman"/>
      <w:kern w:val="0"/>
      <w:sz w:val="14"/>
      <w:szCs w:val="14"/>
      <w:lang w:val="cs-CZ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9D6580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9D6580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9D6580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9D6580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9D6580"/>
    <w:pPr>
      <w:spacing w:line="312" w:lineRule="auto"/>
      <w:ind w:left="1701" w:hanging="567"/>
    </w:pPr>
  </w:style>
  <w:style w:type="character" w:styleId="Hyperlink">
    <w:name w:val="Hyperlink"/>
    <w:uiPriority w:val="99"/>
    <w:rsid w:val="009D658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9D6580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9D6580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9D6580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9D6580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9D6580"/>
    <w:pPr>
      <w:numPr>
        <w:numId w:val="12"/>
      </w:numPr>
    </w:pPr>
  </w:style>
  <w:style w:type="character" w:styleId="PageNumber">
    <w:name w:val="page number"/>
    <w:uiPriority w:val="99"/>
    <w:rsid w:val="009D658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9D6580"/>
    <w:rPr>
      <w:rFonts w:ascii="Arial" w:eastAsia="Arial" w:hAnsi="Arial" w:cs="Times New Roman"/>
      <w:b/>
      <w:kern w:val="0"/>
      <w:sz w:val="20"/>
      <w:szCs w:val="20"/>
      <w:lang w:val="cs-CZ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D6580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9D6580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9D6580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9D6580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9D6580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basedOn w:val="DefaultParagraphFont"/>
    <w:link w:val="Quote"/>
    <w:uiPriority w:val="29"/>
    <w:rsid w:val="009D6580"/>
    <w:rPr>
      <w:rFonts w:ascii="Arial" w:eastAsia="Arial" w:hAnsi="Arial" w:cs="Times New Roman"/>
      <w:i/>
      <w:iCs/>
      <w:color w:val="000000"/>
      <w:kern w:val="0"/>
      <w:sz w:val="20"/>
      <w:szCs w:val="20"/>
      <w:lang w:val="cs-CZ" w:eastAsia="de-DE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9D6580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9D6580"/>
    <w:rPr>
      <w:rFonts w:ascii="Arial" w:eastAsia="Arial" w:hAnsi="Arial" w:cs="Times New Roman"/>
      <w:kern w:val="0"/>
      <w:sz w:val="20"/>
      <w:szCs w:val="20"/>
      <w:lang w:val="cs-CZ" w:eastAsia="de-DE"/>
      <w14:ligatures w14:val="none"/>
    </w:rPr>
  </w:style>
  <w:style w:type="character" w:styleId="EndnoteReference">
    <w:name w:val="endnote reference"/>
    <w:uiPriority w:val="1"/>
    <w:rsid w:val="009D658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9D658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9D65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D6580"/>
    <w:rPr>
      <w:rFonts w:eastAsia="Arial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580"/>
    <w:rPr>
      <w:rFonts w:ascii="Verdana" w:eastAsia="Arial" w:hAnsi="Verdana" w:cs="Times New Roman"/>
      <w:kern w:val="0"/>
      <w:sz w:val="20"/>
      <w:szCs w:val="20"/>
      <w:lang w:val="cs-CZ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9D6580"/>
    <w:rPr>
      <w:b/>
      <w:bCs/>
    </w:rPr>
  </w:style>
  <w:style w:type="character" w:styleId="FollowedHyperlink">
    <w:name w:val="FollowedHyperlink"/>
    <w:uiPriority w:val="99"/>
    <w:rsid w:val="009D658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9D6580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D6580"/>
    <w:rPr>
      <w:rFonts w:ascii="Tahoma" w:eastAsia="Arial" w:hAnsi="Tahoma" w:cs="Times New Roman"/>
      <w:kern w:val="0"/>
      <w:sz w:val="16"/>
      <w:szCs w:val="16"/>
      <w:lang w:val="cs-CZ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D65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D6580"/>
    <w:rPr>
      <w:rFonts w:ascii="Verdana" w:eastAsia="Arial" w:hAnsi="Verdana" w:cs="Times New Roman"/>
      <w:b/>
      <w:bCs/>
      <w:kern w:val="0"/>
      <w:sz w:val="20"/>
      <w:szCs w:val="20"/>
      <w:lang w:val="cs-CZ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9D65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9D6580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9D658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9D6580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9D6580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9D6580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9D658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9D6580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9D6580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9D658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9D658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D658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D658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9D658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9D6580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9D6580"/>
    <w:pPr>
      <w:ind w:left="720"/>
    </w:pPr>
  </w:style>
  <w:style w:type="paragraph" w:customStyle="1" w:styleId="Prrafodelista2">
    <w:name w:val="Párrafo de lista2"/>
    <w:basedOn w:val="Normal"/>
    <w:uiPriority w:val="99"/>
    <w:rsid w:val="009D6580"/>
    <w:pPr>
      <w:ind w:left="708"/>
    </w:pPr>
  </w:style>
  <w:style w:type="paragraph" w:styleId="PlainText">
    <w:name w:val="Plain Text"/>
    <w:basedOn w:val="Normal"/>
    <w:link w:val="PlainTextChar"/>
    <w:uiPriority w:val="99"/>
    <w:rsid w:val="009D6580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9D6580"/>
    <w:rPr>
      <w:rFonts w:ascii="Verdana" w:eastAsia="Arial" w:hAnsi="Verdana" w:cs="Times New Roman"/>
      <w:kern w:val="0"/>
      <w:sz w:val="20"/>
      <w:szCs w:val="20"/>
      <w:lang w:val="cs-CZ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9D6580"/>
    <w:pPr>
      <w:ind w:left="708"/>
    </w:pPr>
  </w:style>
  <w:style w:type="character" w:customStyle="1" w:styleId="InstructionsTextChar">
    <w:name w:val="Instructions Text Char"/>
    <w:link w:val="InstructionsText"/>
    <w:locked/>
    <w:rsid w:val="009D658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9D6580"/>
    <w:pPr>
      <w:ind w:left="708"/>
    </w:pPr>
  </w:style>
  <w:style w:type="character" w:styleId="PlaceholderText">
    <w:name w:val="Placeholder Text"/>
    <w:uiPriority w:val="99"/>
    <w:semiHidden/>
    <w:rsid w:val="009D6580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9D6580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9D6580"/>
    <w:rPr>
      <w:rFonts w:ascii="Verdana" w:hAnsi="Verdana" w:cs="Arial"/>
      <w:b/>
      <w:bCs/>
      <w:sz w:val="26"/>
      <w:szCs w:val="26"/>
      <w:u w:val="single"/>
      <w:lang w:val="cs-CZ" w:eastAsia="en-US" w:bidi="ar-SA"/>
    </w:rPr>
  </w:style>
  <w:style w:type="paragraph" w:customStyle="1" w:styleId="CM4">
    <w:name w:val="CM4"/>
    <w:basedOn w:val="Normal"/>
    <w:next w:val="Normal"/>
    <w:uiPriority w:val="99"/>
    <w:rsid w:val="009D6580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9D6580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D6580"/>
    <w:rPr>
      <w:rFonts w:ascii="Tahoma" w:eastAsia="Arial" w:hAnsi="Tahoma" w:cs="Times New Roman"/>
      <w:kern w:val="0"/>
      <w:sz w:val="16"/>
      <w:szCs w:val="16"/>
      <w:lang w:val="cs-CZ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9D6580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9D6580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9D658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9D658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9D6580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9D658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9D6580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9D6580"/>
    <w:pPr>
      <w:numPr>
        <w:numId w:val="6"/>
      </w:numPr>
    </w:pPr>
  </w:style>
  <w:style w:type="numbering" w:customStyle="1" w:styleId="Formatvorlage3">
    <w:name w:val="Formatvorlage3"/>
    <w:uiPriority w:val="99"/>
    <w:rsid w:val="009D6580"/>
    <w:pPr>
      <w:numPr>
        <w:numId w:val="16"/>
      </w:numPr>
    </w:pPr>
  </w:style>
  <w:style w:type="numbering" w:customStyle="1" w:styleId="Formatvorlage1">
    <w:name w:val="Formatvorlage1"/>
    <w:uiPriority w:val="99"/>
    <w:rsid w:val="009D6580"/>
    <w:pPr>
      <w:numPr>
        <w:numId w:val="5"/>
      </w:numPr>
    </w:pPr>
  </w:style>
  <w:style w:type="numbering" w:customStyle="1" w:styleId="Formatvorlage4">
    <w:name w:val="Formatvorlage4"/>
    <w:uiPriority w:val="99"/>
    <w:rsid w:val="009D6580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9D6580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9D6580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9D658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9D6580"/>
    <w:pPr>
      <w:ind w:left="708"/>
    </w:pPr>
  </w:style>
  <w:style w:type="character" w:customStyle="1" w:styleId="Platzhaltertext1">
    <w:name w:val="Platzhaltertext1"/>
    <w:uiPriority w:val="99"/>
    <w:semiHidden/>
    <w:rsid w:val="009D6580"/>
    <w:rPr>
      <w:color w:val="808080"/>
    </w:rPr>
  </w:style>
  <w:style w:type="paragraph" w:customStyle="1" w:styleId="Default">
    <w:name w:val="Default"/>
    <w:rsid w:val="009D658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9D658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9D6580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9D6580"/>
    <w:pPr>
      <w:spacing w:before="240" w:after="120" w:line="276" w:lineRule="auto"/>
      <w:jc w:val="both"/>
    </w:pPr>
    <w:rPr>
      <w:rFonts w:eastAsiaTheme="minorEastAsia"/>
      <w:kern w:val="0"/>
      <w:szCs w:val="24"/>
      <w14:ligatures w14:val="none"/>
    </w:rPr>
  </w:style>
  <w:style w:type="paragraph" w:customStyle="1" w:styleId="Applicationdirecte">
    <w:name w:val="Application directe"/>
    <w:basedOn w:val="Normal"/>
    <w:next w:val="Fait"/>
    <w:rsid w:val="009D6580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9D6580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9D6580"/>
    <w:pPr>
      <w:numPr>
        <w:numId w:val="25"/>
      </w:numPr>
    </w:pPr>
  </w:style>
  <w:style w:type="paragraph" w:customStyle="1" w:styleId="Numberedtitlelevel2">
    <w:name w:val="Numbered title level 2"/>
    <w:basedOn w:val="Titlelevel2"/>
    <w:next w:val="body"/>
    <w:qFormat/>
    <w:rsid w:val="009D6580"/>
    <w:pPr>
      <w:numPr>
        <w:ilvl w:val="1"/>
        <w:numId w:val="25"/>
      </w:numPr>
    </w:pPr>
  </w:style>
  <w:style w:type="paragraph" w:customStyle="1" w:styleId="Titlelevel2">
    <w:name w:val="Title level 2"/>
    <w:qFormat/>
    <w:rsid w:val="009D658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kern w:val="0"/>
      <w:sz w:val="32"/>
      <w:szCs w:val="24"/>
      <w14:ligatures w14:val="none"/>
    </w:rPr>
  </w:style>
  <w:style w:type="paragraph" w:customStyle="1" w:styleId="Tableheader">
    <w:name w:val="Table header"/>
    <w:next w:val="Tabledata"/>
    <w:qFormat/>
    <w:rsid w:val="009D658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14:ligatures w14:val="none"/>
    </w:rPr>
  </w:style>
  <w:style w:type="paragraph" w:customStyle="1" w:styleId="Tabledata">
    <w:name w:val="Table data"/>
    <w:basedOn w:val="body"/>
    <w:qFormat/>
    <w:rsid w:val="009D658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9D6580"/>
    <w:pPr>
      <w:numPr>
        <w:numId w:val="23"/>
      </w:numPr>
      <w:spacing w:after="0" w:line="240" w:lineRule="auto"/>
    </w:pPr>
    <w:rPr>
      <w:rFonts w:eastAsiaTheme="minorEastAsia"/>
      <w:kern w:val="0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9D6580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9D6580"/>
    <w:pPr>
      <w:numPr>
        <w:numId w:val="24"/>
      </w:numPr>
      <w:spacing w:before="240" w:after="120" w:line="240" w:lineRule="auto"/>
      <w:contextualSpacing/>
    </w:pPr>
    <w:rPr>
      <w:rFonts w:eastAsiaTheme="minorEastAsia"/>
      <w:kern w:val="0"/>
      <w:szCs w:val="24"/>
      <w14:ligatures w14:val="none"/>
    </w:rPr>
  </w:style>
  <w:style w:type="paragraph" w:customStyle="1" w:styleId="Titlelevel1">
    <w:name w:val="Title level 1"/>
    <w:autoRedefine/>
    <w:qFormat/>
    <w:rsid w:val="009D6580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14:ligatures w14:val="none"/>
    </w:rPr>
  </w:style>
  <w:style w:type="paragraph" w:customStyle="1" w:styleId="Titlelevel3">
    <w:name w:val="Title level 3"/>
    <w:qFormat/>
    <w:rsid w:val="009D6580"/>
    <w:pPr>
      <w:spacing w:before="240" w:after="240" w:line="240" w:lineRule="auto"/>
    </w:pPr>
    <w:rPr>
      <w:rFonts w:eastAsiaTheme="minorEastAsia"/>
      <w:b/>
      <w:color w:val="44546A" w:themeColor="text2"/>
      <w:kern w:val="0"/>
      <w:sz w:val="24"/>
      <w:szCs w:val="24"/>
      <w14:ligatures w14:val="none"/>
    </w:rPr>
  </w:style>
  <w:style w:type="paragraph" w:customStyle="1" w:styleId="Titlelevel4">
    <w:name w:val="Title level 4"/>
    <w:next w:val="body"/>
    <w:qFormat/>
    <w:rsid w:val="009D6580"/>
    <w:pPr>
      <w:spacing w:before="240" w:after="240" w:line="240" w:lineRule="auto"/>
    </w:pPr>
    <w:rPr>
      <w:rFonts w:eastAsiaTheme="minorEastAsia"/>
      <w:color w:val="E7E6E6" w:themeColor="background2"/>
      <w:kern w:val="0"/>
      <w:sz w:val="24"/>
      <w:szCs w:val="24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9D6580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9D6580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9D6580"/>
    <w:pPr>
      <w:spacing w:after="0" w:line="240" w:lineRule="auto"/>
    </w:pPr>
    <w:rPr>
      <w:rFonts w:eastAsiaTheme="minorEastAsia"/>
      <w:caps/>
      <w:kern w:val="0"/>
      <w:sz w:val="16"/>
      <w:szCs w:val="18"/>
      <w14:ligatures w14:val="none"/>
    </w:rPr>
  </w:style>
  <w:style w:type="paragraph" w:customStyle="1" w:styleId="bullet1">
    <w:name w:val="bullet 1"/>
    <w:basedOn w:val="body"/>
    <w:next w:val="body"/>
    <w:qFormat/>
    <w:rsid w:val="009D6580"/>
    <w:pPr>
      <w:numPr>
        <w:numId w:val="21"/>
      </w:numPr>
    </w:pPr>
    <w:rPr>
      <w:szCs w:val="22"/>
    </w:rPr>
  </w:style>
  <w:style w:type="paragraph" w:customStyle="1" w:styleId="bullet2">
    <w:name w:val="bullet 2"/>
    <w:basedOn w:val="body"/>
    <w:qFormat/>
    <w:rsid w:val="009D6580"/>
    <w:pPr>
      <w:numPr>
        <w:numId w:val="20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9D6580"/>
    <w:pPr>
      <w:numPr>
        <w:ilvl w:val="2"/>
        <w:numId w:val="25"/>
      </w:numPr>
    </w:pPr>
  </w:style>
  <w:style w:type="table" w:styleId="LightShading">
    <w:name w:val="Light Shading"/>
    <w:basedOn w:val="TableNormal"/>
    <w:uiPriority w:val="60"/>
    <w:rsid w:val="009D658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D6580"/>
    <w:pPr>
      <w:spacing w:after="0" w:line="240" w:lineRule="auto"/>
    </w:pPr>
    <w:rPr>
      <w:rFonts w:eastAsiaTheme="minorEastAsia"/>
      <w:color w:val="2F5496" w:themeColor="accen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9D6580"/>
  </w:style>
  <w:style w:type="paragraph" w:customStyle="1" w:styleId="Numberedtitlelevel4">
    <w:name w:val="Numbered title level 4"/>
    <w:basedOn w:val="Titlelevel4"/>
    <w:qFormat/>
    <w:rsid w:val="009D6580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qFormat/>
    <w:rsid w:val="009D6580"/>
    <w:pPr>
      <w:pBdr>
        <w:bottom w:val="single" w:sz="8" w:space="4" w:color="4472C4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D6580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cs-CZ"/>
      <w14:ligatures w14:val="none"/>
    </w:rPr>
  </w:style>
  <w:style w:type="paragraph" w:styleId="Subtitle">
    <w:name w:val="Subtitle"/>
    <w:next w:val="Normal"/>
    <w:link w:val="SubtitleChar"/>
    <w:autoRedefine/>
    <w:uiPriority w:val="11"/>
    <w:qFormat/>
    <w:rsid w:val="009D6580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9D6580"/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styleId="BookTitle">
    <w:name w:val="Book Title"/>
    <w:basedOn w:val="DefaultParagraphFont"/>
    <w:uiPriority w:val="33"/>
    <w:qFormat/>
    <w:rsid w:val="009D658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9D6580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9D6580"/>
    <w:rPr>
      <w:bCs/>
      <w:lang w:eastAsia="en-GB"/>
    </w:rPr>
  </w:style>
  <w:style w:type="paragraph" w:styleId="ListBullet">
    <w:name w:val="List Bullet"/>
    <w:basedOn w:val="Normal"/>
    <w:semiHidden/>
    <w:qFormat/>
    <w:rsid w:val="009D6580"/>
    <w:pPr>
      <w:numPr>
        <w:numId w:val="27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9D6580"/>
    <w:pPr>
      <w:numPr>
        <w:numId w:val="26"/>
      </w:numPr>
    </w:pPr>
  </w:style>
  <w:style w:type="character" w:customStyle="1" w:styleId="Marker">
    <w:name w:val="Marker"/>
    <w:rsid w:val="009D6580"/>
    <w:rPr>
      <w:color w:val="0000FF"/>
      <w:shd w:val="clear" w:color="auto" w:fill="auto"/>
    </w:rPr>
  </w:style>
  <w:style w:type="character" w:customStyle="1" w:styleId="Marker2">
    <w:name w:val="Marker2"/>
    <w:rsid w:val="009D658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9D6580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9D6580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9D6580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9D6580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9D6580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9D6580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9D6580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9D6580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9D6580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</w:rPr>
  </w:style>
  <w:style w:type="paragraph" w:customStyle="1" w:styleId="TableNote">
    <w:name w:val="TableNote"/>
    <w:basedOn w:val="Normal"/>
    <w:rsid w:val="009D6580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D6580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D6580"/>
    <w:rPr>
      <w:color w:val="2B579A"/>
      <w:shd w:val="clear" w:color="auto" w:fill="E1DFDD"/>
    </w:rPr>
  </w:style>
  <w:style w:type="paragraph" w:customStyle="1" w:styleId="pf0">
    <w:name w:val="pf0"/>
    <w:basedOn w:val="Normal"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D6580"/>
  </w:style>
  <w:style w:type="character" w:customStyle="1" w:styleId="cf01">
    <w:name w:val="cf01"/>
    <w:basedOn w:val="DefaultParagraphFont"/>
    <w:rsid w:val="009D658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9D6580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9D6580"/>
    <w:rPr>
      <w:rFonts w:ascii="Liberation Serif" w:eastAsia="SimSun" w:hAnsi="Liberation Serif" w:cs="Lucida Sans"/>
      <w:kern w:val="0"/>
      <w:sz w:val="24"/>
      <w:szCs w:val="24"/>
      <w:lang w:val="cs-CZ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9D6580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9D658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79897F-E8CD-4BD2-ADD3-536B46CA34A1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69BF8FF7-243C-42F4-A5F7-CE24FF136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422C8-5712-4792-8F05-5901BB8C474F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3785</Words>
  <Characters>21160</Characters>
  <Application>Microsoft Office Word</Application>
  <DocSecurity>0</DocSecurity>
  <Lines>587</Lines>
  <Paragraphs>479</Paragraphs>
  <ScaleCrop>false</ScaleCrop>
  <Company/>
  <LinksUpToDate>false</LinksUpToDate>
  <CharactersWithSpaces>24466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2024-06-19T17:56:00Z</dcterms:created>
  <dcterms:modified xsi:type="dcterms:W3CDTF">2024-12-09T11:05:00Z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2024-12-09T11:05:23Z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7b72149a-e165-47df-a1c4-976b16f7f063</vt:lpwstr>
  </property>
  <property fmtid="{D5CDD505-2E9C-101B-9397-08002B2CF9AE}" pid="9" name="MSIP_Label_6bd9ddd1-4d20-43f6-abfa-fc3c07406f94_ContentBits">
    <vt:lpwstr>0</vt:lpwstr>
  </property>
</Properties>
</file>