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HR</w:t>
      </w:r>
    </w:p>
    <w:p w14:paraId="15E4241A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PRILOG II.</w:t>
      </w:r>
    </w:p>
    <w:p w14:paraId="60C0D3D0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„PRILOG II.</w:t>
      </w:r>
    </w:p>
    <w:p w14:paraId="608AAB5A" w14:textId="77777777" w:rsidR="00003310" w:rsidRPr="00BC0C32" w:rsidRDefault="00003310" w:rsidP="00003310">
      <w:pPr>
        <w:jc w:val="center"/>
        <w:rPr>
          <w:b/>
          <w:sz w:val="24"/>
          <w:rFonts w:asciiTheme="majorBidi" w:hAnsiTheme="majorBidi" w:cstheme="majorBidi"/>
        </w:rPr>
      </w:pPr>
      <w:r>
        <w:rPr>
          <w:b/>
          <w:sz w:val="24"/>
          <w:rFonts w:asciiTheme="majorBidi" w:hAnsiTheme="majorBidi"/>
        </w:rPr>
        <w:t xml:space="preserve">UPUTE ZA IZVJEŠĆIVANJE O REGULATORNOM KAPITALU I KAPITALNIM ZAHTJEVIMA</w:t>
      </w:r>
    </w:p>
    <w:p w14:paraId="42DC7EE7" w14:textId="77777777" w:rsidR="00003310" w:rsidRPr="00BC0C32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BC0C32" w:rsidRDefault="00003310" w:rsidP="00003310">
      <w:pPr>
        <w:pStyle w:val="InstructionsText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Sadržaj</w:t>
      </w:r>
    </w:p>
    <w:p w14:paraId="70895CD6" w14:textId="77777777" w:rsidR="00BC0C32" w:rsidRPr="00BC0C32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DIO I.: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OPĆE UPUTE</w:t>
      </w:r>
    </w:p>
    <w:p w14:paraId="661AAE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STRUKTURA I PRAVILA</w:t>
      </w:r>
    </w:p>
    <w:p w14:paraId="28AE69F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STRUKTURA</w:t>
      </w:r>
    </w:p>
    <w:p w14:paraId="46250D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PRAVILA OZNAČIVANJA BROJEVIMA</w:t>
      </w:r>
    </w:p>
    <w:p w14:paraId="1679C07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PRAVILO O PREDZNAKU</w:t>
      </w:r>
    </w:p>
    <w:p w14:paraId="57D87C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DIO II.: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UPUTE ZA OBRAZAC</w:t>
      </w:r>
    </w:p>
    <w:p w14:paraId="27285A1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PREGLED ADEKVATNOSTI KAPITALA („CA”)</w:t>
      </w:r>
      <w:r>
        <w:rPr>
          <w:sz w:val="20"/>
          <w:rFonts w:asciiTheme="majorBidi" w:hAnsiTheme="majorBidi"/>
        </w:rPr>
        <w:t xml:space="preserve"> </w:t>
      </w:r>
    </w:p>
    <w:p w14:paraId="521548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157DB63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01.00 – REGULATORNI KAPITAL (CA1)</w:t>
      </w:r>
      <w:r>
        <w:rPr>
          <w:sz w:val="20"/>
          <w:rFonts w:asciiTheme="majorBidi" w:hAnsiTheme="majorBidi"/>
        </w:rPr>
        <w:t xml:space="preserve"> </w:t>
      </w:r>
    </w:p>
    <w:p w14:paraId="12C34E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699C7A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02.00 – KAPITALNI ZAHTJEVI (CA2)</w:t>
      </w:r>
      <w:r>
        <w:rPr>
          <w:sz w:val="20"/>
          <w:rFonts w:asciiTheme="majorBidi" w:hAnsiTheme="majorBidi"/>
        </w:rPr>
        <w:t xml:space="preserve"> </w:t>
      </w:r>
    </w:p>
    <w:p w14:paraId="331C4C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5FB7F5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03.00 – STOPE KAPITALA I RAZINE KAPITALA (CA3)</w:t>
      </w:r>
      <w:r>
        <w:rPr>
          <w:sz w:val="20"/>
          <w:rFonts w:asciiTheme="majorBidi" w:hAnsiTheme="majorBidi"/>
        </w:rPr>
        <w:t xml:space="preserve"> </w:t>
      </w:r>
    </w:p>
    <w:p w14:paraId="2F63539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108A289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04.00 – BILJEŠKE (CA4)</w:t>
      </w:r>
      <w:r>
        <w:rPr>
          <w:sz w:val="20"/>
          <w:rFonts w:asciiTheme="majorBidi" w:hAnsiTheme="majorBidi"/>
        </w:rPr>
        <w:t xml:space="preserve"> </w:t>
      </w:r>
    </w:p>
    <w:p w14:paraId="1F44CC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2D5F7C5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PRIJELAZNE ODREDBE I INSTRUMENTI KOJI SE NASTAVLJAJU PRIZNAVATI: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INSTRUMENTI KOJI NISU INSTRUMENTI DRŽAVNE POTPORE (CA5)</w:t>
      </w:r>
      <w:r>
        <w:rPr>
          <w:sz w:val="20"/>
          <w:rFonts w:asciiTheme="majorBidi" w:hAnsiTheme="majorBidi"/>
        </w:rPr>
        <w:t xml:space="preserve"> </w:t>
      </w:r>
    </w:p>
    <w:p w14:paraId="43312C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50816A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05.01 – PRIJELAZNE ODREDBE (CA5.1)</w:t>
      </w:r>
      <w:r>
        <w:rPr>
          <w:sz w:val="20"/>
          <w:rFonts w:asciiTheme="majorBidi" w:hAnsiTheme="majorBidi"/>
        </w:rPr>
        <w:t xml:space="preserve"> </w:t>
      </w:r>
    </w:p>
    <w:p w14:paraId="0FE805F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533A79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05.02 – INSTRUMENTI KOJI SE NASTAVLJAJU PRIZNAVATI: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INSTRUMENTI KOJI NISU INSTRUMENTI DRŽAVNE POTPORE (CA5.2)</w:t>
      </w:r>
      <w:r>
        <w:rPr>
          <w:sz w:val="20"/>
          <w:rFonts w:asciiTheme="majorBidi" w:hAnsiTheme="majorBidi"/>
        </w:rPr>
        <w:t xml:space="preserve"> </w:t>
      </w:r>
    </w:p>
    <w:p w14:paraId="0541CB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48200C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SOLVENTNOST GRUPE: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INFORMACIJE O POVEZANIM DRUŠTVIMA (GS)</w:t>
      </w:r>
      <w:r>
        <w:rPr>
          <w:sz w:val="20"/>
          <w:rFonts w:asciiTheme="majorBidi" w:hAnsiTheme="majorBidi"/>
        </w:rPr>
        <w:t xml:space="preserve"> </w:t>
      </w:r>
    </w:p>
    <w:p w14:paraId="107C38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0889B8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DETALJNE INFORMACIJE O SOLVENTNOSTI GRUPE</w:t>
      </w:r>
    </w:p>
    <w:p w14:paraId="2687F7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INFORMACIJE O DOPRINOSIMA POJEDINAČNIH SUBJEKATA SOLVENTNOSTI GRUPE</w:t>
      </w:r>
    </w:p>
    <w:p w14:paraId="4929D5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06.01 – SOLVENTNOST GRUPE: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INFORMACIJE O POVEZANIM DRUŠTVIMA - UKUPNO (GS UKUPNO)</w:t>
      </w:r>
      <w:r>
        <w:rPr>
          <w:sz w:val="20"/>
          <w:rFonts w:asciiTheme="majorBidi" w:hAnsiTheme="majorBidi"/>
        </w:rPr>
        <w:t xml:space="preserve"> </w:t>
      </w:r>
    </w:p>
    <w:p w14:paraId="64FDB3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06.02 – SOLVENTNOST GRUPE: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INFORMACIJE O POVEZANIM DRUŠTVIMA (GS)</w:t>
      </w:r>
      <w:r>
        <w:rPr>
          <w:sz w:val="20"/>
          <w:rFonts w:asciiTheme="majorBidi" w:hAnsiTheme="majorBidi"/>
        </w:rPr>
        <w:t xml:space="preserve"> </w:t>
      </w:r>
    </w:p>
    <w:p w14:paraId="73E02FF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OBRASCI ZA KREDITNI RIZIK</w:t>
      </w:r>
    </w:p>
    <w:p w14:paraId="7A9D6E8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04A5E9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IZVJEŠĆIVANJE O TEHNIKAMA SMANJENJA KREDITNOG RIZIKA S UČINKOM ZAMJENE</w:t>
      </w:r>
    </w:p>
    <w:p w14:paraId="6BF48B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IZVJEŠĆIVANJE O KREDITNOM RIZIKU DRUGE UGOVORNE STRANE</w:t>
      </w:r>
    </w:p>
    <w:p w14:paraId="1FA38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07.00 – KREDITNI RIZIK, KREDITNI RIZIK DRUGE UGOVORNE STRANE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STANDARDIZIRANI PRISTUP KAPITALNIM ZAHTJEVIMA (CR SA)</w:t>
      </w:r>
      <w:r>
        <w:rPr>
          <w:sz w:val="20"/>
          <w:rFonts w:asciiTheme="majorBidi" w:hAnsiTheme="majorBidi"/>
        </w:rPr>
        <w:t xml:space="preserve"> </w:t>
      </w:r>
    </w:p>
    <w:p w14:paraId="5EEC113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215D49D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OPSEG OBRASCA CR SA</w:t>
      </w:r>
    </w:p>
    <w:p w14:paraId="12E6954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RASPOREĐIVANJE IZLOŽENOSTI U KATEGORIJE IZLOŽENOSTI U SKLADU SA STANDARDIZIRANIM PRISTUPOM</w:t>
      </w:r>
    </w:p>
    <w:p w14:paraId="32FA566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POJAŠNJENJA OPSEGA NEKIH POSEBNIH KATEGORIJA IZLOŽENOSTI IZ ČLANKA 112. UREDBE (EU) br. 575/2013</w:t>
      </w:r>
    </w:p>
    <w:p w14:paraId="48D2A14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KATEGORIJA IZLOŽENOSTI ‚INSTITUCIJE’</w:t>
      </w:r>
      <w:r>
        <w:rPr>
          <w:sz w:val="20"/>
          <w:rFonts w:asciiTheme="majorBidi" w:hAnsiTheme="majorBidi"/>
        </w:rPr>
        <w:t xml:space="preserve"> </w:t>
      </w:r>
    </w:p>
    <w:p w14:paraId="538259D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KATEGORIJA IZLOŽENOSTI ‚POKRIVENE OBVEZNICE’</w:t>
      </w:r>
      <w:r>
        <w:rPr>
          <w:sz w:val="20"/>
          <w:rFonts w:asciiTheme="majorBidi" w:hAnsiTheme="majorBidi"/>
        </w:rPr>
        <w:t xml:space="preserve"> </w:t>
      </w:r>
    </w:p>
    <w:p w14:paraId="4ABE66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KATEGORIJA IZLOŽENOSTI ‚SUBJEKTI ZA ZAJEDNIČKA ULAGANJA’</w:t>
      </w:r>
      <w:r>
        <w:rPr>
          <w:sz w:val="20"/>
          <w:rFonts w:asciiTheme="majorBidi" w:hAnsiTheme="majorBidi"/>
        </w:rPr>
        <w:t xml:space="preserve"> </w:t>
      </w:r>
    </w:p>
    <w:p w14:paraId="0561AB1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0EEDE27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KREDITNI RIZIK, KREDITNI RIZIK DRUGE UGOVORNE STRANE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PRISTUP KAPITALNIM ZAHTJEVIMA (CR IRB)</w:t>
      </w:r>
      <w:r>
        <w:rPr>
          <w:sz w:val="20"/>
          <w:rFonts w:asciiTheme="majorBidi" w:hAnsiTheme="majorBidi"/>
        </w:rPr>
        <w:t xml:space="preserve"> </w:t>
      </w:r>
    </w:p>
    <w:p w14:paraId="571660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OPSEG OBRASCA CR IRB</w:t>
      </w:r>
    </w:p>
    <w:p w14:paraId="1092231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RAŠČLAMBA OBRASCA CR IRB</w:t>
      </w:r>
    </w:p>
    <w:p w14:paraId="515826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3DC543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08.02 – KREDITNI RIZIK, KREDITNI RIZIK DRUGE UGOVORNE STRANE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PRISTUP KAPITALNIM ZAHTJEVIMA: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RAŠČLAMBA PREMA REJTING-KATEGORIJAMA DUŽNIKA ILI SKUPOVIMA IZLOŽENOSTI (OBRAZAC CR IRB 2)</w:t>
      </w:r>
      <w:r>
        <w:rPr>
          <w:sz w:val="20"/>
          <w:rFonts w:asciiTheme="majorBidi" w:hAnsiTheme="majorBidi"/>
        </w:rPr>
        <w:t xml:space="preserve"> </w:t>
      </w:r>
    </w:p>
    <w:p w14:paraId="53CCFD5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08.03 – KREDITNI RIZIK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PRISTUP KAPITALNIM ZAHTJEVIMA (RAŠČLAMBA PO RASPONU PD-A (CR IRB 3)</w:t>
      </w:r>
      <w:r>
        <w:rPr>
          <w:sz w:val="20"/>
          <w:rFonts w:asciiTheme="majorBidi" w:hAnsiTheme="majorBidi"/>
        </w:rPr>
        <w:t xml:space="preserve"> </w:t>
      </w:r>
    </w:p>
    <w:p w14:paraId="7A20160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3BF9C41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77E46D0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08.04 – KREDITNI RIZIK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PRISTUP KAPITALNIM ZAHTJEVIMA (IZVJEŠĆA O TOKOVIMA RWEA CR IRB 4)</w:t>
      </w:r>
      <w:r>
        <w:rPr>
          <w:sz w:val="20"/>
          <w:rFonts w:asciiTheme="majorBidi" w:hAnsiTheme="majorBidi"/>
        </w:rPr>
        <w:t xml:space="preserve"> </w:t>
      </w:r>
    </w:p>
    <w:p w14:paraId="1136F0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03C63A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66B658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 – KREDITNI RIZIK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PRISTUP KAPITALNIM ZAHTJEVIMA (RETROAKTIVNO TESTIRANJE PD-A (CR IRB 5))</w:t>
      </w:r>
      <w:r>
        <w:rPr>
          <w:sz w:val="20"/>
          <w:rFonts w:asciiTheme="majorBidi" w:hAnsiTheme="majorBidi"/>
        </w:rPr>
        <w:t xml:space="preserve"> </w:t>
      </w:r>
    </w:p>
    <w:p w14:paraId="7C6A8AD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1E5D13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73C7B45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08.05.1 – KREDITNI RIZIK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PRISTUP KAPITALNIM ZAHTJEVIMA: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RETROAKTIVNO TESTIRANJE PD-A U SKLADU S ČLANKOM 180. STAVKOM 1. TOČKOM (F) UREDBE (EU) br. 575/2013 (CR IRB 5B)</w:t>
      </w:r>
      <w:r>
        <w:rPr>
          <w:sz w:val="20"/>
          <w:rFonts w:asciiTheme="majorBidi" w:hAnsiTheme="majorBidi"/>
        </w:rPr>
        <w:t xml:space="preserve"> </w:t>
      </w:r>
    </w:p>
    <w:p w14:paraId="4F5DB90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598F4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08.06 – KREDITNI RIZIK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PRISTUP KAPITALNIM ZAHTJEVIMA (PRISTUP RASPOREĐIVANJA ZA SPECIJALIZIRANO FINANCIRANJE (CR IRB 6))</w:t>
      </w:r>
      <w:r>
        <w:rPr>
          <w:sz w:val="20"/>
          <w:rFonts w:asciiTheme="majorBidi" w:hAnsiTheme="majorBidi"/>
        </w:rPr>
        <w:t xml:space="preserve"> </w:t>
      </w:r>
    </w:p>
    <w:p w14:paraId="68CD3CF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24A8F32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0084D8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08.07 – KREDITNI RIZIK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 PRISTUP KAPITALNIM ZAHTJEVIMA (PODRUČJE PRIMJENE IRB PRISTUPA I STANDARDIZIRANOG PRISTUPA (CR IRB 7))</w:t>
      </w:r>
      <w:r>
        <w:rPr>
          <w:sz w:val="20"/>
          <w:rFonts w:asciiTheme="majorBidi" w:hAnsiTheme="majorBidi"/>
        </w:rPr>
        <w:t xml:space="preserve"> </w:t>
      </w:r>
    </w:p>
    <w:p w14:paraId="037AAB2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140442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027AAC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KREDITNI RIZIK, KREDITNI RIZIK DRUGE UGOVORNE STRANE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INFORMACIJE S GEOGRAFSKOM RAŠČLAMBOM</w:t>
      </w:r>
    </w:p>
    <w:p w14:paraId="3741DD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09.01 – GEOGRAFSKA RAŠČLAMBA IZLOŽENOSTI PREMA BORAVIŠTU DUŽNIKA: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IZLOŽENOSTI U SKLADU SA STANDARDIZIRANIM PRISTUPOM (CR GB 1)</w:t>
      </w:r>
      <w:r>
        <w:rPr>
          <w:sz w:val="20"/>
          <w:rFonts w:asciiTheme="majorBidi" w:hAnsiTheme="majorBidi"/>
        </w:rPr>
        <w:t xml:space="preserve"> </w:t>
      </w:r>
    </w:p>
    <w:p w14:paraId="74D994C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5A2D469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09.02 – GEOGRAFSKA RAŠČLAMBA IZLOŽENOSTI PREMA BORAVIŠTU DUŽNIKA: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IZLOŽENOSTI U SKLADU S IRB PRISTUPOM (CR GB 2)</w:t>
      </w:r>
      <w:r>
        <w:rPr>
          <w:sz w:val="20"/>
          <w:rFonts w:asciiTheme="majorBidi" w:hAnsiTheme="majorBidi"/>
        </w:rPr>
        <w:t xml:space="preserve"> </w:t>
      </w:r>
    </w:p>
    <w:p w14:paraId="15FB21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5E4A6A0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09.04 – RAŠČLAMBA RELEVANTNIH KREDITNIH IZLOŽENOSTI ZA POTREBE IZRAČUNA PROTUCIKLIČKOG ZAŠTITNOG SLOJA PREMA ZEMLJI I STOPE PROTUCIKLIČKOG ZAŠTITNOG SLOJA SPECIFIČNOG ZA INSTITUCIJU (CCB)</w:t>
      </w:r>
      <w:r>
        <w:rPr>
          <w:sz w:val="20"/>
          <w:rFonts w:asciiTheme="majorBidi" w:hAnsiTheme="majorBidi"/>
        </w:rPr>
        <w:t xml:space="preserve"> </w:t>
      </w:r>
    </w:p>
    <w:p w14:paraId="67D1D5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7804C63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6A35C9A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3.5.A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10.00 – KREDITNI RIZIK, KREDITNI RIZIK DRUGE UGOVORNE STRANE I SLOBODNE ISPORUKE: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IZLOŽENOSTI U SKLADU S IRB PRISTUPOM NA KOJE SE PRIMJENJUJE MINIMALNA DONJA GRANICA </w:t>
      </w:r>
    </w:p>
    <w:p w14:paraId="2C8708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3.5.A.1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OPĆE NAPOMENE</w:t>
      </w:r>
    </w:p>
    <w:p w14:paraId="537046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3.5A.2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UPUTE ZA SPECIFIČNE POZICIJE</w:t>
      </w:r>
    </w:p>
    <w:p w14:paraId="1559C4A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10.01 I C 10.02 – IZLOŽENOSTI NA OSNOVI VLASNIČKIH ULAGANJA U SKLADU S PRISTUPOM ZASNOVANIM NA INTERNIM REJTING-SUSTAVIMA (CR EQU IRB 1 I CR EQU IRB 2)</w:t>
      </w:r>
      <w:r>
        <w:rPr>
          <w:sz w:val="20"/>
          <w:rFonts w:asciiTheme="majorBidi" w:hAnsiTheme="majorBidi"/>
        </w:rPr>
        <w:t xml:space="preserve"> </w:t>
      </w:r>
    </w:p>
    <w:p w14:paraId="2FD8FBE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3244953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 (MOGU SE PRIMIJENITI NA OBRASCE CR EQU IRB 1 I CR EQU IRB 2)</w:t>
      </w:r>
      <w:r>
        <w:rPr>
          <w:sz w:val="20"/>
          <w:rFonts w:asciiTheme="majorBidi" w:hAnsiTheme="majorBidi"/>
        </w:rPr>
        <w:t xml:space="preserve"> </w:t>
      </w:r>
    </w:p>
    <w:p w14:paraId="0C1D906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11.00 – RIZIK NAMIRE/ISPORUKE (CR SETT)</w:t>
      </w:r>
      <w:r>
        <w:rPr>
          <w:sz w:val="20"/>
          <w:rFonts w:asciiTheme="majorBidi" w:hAnsiTheme="majorBidi"/>
        </w:rPr>
        <w:t xml:space="preserve"> </w:t>
      </w:r>
    </w:p>
    <w:p w14:paraId="6539EA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79F0BDF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23B3A4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13.01 – KREDITNI RIZIK – SEKURITIZACIJE (CR SEC)</w:t>
      </w:r>
      <w:r>
        <w:rPr>
          <w:sz w:val="20"/>
          <w:rFonts w:asciiTheme="majorBidi" w:hAnsiTheme="majorBidi"/>
        </w:rPr>
        <w:t xml:space="preserve"> </w:t>
      </w:r>
    </w:p>
    <w:p w14:paraId="3DC3A6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15DA2C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6DFA13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DETALJNE INFORMACIJE O SEKURITIZACIJAMA (SEC DETALJNIJI PODACI)</w:t>
      </w:r>
      <w:r>
        <w:rPr>
          <w:sz w:val="20"/>
          <w:rFonts w:asciiTheme="majorBidi" w:hAnsiTheme="majorBidi"/>
        </w:rPr>
        <w:t xml:space="preserve"> </w:t>
      </w:r>
    </w:p>
    <w:p w14:paraId="2DBF97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OPSEG OBRASCA SEC DETAILS</w:t>
      </w:r>
    </w:p>
    <w:p w14:paraId="2A34E1A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3.8.2. RAŠČLAMBA OBRASCA SEC DETALJNIJI PODACI</w:t>
      </w:r>
    </w:p>
    <w:p w14:paraId="49C27D9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3.8.3. C 14.00 – DETALJNE INFORMACIJE O SEKURITIZACIJAMA (SEC DETALJNIJI PODACI)</w:t>
      </w:r>
      <w:r>
        <w:rPr>
          <w:sz w:val="20"/>
          <w:rFonts w:asciiTheme="majorBidi" w:hAnsiTheme="majorBidi"/>
        </w:rPr>
        <w:t xml:space="preserve"> </w:t>
      </w:r>
    </w:p>
    <w:p w14:paraId="4559F3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14.01 – DETALJNE INFORMACIJE O SEKURITIZACIJAMA (SEC DETALJNIJI PODACI 2)</w:t>
      </w:r>
      <w:r>
        <w:rPr>
          <w:sz w:val="20"/>
          <w:rFonts w:asciiTheme="majorBidi" w:hAnsiTheme="majorBidi"/>
        </w:rPr>
        <w:t xml:space="preserve"> </w:t>
      </w:r>
    </w:p>
    <w:p w14:paraId="26CF60E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KREDITNI RIZIK DRUGE UGOVORNE STRANE</w:t>
      </w:r>
    </w:p>
    <w:p w14:paraId="7CC5ED9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PODRUČJE PRIMJENE OBRAZACA ZA KREDITNI RIZIK DRUGE UGOVORNE STRANE</w:t>
      </w:r>
    </w:p>
    <w:p w14:paraId="50397C7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34.01 – OBUJAM POSLOVA S IZVEDENICAMA</w:t>
      </w:r>
    </w:p>
    <w:p w14:paraId="4869F3A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23B5D7A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121F67D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34.02 – IZLOŽENOSTI KREDITNOM RIZIKU DRUGE UGOVORNE STRANE PREMA PRISTUPU</w:t>
      </w:r>
    </w:p>
    <w:p w14:paraId="59E000E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018F1D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6A78BA5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34.03 – IZLOŽENOSTI KREDITNOM RIZIKU DRUGE UGOVORNE STRANE NA KOJE SE PRIMJENJUJU STANDARDIZIRANI PRISTUPI: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SA-CCR I POJEDNOSTAVNJENI SA-CCR</w:t>
      </w:r>
    </w:p>
    <w:p w14:paraId="3491716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4AB83A8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18AA638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34.04 – IZLOŽENOSTI KREDITNOM RIZIKU DRUGE UGOVORNE STRANE NA KOJE SE PRIMJENJUJE METODA ORIGINALNE IZLOŽENOSTI (OEM)</w:t>
      </w:r>
      <w:r>
        <w:rPr>
          <w:sz w:val="20"/>
          <w:rFonts w:asciiTheme="majorBidi" w:hAnsiTheme="majorBidi"/>
        </w:rPr>
        <w:t xml:space="preserve"> </w:t>
      </w:r>
    </w:p>
    <w:p w14:paraId="5BB7F5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3B448FD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34.05 – IZLOŽENOSTI KREDITNOM RIZIKU DRUGE UGOVORNE STRANE NA KOJE SE PRIMJENJUJE METODA INTERNOG MODELA (IMM)</w:t>
      </w:r>
      <w:r>
        <w:rPr>
          <w:sz w:val="20"/>
          <w:rFonts w:asciiTheme="majorBidi" w:hAnsiTheme="majorBidi"/>
        </w:rPr>
        <w:t xml:space="preserve"> </w:t>
      </w:r>
    </w:p>
    <w:p w14:paraId="5050020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286B94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34.06 – DVADESET NAJVEĆIH DRUGIH UGOVORNIH STRANA</w:t>
      </w:r>
    </w:p>
    <w:p w14:paraId="42355B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1405B14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396E92B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34.07 – IRB PRISTUP – IZLOŽENOSTI KREDITNOM RIZIKU DRUGE UGOVORNE STRANE PO KATEGORIJI IZLOŽENOSTI I RASPONU PD-A</w:t>
      </w:r>
    </w:p>
    <w:p w14:paraId="62001B0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3918ADA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02CA098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34.08 – SASTAV KOLATERALA ZA IZLOŽENOSTI KREDITNOM RIZIKU DRUGIH UGOVORNIH STRANA</w:t>
      </w:r>
    </w:p>
    <w:p w14:paraId="1BDB51B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47D98C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7FFA95D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34.09 – IZLOŽENOSTI KREDITNIH IZVEDENICA</w:t>
      </w:r>
    </w:p>
    <w:p w14:paraId="4B535A5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57BE3BA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34.10 – IZLOŽENOSTI PREMA SREDIŠNJIM DRUGIM UGOVORNIM STRANAMA</w:t>
      </w:r>
    </w:p>
    <w:p w14:paraId="3802A93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59237ED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41C718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34.11 – IZVJEŠĆA O TOKOVIMA IZNOSA IZLOŽENOSTI PONDERIRANIH RIZIKOM (RWEA) ZA IZLOŽENOSTI KREDITNOM RIZIKU DRUGE UGOVORNE STRANE U SKLADU S METODOM INTERNOG MODELA</w:t>
      </w:r>
    </w:p>
    <w:p w14:paraId="0E0627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1D1AB60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24C616F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OBRASCI ZA OPERATIVNI RIZIK</w:t>
      </w:r>
    </w:p>
    <w:p w14:paraId="5E6BD5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16.00 – OPERATIVNI RIZIK (OPR)</w:t>
      </w:r>
      <w:r>
        <w:rPr>
          <w:sz w:val="20"/>
          <w:rFonts w:asciiTheme="majorBidi" w:hAnsiTheme="majorBidi"/>
        </w:rPr>
        <w:t xml:space="preserve"> </w:t>
      </w:r>
    </w:p>
    <w:p w14:paraId="69DEEC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282B93C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2AD1F4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OPERATIVNI RIZIK: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DETALJNE INFORMACIJE O GUBICIMA IZ PRETHODNE GODINE (OPR DETALJNIJI PODACI)</w:t>
      </w:r>
      <w:r>
        <w:rPr>
          <w:sz w:val="20"/>
          <w:rFonts w:asciiTheme="majorBidi" w:hAnsiTheme="majorBidi"/>
        </w:rPr>
        <w:t xml:space="preserve"> </w:t>
      </w:r>
    </w:p>
    <w:p w14:paraId="5392CC8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41BD3C1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17.01: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OPERATIVNI RIZIK GUBICI I POVRATI PREMA POSLOVNIM LINIJAMA I VRSTAMA ŠTETNIH DOGAĐAJA U PRETHODNOJ GODINI (OPR DETALJNIJI PODACI 1)</w:t>
      </w:r>
      <w:r>
        <w:rPr>
          <w:sz w:val="20"/>
          <w:rFonts w:asciiTheme="majorBidi" w:hAnsiTheme="majorBidi"/>
        </w:rPr>
        <w:t xml:space="preserve"> </w:t>
      </w:r>
    </w:p>
    <w:p w14:paraId="13B84C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2056D3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3E0CBE6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17.02: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OPERATIVNI RIZIK: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DETALJNE INFORMACIJE O NAJVEĆIM ŠTETNIM DOGAĐAJIMA IZ PRETHODNE GODINE (OPR DETALJNIJI PODACI 2)</w:t>
      </w:r>
      <w:r>
        <w:rPr>
          <w:sz w:val="20"/>
          <w:rFonts w:asciiTheme="majorBidi" w:hAnsiTheme="majorBidi"/>
        </w:rPr>
        <w:t xml:space="preserve"> </w:t>
      </w:r>
    </w:p>
    <w:p w14:paraId="09F256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30EF62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6A97057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OBRASCI ZA TRŽIŠNI RIZIK</w:t>
      </w:r>
    </w:p>
    <w:p w14:paraId="3EBA406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18.00 – TRŽIŠNI RIZIK: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STANDARDIZIRANI PRISTUP POZICIJSKIM RIZICIMA DUŽNIČKIH INSTRUMENATA KOJIMA SE TRGUJE (MKR SA TDI)</w:t>
      </w:r>
      <w:r>
        <w:rPr>
          <w:sz w:val="20"/>
          <w:rFonts w:asciiTheme="majorBidi" w:hAnsiTheme="majorBidi"/>
        </w:rPr>
        <w:t xml:space="preserve"> </w:t>
      </w:r>
    </w:p>
    <w:p w14:paraId="0A45D83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348532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74E9047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19.00 – TRŽIŠNI RIZIK: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STANDARDIZIRANI PRISTUP SPECIFIČNOM RIZIKU U SEKURITIZACIJAMA (MKR SA SEC)</w:t>
      </w:r>
      <w:r>
        <w:rPr>
          <w:sz w:val="20"/>
          <w:rFonts w:asciiTheme="majorBidi" w:hAnsiTheme="majorBidi"/>
        </w:rPr>
        <w:t xml:space="preserve"> </w:t>
      </w:r>
    </w:p>
    <w:p w14:paraId="2A5CAF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40C9A2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1271B6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20.00 – TRŽIŠNI RIZIK: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STANDARDIZIRANI PRISTUP SPECIFIČNOM RIZIKU ZA POZICIJE RASPOREĐENE U KORELACIJSKI PORTFELJ NAMIJENJEN TRGOVANJU (MKR SA CTP)</w:t>
      </w:r>
      <w:r>
        <w:rPr>
          <w:sz w:val="20"/>
          <w:rFonts w:asciiTheme="majorBidi" w:hAnsiTheme="majorBidi"/>
        </w:rPr>
        <w:t xml:space="preserve"> </w:t>
      </w:r>
    </w:p>
    <w:p w14:paraId="2F69064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6B226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2143949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21.00 – TRŽIŠNI RIZIK: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STANDARDIZIRANI PRISTUP POZICIJSKOM RIZIKU U VLASNIČKIM INSTRUMENTIMA (MKR SA EQU)</w:t>
      </w:r>
      <w:r>
        <w:rPr>
          <w:sz w:val="20"/>
          <w:rFonts w:asciiTheme="majorBidi" w:hAnsiTheme="majorBidi"/>
        </w:rPr>
        <w:t xml:space="preserve"> </w:t>
      </w:r>
    </w:p>
    <w:p w14:paraId="38A7ECE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1D3711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64A9800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22.00 – TRŽIŠNI RIZIK: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STANDARDIZIRANI PRISTUPI VALUTNOM RIZIKU (MKR SA FX)</w:t>
      </w:r>
      <w:r>
        <w:rPr>
          <w:sz w:val="20"/>
          <w:rFonts w:asciiTheme="majorBidi" w:hAnsiTheme="majorBidi"/>
        </w:rPr>
        <w:t xml:space="preserve"> </w:t>
      </w:r>
    </w:p>
    <w:p w14:paraId="55A167A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2C126D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59EF51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23.00 – TRŽIŠNI RIZIK: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STANDARDIZIRANI PRISTUPI ZA ROBU (MKR SA COM)</w:t>
      </w:r>
      <w:r>
        <w:rPr>
          <w:sz w:val="20"/>
          <w:rFonts w:asciiTheme="majorBidi" w:hAnsiTheme="majorBidi"/>
        </w:rPr>
        <w:t xml:space="preserve"> </w:t>
      </w:r>
    </w:p>
    <w:p w14:paraId="4D281E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17389F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725E272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24.00 – INTERNI MODEL ZA TRŽIŠNI RIZIK (MKR IM)</w:t>
      </w:r>
      <w:r>
        <w:rPr>
          <w:sz w:val="20"/>
          <w:rFonts w:asciiTheme="majorBidi" w:hAnsiTheme="majorBidi"/>
        </w:rPr>
        <w:t xml:space="preserve"> </w:t>
      </w:r>
    </w:p>
    <w:p w14:paraId="21106A7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0DD04D4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0B31DA5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25.00 – RIZIK PRILAGODBE KREDITNOM VREDNOVANJU (CVA):</w:t>
      </w:r>
      <w:r>
        <w:rPr>
          <w:sz w:val="20"/>
          <w:rFonts w:asciiTheme="majorBidi" w:hAnsiTheme="majorBidi"/>
        </w:rPr>
        <w:t xml:space="preserve"> </w:t>
      </w:r>
    </w:p>
    <w:p w14:paraId="1292EA6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2936D8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BONITETNO VREDNOVANJE (PRUVAL)</w:t>
      </w:r>
      <w:r>
        <w:rPr>
          <w:sz w:val="20"/>
          <w:rFonts w:asciiTheme="majorBidi" w:hAnsiTheme="majorBidi"/>
        </w:rPr>
        <w:t xml:space="preserve"> </w:t>
      </w:r>
    </w:p>
    <w:p w14:paraId="381E1AA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32.01 - BONITETNO VREDNOVANJE: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IMOVINA I OBVEZE PO FER VRIJEDNOSTI (PRUVAL 1)</w:t>
      </w:r>
      <w:r>
        <w:rPr>
          <w:sz w:val="20"/>
          <w:rFonts w:asciiTheme="majorBidi" w:hAnsiTheme="majorBidi"/>
        </w:rPr>
        <w:t xml:space="preserve"> </w:t>
      </w:r>
    </w:p>
    <w:p w14:paraId="75F117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3D0F9D7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1B184B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32.02 - BONITETNO VREDNOVANJE: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OSNOVNI PRISTUP (PRUVAL 2)</w:t>
      </w:r>
      <w:r>
        <w:rPr>
          <w:sz w:val="20"/>
          <w:rFonts w:asciiTheme="majorBidi" w:hAnsiTheme="majorBidi"/>
        </w:rPr>
        <w:t xml:space="preserve"> </w:t>
      </w:r>
    </w:p>
    <w:p w14:paraId="0E1DD7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29D63F1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1B3FDEC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32.03 - BONITETNO VREDNOVANJE: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DODATNA PRILAGODBA VREDNOVANJA ZA RIZIK MODELA (PRUVAL 3)</w:t>
      </w:r>
      <w:r>
        <w:rPr>
          <w:sz w:val="20"/>
          <w:rFonts w:asciiTheme="majorBidi" w:hAnsiTheme="majorBidi"/>
        </w:rPr>
        <w:t xml:space="preserve"> </w:t>
      </w:r>
    </w:p>
    <w:p w14:paraId="7C5153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5709AAF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28F042A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 C 32.04 - BONITETNO VREDNOVANJE: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DODATNA PRILAGODBA VREDNOVANJA ZA KONCENTRIRANE POZICIJE (PRUVAL 4)</w:t>
      </w:r>
      <w:r>
        <w:rPr>
          <w:sz w:val="20"/>
          <w:rFonts w:asciiTheme="majorBidi" w:hAnsiTheme="majorBidi"/>
        </w:rPr>
        <w:t xml:space="preserve"> </w:t>
      </w:r>
    </w:p>
    <w:p w14:paraId="243A16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636DB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033BEE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33.00 – IZLOŽENOSTI PREMA OPĆIM DRŽAVAMA (GOV)</w:t>
      </w:r>
      <w:r>
        <w:rPr>
          <w:sz w:val="20"/>
          <w:rFonts w:asciiTheme="majorBidi" w:hAnsiTheme="majorBidi"/>
        </w:rPr>
        <w:t xml:space="preserve"> </w:t>
      </w:r>
    </w:p>
    <w:p w14:paraId="2D2721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5136D3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OPSEG IZVJEŠĆIVANJA U OBRASCU O IZLOŽENOSTIMA PREMA ‚OPĆIM DRŽAVAMA’</w:t>
      </w:r>
      <w:r>
        <w:rPr>
          <w:sz w:val="20"/>
          <w:rFonts w:asciiTheme="majorBidi" w:hAnsiTheme="majorBidi"/>
        </w:rPr>
        <w:t xml:space="preserve"> </w:t>
      </w:r>
    </w:p>
    <w:p w14:paraId="3F5094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1170320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POKRIĆE GUBITKA ZA NEPRIHODONOSNE IZLOŽENOSTI (NPE LC)</w:t>
      </w:r>
      <w:r>
        <w:rPr>
          <w:sz w:val="20"/>
          <w:rFonts w:asciiTheme="majorBidi" w:hAnsiTheme="majorBidi"/>
        </w:rPr>
        <w:t xml:space="preserve"> </w:t>
      </w:r>
    </w:p>
    <w:p w14:paraId="183C36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58FEAF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35.01 – IZRAČUN ODBITAKA ZA NEPRIHODONOSNE IZLOŽENOSTI (NPE LC1)</w:t>
      </w:r>
      <w:r>
        <w:rPr>
          <w:sz w:val="20"/>
          <w:rFonts w:asciiTheme="majorBidi" w:hAnsiTheme="majorBidi"/>
        </w:rPr>
        <w:t xml:space="preserve"> </w:t>
      </w:r>
    </w:p>
    <w:p w14:paraId="3DA77A6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5D0EF4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35.02 – ZAHTJEVI ZA MINIMALNO POKRIĆE I VRIJEDNOSTI IZLOŽENOSTI NEPRIHODONOSNIH IZLOŽENOSTI NE UKLJUČUJUĆI RESTRUKTURIRANE IZLOŽENOSTI IZ ČLANKA 47.C STAVKA 6. UREDBE (EU) br. 575/2013 (NPE LC2)</w:t>
      </w:r>
      <w:r>
        <w:rPr>
          <w:sz w:val="20"/>
          <w:rFonts w:asciiTheme="majorBidi" w:hAnsiTheme="majorBidi"/>
        </w:rPr>
        <w:t xml:space="preserve"> </w:t>
      </w:r>
    </w:p>
    <w:p w14:paraId="21BFA4C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5021994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35.03 – ZAHTJEVI ZA MINIMALNO POKRIĆE I VRIJEDNOSTI NEPRIHODONOSNIH RESTRUKTURIRANIH IZLOŽENOSTI IZ ČLANKA 47.C STAVKA 6. UREDBE (EU) br. 575/2013 (NPE LC3)</w:t>
      </w:r>
      <w:r>
        <w:rPr>
          <w:sz w:val="20"/>
          <w:rFonts w:asciiTheme="majorBidi" w:hAnsiTheme="majorBidi"/>
        </w:rPr>
        <w:t xml:space="preserve"> </w:t>
      </w:r>
    </w:p>
    <w:p w14:paraId="3402D02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UPUTE ZA SPECIFIČNE POZICIJE</w:t>
      </w:r>
    </w:p>
    <w:p w14:paraId="6AF73B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KNJIGA TRGOVANJA I PRAGOVI TRŽIŠNOG RIZIKA, GRANICA IZMEĐU KNJIGE TRGOVANJA I KNJIGE POZICIJA KOJIMA SE NE TRGUJE I REKLASIFIKACIJE</w:t>
      </w:r>
    </w:p>
    <w:p w14:paraId="29B0DD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90.00 – KNJIGA TRGOVANJA I PRAGOVI TRŽIŠNOG RIZIKA</w:t>
      </w:r>
    </w:p>
    <w:p w14:paraId="013079B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 GRANICA IZMEĐU KNJIGE TRGOVANJA I KNJIGE POZICIJA KOJIMA SE NE TRGUJE (BOU)</w:t>
      </w:r>
      <w:r>
        <w:rPr>
          <w:sz w:val="20"/>
          <w:rFonts w:asciiTheme="majorBidi" w:hAnsiTheme="majorBidi"/>
        </w:rPr>
        <w:t xml:space="preserve"> </w:t>
      </w:r>
    </w:p>
    <w:p w14:paraId="3BBA0EE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OPĆE NAPOMENE</w:t>
      </w:r>
    </w:p>
    <w:p w14:paraId="6BD9F7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90.05 – GRANICA: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KNJIGA TRGOVANJA (BOU1)</w:t>
      </w:r>
      <w:r>
        <w:rPr>
          <w:sz w:val="20"/>
          <w:rFonts w:asciiTheme="majorBidi" w:hAnsiTheme="majorBidi"/>
        </w:rPr>
        <w:t xml:space="preserve"> </w:t>
      </w:r>
    </w:p>
    <w:p w14:paraId="23EB6C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9.2.2.1. OPĆE NAPOMENE</w:t>
      </w:r>
    </w:p>
    <w:p w14:paraId="19B0784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9.2.2.2. UPUTE ZA SPECIFIČNE POZICIJE</w:t>
      </w:r>
    </w:p>
    <w:p w14:paraId="220201F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90.06 – GRANICA: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KNJIGA POZICIJA KOJIMA SE NE TRGUJE (BOU2)</w:t>
      </w:r>
      <w:r>
        <w:rPr>
          <w:sz w:val="20"/>
          <w:rFonts w:asciiTheme="majorBidi" w:hAnsiTheme="majorBidi"/>
        </w:rPr>
        <w:t xml:space="preserve"> </w:t>
      </w:r>
    </w:p>
    <w:p w14:paraId="4212755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9.2.3.1. OPĆE NAPOMENE</w:t>
      </w:r>
    </w:p>
    <w:p w14:paraId="592B5F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9.2.3.2. – UPUTE ZA SPECIFIČNE POZICIJE</w:t>
      </w:r>
    </w:p>
    <w:p w14:paraId="6FF49D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9.3. C 24.01. – GRANICA KNJIGE TRGOVANJA – REKLASIFIKACIJA MEĐU KNJIGAMA (MOV)</w:t>
      </w:r>
      <w:r>
        <w:rPr>
          <w:sz w:val="20"/>
          <w:rFonts w:asciiTheme="majorBidi" w:hAnsiTheme="majorBidi"/>
        </w:rPr>
        <w:t xml:space="preserve"> </w:t>
      </w:r>
    </w:p>
    <w:p w14:paraId="16560F6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36.00 – IZLOŽENOSTI PREMA KRIPTOIMOVINI</w:t>
      </w:r>
    </w:p>
    <w:p w14:paraId="7E9A6F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10.1. OPĆE NAPOMENE</w:t>
      </w:r>
    </w:p>
    <w:p w14:paraId="4A89C4C3" w14:textId="05A84CD2" w:rsidR="00003310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10.2. – UPUTE ZA SPECIFIČNE POZICIJE</w:t>
      </w:r>
    </w:p>
    <w:p w14:paraId="2E25C7F7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BC0C32" w:rsidRDefault="00B65435" w:rsidP="00B65435">
      <w:pPr>
        <w:pStyle w:val="Heading2"/>
        <w:rPr>
          <w:color w:val="000000" w:themeColor="text1"/>
          <w:sz w:val="28"/>
          <w:szCs w:val="28"/>
          <w:rFonts w:asciiTheme="majorBidi" w:hAnsiTheme="majorBidi"/>
        </w:rPr>
      </w:pPr>
      <w:r>
        <w:rPr>
          <w:color w:val="000000" w:themeColor="text1"/>
          <w:sz w:val="28"/>
          <w:rFonts w:asciiTheme="majorBidi" w:hAnsiTheme="majorBidi"/>
        </w:rPr>
        <w:t xml:space="preserve">DIO I.:</w:t>
      </w:r>
      <w:r>
        <w:rPr>
          <w:color w:val="000000" w:themeColor="text1"/>
          <w:sz w:val="28"/>
          <w:rFonts w:asciiTheme="majorBidi" w:hAnsiTheme="majorBidi"/>
        </w:rPr>
        <w:t xml:space="preserve"> </w:t>
      </w:r>
      <w:r>
        <w:rPr>
          <w:color w:val="000000" w:themeColor="text1"/>
          <w:sz w:val="28"/>
          <w:rFonts w:asciiTheme="majorBidi" w:hAnsiTheme="majorBidi"/>
        </w:rPr>
        <w:t xml:space="preserve">OPĆE UPUTE</w:t>
      </w:r>
    </w:p>
    <w:p w14:paraId="7A8CC65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STRUKTURA I PRAVILA</w:t>
      </w:r>
    </w:p>
    <w:p w14:paraId="05A1293C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STRUKTURA</w:t>
      </w:r>
    </w:p>
    <w:p w14:paraId="12B796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Okvir obuhvaća ukupno šest tema:</w:t>
      </w:r>
    </w:p>
    <w:p w14:paraId="28184C9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(a)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adekvatnost kapitala, pregled regulatornog kapitala, ukupni iznos izloženosti riziku;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bonitetno vrednovanje;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pokriće gubitka za neprihodonosne izloženosti;</w:t>
      </w:r>
    </w:p>
    <w:p w14:paraId="473EDF6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(b)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solventnost grupe, pregled načina na koji svi pojedinačni subjekti uključeni u opseg konsolidacije subjekta koji izvješćuje ispunjavaju zahtjeve o solventnosti;</w:t>
      </w:r>
    </w:p>
    <w:p w14:paraId="520D1BC7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(c)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kreditni rizik (uključujući rizik druge ugovorne strane, razrjeđivački rizik i rizik namire);</w:t>
      </w:r>
    </w:p>
    <w:p w14:paraId="5BEF8552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(d)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tržišni rizik (uključujući pozicijski rizik u knjizi trgovanja, valutni rizik, robni rizik i CVA rizik);</w:t>
      </w:r>
    </w:p>
    <w:p w14:paraId="0EDA877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(e)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operativni rizik;</w:t>
      </w:r>
    </w:p>
    <w:p w14:paraId="74CE70F7" w14:textId="77777777" w:rsidR="006B2A2E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(f) izloženosti prema općim državama;</w:t>
      </w:r>
    </w:p>
    <w:p w14:paraId="708A95B2" w14:textId="403DAD5F" w:rsidR="00B65435" w:rsidRPr="00BC0C32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(g) izloženosti prema kriptoimovini.</w:t>
      </w:r>
    </w:p>
    <w:p w14:paraId="0F9DCED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2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Za svaki obrazac navodi se pravna osnova.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Ovaj dio Provedbene uredbe sadržava dodatne detaljne informacije o općenitijim aspektima izvješćivanja u svakoj skupini obrazaca, upute za specifične pozicije te pravila validacije.</w:t>
      </w:r>
    </w:p>
    <w:p w14:paraId="3414EDA4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3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Institucije trebaju dostaviti samo obrasce koji su relevantni ovisno o primijenjenom pristupu za određivanje kapitalnih zahtjeva.</w:t>
      </w:r>
    </w:p>
    <w:p w14:paraId="21ED76C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1.2.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Pravila označivanja brojevima</w:t>
      </w:r>
    </w:p>
    <w:p w14:paraId="2DF1C3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4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Pri upućivanju na stupce, retke i rubrike obrazaca u dokumentu se poštuju pravila označivanja iz točaka od 5. do 8.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Te se brojčane oznake u velikoj mjeri koriste u pravilima validacije.</w:t>
      </w:r>
    </w:p>
    <w:p w14:paraId="2EE8A2BD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5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U uputama se primjenjuje sljedeća opća bilješka: 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{obrazac;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redak;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stupac}.</w:t>
      </w:r>
    </w:p>
    <w:p w14:paraId="2DB7F95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6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U slučaju validacija u okviru obrasca pri kojima se koriste samo podaci iz tog obrasca, bilješkama se ne upućuje na obrazac: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{redak;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stupac}.</w:t>
      </w:r>
    </w:p>
    <w:p w14:paraId="05E444F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7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U slučaju obrazaca samo s jednim stupcem upućuje se samo na retke.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{obrazac;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redak}</w:t>
      </w:r>
    </w:p>
    <w:p w14:paraId="21355A9F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8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Znak zvjezdice koristi se kako bi se naznačilo da je validacija izvršena za prethodno navedene retke ili stupce.</w:t>
      </w:r>
    </w:p>
    <w:p w14:paraId="16E2386B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1.3.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Pravilo o predznaku</w:t>
      </w:r>
    </w:p>
    <w:p w14:paraId="7F9B0C4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9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Svaki iznos kojim se regulatorni kapital ili kapitalni zahtjevi povećavaju iskazuje se kao pozitivna vrijednost.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Nasuprot tome, svaki iznos kojim se ukupni regulatorni kapital ili kapitalni zahtjevi umanjuju iskazuje se kao negativna vrijednost.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Ako oznaci stavke prethodi negativni predznak (–), za tu se stavku ne očekuje iskazivanje pozitivne vrijednosti.</w:t>
      </w:r>
    </w:p>
    <w:p w14:paraId="7A31F9F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10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(prazno)</w:t>
      </w:r>
    </w:p>
    <w:p w14:paraId="6A4F8FB5" w14:textId="77777777" w:rsidR="00EE75F2" w:rsidRPr="00BC0C32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BC0C32" w:rsidRDefault="00B65435">
      <w:pPr>
        <w:rPr>
          <w:rFonts w:asciiTheme="majorBidi" w:hAnsiTheme="majorBidi" w:cstheme="majorBidi"/>
        </w:rPr>
      </w:pPr>
    </w:p>
    <w:sectPr w:rsidR="00B65435" w:rsidRPr="00BC0C3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primjena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primjena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primjen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3C3263"/>
    <w:rsid w:val="00475023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hr-HR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hr-HR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hr-HR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hr-HR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hr-HR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hr-HR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hr-HR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hr-HR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hr-HR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hr-HR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hr-HR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hr-HR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hr-HR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hr-HR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hr-HR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hr-HR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hr-HR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hr-HR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hr-HR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hr-HR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hr-HR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hr-HR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hr-HR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hr-HR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hr-HR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hr-HR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hr-HR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hr-HR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hr-HR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hr-HR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hr-HR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hr-HR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hr-HR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hr-HR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hr-HR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hr-HR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hr-HR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hr-HR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hr-H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hr-HR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hr-HR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hr-HR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4EBCA-E51F-49AD-868B-64E2AE1CA9D0}"/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1925</Words>
  <Characters>11594</Characters>
  <Application>Microsoft Office Word</Application>
  <DocSecurity>0</DocSecurity>
  <Lines>289</Lines>
  <Paragraphs>259</Paragraphs>
  <ScaleCrop>false</ScaleCrop>
  <Company>European Banking Authority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KIRMITSAKIS Aristeidis (DGT)</cp:lastModifiedBy>
  <cp:revision>9</cp:revision>
  <dcterms:created xsi:type="dcterms:W3CDTF">2024-06-19T15:59:00Z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