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9C87C" w14:textId="77777777" w:rsidR="00E50DD0" w:rsidRDefault="00E50DD0" w:rsidP="00E50DD0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HU</w:t>
      </w:r>
    </w:p>
    <w:p w14:paraId="6F8CF8C3" w14:textId="77777777" w:rsidR="00E50DD0" w:rsidRDefault="00E50DD0" w:rsidP="00E50DD0">
      <w:pPr>
        <w:rPr>
          <w:rFonts w:asciiTheme="minorHAnsi" w:hAnsiTheme="minorHAnsi"/>
          <w:sz w:val="22"/>
        </w:rPr>
      </w:pPr>
    </w:p>
    <w:p w14:paraId="590BC630" w14:textId="77777777" w:rsidR="00DD798A" w:rsidRPr="00037E7B" w:rsidRDefault="00DD798A" w:rsidP="00DD798A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II. MELLÉKLET</w:t>
      </w:r>
    </w:p>
    <w:p w14:paraId="33BF0F02" w14:textId="77777777" w:rsidR="00DD798A" w:rsidRPr="00037E7B" w:rsidRDefault="00DD798A" w:rsidP="00DD798A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„II. MELLÉKLET</w:t>
      </w:r>
    </w:p>
    <w:p w14:paraId="43AF84F6" w14:textId="77777777" w:rsidR="00DD798A" w:rsidRPr="00037E7B" w:rsidRDefault="00DD798A" w:rsidP="00DD798A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ÚTMUTATÓ A SZAVATOLÓTŐKÉRE ÉS A SZAVATOLÓTŐKE-KÖVETELMÉNYEKRE VONATKOZÓ ADATSZOLGÁLTATÁSHOZ</w:t>
      </w:r>
    </w:p>
    <w:p w14:paraId="6B9B322A" w14:textId="77777777" w:rsidR="00E26A90" w:rsidRDefault="00E26A90"/>
    <w:p w14:paraId="2A45E9E8" w14:textId="77777777" w:rsidR="00A931D0" w:rsidRDefault="00A931D0" w:rsidP="00A931D0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II. RÉSZ: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TÁBLASPECIFIKUS ÚTMUTATÓ</w:t>
      </w:r>
    </w:p>
    <w:p w14:paraId="572B21DA" w14:textId="77777777" w:rsidR="00A931D0" w:rsidRDefault="00A931D0" w:rsidP="00A931D0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2CBE875B" w14:textId="77777777" w:rsidR="00A931D0" w:rsidRPr="00736637" w:rsidRDefault="00A931D0" w:rsidP="00A931D0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7289C48A" w14:textId="77777777" w:rsidR="00A931D0" w:rsidRDefault="00A931D0"/>
    <w:p w14:paraId="7D324BFC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C 09.01 – Kitettségek földrajzi bontása a kötelezett illetősége szerint: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SA-kitettségek (CR GB 1)</w:t>
      </w:r>
    </w:p>
    <w:p w14:paraId="0D9A10C4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0" w:name="_Toc360188363"/>
      <w:bookmarkStart w:id="1" w:name="_Toc473560914"/>
      <w:bookmarkStart w:id="2" w:name="_Toc151714418"/>
      <w:r>
        <w:rPr>
          <w:sz w:val="24"/>
          <w:u w:val="none"/>
          <w:rFonts w:ascii="Times New Roman" w:hAnsi="Times New Roman"/>
        </w:rPr>
        <w:t xml:space="preserve">3.4.1.1.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 tábla egyes részeire vonatkozó útmutató</w:t>
      </w:r>
      <w:bookmarkEnd w:id="0"/>
      <w:bookmarkEnd w:id="1"/>
      <w:bookmarkEnd w:id="2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2A677E" w14:paraId="127D8EEC" w14:textId="77777777" w:rsidTr="00822842">
        <w:trPr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6A81D963" w14:textId="77777777" w:rsidR="009D6580" w:rsidRPr="001235ED" w:rsidRDefault="009D6580" w:rsidP="00822842">
            <w:pPr>
              <w:spacing w:after="0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Oszlopok</w:t>
            </w:r>
          </w:p>
        </w:tc>
      </w:tr>
      <w:tr w:rsidR="009D6580" w:rsidRPr="002A677E" w14:paraId="08CE2FB2" w14:textId="77777777" w:rsidTr="00822842">
        <w:tc>
          <w:tcPr>
            <w:tcW w:w="1188" w:type="dxa"/>
          </w:tcPr>
          <w:p w14:paraId="75E0B30C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640" w:type="dxa"/>
          </w:tcPr>
          <w:p w14:paraId="4841BFD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HITEL-EGYENÉRTÉKESÍTÉSI TÉNYEZŐK ELŐTTI EREDETI KITETTSÉG</w:t>
            </w:r>
          </w:p>
          <w:p w14:paraId="1D6A0F0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CR SA tábla 0010-es oszlopával azonos meghatározás.</w:t>
            </w:r>
          </w:p>
        </w:tc>
      </w:tr>
      <w:tr w:rsidR="009D6580" w:rsidRPr="002A677E" w14:paraId="5F923D3B" w14:textId="77777777" w:rsidTr="00822842">
        <w:tc>
          <w:tcPr>
            <w:tcW w:w="1188" w:type="dxa"/>
          </w:tcPr>
          <w:p w14:paraId="6908781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640" w:type="dxa"/>
          </w:tcPr>
          <w:p w14:paraId="04F3B538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Nemteljesítő kitettségek</w:t>
            </w:r>
          </w:p>
          <w:p w14:paraId="147BD4ED" w14:textId="29FBEBE8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„nemteljesítő kitettségek” kategóriába sorolt kitettségek, valamint a „részvényjellegű kitettségek” és a „kollektív befektetési formák (KBF-ek) befektetési jegyeinek vagy részvényeinek formájában fennálló kitettségek” kitettségi osztályba sorolt nemteljesítő kitettségek hitel-egyenértékesítési tényezők előtti eredeti kitettsége.</w:t>
            </w:r>
          </w:p>
          <w:p w14:paraId="6DA448AF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Ez a tájékoztató adat kiegészítő információt nyújt a nemteljesítő kitettségek kötelezetti struktúrájáról.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575/2013/EU rendelet 112. cikkének j) pontjában említett „nemteljesítő kitettségekhez” sorolt kitettségeket kell megadni, amelyeknél a kötelezettekről adatot kellett volna szolgáltatni, ha a kitettségek nem a „nemteljesítő kitettségek” kitettségi osztályba tartoznának.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  <w:p w14:paraId="52855171" w14:textId="65C7A920" w:rsidR="009D6580" w:rsidRPr="002A677E" w:rsidRDefault="00123FDD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megadott érték tájékoztató adat, így nem érinti az 575/2013/EU rendelet 112. cikkének j), p), és o) pontjában említett „nemteljesítő kitettségek”, „részvényjellegű kitettségek” vagy „kollektív befektetési formák (KBF-ek) befektetési jegyeinek vagy részvényeinek formájában fennálló kitettségek” kitettségi osztályok kockázattal súlyozott kitettségértékeinek kiszámítását.</w:t>
            </w:r>
          </w:p>
        </w:tc>
      </w:tr>
      <w:tr w:rsidR="009D6580" w:rsidRPr="002A677E" w14:paraId="12737C01" w14:textId="77777777" w:rsidTr="00822842">
        <w:tc>
          <w:tcPr>
            <w:tcW w:w="1188" w:type="dxa"/>
          </w:tcPr>
          <w:p w14:paraId="0843F0D4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640" w:type="dxa"/>
          </w:tcPr>
          <w:p w14:paraId="317ABA2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Az időszakban megállapított új nemteljesítések</w:t>
            </w:r>
          </w:p>
          <w:p w14:paraId="4C451CE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legutóbbi adatszolgáltatási vonatkozási időpont óta eltelt 3 hónap során a „nemteljesítő kitettségek” kitettségi osztályba átsorolt eredeti kitettségek összegét abban a kitettségi osztályban kell feltüntetni, amelybe a kötelezett eredetileg tartozott.</w:t>
            </w:r>
          </w:p>
        </w:tc>
      </w:tr>
      <w:tr w:rsidR="009D6580" w:rsidRPr="002A677E" w14:paraId="59173FA8" w14:textId="77777777" w:rsidTr="00822842">
        <w:tc>
          <w:tcPr>
            <w:tcW w:w="1188" w:type="dxa"/>
          </w:tcPr>
          <w:p w14:paraId="7368E5E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640" w:type="dxa"/>
          </w:tcPr>
          <w:p w14:paraId="1A491AA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Általános hitelkockázati kiigazítások</w:t>
            </w:r>
          </w:p>
          <w:p w14:paraId="019027A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110. cikkében és a 183/2014/EU rendeletben említett hitelkockázati kiigazítások.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24DE0E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tétel azokat az általános hitelkockázati kiigazításokat foglalja magában, amelyek beszámíthatók a T2 tőkébe, az 575/2013/EU rendelet 62. cikkének c) pontjában említett felső határ alkalmazása előtt.</w:t>
            </w:r>
          </w:p>
          <w:p w14:paraId="50B8B57C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feltüntetendő értéknek tartalmaznia kell az adóhatásokat is.</w:t>
            </w:r>
          </w:p>
        </w:tc>
      </w:tr>
      <w:tr w:rsidR="009D6580" w:rsidRPr="002A677E" w14:paraId="18048AF8" w14:textId="77777777" w:rsidTr="00822842">
        <w:tc>
          <w:tcPr>
            <w:tcW w:w="1188" w:type="dxa"/>
          </w:tcPr>
          <w:p w14:paraId="6BF1FDE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0055</w:t>
            </w:r>
          </w:p>
        </w:tc>
        <w:tc>
          <w:tcPr>
            <w:tcW w:w="8640" w:type="dxa"/>
          </w:tcPr>
          <w:p w14:paraId="3DA55F2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Egyedi hitelkockázati kiigazítások</w:t>
            </w:r>
          </w:p>
          <w:p w14:paraId="0C4040D9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110. cikkében és a 183/2014/EU rendeletben említett hitelkockázati kiigazítások.</w:t>
            </w:r>
          </w:p>
        </w:tc>
      </w:tr>
      <w:tr w:rsidR="009D6580" w:rsidRPr="002A677E" w14:paraId="1433D694" w14:textId="77777777" w:rsidTr="00822842">
        <w:tc>
          <w:tcPr>
            <w:tcW w:w="1188" w:type="dxa"/>
          </w:tcPr>
          <w:p w14:paraId="0154002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640" w:type="dxa"/>
          </w:tcPr>
          <w:p w14:paraId="0E9754A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Leírások</w:t>
            </w:r>
          </w:p>
          <w:p w14:paraId="5E984FA2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IFRS 9 5.4.4. bekezdésében és B5.4.9. bekezdésében említett leírások.</w:t>
            </w:r>
          </w:p>
        </w:tc>
      </w:tr>
      <w:tr w:rsidR="009D6580" w:rsidRPr="002A677E" w14:paraId="1CFA94CF" w14:textId="77777777" w:rsidTr="00822842">
        <w:tc>
          <w:tcPr>
            <w:tcW w:w="1188" w:type="dxa"/>
          </w:tcPr>
          <w:p w14:paraId="23BBA9F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0061</w:t>
            </w:r>
          </w:p>
        </w:tc>
        <w:tc>
          <w:tcPr>
            <w:tcW w:w="8640" w:type="dxa"/>
          </w:tcPr>
          <w:p w14:paraId="7173ECB3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Kiegészítő értékelési korrekciók és egyéb szavatolótőke-csökkentések</w:t>
            </w:r>
          </w:p>
          <w:p w14:paraId="074C80EC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111. cikkével összhangban.</w:t>
            </w:r>
          </w:p>
        </w:tc>
      </w:tr>
      <w:tr w:rsidR="009D6580" w:rsidRPr="002A677E" w14:paraId="2939F77F" w14:textId="77777777" w:rsidTr="00822842">
        <w:tc>
          <w:tcPr>
            <w:tcW w:w="1188" w:type="dxa"/>
          </w:tcPr>
          <w:p w14:paraId="542B901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640" w:type="dxa"/>
          </w:tcPr>
          <w:p w14:paraId="2643490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megállapított új nemteljesítések utáni hitelkockázati kiigazítások/leírások</w:t>
            </w:r>
          </w:p>
          <w:p w14:paraId="7E554B62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legutóbbi adatszolgáltatás óta eltelt 3 hónap során a „nemteljesítő kitettségek” közé sorolt kitettségek utáni hitelkockázati kiigazítások és leírások összege.</w:t>
            </w:r>
          </w:p>
        </w:tc>
      </w:tr>
      <w:tr w:rsidR="009D6580" w:rsidRPr="002A677E" w14:paraId="2CA30DE3" w14:textId="77777777" w:rsidTr="00822842">
        <w:tc>
          <w:tcPr>
            <w:tcW w:w="1188" w:type="dxa"/>
          </w:tcPr>
          <w:p w14:paraId="2FD8979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0075</w:t>
            </w:r>
          </w:p>
        </w:tc>
        <w:tc>
          <w:tcPr>
            <w:tcW w:w="8640" w:type="dxa"/>
          </w:tcPr>
          <w:p w14:paraId="233BFDC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Kitettségérték</w:t>
            </w:r>
          </w:p>
          <w:p w14:paraId="4F849709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CR SA tábla 0200-es oszlopával azonos meghatározás.</w:t>
            </w:r>
          </w:p>
        </w:tc>
      </w:tr>
      <w:tr w:rsidR="009D6580" w:rsidRPr="002A677E" w14:paraId="09BD9174" w14:textId="77777777" w:rsidTr="00822842">
        <w:tc>
          <w:tcPr>
            <w:tcW w:w="1188" w:type="dxa"/>
          </w:tcPr>
          <w:p w14:paraId="06587A3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640" w:type="dxa"/>
          </w:tcPr>
          <w:p w14:paraId="0B560F31" w14:textId="46CDE534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SZORZÓK ÉS PÉNZNEMBELI ELTÉRÉS ELŐTTI, KOCKÁZATTAL SÚLYOZOTT KITETTSÉGÉRTÉK</w:t>
            </w:r>
          </w:p>
          <w:p w14:paraId="7F917189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CR SA tábla 0215-es oszlopával azonos meghatározás.</w:t>
            </w:r>
          </w:p>
        </w:tc>
      </w:tr>
      <w:tr w:rsidR="009D6580" w:rsidRPr="002A677E" w14:paraId="172392A5" w14:textId="77777777" w:rsidTr="00822842">
        <w:tc>
          <w:tcPr>
            <w:tcW w:w="1188" w:type="dxa"/>
          </w:tcPr>
          <w:p w14:paraId="4881CC3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0081</w:t>
            </w:r>
          </w:p>
        </w:tc>
        <w:tc>
          <w:tcPr>
            <w:tcW w:w="8640" w:type="dxa"/>
          </w:tcPr>
          <w:p w14:paraId="3683E884" w14:textId="77777777" w:rsidR="009D6580" w:rsidRPr="002A677E" w:rsidRDefault="009D6580" w:rsidP="00822842">
            <w:pPr>
              <w:rPr>
                <w:rStyle w:val="InstructionsTabelleberschrift"/>
                <w:sz w:val="32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(–) A KOCKÁZATTAL SÚLYOZOTT KITETTSÉGÉRTÉK KKV-SZORZÓ MIATTI KORREKCIÓJA</w:t>
            </w:r>
          </w:p>
          <w:p w14:paraId="7D7BF2E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CR SA tábla 0216-es oszlopával azonos meghatározás.</w:t>
            </w:r>
          </w:p>
        </w:tc>
      </w:tr>
      <w:tr w:rsidR="009D6580" w:rsidRPr="002A677E" w14:paraId="7C7A5C85" w14:textId="77777777" w:rsidTr="00822842">
        <w:tc>
          <w:tcPr>
            <w:tcW w:w="1188" w:type="dxa"/>
          </w:tcPr>
          <w:p w14:paraId="4ABD72E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0082</w:t>
            </w:r>
          </w:p>
        </w:tc>
        <w:tc>
          <w:tcPr>
            <w:tcW w:w="8640" w:type="dxa"/>
          </w:tcPr>
          <w:p w14:paraId="60EE9D4D" w14:textId="77777777" w:rsidR="009D6580" w:rsidRPr="002A677E" w:rsidRDefault="009D6580" w:rsidP="00822842">
            <w:pPr>
              <w:rPr>
                <w:rStyle w:val="InstructionsTabelleberschrift"/>
                <w:sz w:val="32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(–) A KOCKÁZATTAL SÚLYOZOTT KITETTSÉGÉRTÉK INFRASTRUKTÚRA-SZORZÓ MIATTI KORREKCIÓJA</w:t>
            </w:r>
          </w:p>
          <w:p w14:paraId="3D157D72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CR SA tábla 0217-es oszlopával azonos meghatározás.</w:t>
            </w:r>
          </w:p>
        </w:tc>
      </w:tr>
      <w:tr w:rsidR="009D6580" w:rsidRPr="002A677E" w14:paraId="2271C08F" w14:textId="77777777" w:rsidTr="00822842">
        <w:tc>
          <w:tcPr>
            <w:tcW w:w="1188" w:type="dxa"/>
          </w:tcPr>
          <w:p w14:paraId="7D3C5FE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640" w:type="dxa"/>
          </w:tcPr>
          <w:p w14:paraId="784080AC" w14:textId="77777777" w:rsidR="00AF2BE6" w:rsidRDefault="009D6580" w:rsidP="00AF2BE6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SZORZÓK ÉS PÉNZNEMBELI ELTÉRÉS UTÁNI, KOCKÁZATTAL SÚLYOZOTT KITETTSÉGÉRTÉK</w:t>
            </w:r>
          </w:p>
          <w:p w14:paraId="5F17785F" w14:textId="6397E6C0" w:rsidR="009D6580" w:rsidRPr="002A677E" w:rsidRDefault="009D6580" w:rsidP="00AF2BE6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CR SA tábla 0220-es oszlopával azonos meghatározás.</w:t>
            </w:r>
          </w:p>
        </w:tc>
      </w:tr>
    </w:tbl>
    <w:p w14:paraId="00F504F2" w14:textId="77777777" w:rsidR="009D6580" w:rsidRPr="002A677E" w:rsidRDefault="009D6580" w:rsidP="009D6580">
      <w:pPr>
        <w:rPr>
          <w:rFonts w:ascii="Times New Roman" w:hAnsi="Times New Roman"/>
          <w:sz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  <w:gridCol w:w="61"/>
      </w:tblGrid>
      <w:tr w:rsidR="009D6580" w:rsidRPr="002A677E" w14:paraId="603A14A1" w14:textId="77777777" w:rsidTr="00822842">
        <w:trPr>
          <w:gridAfter w:val="1"/>
          <w:wAfter w:w="61" w:type="dxa"/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52CB66F8" w14:textId="77777777" w:rsidR="009D6580" w:rsidRPr="002A677E" w:rsidRDefault="009D6580" w:rsidP="00822842">
            <w:pPr>
              <w:spacing w:after="0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Sorok</w:t>
            </w:r>
          </w:p>
        </w:tc>
      </w:tr>
      <w:tr w:rsidR="009D6580" w:rsidRPr="002A677E" w14:paraId="118E5421" w14:textId="77777777" w:rsidTr="00822842">
        <w:tc>
          <w:tcPr>
            <w:tcW w:w="1188" w:type="dxa"/>
            <w:shd w:val="clear" w:color="auto" w:fill="FFFFFF"/>
          </w:tcPr>
          <w:p w14:paraId="2F36564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299C4CD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Központi kormányzatok vagy központi bankok</w:t>
            </w:r>
          </w:p>
          <w:p w14:paraId="701FDDD6" w14:textId="77777777" w:rsidR="009D6580" w:rsidRPr="002A677E" w:rsidRDefault="009D6580" w:rsidP="00822842">
            <w:pPr>
              <w:ind w:left="72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 cikkének a) pontja.</w:t>
            </w:r>
          </w:p>
        </w:tc>
      </w:tr>
      <w:tr w:rsidR="009D6580" w:rsidRPr="002A677E" w14:paraId="68375DB0" w14:textId="77777777" w:rsidTr="00822842">
        <w:tc>
          <w:tcPr>
            <w:tcW w:w="1188" w:type="dxa"/>
            <w:shd w:val="clear" w:color="auto" w:fill="FFFFFF"/>
          </w:tcPr>
          <w:p w14:paraId="1C3E335B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944FAD5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Regionális kormányzatok vagy helyi hatóságok</w:t>
            </w:r>
          </w:p>
          <w:p w14:paraId="06578FE1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 cikkének b) pontja.</w:t>
            </w:r>
          </w:p>
        </w:tc>
      </w:tr>
      <w:tr w:rsidR="009D6580" w:rsidRPr="002A677E" w14:paraId="586A7704" w14:textId="77777777" w:rsidTr="00822842">
        <w:tc>
          <w:tcPr>
            <w:tcW w:w="1188" w:type="dxa"/>
            <w:shd w:val="clear" w:color="auto" w:fill="FFFFFF"/>
          </w:tcPr>
          <w:p w14:paraId="2F12168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63F83BD2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Közszektorbeli intézmények</w:t>
            </w:r>
          </w:p>
          <w:p w14:paraId="451BD941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 cikkének c) pontja.</w:t>
            </w:r>
          </w:p>
        </w:tc>
      </w:tr>
      <w:tr w:rsidR="009D6580" w:rsidRPr="002A677E" w14:paraId="6FF0246D" w14:textId="77777777" w:rsidTr="00822842">
        <w:tc>
          <w:tcPr>
            <w:tcW w:w="1188" w:type="dxa"/>
            <w:shd w:val="clear" w:color="auto" w:fill="FFFFFF"/>
          </w:tcPr>
          <w:p w14:paraId="0764BD9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3EC9AA89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Multilaterális fejlesztési bankok</w:t>
            </w:r>
          </w:p>
          <w:p w14:paraId="59A02674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 cikkének d) pontja.</w:t>
            </w:r>
          </w:p>
        </w:tc>
      </w:tr>
      <w:tr w:rsidR="009D6580" w:rsidRPr="002A677E" w14:paraId="6E3FD4C2" w14:textId="77777777" w:rsidTr="00822842">
        <w:tc>
          <w:tcPr>
            <w:tcW w:w="1188" w:type="dxa"/>
            <w:shd w:val="clear" w:color="auto" w:fill="FFFFFF"/>
          </w:tcPr>
          <w:p w14:paraId="6AB2663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907B56D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Nemzetközi szervezetek</w:t>
            </w:r>
          </w:p>
          <w:p w14:paraId="17C7FCF4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 cikkének e) pontja.</w:t>
            </w:r>
          </w:p>
        </w:tc>
      </w:tr>
      <w:tr w:rsidR="009D6580" w:rsidRPr="002A677E" w14:paraId="4CDD7211" w14:textId="77777777" w:rsidTr="00822842">
        <w:tc>
          <w:tcPr>
            <w:tcW w:w="1188" w:type="dxa"/>
            <w:shd w:val="clear" w:color="auto" w:fill="FFFFFF"/>
          </w:tcPr>
          <w:p w14:paraId="21D2188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404BFA7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Intézmények</w:t>
            </w:r>
          </w:p>
          <w:p w14:paraId="153928C3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 cikkének f) pontja.</w:t>
            </w:r>
          </w:p>
        </w:tc>
      </w:tr>
      <w:tr w:rsidR="009D6580" w:rsidRPr="002A677E" w14:paraId="7EB39EC1" w14:textId="77777777" w:rsidTr="00822842">
        <w:tc>
          <w:tcPr>
            <w:tcW w:w="1188" w:type="dxa"/>
            <w:shd w:val="clear" w:color="auto" w:fill="FFFFFF"/>
          </w:tcPr>
          <w:p w14:paraId="666DDCFA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FC344C1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Vállalkozások</w:t>
            </w:r>
          </w:p>
          <w:p w14:paraId="2131631A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 cikkének g) pontja.</w:t>
            </w:r>
          </w:p>
        </w:tc>
      </w:tr>
      <w:tr w:rsidR="009D6580" w:rsidRPr="002A677E" w14:paraId="03BB556F" w14:textId="77777777" w:rsidTr="00822842">
        <w:tc>
          <w:tcPr>
            <w:tcW w:w="1188" w:type="dxa"/>
            <w:shd w:val="clear" w:color="auto" w:fill="FFFFFF"/>
          </w:tcPr>
          <w:p w14:paraId="4BDE48C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299BAF86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Kkv</w:t>
            </w:r>
          </w:p>
          <w:p w14:paraId="54A9735B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 CR SA tábla 0020. sorával azonos meghatározás</w:t>
            </w:r>
          </w:p>
        </w:tc>
      </w:tr>
      <w:tr w:rsidR="009D6580" w:rsidRPr="002A677E" w14:paraId="134D23F8" w14:textId="77777777" w:rsidTr="00822842">
        <w:tc>
          <w:tcPr>
            <w:tcW w:w="1188" w:type="dxa"/>
            <w:shd w:val="clear" w:color="auto" w:fill="FFFFFF"/>
          </w:tcPr>
          <w:p w14:paraId="44C941F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0076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7F474DF" w14:textId="77777777" w:rsidR="009D6580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Speciális hitelezés</w:t>
            </w:r>
          </w:p>
          <w:p w14:paraId="78348E89" w14:textId="77777777" w:rsidR="009D6580" w:rsidRPr="000059B8" w:rsidRDefault="009D6580" w:rsidP="00822842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122a. cikke</w:t>
            </w:r>
          </w:p>
        </w:tc>
      </w:tr>
      <w:tr w:rsidR="009D6580" w:rsidRPr="002A677E" w14:paraId="128893B5" w14:textId="77777777" w:rsidTr="00822842">
        <w:tc>
          <w:tcPr>
            <w:tcW w:w="1188" w:type="dxa"/>
            <w:shd w:val="clear" w:color="auto" w:fill="FFFFFF"/>
          </w:tcPr>
          <w:p w14:paraId="1169A0D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C4CE181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Lakossági</w:t>
            </w:r>
          </w:p>
          <w:p w14:paraId="4C73D393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 cikkének h) pontja.</w:t>
            </w:r>
          </w:p>
        </w:tc>
      </w:tr>
      <w:tr w:rsidR="009D6580" w:rsidRPr="002A677E" w14:paraId="1D7D32D9" w14:textId="77777777" w:rsidTr="00822842">
        <w:tc>
          <w:tcPr>
            <w:tcW w:w="1188" w:type="dxa"/>
            <w:shd w:val="clear" w:color="auto" w:fill="FFFFFF"/>
          </w:tcPr>
          <w:p w14:paraId="1C97506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3F494D2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Kkv</w:t>
            </w:r>
          </w:p>
          <w:p w14:paraId="08FE43D7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 CR SA tábla 0020. sorával azonos meghatározás</w:t>
            </w:r>
          </w:p>
        </w:tc>
      </w:tr>
      <w:tr w:rsidR="009D6580" w:rsidRPr="002A677E" w14:paraId="3E90F1DB" w14:textId="77777777" w:rsidTr="00822842">
        <w:tc>
          <w:tcPr>
            <w:tcW w:w="1188" w:type="dxa"/>
            <w:shd w:val="clear" w:color="auto" w:fill="FFFFFF"/>
          </w:tcPr>
          <w:p w14:paraId="67147AF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7BDF7D3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Ingatlanra bejegyzett zálogjoggal fedezett, valamint földterületszerzéssel, fejlesztéssel és építéssel szembeni kitettségek</w:t>
            </w:r>
          </w:p>
          <w:p w14:paraId="6DD925ED" w14:textId="77777777" w:rsidR="009D6580" w:rsidRPr="002A677E" w:rsidRDefault="009D6580" w:rsidP="00822842">
            <w:pPr>
              <w:ind w:left="72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 cikkének i) pontja.</w:t>
            </w:r>
          </w:p>
        </w:tc>
      </w:tr>
      <w:tr w:rsidR="0020657D" w:rsidRPr="002A677E" w14:paraId="121569F5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F9610" w14:textId="778F3300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0091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CA920" w14:textId="65F7321C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Lakóingatlanra bejegyzett zálogjoggal fedezett kitettségek – nem jövedelemtermelő ingatlanok (fedezett)</w:t>
            </w:r>
          </w:p>
          <w:p w14:paraId="5BC0E4C6" w14:textId="5F815813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Lásd a CR SA táblát</w:t>
            </w:r>
          </w:p>
        </w:tc>
      </w:tr>
      <w:tr w:rsidR="0020657D" w:rsidRPr="002A677E" w14:paraId="25B6933C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E904D" w14:textId="7F2711DF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0092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2D1EF" w14:textId="72958AEA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Lakóingatlanra bejegyzett zálogjoggal fedezett kitettségek – nem jövedelemtermelő ingatlanok (fedezetlen)</w:t>
            </w:r>
          </w:p>
          <w:p w14:paraId="607C903E" w14:textId="583159EA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Lásd a CR SA táblát</w:t>
            </w:r>
          </w:p>
        </w:tc>
      </w:tr>
      <w:tr w:rsidR="0020657D" w:rsidRPr="002A677E" w14:paraId="701555A6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B302C" w14:textId="18CEE166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0093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3FDD9" w14:textId="16FA23A8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Lakóingatlanra bejegyzett zálogjoggal fedezett kitettségek – Egyéb – nem jövedelemtermelő ingatlanok</w:t>
            </w:r>
          </w:p>
          <w:p w14:paraId="311E3CF5" w14:textId="5245D766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Lásd a CR SA táblát</w:t>
            </w:r>
          </w:p>
        </w:tc>
      </w:tr>
      <w:tr w:rsidR="0020657D" w:rsidRPr="002A677E" w14:paraId="615EF345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3A88D" w14:textId="63260C8C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0094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6351D" w14:textId="44D3576D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Lakóingatlanra bejegyzett zálogjoggal fedezett kitettségek – jövedelemtermelő ingatlanok</w:t>
            </w:r>
          </w:p>
          <w:p w14:paraId="2090782C" w14:textId="64D92CBC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Lásd a CR SA táblát</w:t>
            </w:r>
          </w:p>
        </w:tc>
      </w:tr>
      <w:tr w:rsidR="0020657D" w:rsidRPr="002A677E" w14:paraId="7CA1FEE3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77C41" w14:textId="4CF840EB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0900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68974" w14:textId="0C6812F1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Lakóingatlanra bejegyzett zálogjoggal fedezett kitettségek – Egyéb – jövedelemtermelő ingatlanok</w:t>
            </w:r>
          </w:p>
          <w:p w14:paraId="18E3F7B1" w14:textId="00D9A105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Lásd a CR SA táblát</w:t>
            </w:r>
          </w:p>
        </w:tc>
      </w:tr>
      <w:tr w:rsidR="0020657D" w:rsidRPr="002A677E" w14:paraId="1B8412D1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C5681" w14:textId="00CB1918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F7F6F" w14:textId="3D113128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Kereskedelmi ingatlanra bejegyzett zálogjoggal fedezett kitettségek – nem jövedelemtermelő ingatlanok (fedezett)</w:t>
            </w:r>
          </w:p>
          <w:p w14:paraId="1DD8A6CF" w14:textId="2D56F96D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Lásd a CR SA táblát</w:t>
            </w:r>
          </w:p>
        </w:tc>
      </w:tr>
      <w:tr w:rsidR="0020657D" w:rsidRPr="002A677E" w14:paraId="4BB5A6B7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29792" w14:textId="67A4B384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D85FF" w14:textId="01F00A09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Kereskedelmi ingatlanra bejegyzett zálogjoggal fedezett kitettségek – nem jövedelemtermelő ingatlanok (fedezetlen)</w:t>
            </w:r>
          </w:p>
          <w:p w14:paraId="37DA45D4" w14:textId="1AC5F0E1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Lásd a CR SA táblát</w:t>
            </w:r>
          </w:p>
        </w:tc>
      </w:tr>
      <w:tr w:rsidR="0020657D" w:rsidRPr="002A677E" w14:paraId="51A35A79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98603" w14:textId="70C97B22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6D829" w14:textId="34287D44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Kereskedelmi ingatlanra bejegyzett zálogjoggal fedezett kitettségek – Egyéb – nem jövedelemtermelő ingatlanok</w:t>
            </w:r>
          </w:p>
          <w:p w14:paraId="653F8A23" w14:textId="727D9E51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Lásd a CR SA táblát</w:t>
            </w:r>
          </w:p>
        </w:tc>
      </w:tr>
      <w:tr w:rsidR="0020657D" w:rsidRPr="002A677E" w14:paraId="638CB8D2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2B42B" w14:textId="774FFF1B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0904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691C9" w14:textId="20A87DF1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Kereskedelmi ingatlanra bejegyzett zálogjoggal fedezett kitettségek – jövedelemtermelő ingatlanok</w:t>
            </w:r>
          </w:p>
          <w:p w14:paraId="5C23C6C1" w14:textId="64A934FD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Lásd a CR SA táblát</w:t>
            </w:r>
          </w:p>
        </w:tc>
      </w:tr>
      <w:tr w:rsidR="0020657D" w:rsidRPr="002A677E" w14:paraId="09F113E4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B40E8" w14:textId="0E4A9F4B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0905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5DE58" w14:textId="7E237189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Kereskedelmi ingatlanra bejegyzett zálogjoggal fedezett kitettségek – Egyéb – jövedelemtermelő ingatlanok</w:t>
            </w:r>
          </w:p>
          <w:p w14:paraId="4CFFBC8C" w14:textId="16697C60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Lásd a CR SA táblát</w:t>
            </w:r>
          </w:p>
        </w:tc>
      </w:tr>
      <w:tr w:rsidR="0020657D" w:rsidRPr="002A677E" w14:paraId="0CC83534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4BAD1" w14:textId="4C383CF0" w:rsidR="0020657D" w:rsidRPr="0020657D" w:rsidRDefault="0020657D" w:rsidP="0020657D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0906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FA51D" w14:textId="404C4240" w:rsidR="0020657D" w:rsidRDefault="0020657D" w:rsidP="0020657D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Földterületszerzéssel, fejlesztéssel és építéssel szembeni kitettségek</w:t>
            </w:r>
          </w:p>
          <w:p w14:paraId="0CFE246E" w14:textId="00399E0A" w:rsidR="0020657D" w:rsidRPr="0020657D" w:rsidRDefault="0064771D" w:rsidP="0020657D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Lásd a CR SA táblát</w:t>
            </w:r>
          </w:p>
        </w:tc>
      </w:tr>
      <w:tr w:rsidR="009D6580" w:rsidRPr="002A677E" w14:paraId="4C9413B7" w14:textId="77777777" w:rsidTr="00822842">
        <w:tc>
          <w:tcPr>
            <w:tcW w:w="1188" w:type="dxa"/>
            <w:shd w:val="clear" w:color="auto" w:fill="FFFFFF"/>
          </w:tcPr>
          <w:p w14:paraId="5E67C51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4DFFD2E6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ebből: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Kkv</w:t>
            </w:r>
          </w:p>
          <w:p w14:paraId="6A4AA475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 CR SA tábla 0020. sorával azonos meghatározás</w:t>
            </w:r>
          </w:p>
        </w:tc>
      </w:tr>
      <w:tr w:rsidR="009D6580" w:rsidRPr="002A677E" w14:paraId="0A879D31" w14:textId="77777777" w:rsidTr="00822842">
        <w:tc>
          <w:tcPr>
            <w:tcW w:w="1188" w:type="dxa"/>
            <w:shd w:val="clear" w:color="auto" w:fill="FFFFFF"/>
          </w:tcPr>
          <w:p w14:paraId="67C52CF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25A151C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Nemteljesítő kitettségek</w:t>
            </w:r>
          </w:p>
          <w:p w14:paraId="24E89ACE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 cikkének j) pontja.</w:t>
            </w:r>
          </w:p>
        </w:tc>
      </w:tr>
      <w:tr w:rsidR="009D6580" w:rsidRPr="002A677E" w14:paraId="09CAD285" w14:textId="77777777" w:rsidTr="00822842">
        <w:tc>
          <w:tcPr>
            <w:tcW w:w="1188" w:type="dxa"/>
            <w:shd w:val="clear" w:color="auto" w:fill="FFFFFF"/>
          </w:tcPr>
          <w:p w14:paraId="0FA617C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1EBD362" w14:textId="77777777" w:rsidR="009D6580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Alárendelt hitelviszonyt megtestesítő kitettségek</w:t>
            </w:r>
          </w:p>
          <w:p w14:paraId="7F19547A" w14:textId="77777777" w:rsidR="009D6580" w:rsidRPr="000059B8" w:rsidRDefault="009D6580" w:rsidP="00822842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 cikkének k) pontja.</w:t>
            </w:r>
          </w:p>
        </w:tc>
      </w:tr>
      <w:tr w:rsidR="009D6580" w:rsidRPr="002A677E" w14:paraId="7674C8D0" w14:textId="77777777" w:rsidTr="00822842">
        <w:tc>
          <w:tcPr>
            <w:tcW w:w="1188" w:type="dxa"/>
            <w:shd w:val="clear" w:color="auto" w:fill="FFFFFF"/>
          </w:tcPr>
          <w:p w14:paraId="0BFA54D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D949A7D" w14:textId="77777777" w:rsidR="009D6580" w:rsidRPr="002A677E" w:rsidRDefault="009D6580" w:rsidP="00822842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Fedezett kötvények</w:t>
            </w:r>
          </w:p>
          <w:p w14:paraId="68F7689A" w14:textId="77777777" w:rsidR="009D6580" w:rsidRPr="002A677E" w:rsidRDefault="009D6580" w:rsidP="00822842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Text"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 cikkének l) pontja.</w:t>
            </w:r>
          </w:p>
        </w:tc>
      </w:tr>
      <w:tr w:rsidR="009D6580" w:rsidRPr="002A677E" w14:paraId="18458816" w14:textId="77777777" w:rsidTr="00822842">
        <w:tc>
          <w:tcPr>
            <w:tcW w:w="1188" w:type="dxa"/>
            <w:shd w:val="clear" w:color="auto" w:fill="FFFFFF"/>
          </w:tcPr>
          <w:p w14:paraId="7948D0D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  <w:p w14:paraId="7980BCEA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01" w:type="dxa"/>
            <w:gridSpan w:val="2"/>
            <w:shd w:val="clear" w:color="auto" w:fill="FFFFFF"/>
          </w:tcPr>
          <w:p w14:paraId="5ADC641A" w14:textId="77777777" w:rsidR="009D6580" w:rsidRPr="002A677E" w:rsidRDefault="009D6580" w:rsidP="00822842">
            <w:pPr>
              <w:ind w:left="72"/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Rövid távú hitelminősítéssel rendelkező intézményekkel és vállalkozásokkal szembeni követelések</w:t>
            </w:r>
          </w:p>
          <w:p w14:paraId="53F92677" w14:textId="77777777" w:rsidR="009D6580" w:rsidRPr="002A677E" w:rsidRDefault="009D6580" w:rsidP="00822842">
            <w:pPr>
              <w:ind w:left="72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 cikkének n) pontja.</w:t>
            </w:r>
          </w:p>
        </w:tc>
      </w:tr>
      <w:tr w:rsidR="009D6580" w:rsidRPr="002A677E" w14:paraId="047E6212" w14:textId="77777777" w:rsidTr="00822842">
        <w:tc>
          <w:tcPr>
            <w:tcW w:w="1188" w:type="dxa"/>
            <w:shd w:val="clear" w:color="auto" w:fill="FFFFFF"/>
          </w:tcPr>
          <w:p w14:paraId="3E827A3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2E96D7EF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Kollektív befektetési formák (KBF)</w:t>
            </w:r>
          </w:p>
          <w:p w14:paraId="6BE6CAC2" w14:textId="77777777" w:rsidR="009D6580" w:rsidRPr="002A677E" w:rsidRDefault="009D6580" w:rsidP="00822842">
            <w:pPr>
              <w:ind w:left="72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 cikkének o) pontja.</w:t>
            </w:r>
          </w:p>
          <w:p w14:paraId="0FFD53A4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0141–0143-as sorok összege</w:t>
            </w:r>
          </w:p>
        </w:tc>
      </w:tr>
      <w:tr w:rsidR="009D6580" w:rsidRPr="002A677E" w14:paraId="1E100EF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F572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91D5D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Az áttekintés elve</w:t>
            </w:r>
          </w:p>
          <w:p w14:paraId="00783183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 CR SA tábla 0281. sorával azonos meghatározás</w:t>
            </w:r>
          </w:p>
        </w:tc>
      </w:tr>
      <w:tr w:rsidR="009D6580" w:rsidRPr="002A677E" w14:paraId="10D57CC4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AB8D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16A9B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megbízatáson alapuló módszer</w:t>
            </w:r>
          </w:p>
          <w:p w14:paraId="1FD38657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 CR SA tábla 0282. sorával azonos meghatározás</w:t>
            </w:r>
          </w:p>
        </w:tc>
      </w:tr>
      <w:tr w:rsidR="009D6580" w:rsidRPr="002A677E" w14:paraId="3E0CB8ED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037C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8BF90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Tartalékmódszer (Fall-back approach)</w:t>
            </w:r>
          </w:p>
          <w:p w14:paraId="2EA9AADD" w14:textId="77777777" w:rsidR="009D6580" w:rsidRPr="002A677E" w:rsidRDefault="009D6580" w:rsidP="00822842">
            <w:pPr>
              <w:ind w:left="72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 CR SA tábla 0283. sorával azonos meghatározás</w:t>
            </w:r>
          </w:p>
        </w:tc>
      </w:tr>
      <w:tr w:rsidR="009D6580" w:rsidRPr="002A677E" w14:paraId="518DACEB" w14:textId="77777777" w:rsidTr="00822842">
        <w:tc>
          <w:tcPr>
            <w:tcW w:w="1188" w:type="dxa"/>
            <w:shd w:val="clear" w:color="auto" w:fill="FFFFFF"/>
          </w:tcPr>
          <w:p w14:paraId="091F315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0CB5B1C0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Részvényjellegű kitettségek</w:t>
            </w:r>
          </w:p>
          <w:p w14:paraId="3170DAFB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 cikkének p) pontja.</w:t>
            </w:r>
          </w:p>
        </w:tc>
      </w:tr>
      <w:tr w:rsidR="009D6580" w:rsidRPr="002A677E" w14:paraId="406875C9" w14:textId="77777777" w:rsidTr="00822842">
        <w:tc>
          <w:tcPr>
            <w:tcW w:w="1188" w:type="dxa"/>
            <w:shd w:val="clear" w:color="auto" w:fill="FFFFFF"/>
          </w:tcPr>
          <w:p w14:paraId="432F962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39F32E7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Egyéb kitettségek</w:t>
            </w:r>
          </w:p>
          <w:p w14:paraId="5D708342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112. cikkének q) pontja.</w:t>
            </w:r>
          </w:p>
        </w:tc>
      </w:tr>
      <w:tr w:rsidR="009D6580" w:rsidRPr="002A677E" w14:paraId="79E704E6" w14:textId="77777777" w:rsidTr="00822842">
        <w:tc>
          <w:tcPr>
            <w:tcW w:w="1188" w:type="dxa"/>
            <w:shd w:val="clear" w:color="auto" w:fill="FFFFFF"/>
          </w:tcPr>
          <w:p w14:paraId="027B6EB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45271DD" w14:textId="77777777" w:rsidR="009D6580" w:rsidRPr="002A677E" w:rsidRDefault="009D6580" w:rsidP="00822842">
            <w:pPr>
              <w:ind w:left="72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Teljes kitettség</w:t>
            </w:r>
          </w:p>
        </w:tc>
      </w:tr>
    </w:tbl>
    <w:p w14:paraId="2EB3E5B0" w14:textId="77777777" w:rsidR="009D6580" w:rsidRPr="002A677E" w:rsidRDefault="009D6580" w:rsidP="009D6580">
      <w:pPr>
        <w:spacing w:before="0" w:after="200" w:line="312" w:lineRule="auto"/>
        <w:jc w:val="left"/>
        <w:rPr>
          <w:sz w:val="24"/>
          <w:rFonts w:ascii="Times New Roman" w:hAnsi="Times New Roman"/>
        </w:rPr>
      </w:pPr>
      <w:bookmarkStart w:id="3" w:name="_Toc292456210"/>
    </w:p>
    <w:p w14:paraId="467F6DC6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4" w:name="_Toc360188364"/>
      <w:bookmarkStart w:id="5" w:name="_Toc473560915"/>
      <w:bookmarkStart w:id="6" w:name="_Toc151714419"/>
      <w:r>
        <w:rPr>
          <w:sz w:val="24"/>
          <w:u w:val="none"/>
          <w:rFonts w:ascii="Times New Roman" w:hAnsi="Times New Roman"/>
        </w:rPr>
        <w:t xml:space="preserve">3.4.2.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09.02 – Kitettségek földrajzi bontása a kötelezett illetősége szerint: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IRB-kitettségek </w:t>
      </w:r>
      <w:bookmarkEnd w:id="4"/>
      <w:r>
        <w:rPr>
          <w:sz w:val="24"/>
          <w:rFonts w:ascii="Times New Roman" w:hAnsi="Times New Roman"/>
        </w:rPr>
        <w:t xml:space="preserve">(CR GB 2)</w:t>
      </w:r>
      <w:bookmarkEnd w:id="5"/>
      <w:bookmarkEnd w:id="6"/>
    </w:p>
    <w:p w14:paraId="21A320CB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7" w:name="_Toc360188365"/>
      <w:bookmarkStart w:id="8" w:name="_Toc473560916"/>
      <w:bookmarkStart w:id="9" w:name="_Toc151714420"/>
      <w:r>
        <w:rPr>
          <w:sz w:val="24"/>
          <w:u w:val="none"/>
          <w:rFonts w:ascii="Times New Roman" w:hAnsi="Times New Roman"/>
        </w:rPr>
        <w:t xml:space="preserve">3.4.2.1.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 tábla egyes részeire vonatkozó útmutató</w:t>
      </w:r>
      <w:bookmarkEnd w:id="7"/>
      <w:bookmarkEnd w:id="8"/>
      <w:bookmarkEnd w:id="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2A677E" w14:paraId="5FD232EC" w14:textId="77777777" w:rsidTr="00822842">
        <w:tc>
          <w:tcPr>
            <w:tcW w:w="1188" w:type="dxa"/>
            <w:shd w:val="clear" w:color="auto" w:fill="CCCCCC"/>
          </w:tcPr>
          <w:p w14:paraId="0A2DD9C0" w14:textId="77777777" w:rsidR="009D6580" w:rsidRPr="002A677E" w:rsidRDefault="009D6580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Oszlopok</w:t>
            </w:r>
          </w:p>
        </w:tc>
        <w:tc>
          <w:tcPr>
            <w:tcW w:w="8640" w:type="dxa"/>
            <w:shd w:val="clear" w:color="auto" w:fill="CCCCCC"/>
          </w:tcPr>
          <w:p w14:paraId="1C07519A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4CF7BB7D" w14:textId="77777777" w:rsidTr="00822842">
        <w:tc>
          <w:tcPr>
            <w:tcW w:w="1188" w:type="dxa"/>
          </w:tcPr>
          <w:p w14:paraId="1DF8677F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640" w:type="dxa"/>
          </w:tcPr>
          <w:p w14:paraId="5DA72BDB" w14:textId="77777777" w:rsidR="009D6580" w:rsidRPr="002A677E" w:rsidRDefault="009D6580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HITEL-EGYENÉRTÉKESÍTÉSI TÉNYEZŐK ELŐTTI EREDETI KITETTSÉG</w:t>
            </w:r>
          </w:p>
          <w:p w14:paraId="714A5DA7" w14:textId="77777777" w:rsidR="009D6580" w:rsidRPr="002A677E" w:rsidRDefault="009D6580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CR IRB tábla 0020-es oszlopával azonos meghatározás.</w:t>
            </w:r>
          </w:p>
        </w:tc>
      </w:tr>
      <w:tr w:rsidR="009D6580" w:rsidRPr="002A677E" w14:paraId="770F3897" w14:textId="77777777" w:rsidTr="00822842">
        <w:tc>
          <w:tcPr>
            <w:tcW w:w="1188" w:type="dxa"/>
          </w:tcPr>
          <w:p w14:paraId="56E092E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640" w:type="dxa"/>
          </w:tcPr>
          <w:p w14:paraId="0071C394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Ebből: nemteljesítő</w:t>
            </w:r>
          </w:p>
          <w:p w14:paraId="2768B5B2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178. cikke szerint nemteljesítő kitettségként besorolt kitettségek eredeti kitettségértéke.</w:t>
            </w:r>
          </w:p>
        </w:tc>
      </w:tr>
      <w:tr w:rsidR="009D6580" w:rsidRPr="002A677E" w14:paraId="7AD6E18B" w14:textId="77777777" w:rsidTr="00822842">
        <w:tc>
          <w:tcPr>
            <w:tcW w:w="1188" w:type="dxa"/>
          </w:tcPr>
          <w:p w14:paraId="1DFAF6C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640" w:type="dxa"/>
          </w:tcPr>
          <w:p w14:paraId="3FD9DA2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Az időszakban megállapított új nemteljesítések</w:t>
            </w:r>
          </w:p>
          <w:p w14:paraId="2393DEC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legutóbbi adatszolgáltatási vonatkozási időpont óta eltelt 3 hónap során a „nemteljesítő kitettségek” közé sorolt eredeti kitettségek összegét abban a kitettségi osztályban kell feltüntetni, amelybe a kötelezett eredetileg tartozott.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9D6580" w:rsidRPr="002A677E" w14:paraId="382342DD" w14:textId="77777777" w:rsidTr="00822842">
        <w:tc>
          <w:tcPr>
            <w:tcW w:w="1188" w:type="dxa"/>
          </w:tcPr>
          <w:p w14:paraId="20977C7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640" w:type="dxa"/>
          </w:tcPr>
          <w:p w14:paraId="6E8FD64C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Általános hitelkockázati kiigazítások</w:t>
            </w:r>
          </w:p>
          <w:p w14:paraId="1F1D0A5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110. cikkében és a 183/2014/EU rendeletben említett hitelkockázati kiigazítások.</w:t>
            </w:r>
          </w:p>
        </w:tc>
      </w:tr>
      <w:tr w:rsidR="009D6580" w:rsidRPr="002A677E" w14:paraId="63C2E396" w14:textId="77777777" w:rsidTr="00822842">
        <w:tc>
          <w:tcPr>
            <w:tcW w:w="1188" w:type="dxa"/>
          </w:tcPr>
          <w:p w14:paraId="3BC8F12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0055</w:t>
            </w:r>
          </w:p>
        </w:tc>
        <w:tc>
          <w:tcPr>
            <w:tcW w:w="8640" w:type="dxa"/>
          </w:tcPr>
          <w:p w14:paraId="26D828F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Egyedi hitelkockázati kiigazítások</w:t>
            </w:r>
          </w:p>
          <w:p w14:paraId="4DA8E76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110. cikkében és a 183/2014/EU rendeletben említett hitelkockázati kiigazítások.</w:t>
            </w:r>
          </w:p>
        </w:tc>
      </w:tr>
      <w:tr w:rsidR="009D6580" w:rsidRPr="002A677E" w14:paraId="24582208" w14:textId="77777777" w:rsidTr="00822842">
        <w:tc>
          <w:tcPr>
            <w:tcW w:w="1188" w:type="dxa"/>
          </w:tcPr>
          <w:p w14:paraId="46A1EB0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640" w:type="dxa"/>
          </w:tcPr>
          <w:p w14:paraId="4CC236D8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Leírások</w:t>
            </w:r>
          </w:p>
          <w:p w14:paraId="51BEEB5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Az IFRS 9 5.4.4. bekezdésében és B5.4.9. bekezdésében említett leírások.</w:t>
            </w:r>
          </w:p>
        </w:tc>
      </w:tr>
      <w:tr w:rsidR="009D6580" w:rsidRPr="002A677E" w14:paraId="615BD0D9" w14:textId="77777777" w:rsidTr="00822842">
        <w:tc>
          <w:tcPr>
            <w:tcW w:w="1188" w:type="dxa"/>
          </w:tcPr>
          <w:p w14:paraId="641E5F2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640" w:type="dxa"/>
          </w:tcPr>
          <w:p w14:paraId="7C362C1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megállapított új nemteljesítések utáni hitelkockázati kiigazítások/leírások</w:t>
            </w:r>
          </w:p>
          <w:p w14:paraId="454774E2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legutóbbi adatszolgáltatás óta eltelt 3 hónap során a „nemteljesítő kitettségek” közé sorolt kitettségek utáni hitelkockázati kiigazítások és leírások.</w:t>
            </w:r>
          </w:p>
        </w:tc>
      </w:tr>
      <w:tr w:rsidR="009D6580" w:rsidRPr="002A677E" w14:paraId="4B7452D7" w14:textId="77777777" w:rsidTr="00822842">
        <w:tc>
          <w:tcPr>
            <w:tcW w:w="1188" w:type="dxa"/>
          </w:tcPr>
          <w:p w14:paraId="1A68115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640" w:type="dxa"/>
          </w:tcPr>
          <w:p w14:paraId="256EF248" w14:textId="77777777" w:rsidR="009D6580" w:rsidRPr="002A677E" w:rsidRDefault="009D6580" w:rsidP="00822842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BELSŐ MINŐSÍTÉSI SKÁLA / AZ ÜGYFÉLKATEGÓRIÁHOZ VAGY -HALMAZHOZ (POOLHOZ) RENDELT NEMTELJESÍTÉSI VALÓSZÍNŰSÉG (%)</w:t>
            </w:r>
          </w:p>
          <w:p w14:paraId="2C51714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CR IRB tábla 0010-es oszlopával azonos meghatározás.</w:t>
            </w:r>
          </w:p>
        </w:tc>
      </w:tr>
      <w:tr w:rsidR="009D6580" w:rsidRPr="002A677E" w14:paraId="18989AFE" w14:textId="77777777" w:rsidTr="00822842">
        <w:tc>
          <w:tcPr>
            <w:tcW w:w="1188" w:type="dxa"/>
          </w:tcPr>
          <w:p w14:paraId="489AE0F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640" w:type="dxa"/>
          </w:tcPr>
          <w:p w14:paraId="78B53BE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KITETTSÉGGEL SÚLYOZOTT ÁTLAGOS LGD (%)</w:t>
            </w:r>
          </w:p>
          <w:p w14:paraId="5BC89E8E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A CR IRB tábla 0230-as és 0240-es oszlopára vonatkozóval azonos meghatározás: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a kitettséggel súlyozott átlagos LGD-érték (%) minden kitettségre utal, beleértve a nagy méretű pénzügyi ágazatbeli szervezetekkel és a nem szabályozott pénzügyi ágazatbeli szervezetekkel szembeni kitettségeket.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575/2013/EU rendelet 181. cikke (1) bekezdésének h) pontját kell alkalmazni.</w:t>
            </w:r>
          </w:p>
          <w:p w14:paraId="3A7794E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Olyan speciális hitelezési kitettségek esetében, amelyeknél a PD becsült érték, a jelentett értéknek vagy a becsült vagy a szabályozói LGD-értéknek kell lennie.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575/2013/EU rendelet 153. cikkének (5) bekezdésében említett speciális hitelezési kitettségek esetében nem lehet adatot szolgáltatni, mivel nem áll rendelkezésre adat.</w:t>
            </w:r>
          </w:p>
        </w:tc>
      </w:tr>
      <w:tr w:rsidR="009D6580" w:rsidRPr="002A677E" w14:paraId="66756C12" w14:textId="77777777" w:rsidTr="00822842">
        <w:tc>
          <w:tcPr>
            <w:tcW w:w="1188" w:type="dxa"/>
          </w:tcPr>
          <w:p w14:paraId="317ECEC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640" w:type="dxa"/>
          </w:tcPr>
          <w:p w14:paraId="68CF6D3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Ebből: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nemteljesítő</w:t>
            </w:r>
          </w:p>
          <w:p w14:paraId="789E281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178. cikke szerint nemteljesítő kitettségként besorolt kitettségek kitettséggel súlyozott LGD-értéke.</w:t>
            </w:r>
          </w:p>
        </w:tc>
      </w:tr>
      <w:tr w:rsidR="009D6580" w:rsidRPr="002A677E" w14:paraId="187792F5" w14:textId="77777777" w:rsidTr="00822842">
        <w:tc>
          <w:tcPr>
            <w:tcW w:w="1188" w:type="dxa"/>
          </w:tcPr>
          <w:p w14:paraId="41BFEDD8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0105</w:t>
            </w:r>
          </w:p>
        </w:tc>
        <w:tc>
          <w:tcPr>
            <w:tcW w:w="8640" w:type="dxa"/>
          </w:tcPr>
          <w:p w14:paraId="7B14423E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Kitettségérték</w:t>
            </w:r>
          </w:p>
          <w:p w14:paraId="533E4F5D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CR IRB tábla 0110-es oszlopával azonos meghatározás.</w:t>
            </w:r>
          </w:p>
        </w:tc>
      </w:tr>
      <w:tr w:rsidR="009D6580" w:rsidRPr="002A677E" w14:paraId="48402149" w14:textId="77777777" w:rsidTr="00822842">
        <w:tc>
          <w:tcPr>
            <w:tcW w:w="1188" w:type="dxa"/>
          </w:tcPr>
          <w:p w14:paraId="3E4D7142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640" w:type="dxa"/>
          </w:tcPr>
          <w:p w14:paraId="3BFEC9E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SZORZÓK ELŐTTI, KOCKÁZATTAL SÚLYOZOTT KITETTSÉGÉRTÉK</w:t>
            </w:r>
          </w:p>
          <w:p w14:paraId="38950726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CR IRB tábla 0255-es oszlopával azonos meghatározás.</w:t>
            </w:r>
          </w:p>
        </w:tc>
      </w:tr>
      <w:tr w:rsidR="009D6580" w:rsidRPr="002A677E" w14:paraId="321AA4CE" w14:textId="77777777" w:rsidTr="00822842">
        <w:tc>
          <w:tcPr>
            <w:tcW w:w="1188" w:type="dxa"/>
          </w:tcPr>
          <w:p w14:paraId="5F49B73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640" w:type="dxa"/>
          </w:tcPr>
          <w:p w14:paraId="2A07E1E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Ebből: nemteljesítő</w:t>
            </w:r>
          </w:p>
          <w:p w14:paraId="0B72119F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178. cikkének (1) bekezdése szerint nemteljesítő kitettségként besorolt kitettségek kockázattal súlyozott kitettségértéke.</w:t>
            </w:r>
          </w:p>
        </w:tc>
      </w:tr>
      <w:tr w:rsidR="009D6580" w:rsidRPr="002A677E" w14:paraId="4F58B17C" w14:textId="77777777" w:rsidTr="00822842">
        <w:tc>
          <w:tcPr>
            <w:tcW w:w="1188" w:type="dxa"/>
          </w:tcPr>
          <w:p w14:paraId="4331347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0121</w:t>
            </w:r>
          </w:p>
        </w:tc>
        <w:tc>
          <w:tcPr>
            <w:tcW w:w="8640" w:type="dxa"/>
          </w:tcPr>
          <w:p w14:paraId="51B6E44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(–) A KOCKÁZATTAL SÚLYOZOTT KITETTSÉGÉRTÉK KKV-SZORZÓ MIATTI KORREKCIÓJA</w:t>
            </w:r>
          </w:p>
          <w:p w14:paraId="7060DF05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CR IRB tábla 0256-es oszlopával azonos meghatározás.</w:t>
            </w:r>
          </w:p>
        </w:tc>
      </w:tr>
      <w:tr w:rsidR="009D6580" w:rsidRPr="002A677E" w14:paraId="6DA9FCB6" w14:textId="77777777" w:rsidTr="00822842">
        <w:tc>
          <w:tcPr>
            <w:tcW w:w="1188" w:type="dxa"/>
          </w:tcPr>
          <w:p w14:paraId="189DC6D4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0122</w:t>
            </w:r>
          </w:p>
        </w:tc>
        <w:tc>
          <w:tcPr>
            <w:tcW w:w="8640" w:type="dxa"/>
          </w:tcPr>
          <w:p w14:paraId="77E17241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(–) A KOCKÁZATTAL SÚLYOZOTT KITETTSÉGÉRTÉK INFRASTRUKTÚRA-SZORZÓ MIATTI KORREKCIÓJA</w:t>
            </w:r>
          </w:p>
          <w:p w14:paraId="1EE90D25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CR IRB tábla 0257-es oszlopával azonos meghatározás.</w:t>
            </w:r>
          </w:p>
        </w:tc>
      </w:tr>
      <w:tr w:rsidR="009D6580" w:rsidRPr="002A677E" w14:paraId="0A79EDF4" w14:textId="77777777" w:rsidTr="00822842">
        <w:tc>
          <w:tcPr>
            <w:tcW w:w="1188" w:type="dxa"/>
          </w:tcPr>
          <w:p w14:paraId="2D50BBC4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0125</w:t>
            </w:r>
          </w:p>
        </w:tc>
        <w:tc>
          <w:tcPr>
            <w:tcW w:w="8640" w:type="dxa"/>
          </w:tcPr>
          <w:p w14:paraId="0D402C8B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SZORZÓK UTÁNI, KOCKÁZATTAL SÚLYOZOTT KITETTSÉGÉRTÉK</w:t>
            </w:r>
          </w:p>
          <w:p w14:paraId="71F977E8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CR IRB tábla 0260-es oszlopával azonos meghatározás.</w:t>
            </w:r>
          </w:p>
        </w:tc>
      </w:tr>
      <w:tr w:rsidR="009D6580" w:rsidRPr="002A677E" w14:paraId="058051CC" w14:textId="77777777" w:rsidTr="00822842">
        <w:tc>
          <w:tcPr>
            <w:tcW w:w="1188" w:type="dxa"/>
          </w:tcPr>
          <w:p w14:paraId="02AA680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640" w:type="dxa"/>
          </w:tcPr>
          <w:p w14:paraId="5E66C6B0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VÁRHATÓ VESZTESÉGÉRTÉK</w:t>
            </w:r>
          </w:p>
          <w:p w14:paraId="27E13378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 CR IRB tábla 0280-es oszlopával azonos meghatározás.</w:t>
            </w:r>
          </w:p>
        </w:tc>
      </w:tr>
    </w:tbl>
    <w:p w14:paraId="26CEB25D" w14:textId="77777777" w:rsidR="009D6580" w:rsidRPr="002A677E" w:rsidRDefault="009D6580" w:rsidP="009D6580">
      <w:pPr>
        <w:rPr>
          <w:rFonts w:ascii="Times New Roman" w:hAnsi="Times New Roman"/>
          <w:sz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2A677E" w14:paraId="4378F7EC" w14:textId="77777777" w:rsidTr="00822842">
        <w:tc>
          <w:tcPr>
            <w:tcW w:w="1188" w:type="dxa"/>
            <w:shd w:val="clear" w:color="auto" w:fill="CCCCCC"/>
          </w:tcPr>
          <w:p w14:paraId="629D568D" w14:textId="77777777" w:rsidR="009D6580" w:rsidRPr="002A677E" w:rsidRDefault="009D6580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Sorok</w:t>
            </w:r>
          </w:p>
        </w:tc>
        <w:tc>
          <w:tcPr>
            <w:tcW w:w="8640" w:type="dxa"/>
            <w:shd w:val="clear" w:color="auto" w:fill="CCCCCC"/>
          </w:tcPr>
          <w:p w14:paraId="490E44FA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41D216F1" w14:textId="77777777" w:rsidTr="00822842">
        <w:tc>
          <w:tcPr>
            <w:tcW w:w="1188" w:type="dxa"/>
          </w:tcPr>
          <w:p w14:paraId="12CBEF0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640" w:type="dxa"/>
          </w:tcPr>
          <w:p w14:paraId="349EA92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Központi kormányzatok és központi bankok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45CC186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 cikke (2) bekezdésének a) pontja.</w:t>
            </w:r>
          </w:p>
        </w:tc>
      </w:tr>
      <w:tr w:rsidR="009D6580" w:rsidRPr="002A677E" w14:paraId="6125B13A" w14:textId="77777777" w:rsidTr="00822842">
        <w:tc>
          <w:tcPr>
            <w:tcW w:w="1188" w:type="dxa"/>
            <w:shd w:val="clear" w:color="auto" w:fill="auto"/>
          </w:tcPr>
          <w:p w14:paraId="33C6F35E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327D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Ebből: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Regionális kormányzatok vagy helyi hatóságok</w:t>
            </w:r>
          </w:p>
          <w:p w14:paraId="4864E15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 cikkének (3a) bekezdése</w:t>
            </w:r>
          </w:p>
        </w:tc>
      </w:tr>
      <w:tr w:rsidR="009D6580" w:rsidRPr="002A677E" w14:paraId="57997C4B" w14:textId="77777777" w:rsidTr="00822842">
        <w:tc>
          <w:tcPr>
            <w:tcW w:w="1188" w:type="dxa"/>
            <w:shd w:val="clear" w:color="auto" w:fill="auto"/>
          </w:tcPr>
          <w:p w14:paraId="7E0CEA1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0012</w:t>
            </w: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57E4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Regionális kormányzatok vagy helyi hatóságok</w:t>
            </w:r>
          </w:p>
          <w:p w14:paraId="19FE9B53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 cikke (2) bekezdése a1) pontjának i. alpontja</w:t>
            </w:r>
          </w:p>
        </w:tc>
      </w:tr>
      <w:tr w:rsidR="009D6580" w:rsidRPr="002A677E" w14:paraId="756631BD" w14:textId="77777777" w:rsidTr="00822842">
        <w:tc>
          <w:tcPr>
            <w:tcW w:w="1188" w:type="dxa"/>
            <w:shd w:val="clear" w:color="auto" w:fill="auto"/>
          </w:tcPr>
          <w:p w14:paraId="36422B7A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0013</w:t>
            </w: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C62E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Közszektorbeli intézmények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1DE1AAE7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 cikke (2) bekezdése a1) pontjának ii. alpontja</w:t>
            </w:r>
          </w:p>
        </w:tc>
      </w:tr>
      <w:tr w:rsidR="009D6580" w:rsidRPr="002A677E" w14:paraId="0C55C95D" w14:textId="77777777" w:rsidTr="00822842">
        <w:tc>
          <w:tcPr>
            <w:tcW w:w="1188" w:type="dxa"/>
          </w:tcPr>
          <w:p w14:paraId="6C8F06F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640" w:type="dxa"/>
          </w:tcPr>
          <w:p w14:paraId="460BDDF8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Intézmények</w:t>
            </w:r>
          </w:p>
          <w:p w14:paraId="504F46A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 cikke (2) bekezdésének b) pontja.</w:t>
            </w:r>
          </w:p>
        </w:tc>
      </w:tr>
      <w:tr w:rsidR="009D6580" w:rsidRPr="002A677E" w14:paraId="2B29BE20" w14:textId="77777777" w:rsidTr="00822842">
        <w:tc>
          <w:tcPr>
            <w:tcW w:w="1188" w:type="dxa"/>
          </w:tcPr>
          <w:p w14:paraId="521AA8B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640" w:type="dxa"/>
          </w:tcPr>
          <w:p w14:paraId="63C7233C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Vállalkozások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99F9BD2" w14:textId="77777777" w:rsidR="009D6580" w:rsidRPr="002A677E" w:rsidRDefault="009D6580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 cikke (2) bekezdésének c) pontjában említett, vállalkozásokkal szembeni valamennyi kitettség.</w:t>
            </w:r>
          </w:p>
        </w:tc>
      </w:tr>
      <w:tr w:rsidR="009D6580" w:rsidRPr="002A677E" w14:paraId="55C3FE5A" w14:textId="77777777" w:rsidTr="00822842">
        <w:tc>
          <w:tcPr>
            <w:tcW w:w="1188" w:type="dxa"/>
          </w:tcPr>
          <w:p w14:paraId="198D8F58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640" w:type="dxa"/>
          </w:tcPr>
          <w:p w14:paraId="66C0F4F0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Ebből: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Kkv</w:t>
            </w:r>
          </w:p>
          <w:p w14:paraId="13819074" w14:textId="77777777" w:rsidR="009D6580" w:rsidRPr="002A677E" w:rsidRDefault="009D6580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 cikke (2) bekezdésének c) pontja.</w:t>
            </w:r>
          </w:p>
          <w:p w14:paraId="6C8F6FE1" w14:textId="408BCC75" w:rsidR="009D6580" w:rsidRPr="002A677E" w:rsidRDefault="009D6580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ezen kitettségi alkategóriába való besorolás céljából az adatszolgáltató szervezeteknek az 575/2013/EU rendelet 5. cikkének 8. pontjában szereplő kkv-fogalommeghatározást kell használniuk.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B56773" w:rsidRPr="00E47484" w14:paraId="1AB097A1" w14:textId="77777777" w:rsidTr="00B5677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168F" w14:textId="1A066C7F" w:rsidR="00B56773" w:rsidRPr="002A677E" w:rsidRDefault="00B56773" w:rsidP="007400C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C6303" w14:textId="77777777" w:rsidR="00B56773" w:rsidRDefault="00B56773" w:rsidP="007400C4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Ebből: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Nagyvállalatok</w:t>
            </w:r>
          </w:p>
          <w:p w14:paraId="503F359E" w14:textId="77777777" w:rsidR="00B56773" w:rsidRPr="00B56773" w:rsidRDefault="00B56773" w:rsidP="00B56773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 cikke (2) bekezdésének c) pontja.</w:t>
            </w:r>
          </w:p>
          <w:p w14:paraId="23F8CBD6" w14:textId="77777777" w:rsidR="00B56773" w:rsidRPr="00E47484" w:rsidRDefault="00B56773" w:rsidP="007400C4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ezen kitettségi alkategóriába való besorolás céljából az adatszolgáltató szervezeteknek az 575/2013/EU rendelet 142. cikke (1) bekezdésének 5a. pontja szerinti, nagyvállalatokra vonatkozó fogalommeghatározást kell használniuk.</w:t>
            </w: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 </w:t>
            </w:r>
          </w:p>
        </w:tc>
      </w:tr>
      <w:tr w:rsidR="00B56773" w:rsidRPr="00E47484" w:rsidDel="000306F2" w14:paraId="58CAAB1D" w14:textId="77777777" w:rsidTr="00B5677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F72A" w14:textId="4457DEBC" w:rsidR="00B56773" w:rsidRPr="002A677E" w:rsidDel="000306F2" w:rsidRDefault="00B56773" w:rsidP="007400C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C653" w14:textId="0225B19B" w:rsidR="00B56773" w:rsidRDefault="00B56773" w:rsidP="007400C4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Speciális hitelezés</w:t>
            </w:r>
          </w:p>
          <w:p w14:paraId="510C1D3E" w14:textId="683EFC86" w:rsidR="00B56773" w:rsidRPr="00B56773" w:rsidDel="000306F2" w:rsidRDefault="00B56773" w:rsidP="007400C4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 cikke (2) bekezdése c) pontjának ii. alpontja.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1.</w:t>
            </w:r>
          </w:p>
        </w:tc>
      </w:tr>
      <w:tr w:rsidR="00B56773" w:rsidRPr="00E47484" w14:paraId="36179D5A" w14:textId="77777777" w:rsidTr="00822842">
        <w:tc>
          <w:tcPr>
            <w:tcW w:w="1188" w:type="dxa"/>
            <w:shd w:val="clear" w:color="auto" w:fill="auto"/>
          </w:tcPr>
          <w:p w14:paraId="7AF18366" w14:textId="6A1B1DDE" w:rsidR="00B56773" w:rsidRPr="72FDE0D4" w:rsidRDefault="00B56773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0053–0056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F836" w14:textId="6CF7767D" w:rsidR="00B56773" w:rsidRPr="00021099" w:rsidRDefault="00B56773" w:rsidP="00B56773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Speciális hitelezés – a speciális hitelezési kitettségek típusai</w:t>
            </w:r>
          </w:p>
          <w:p w14:paraId="1E4AC942" w14:textId="49F536D6" w:rsidR="00B56773" w:rsidRPr="00F16E4D" w:rsidRDefault="00B56773" w:rsidP="00822842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intézményeknek a 147. cikk (8) bekezdésének második albekezdésében említett speciális hitelezési kitettségek típusairól kell adatot szolgáltatniuk a megfelelő soron: Speciális hitelezés – „Projektfinanszírozás”, „Tárgyieszköz-finanszírozás”, „Árufinanszírozás” és „Jövedelemtermelő ingatlanok”.</w:t>
            </w:r>
          </w:p>
        </w:tc>
      </w:tr>
      <w:tr w:rsidR="009D6580" w:rsidRPr="00E47484" w14:paraId="1E272EAA" w14:textId="77777777" w:rsidTr="00822842">
        <w:tc>
          <w:tcPr>
            <w:tcW w:w="1188" w:type="dxa"/>
            <w:shd w:val="clear" w:color="auto" w:fill="auto"/>
          </w:tcPr>
          <w:p w14:paraId="5B01A706" w14:textId="2033B95F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0057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7355" w14:textId="38752705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Vásárolt követelések</w:t>
            </w:r>
          </w:p>
          <w:p w14:paraId="40628222" w14:textId="77777777" w:rsidR="009D6580" w:rsidRPr="00E47484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 cikke (2) bekezdése c) pontjának iii. alpontja.</w:t>
            </w:r>
          </w:p>
        </w:tc>
      </w:tr>
      <w:tr w:rsidR="00F16E4D" w:rsidRPr="002A677E" w14:paraId="27B47EEA" w14:textId="77777777" w:rsidTr="00822842">
        <w:tc>
          <w:tcPr>
            <w:tcW w:w="1188" w:type="dxa"/>
          </w:tcPr>
          <w:p w14:paraId="329ABF25" w14:textId="3906F1E5" w:rsidR="00F16E4D" w:rsidRPr="002A677E" w:rsidRDefault="00F16E4D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0058</w:t>
            </w:r>
          </w:p>
        </w:tc>
        <w:tc>
          <w:tcPr>
            <w:tcW w:w="8640" w:type="dxa"/>
          </w:tcPr>
          <w:p w14:paraId="27CFAA09" w14:textId="513D8D7F" w:rsidR="00F16E4D" w:rsidRDefault="00F16E4D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Egyéb</w:t>
            </w:r>
          </w:p>
          <w:p w14:paraId="75A3CB20" w14:textId="69737D7D" w:rsidR="00F16E4D" w:rsidRPr="002A677E" w:rsidRDefault="00F16E4D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 cikke (2) bekezdése I) pontjának i. alpontja</w:t>
            </w:r>
          </w:p>
        </w:tc>
      </w:tr>
      <w:tr w:rsidR="009D6580" w:rsidRPr="002A677E" w14:paraId="3CAC5C4A" w14:textId="77777777" w:rsidTr="00822842">
        <w:tc>
          <w:tcPr>
            <w:tcW w:w="1188" w:type="dxa"/>
          </w:tcPr>
          <w:p w14:paraId="50AFEE2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640" w:type="dxa"/>
          </w:tcPr>
          <w:p w14:paraId="084F36E4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Lakossági</w:t>
            </w:r>
          </w:p>
          <w:p w14:paraId="61F9869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 cikke (2) bekezdésének d) pontjában említett összes, lakossággal szembeni kitettség.</w:t>
            </w:r>
          </w:p>
        </w:tc>
      </w:tr>
      <w:tr w:rsidR="009D6580" w:rsidRPr="002A677E" w14:paraId="3126FC45" w14:textId="77777777" w:rsidTr="00822842">
        <w:tc>
          <w:tcPr>
            <w:tcW w:w="1188" w:type="dxa"/>
          </w:tcPr>
          <w:p w14:paraId="3B5D672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640" w:type="dxa"/>
          </w:tcPr>
          <w:p w14:paraId="094A84E8" w14:textId="1D426AD8" w:rsidR="009D6580" w:rsidRPr="002A677E" w:rsidRDefault="005B37F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Ebből: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Lakosság – ingatlannal fedezett kitettségek</w:t>
            </w:r>
          </w:p>
          <w:p w14:paraId="35B1F6E7" w14:textId="4962CAD8" w:rsidR="00FD0F61" w:rsidRDefault="00FD0F61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 cikke (2) bekezdésének d) pontja szerinti lakossággal szembeni kitettségek, amelyek az 575/2013/EU rendelet 4. cikke (1) bekezdésének 75f. pontja d) pont szerinti ingatlannal fedezettek.</w:t>
            </w:r>
          </w:p>
          <w:p w14:paraId="0CD06107" w14:textId="22291817" w:rsidR="009D6580" w:rsidRPr="002A677E" w:rsidRDefault="00FD0F61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9D6580" w:rsidRPr="002A677E" w14:paraId="49CD7917" w14:textId="77777777" w:rsidTr="00822842">
        <w:tc>
          <w:tcPr>
            <w:tcW w:w="1188" w:type="dxa"/>
          </w:tcPr>
          <w:p w14:paraId="3FA8BBC8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640" w:type="dxa"/>
          </w:tcPr>
          <w:p w14:paraId="4738C3E5" w14:textId="186F9DD4" w:rsidR="009D6580" w:rsidRPr="002A677E" w:rsidRDefault="00FD0F61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Ebből: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Kkv</w:t>
            </w:r>
          </w:p>
          <w:p w14:paraId="67BFF2AB" w14:textId="02FB7D89" w:rsidR="009D6580" w:rsidRPr="002A677E" w:rsidRDefault="00FD0F61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 cikke (2) bekezdésének d) pontja szerinti, a B.6.1–B.6.4. szakaszban jelentett és az 575/2013/EU rendelet 5. cikkének 8. pontjával összefüggésben értelmezett lakossággal szembeni kitettségek, amelyek az 575/2013/EU rendelet 4. cikke (1) bekezdésének 75f. pontja d) pont szerinti ingatlannal fedezettek.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D6580" w:rsidRPr="00E47484" w14:paraId="7A63D877" w14:textId="77777777" w:rsidTr="00822842">
        <w:tc>
          <w:tcPr>
            <w:tcW w:w="1188" w:type="dxa"/>
            <w:shd w:val="clear" w:color="auto" w:fill="auto"/>
          </w:tcPr>
          <w:p w14:paraId="59E6C6E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640" w:type="dxa"/>
            <w:shd w:val="clear" w:color="auto" w:fill="auto"/>
          </w:tcPr>
          <w:p w14:paraId="05695520" w14:textId="39C15E5F" w:rsidR="009D6580" w:rsidRPr="00E47484" w:rsidRDefault="00837F98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Ebből: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Nem kkv</w:t>
            </w:r>
          </w:p>
          <w:p w14:paraId="68647661" w14:textId="272EAD03" w:rsidR="00837F98" w:rsidRDefault="00837F98" w:rsidP="00234FB5">
            <w:pPr>
              <w:pStyle w:val="ListParagraph"/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 cikke (2) bekezdésének d) pontja szerinti, a B.6.1–B.6.4. szakaszban jelentett és nem az 575/2013/EU rendelet 5. cikkének 8. pontjával összefüggésben értelmezett lakossággal szembeni kitettségek, amelyek az 575/2013/EU rendelet 4. cikke (1) bekezdésének 75f. pontja d) pont szerinti ingatlannal fedezettek.</w:t>
            </w:r>
          </w:p>
          <w:p w14:paraId="34F371DC" w14:textId="683F21EB" w:rsidR="009D6580" w:rsidRPr="00D10012" w:rsidRDefault="009D6580" w:rsidP="00822842">
            <w:pPr>
              <w:pStyle w:val="ListParagraph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910F63" w:rsidRPr="002A677E" w14:paraId="22110EE2" w14:textId="77777777" w:rsidTr="00910F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663B" w14:textId="49B20CE1" w:rsidR="00910F63" w:rsidRPr="002A677E" w:rsidRDefault="00910F63" w:rsidP="007400C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0095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0C7BD" w14:textId="435F8765" w:rsidR="00910F63" w:rsidRPr="002A677E" w:rsidRDefault="00910F63" w:rsidP="007400C4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Lakóingatlannal fedezett</w:t>
            </w:r>
          </w:p>
          <w:p w14:paraId="3B8B837D" w14:textId="77777777" w:rsidR="00910F63" w:rsidRPr="00910F63" w:rsidRDefault="00910F63" w:rsidP="00910F63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 cikke (2) bekezdése d) pontjának ii. alpontjában említett lakossággal szembeni kitettségek.</w:t>
            </w:r>
          </w:p>
          <w:p w14:paraId="7240267A" w14:textId="77777777" w:rsidR="00910F63" w:rsidRPr="002A677E" w:rsidRDefault="00910F63" w:rsidP="007400C4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Lakóingatlannal fedezett, lakossággal szembeni kitettségnek kell tekinteni minden biztosítékként elismert lakóingatlannal fedezett, lakossággal szembeni kitettséget, függetlenül a biztosíték értékének a kitettséghez viszonyított arányától vagy a hitel céljától.</w:t>
            </w:r>
          </w:p>
        </w:tc>
      </w:tr>
      <w:tr w:rsidR="009D6580" w:rsidRPr="002A677E" w14:paraId="38AD5BBA" w14:textId="77777777" w:rsidTr="00822842">
        <w:tc>
          <w:tcPr>
            <w:tcW w:w="1188" w:type="dxa"/>
          </w:tcPr>
          <w:p w14:paraId="48A5C8D2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640" w:type="dxa"/>
          </w:tcPr>
          <w:p w14:paraId="1B160106" w14:textId="7C65E11F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rulírozó állományba beszámítható</w:t>
            </w:r>
          </w:p>
          <w:p w14:paraId="363209C3" w14:textId="77777777" w:rsidR="009D6580" w:rsidRPr="002A677E" w:rsidRDefault="009D6580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 cikke (2) bekezdése d) pontjának i. alpontjában említett és a 154. cikk (4) bekezdésével összefüggésben értelmezett lakossággal szembeni kitettségek.</w:t>
            </w:r>
          </w:p>
        </w:tc>
      </w:tr>
      <w:tr w:rsidR="009D6580" w:rsidRPr="002A677E" w14:paraId="26D0338D" w14:textId="77777777" w:rsidTr="00822842">
        <w:tc>
          <w:tcPr>
            <w:tcW w:w="1188" w:type="dxa"/>
          </w:tcPr>
          <w:p w14:paraId="6DA4B8E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0105</w:t>
            </w:r>
          </w:p>
        </w:tc>
        <w:tc>
          <w:tcPr>
            <w:tcW w:w="8640" w:type="dxa"/>
          </w:tcPr>
          <w:p w14:paraId="63563096" w14:textId="485ECEE6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Vásárolt követelések</w:t>
            </w:r>
          </w:p>
          <w:p w14:paraId="7C92CD05" w14:textId="77777777" w:rsidR="009D6580" w:rsidRPr="00B7761D" w:rsidRDefault="009D6580" w:rsidP="00822842">
            <w:pPr>
              <w:rPr>
                <w:sz w:val="18"/>
                <w:szCs w:val="18"/>
                <w:rFonts w:cs="Calibri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 cikke (2) bekezdése d) pontjának iii. alpontjában említett lakossággal szembeni kitettségek.</w:t>
            </w:r>
          </w:p>
        </w:tc>
      </w:tr>
      <w:tr w:rsidR="009D6580" w:rsidRPr="002A677E" w14:paraId="551F153F" w14:textId="77777777" w:rsidTr="00822842">
        <w:tc>
          <w:tcPr>
            <w:tcW w:w="1188" w:type="dxa"/>
          </w:tcPr>
          <w:p w14:paraId="1C56701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640" w:type="dxa"/>
          </w:tcPr>
          <w:p w14:paraId="3B169086" w14:textId="5BA51B78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Egyéb lakossági</w:t>
            </w:r>
          </w:p>
          <w:p w14:paraId="6BB335AD" w14:textId="5184DC86" w:rsidR="009D6580" w:rsidRPr="002A677E" w:rsidRDefault="009D6580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 cikke (2) bekezdése d) pontjának iv. alpontjában említett egyéb, lakossággal szembeni kitettségek.</w:t>
            </w:r>
          </w:p>
        </w:tc>
      </w:tr>
      <w:tr w:rsidR="009D6580" w:rsidRPr="002A677E" w14:paraId="1879AB2D" w14:textId="77777777" w:rsidTr="00822842">
        <w:tc>
          <w:tcPr>
            <w:tcW w:w="1188" w:type="dxa"/>
          </w:tcPr>
          <w:p w14:paraId="247F0534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640" w:type="dxa"/>
          </w:tcPr>
          <w:p w14:paraId="37F76446" w14:textId="0C2F5C96" w:rsidR="009D6580" w:rsidRPr="002A677E" w:rsidRDefault="00837F98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Ebből: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Kkv</w:t>
            </w:r>
          </w:p>
          <w:p w14:paraId="28CE96BD" w14:textId="7A3420F8" w:rsidR="009D6580" w:rsidRPr="002A677E" w:rsidRDefault="009D6580" w:rsidP="00822842">
            <w:pPr>
              <w:pStyle w:val="ListParagraph"/>
              <w:ind w:left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 cikke (2) bekezdése d) pontjának iv. alpontjában említett és az 575/2013/EU rendelet 5. cikkének 8. pontjával összefüggésben értelmezett egyéb, lakossággal szembeni kitettségek.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D6580" w:rsidRPr="002A677E" w14:paraId="6140E6E8" w14:textId="77777777" w:rsidTr="00822842">
        <w:tc>
          <w:tcPr>
            <w:tcW w:w="1188" w:type="dxa"/>
          </w:tcPr>
          <w:p w14:paraId="4DD0078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640" w:type="dxa"/>
          </w:tcPr>
          <w:p w14:paraId="40BDF108" w14:textId="2B96A314" w:rsidR="009D6580" w:rsidRPr="002A677E" w:rsidRDefault="00837F98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Ebből: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Nem kkv</w:t>
            </w:r>
          </w:p>
          <w:p w14:paraId="51D486B6" w14:textId="251D2008" w:rsidR="009D6580" w:rsidRPr="002A677E" w:rsidRDefault="00837F98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 cikke (2) bekezdése d) pontjának iv. alpontjában említett és nem az 575/2013/EU rendelet 5. cikkének 8. pontjával összefüggésben értelmezett egyéb, lakossággal szembeni kitettségek.</w:t>
            </w:r>
          </w:p>
        </w:tc>
      </w:tr>
      <w:tr w:rsidR="009D6580" w:rsidRPr="002A677E" w14:paraId="70A29A85" w14:textId="77777777" w:rsidTr="00822842">
        <w:tc>
          <w:tcPr>
            <w:tcW w:w="1188" w:type="dxa"/>
          </w:tcPr>
          <w:p w14:paraId="5C28748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0132</w:t>
            </w:r>
          </w:p>
        </w:tc>
        <w:tc>
          <w:tcPr>
            <w:tcW w:w="8640" w:type="dxa"/>
          </w:tcPr>
          <w:p w14:paraId="170B9280" w14:textId="77777777" w:rsidR="009D6580" w:rsidRPr="002A677E" w:rsidRDefault="009D6580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Kollektív befektetési formák (KBF)</w:t>
            </w:r>
          </w:p>
          <w:p w14:paraId="4237C58D" w14:textId="4E266C1C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 cikke (2) bekezdésének e1) pontja</w:t>
            </w:r>
          </w:p>
        </w:tc>
      </w:tr>
      <w:tr w:rsidR="009D6580" w:rsidRPr="002A677E" w14:paraId="72EBDFDD" w14:textId="77777777" w:rsidTr="00822842">
        <w:tc>
          <w:tcPr>
            <w:tcW w:w="1188" w:type="dxa"/>
          </w:tcPr>
          <w:p w14:paraId="290EDA8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0133</w:t>
            </w:r>
          </w:p>
        </w:tc>
        <w:tc>
          <w:tcPr>
            <w:tcW w:w="8640" w:type="dxa"/>
          </w:tcPr>
          <w:p w14:paraId="39E22A69" w14:textId="77777777" w:rsidR="009D6580" w:rsidRPr="002A677E" w:rsidRDefault="009D6580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Az áttekintés elve</w:t>
            </w:r>
          </w:p>
          <w:p w14:paraId="3481CEEB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 CR IRB tábla 0190 oszlopával azonos meghatározás</w:t>
            </w:r>
          </w:p>
        </w:tc>
      </w:tr>
      <w:tr w:rsidR="009D6580" w:rsidRPr="002A677E" w14:paraId="6520599F" w14:textId="77777777" w:rsidTr="00822842">
        <w:tc>
          <w:tcPr>
            <w:tcW w:w="1188" w:type="dxa"/>
          </w:tcPr>
          <w:p w14:paraId="5DF820F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0134</w:t>
            </w:r>
          </w:p>
        </w:tc>
        <w:tc>
          <w:tcPr>
            <w:tcW w:w="8640" w:type="dxa"/>
          </w:tcPr>
          <w:p w14:paraId="13156AFE" w14:textId="77777777" w:rsidR="009D6580" w:rsidRPr="002A677E" w:rsidRDefault="009D6580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megbízatáson alapuló módszer</w:t>
            </w:r>
          </w:p>
          <w:p w14:paraId="37B63BC9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 CR IRB tábla 0200 oszlopával azonos meghatározás</w:t>
            </w:r>
          </w:p>
        </w:tc>
      </w:tr>
      <w:tr w:rsidR="009D6580" w:rsidRPr="002A677E" w14:paraId="57B2C532" w14:textId="77777777" w:rsidTr="00822842">
        <w:tc>
          <w:tcPr>
            <w:tcW w:w="1188" w:type="dxa"/>
          </w:tcPr>
          <w:p w14:paraId="251B0D2B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0135</w:t>
            </w:r>
          </w:p>
        </w:tc>
        <w:tc>
          <w:tcPr>
            <w:tcW w:w="8640" w:type="dxa"/>
          </w:tcPr>
          <w:p w14:paraId="19D4ED63" w14:textId="77777777" w:rsidR="009D6580" w:rsidRPr="002A677E" w:rsidRDefault="009D6580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Tartalékmódszer (Fall-back approach)</w:t>
            </w:r>
          </w:p>
          <w:p w14:paraId="18A39C60" w14:textId="77777777" w:rsidR="009D6580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 CR IRB tábla 0210 oszlopával azonos meghatározás</w:t>
            </w:r>
          </w:p>
        </w:tc>
      </w:tr>
      <w:bookmarkEnd w:id="3"/>
      <w:tr w:rsidR="009D6580" w:rsidRPr="002A677E" w14:paraId="0997369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0375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4F62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Részvényjellegű kitettségek</w:t>
            </w:r>
          </w:p>
          <w:p w14:paraId="1A033F11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147. cikke (2) bekezdésének e) pontjában említett részvényjellegű kitettségek.</w:t>
            </w:r>
          </w:p>
        </w:tc>
      </w:tr>
      <w:tr w:rsidR="009D6580" w:rsidRPr="002A677E" w14:paraId="6A23B6CC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CFF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13E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Teljes kitettség</w:t>
            </w:r>
          </w:p>
        </w:tc>
      </w:tr>
    </w:tbl>
    <w:p w14:paraId="77289230" w14:textId="77777777" w:rsidR="009D6580" w:rsidRPr="002A677E" w:rsidRDefault="009D6580" w:rsidP="009D6580">
      <w:pPr>
        <w:spacing w:before="0" w:after="200" w:line="312" w:lineRule="auto"/>
        <w:jc w:val="left"/>
        <w:rPr>
          <w:rFonts w:ascii="Times New Roman" w:hAnsi="Times New Roman"/>
          <w:sz w:val="24"/>
        </w:rPr>
      </w:pPr>
    </w:p>
    <w:p w14:paraId="6A7D32B9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0" w:name="_Toc360188366"/>
      <w:bookmarkStart w:id="11" w:name="_Toc473560917"/>
      <w:bookmarkStart w:id="12" w:name="_Toc151714421"/>
      <w:r>
        <w:rPr>
          <w:sz w:val="24"/>
          <w:u w:val="none"/>
          <w:rFonts w:ascii="Times New Roman" w:hAnsi="Times New Roman"/>
        </w:rPr>
        <w:t xml:space="preserve">3.4.3.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09.04 – A lényeges hitelkockázati kitettségek országonkénti bontása az anticiklikus tőkepuffer és az intézményspecifikus anticiklikus tőkepuffer kiszámításához</w:t>
      </w:r>
      <w:bookmarkEnd w:id="10"/>
      <w:r>
        <w:rPr>
          <w:sz w:val="24"/>
          <w:rFonts w:ascii="Times New Roman" w:hAnsi="Times New Roman"/>
        </w:rPr>
        <w:t xml:space="preserve"> (CCB)</w:t>
      </w:r>
      <w:bookmarkEnd w:id="11"/>
      <w:bookmarkEnd w:id="12"/>
    </w:p>
    <w:p w14:paraId="600FC3A3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3" w:name="_Toc360188367"/>
      <w:bookmarkStart w:id="14" w:name="_Toc473560918"/>
      <w:bookmarkStart w:id="15" w:name="_Toc151714422"/>
      <w:r>
        <w:rPr>
          <w:sz w:val="24"/>
          <w:u w:val="none"/>
          <w:rFonts w:ascii="Times New Roman" w:hAnsi="Times New Roman"/>
        </w:rPr>
        <w:t xml:space="preserve">3.4.3.1.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Általános megjegyzések</w:t>
      </w:r>
      <w:bookmarkEnd w:id="13"/>
      <w:bookmarkEnd w:id="14"/>
      <w:bookmarkEnd w:id="15"/>
    </w:p>
    <w:p w14:paraId="57D13BA6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88</w:t>
      </w:r>
      <w:r>
        <w:fldChar w:fldCharType="end"/>
      </w:r>
      <w:r>
        <w:t xml:space="preserve">.</w:t>
      </w:r>
      <w:r>
        <w:tab/>
      </w:r>
      <w:r>
        <w:t xml:space="preserve">A tábla célja bővebb információ gyűjtése az intézményspecifikus anticiklikus tőkepuffer elemeiről.</w:t>
      </w:r>
      <w:r>
        <w:t xml:space="preserve"> </w:t>
      </w:r>
      <w:r>
        <w:t xml:space="preserve">Az előírt információ az 575/2013/EU rendelet harmadik része II. és IV. címének megfelelően meghatározott szavatolótőke-követelményre, a hitelkockázati kitettségek földrajzi helyére, az intézményspecifikus anticiklikus tőkepuffernek a 2013/36/EU irányelv140. cikke szerinti (lényeges hitelkockázati kitettség) számításához releváns értékpapírosítási kitettségekre és kereskedési könyvi kitettségekre vonatkozik.</w:t>
      </w:r>
      <w:r>
        <w:t xml:space="preserve"> </w:t>
      </w:r>
    </w:p>
    <w:p w14:paraId="10EA3DAD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89</w:t>
      </w:r>
      <w:r>
        <w:fldChar w:fldCharType="end"/>
      </w:r>
      <w:r>
        <w:t xml:space="preserve">.</w:t>
      </w:r>
      <w:r>
        <w:tab/>
      </w:r>
      <w:r>
        <w:t xml:space="preserve">A C 09.04. táblában meg kell adni a lényeges hitelkockázati kitettségekre vonatkozó összesített („Összesen”) adatot e kitettségek helye szerinti valamennyi joghatóság tekintetében, továbbá egyedileg az egyes olyan joghatóságokra vonatkozóan, ahol a lényeges hitelkockázati kitettségek elhelyezkednek.</w:t>
      </w:r>
      <w:r>
        <w:t xml:space="preserve"> </w:t>
      </w:r>
      <w:r>
        <w:t xml:space="preserve">Az összesített adatokat és az egyes joghatóságokra vonatkozó információkat külön dimenzióban kell megadni.</w:t>
      </w:r>
      <w:r>
        <w:t xml:space="preserve"> </w:t>
      </w:r>
    </w:p>
    <w:p w14:paraId="054CDEAF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90</w:t>
      </w:r>
      <w:r>
        <w:fldChar w:fldCharType="end"/>
      </w:r>
      <w:r>
        <w:t xml:space="preserve">.</w:t>
      </w:r>
      <w:r>
        <w:tab/>
      </w:r>
      <w:r>
        <w:t xml:space="preserve">Az e végrehajtási rendelet 5. cikke (5) bekezdésében rögzített küszöbérték az e megoszlás szerinti adatszolgáltatás szempontjából nem alkalmazandó.</w:t>
      </w:r>
    </w:p>
    <w:bookmarkStart w:id="16" w:name="_Hlk151650982"/>
    <w:p w14:paraId="710781F7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lastRenderedPageBreak/>
        <w:fldChar w:fldCharType="begin" w:dirty="true"/>
      </w:r>
      <w:r>
        <w:instrText>seq paragraphs</w:instrText>
      </w:r>
      <w:r>
        <w:fldChar w:fldCharType="separate"/>
      </w:r>
      <w:r>
        <w:t>91</w:t>
      </w:r>
      <w:r>
        <w:fldChar w:fldCharType="end"/>
      </w:r>
      <w:r>
        <w:t xml:space="preserve">.</w:t>
      </w:r>
      <w:r>
        <w:tab/>
      </w:r>
      <w:r>
        <w:t xml:space="preserve">A földrajzi hely meghatározásához a kitettségek hozzárendelése az 1152/2014/EU felhatalmazáson alapuló bizottsági rendeletben előírtaknak megfelelően közvetlen kötelezetti alapon történik</w:t>
      </w:r>
      <w:r w:rsidRPr="002A677E">
        <w:footnoteReference w:id="1"/>
      </w:r>
      <w:r>
        <w:t xml:space="preserve">.</w:t>
      </w:r>
      <w:r>
        <w:t xml:space="preserve"> </w:t>
      </w:r>
      <w:r>
        <w:t xml:space="preserve">Ezért a hitelkockázat-mérséklési technikák nem változtatják meg egy kitettség földrajzi helyhez való hozzárendelését az e táblában meghatározott információ megadása céljából.</w:t>
      </w:r>
    </w:p>
    <w:p w14:paraId="4811C8E1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7" w:name="_Toc360188368"/>
      <w:bookmarkStart w:id="18" w:name="_Toc473560919"/>
      <w:bookmarkStart w:id="19" w:name="_Toc151714423"/>
      <w:bookmarkEnd w:id="16"/>
      <w:r>
        <w:rPr>
          <w:sz w:val="24"/>
          <w:u w:val="none"/>
          <w:rFonts w:ascii="Times New Roman" w:hAnsi="Times New Roman"/>
        </w:rPr>
        <w:t xml:space="preserve">3.4.3.2.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 tábla egyes részeire vonatkozó útmutató</w:t>
      </w:r>
      <w:bookmarkEnd w:id="17"/>
      <w:bookmarkEnd w:id="18"/>
      <w:bookmarkEnd w:id="1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8131"/>
      </w:tblGrid>
      <w:tr w:rsidR="009D6580" w:rsidRPr="002A677E" w14:paraId="091A9B1D" w14:textId="77777777" w:rsidTr="00822842">
        <w:tc>
          <w:tcPr>
            <w:tcW w:w="1697" w:type="dxa"/>
            <w:shd w:val="clear" w:color="auto" w:fill="CCCCCC"/>
          </w:tcPr>
          <w:p w14:paraId="6D544C28" w14:textId="77777777" w:rsidR="009D6580" w:rsidRPr="002A677E" w:rsidRDefault="009D6580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Oszlopok</w:t>
            </w:r>
          </w:p>
        </w:tc>
        <w:tc>
          <w:tcPr>
            <w:tcW w:w="8131" w:type="dxa"/>
            <w:shd w:val="clear" w:color="auto" w:fill="CCCCCC"/>
          </w:tcPr>
          <w:p w14:paraId="55FA945D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6B14BCBD" w14:textId="77777777" w:rsidTr="00822842">
        <w:tc>
          <w:tcPr>
            <w:tcW w:w="1697" w:type="dxa"/>
          </w:tcPr>
          <w:p w14:paraId="5CBD6D84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131" w:type="dxa"/>
          </w:tcPr>
          <w:p w14:paraId="6A1F53D1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Összeg</w:t>
            </w:r>
          </w:p>
          <w:p w14:paraId="4EDF6439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lényeges hitelkockázati kitettségek értéke és a kapcsolódó szavatolótőke-követelmények az adott sorra vonatkozó útmutatónak megfelelően meghatározva.</w:t>
            </w:r>
          </w:p>
        </w:tc>
      </w:tr>
      <w:tr w:rsidR="009D6580" w:rsidRPr="002A677E" w14:paraId="29BB3D71" w14:textId="77777777" w:rsidTr="00822842">
        <w:tc>
          <w:tcPr>
            <w:tcW w:w="1697" w:type="dxa"/>
          </w:tcPr>
          <w:p w14:paraId="15999D4B" w14:textId="77777777" w:rsidR="009D6580" w:rsidRPr="002A677E" w:rsidRDefault="009D6580" w:rsidP="00822842">
            <w:pPr>
              <w:rPr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131" w:type="dxa"/>
          </w:tcPr>
          <w:p w14:paraId="4133F8D3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Százalék</w:t>
            </w:r>
          </w:p>
          <w:p w14:paraId="01DD816F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9D6580" w:rsidRPr="002A677E" w14:paraId="2A8BD3C1" w14:textId="77777777" w:rsidTr="00822842">
        <w:tc>
          <w:tcPr>
            <w:tcW w:w="1697" w:type="dxa"/>
          </w:tcPr>
          <w:p w14:paraId="0F30E1C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131" w:type="dxa"/>
          </w:tcPr>
          <w:p w14:paraId="61529C4E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Kvalitatív információk</w:t>
            </w:r>
          </w:p>
          <w:p w14:paraId="394356B2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Ezt az információt csak az intézmény székhelye szerinti országra vonatkozóan kell megadni (az intézmény székhelye szerinti tagállamnak megfelelő joghatóság), és meg kell adni az „Összesen” adatot az összes országra vonatkozóan.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761B5E4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intézménynek {y} vagy {n} adatot kell megadnia a megfelelő sorra vonatkozó útmutatóval összhangban.</w:t>
            </w:r>
          </w:p>
        </w:tc>
      </w:tr>
    </w:tbl>
    <w:p w14:paraId="51476A7B" w14:textId="77777777" w:rsidR="009D6580" w:rsidRPr="002A677E" w:rsidRDefault="009D6580" w:rsidP="009D6580">
      <w:pPr>
        <w:pStyle w:val="InstructionsText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8131"/>
      </w:tblGrid>
      <w:tr w:rsidR="009D6580" w:rsidRPr="002A677E" w14:paraId="09F6A5AE" w14:textId="77777777" w:rsidTr="00822842">
        <w:tc>
          <w:tcPr>
            <w:tcW w:w="1697" w:type="dxa"/>
            <w:shd w:val="clear" w:color="auto" w:fill="CCCCCC"/>
          </w:tcPr>
          <w:p w14:paraId="3BCCC295" w14:textId="77777777" w:rsidR="009D6580" w:rsidRPr="002A677E" w:rsidRDefault="009D6580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Sorok</w:t>
            </w:r>
          </w:p>
        </w:tc>
        <w:tc>
          <w:tcPr>
            <w:tcW w:w="8131" w:type="dxa"/>
            <w:shd w:val="clear" w:color="auto" w:fill="CCCCCC"/>
          </w:tcPr>
          <w:p w14:paraId="39519610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70661EF5" w14:textId="77777777" w:rsidTr="00822842">
        <w:tc>
          <w:tcPr>
            <w:tcW w:w="1697" w:type="dxa"/>
          </w:tcPr>
          <w:p w14:paraId="563EAAB9" w14:textId="77777777" w:rsidR="009D6580" w:rsidRPr="002A677E" w:rsidRDefault="009D6580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0010–0020</w:t>
            </w:r>
          </w:p>
        </w:tc>
        <w:tc>
          <w:tcPr>
            <w:tcW w:w="8131" w:type="dxa"/>
          </w:tcPr>
          <w:p w14:paraId="3D2862FC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Lényeges hitelkockázati kitettségek – hitelkockázat</w:t>
            </w:r>
          </w:p>
          <w:p w14:paraId="516A26FA" w14:textId="77777777" w:rsidR="009D6580" w:rsidRPr="002A677E" w:rsidRDefault="009D6580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2013/36/EU irányelv 140. cikke (4) bekezdésének a) pontjában említett lényeges hitelkockázati kitettségek.</w:t>
            </w:r>
          </w:p>
        </w:tc>
      </w:tr>
      <w:tr w:rsidR="009D6580" w:rsidRPr="002A677E" w14:paraId="527A1F7E" w14:textId="77777777" w:rsidTr="00822842">
        <w:tc>
          <w:tcPr>
            <w:tcW w:w="1697" w:type="dxa"/>
          </w:tcPr>
          <w:p w14:paraId="18BE8A8D" w14:textId="77777777" w:rsidR="009D6580" w:rsidRPr="002A677E" w:rsidRDefault="009D6580" w:rsidP="00822842">
            <w:pPr>
              <w:rPr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131" w:type="dxa"/>
          </w:tcPr>
          <w:p w14:paraId="60D60C47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Kitettségérték a sztenderd módszer szerint</w:t>
            </w:r>
          </w:p>
          <w:p w14:paraId="0EA1DD75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2013/36/EU irányelv 140. cikke (4) bekezdése a) pontjában említett lényeges hitelkockázati kitettségekre vonatkozó, az 575/2013/EU rendelet 111. cikkének megfelelően kiszámított kitettségérték.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2B986ED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banki könyvi értékpapírosítási pozíciók kitettségértékét ebben a sorban nem kell megadni, hanem az 0055-ös sorban kell jelenteni.</w:t>
            </w:r>
          </w:p>
        </w:tc>
      </w:tr>
      <w:tr w:rsidR="009D6580" w:rsidRPr="002A677E" w14:paraId="367F78C6" w14:textId="77777777" w:rsidTr="00822842">
        <w:tc>
          <w:tcPr>
            <w:tcW w:w="1697" w:type="dxa"/>
          </w:tcPr>
          <w:p w14:paraId="3217061B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131" w:type="dxa"/>
          </w:tcPr>
          <w:p w14:paraId="385211C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Kitettségérték az IRB módszer szerint</w:t>
            </w:r>
          </w:p>
          <w:p w14:paraId="3F80BC36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2013/36/EU irányelv 140. cikke (4) bekezdése a) pontjában említett lényeges hitelkockázati kitettségekre vonatkozó, az 575/2013/EU rendelet 166. cikkének megfelelően kiszámított kitettségérték.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8C130F1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banki könyvi értékpapírosítási pozíciók kitettségértékét ebben a sorban nem kell megadni, hanem az 0055-ös sorban kell jelenteni.</w:t>
            </w:r>
          </w:p>
        </w:tc>
      </w:tr>
      <w:tr w:rsidR="009D6580" w:rsidRPr="002A677E" w14:paraId="613420F2" w14:textId="77777777" w:rsidTr="00822842">
        <w:tc>
          <w:tcPr>
            <w:tcW w:w="1697" w:type="dxa"/>
          </w:tcPr>
          <w:p w14:paraId="53491AFF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0030–0040</w:t>
            </w:r>
          </w:p>
        </w:tc>
        <w:tc>
          <w:tcPr>
            <w:tcW w:w="8131" w:type="dxa"/>
          </w:tcPr>
          <w:p w14:paraId="369D850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Lényeges hitelkockázati kitettségek – piaci kockázat</w:t>
            </w:r>
          </w:p>
          <w:p w14:paraId="54050F98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2013/36/EU irányelv 140. cikke (4) bekezdésének b) pontjában említett lényeges hitelkockázati kitettségek.</w:t>
            </w:r>
          </w:p>
        </w:tc>
      </w:tr>
      <w:tr w:rsidR="009D6580" w:rsidRPr="002A677E" w14:paraId="670769C5" w14:textId="77777777" w:rsidTr="00822842">
        <w:tc>
          <w:tcPr>
            <w:tcW w:w="1697" w:type="dxa"/>
          </w:tcPr>
          <w:p w14:paraId="27E0BEE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131" w:type="dxa"/>
          </w:tcPr>
          <w:p w14:paraId="740784D8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Kereskedési könyvi kitettségek hosszú és rövid pozícióinak összege a sztenderd módszer szerint</w:t>
            </w:r>
          </w:p>
          <w:p w14:paraId="5F803AC4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2013/36/EU irányelv 140. cikke (4) bekezdésének b) pontjában említett, az 575/2013/EU rendelet harmadik része IV. címe 2. fejezetében előírt szavatolótőke-követelmények hatálya alá tartozó lényeges hitelkockázati kitettségek nettó hosszú és rövid pozícióinak összege az 575/2013/EU rendelet 327. cikkének megfelelően: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55B6B69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hitelviszonyt megtestesítő instrumentumokkal szembeni, értékpapírosítástól eltérő kitettségek,</w:t>
            </w:r>
          </w:p>
          <w:p w14:paraId="2F347ECD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kereskedési könyvi értékpapírosítási pozíciókkal szembeni kitettségek,</w:t>
            </w:r>
          </w:p>
          <w:p w14:paraId="0BF14848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korrelációkereskedési portfóliókkal szembeni kitettségek,</w:t>
            </w:r>
          </w:p>
          <w:p w14:paraId="426EA269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tulajdonviszonyt megtestesítő instrumentumokkal szembeni kitettségek,</w:t>
            </w:r>
          </w:p>
          <w:p w14:paraId="29596F16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kollektív befektetési formákkal szembeni kitettségek, ha a tőkekövetelmény kiszámítása az 575/2013/EU rendelet 348. cikke szerint történik.</w:t>
            </w:r>
          </w:p>
        </w:tc>
      </w:tr>
      <w:tr w:rsidR="009D6580" w:rsidRPr="002A677E" w14:paraId="1B5F6FE5" w14:textId="77777777" w:rsidTr="00822842">
        <w:tc>
          <w:tcPr>
            <w:tcW w:w="1697" w:type="dxa"/>
          </w:tcPr>
          <w:p w14:paraId="22718F0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131" w:type="dxa"/>
          </w:tcPr>
          <w:p w14:paraId="7989891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Kereskedési könyvi kitettségek értéke a belső modellek szerint</w:t>
            </w:r>
          </w:p>
          <w:p w14:paraId="2C5D0701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2013/36/EU irányelv 140. cikke (4) bekezdésének b) pontjában említett, az 575/2013/EU rendelet harmadik része IV. címe 2. és 5. fejezetében előírt szavatolótőke-követelmények hatálya alá tartozó lényeges hitelkockázati kitettségek esetében a következők összegét kell jelenteni:</w:t>
            </w:r>
          </w:p>
          <w:p w14:paraId="07E28E81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Calibri" w:hAnsi="Calibri"/>
              </w:rPr>
              <w:t xml:space="preserve">–</w:t>
            </w:r>
            <w:r>
              <w:rPr>
                <w:sz w:val="24"/>
                <w:rFonts w:ascii="Calibri" w:hAnsi="Calibri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olyan nem származtatott pozícióknak az 575/2013/EU rendelet 104. cikkével összhangban meghatározott valós értéke, amelyek a 2013/36/EU irányelv 140. cikke (4) bekezdésének b) pontjában említett lényeges hitelkockázati kitettségeket jelentenek;</w:t>
            </w:r>
          </w:p>
          <w:p w14:paraId="198195E0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Calibri" w:hAnsi="Calibri"/>
              </w:rPr>
              <w:t xml:space="preserve">–</w:t>
            </w:r>
            <w:r>
              <w:rPr>
                <w:sz w:val="24"/>
                <w:rFonts w:ascii="Calibri" w:hAnsi="Calibri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olyan származtatott ügyletek névleges értéke, amelyek a 2013/36/EU irányelv 140. cikke (4) bekezdésének b) pontjában említett lényeges hitelkockázati kitettségeket jelentenek.</w:t>
            </w:r>
          </w:p>
        </w:tc>
      </w:tr>
      <w:tr w:rsidR="009D6580" w:rsidRPr="002A677E" w14:paraId="6BA1E71E" w14:textId="77777777" w:rsidTr="00822842">
        <w:tc>
          <w:tcPr>
            <w:tcW w:w="1697" w:type="dxa"/>
          </w:tcPr>
          <w:p w14:paraId="37545C8A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0055</w:t>
            </w:r>
          </w:p>
        </w:tc>
        <w:tc>
          <w:tcPr>
            <w:tcW w:w="8131" w:type="dxa"/>
          </w:tcPr>
          <w:p w14:paraId="3A6EE463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Lényeges hitelkockázati kitettségek – banki könyvi értékpapírosítási pozíciók</w:t>
            </w:r>
          </w:p>
          <w:p w14:paraId="4B3C840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2013/36/EU irányelv 140. cikke (4) bekezdése c) pontjában említett lényeges hitelkockázati kitettségekre vonatkozó, az 575/2013/EU rendelet 248. cikkének megfelelően kiszámított kitettségérték.</w:t>
            </w:r>
          </w:p>
        </w:tc>
      </w:tr>
      <w:tr w:rsidR="009D6580" w:rsidRPr="002A677E" w14:paraId="2A6651FC" w14:textId="77777777" w:rsidTr="00822842">
        <w:tc>
          <w:tcPr>
            <w:tcW w:w="1697" w:type="dxa"/>
          </w:tcPr>
          <w:p w14:paraId="3D2C5D4A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0070–0110</w:t>
            </w:r>
          </w:p>
        </w:tc>
        <w:tc>
          <w:tcPr>
            <w:tcW w:w="8131" w:type="dxa"/>
          </w:tcPr>
          <w:p w14:paraId="6A03AF3B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Szavatolótőke-követelmények és súlyok</w:t>
            </w:r>
          </w:p>
        </w:tc>
      </w:tr>
      <w:tr w:rsidR="009D6580" w:rsidRPr="002A677E" w14:paraId="5C042A5F" w14:textId="77777777" w:rsidTr="00822842">
        <w:tc>
          <w:tcPr>
            <w:tcW w:w="1697" w:type="dxa"/>
          </w:tcPr>
          <w:p w14:paraId="32640B70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131" w:type="dxa"/>
          </w:tcPr>
          <w:p w14:paraId="431787D4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Az anticiklikus tőkepufferre vonatkozó teljes szavatolótőke-követelmény</w:t>
            </w:r>
          </w:p>
          <w:p w14:paraId="78C29612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0080-as, 0090-es és 0100-as sorok összege.</w:t>
            </w:r>
          </w:p>
        </w:tc>
      </w:tr>
      <w:tr w:rsidR="009D6580" w:rsidRPr="002A677E" w14:paraId="7D74E37B" w14:textId="77777777" w:rsidTr="00822842">
        <w:tc>
          <w:tcPr>
            <w:tcW w:w="1697" w:type="dxa"/>
          </w:tcPr>
          <w:p w14:paraId="26DA65D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131" w:type="dxa"/>
          </w:tcPr>
          <w:p w14:paraId="2381AF17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lényeges hitelkockázati kitettségekre vonatkozó szavatolótőke-követelmény – hitelkockázat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4126D1DC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2013/36/EU irányelv 140. cikke (4) bekezdésének a) pontjában említett lényeges hitelkockázati kitettségekre vonatkozó, az 575/2013/EU rendelet harmadik része II. címe 1–4. és 6. fejezete szerint kiszámított szavatolótőke-követelmények a szóban forgó országban.</w:t>
            </w:r>
          </w:p>
          <w:p w14:paraId="094DA9DC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banki könyvi értékpapírosítási pozíciókra vonatkozó szavatolótőke-követelményeket ebben a sorban nem kell megadni, hanem a 0100-as sorban kell jelenteni.</w:t>
            </w:r>
          </w:p>
          <w:p w14:paraId="037A1499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szavatolótőke-követelmény az 575/2013/EU rendelet harmadik része II. címe 1–4. és 6. fejezete szerint meghatározott kockázattal súlyozott kitettségérték 8 %-a.</w:t>
            </w:r>
          </w:p>
        </w:tc>
      </w:tr>
      <w:tr w:rsidR="009D6580" w:rsidRPr="002A677E" w14:paraId="6CE5DB0E" w14:textId="77777777" w:rsidTr="00822842">
        <w:tc>
          <w:tcPr>
            <w:tcW w:w="1697" w:type="dxa"/>
          </w:tcPr>
          <w:p w14:paraId="0847E4D7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131" w:type="dxa"/>
          </w:tcPr>
          <w:p w14:paraId="4922C90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lényeges hitelkockázati kitettségekre vonatkozó szavatolótőke-követelmény – piaci kockázat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5686B881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2013/36/EU irányelv 140. cikke (4) bekezdése b) pontjában említett lényeges hitelkockázati kitettségekre vonatkozó, az egyedi kockázat esetében az 575/2013/EU rendelet harmadik része IV. címe 2. fejezetének megfelelően kiszámított szavatolótőke-követelmény, vagy a járulékos nemteljesítési és átminősítési kockázat esetében az 575/2013/EU rendelet harmadik része IV. címének 5. fejezete szerint kiszámított szavatolótőke-követelmény a szóban forgó országban.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9611817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lényeges hitelkockázati kitettségekre vonatkozó szavatolótőke-követelmények a piaci kockázati szabályok értelmében többek között magukban foglalják az értékpapírosítási pozíciókra vonatkozó, az 575/2013/EU rendelet harmadik része IV. címe 2. fejezete szerint kiszámított szavatolótőke-követelményeket, továbbá a kollektív befektetési formákkal szembeni kitettségekre vonatkozó, az említett rendelet 348. cikkének megfelelően meghatározott szavatolótőke-követelményeket.</w:t>
            </w:r>
          </w:p>
        </w:tc>
      </w:tr>
      <w:tr w:rsidR="009D6580" w:rsidRPr="002A677E" w14:paraId="655D63DC" w14:textId="77777777" w:rsidTr="00822842">
        <w:tc>
          <w:tcPr>
            <w:tcW w:w="1697" w:type="dxa"/>
          </w:tcPr>
          <w:p w14:paraId="4911AAD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131" w:type="dxa"/>
          </w:tcPr>
          <w:p w14:paraId="45D3AC3C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lényeges hitelkockázati kitettségekre vonatkozó szavatolótőke-követelmény – banki könyvi értékpapírosítási pozíciók</w:t>
            </w:r>
          </w:p>
          <w:p w14:paraId="6483412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2013/36/EU irányelv 140. cikke (4) bekezdésének c) pontjában említett lényeges hitelkockázati kitettségekre vonatkozó, az 575/2013/EU rendelet harmadik része II. címe 5. fejezete szerint kiszámított szavatolótőke-követelmények a szóban forgó országban.</w:t>
            </w:r>
          </w:p>
          <w:p w14:paraId="1A6665D5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szavatolótőke-követelmény az 575/2013/EU rendelet harmadik része II. címe 5. fejezete szerint meghatározott kockázattal súlyozott kitettségérték 8 %-a.</w:t>
            </w:r>
          </w:p>
        </w:tc>
      </w:tr>
      <w:tr w:rsidR="009D6580" w:rsidRPr="002A677E" w14:paraId="4015A9D7" w14:textId="77777777" w:rsidTr="00822842">
        <w:tc>
          <w:tcPr>
            <w:tcW w:w="1697" w:type="dxa"/>
          </w:tcPr>
          <w:p w14:paraId="4ACCD3B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131" w:type="dxa"/>
          </w:tcPr>
          <w:p w14:paraId="2EE25FA2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Szavatolótőke-követelmények súlyai</w:t>
            </w:r>
          </w:p>
          <w:p w14:paraId="3D7B8904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egyes országokban az anticiklikustőkepuffer-rátára alkalmazott súly a következőképpen meghatározott szavatolótőke-követelmény arányában kerül kiszámításra:</w:t>
            </w:r>
          </w:p>
          <w:p w14:paraId="47443D03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1.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Számláló: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 szóban forgó országban a lényeges hitelkockázati kitettségekhez kapcsolódó teljes szavatolótőke-követelmény [r0070;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c0010;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országadatlap],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FE57EC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2.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Nevező: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 2013/36/EU irányelv 140. cikkének (4) bekezdésében említett anticiklikus puffer kiszámításához releváns valamennyi hitelkockázati kitettséghez kapcsolódó teljes szavatolótőke-követelmény [r0070;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c0010;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„Összesen”].</w:t>
            </w:r>
          </w:p>
          <w:p w14:paraId="423D2DDF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szavatolótőke-követelményekhez tartozó súlyokra vonatkozó adatokat nem kell megadni az összes országra vonatkozó összesített („Összesen”) adatban.</w:t>
            </w:r>
          </w:p>
        </w:tc>
      </w:tr>
      <w:tr w:rsidR="009D6580" w:rsidRPr="002A677E" w14:paraId="5C4BC14D" w14:textId="77777777" w:rsidTr="00822842">
        <w:tc>
          <w:tcPr>
            <w:tcW w:w="1697" w:type="dxa"/>
          </w:tcPr>
          <w:p w14:paraId="1A21712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0120–0140</w:t>
            </w:r>
          </w:p>
        </w:tc>
        <w:tc>
          <w:tcPr>
            <w:tcW w:w="8131" w:type="dxa"/>
          </w:tcPr>
          <w:p w14:paraId="0FFF9D8C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Anticiklikustőkepuffer-ráták</w:t>
            </w:r>
          </w:p>
        </w:tc>
      </w:tr>
      <w:tr w:rsidR="009D6580" w:rsidRPr="002A677E" w14:paraId="3D2AE883" w14:textId="77777777" w:rsidTr="00822842">
        <w:tc>
          <w:tcPr>
            <w:tcW w:w="1697" w:type="dxa"/>
          </w:tcPr>
          <w:p w14:paraId="61437EB6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131" w:type="dxa"/>
          </w:tcPr>
          <w:p w14:paraId="756100DA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kijelölt hatóság által meghatározott anticiklikustőkepuffer-ráta</w:t>
            </w:r>
          </w:p>
          <w:p w14:paraId="256AAB4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szóban forgó országra vonatkozóan az adott ország kijelölt hatósága által megállapított anticiklikustőkepuffer-ráta a 2013/36/EU irányelv 136., 137., 139. cikkének, 140. cikke (2) bekezdése a) és c) pontjának, valamint 140. cikke (3) bekezdése b) pontjának megfelelően.</w:t>
            </w:r>
          </w:p>
          <w:p w14:paraId="08387A1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Ezt a sort üresen kell hagyni, amennyiben a kijelölt hatóság nem állapított meg anticiklikustőkepuffer-rátát a szóban forgó országra vonatkozóan.</w:t>
            </w:r>
          </w:p>
          <w:p w14:paraId="79AF7A0C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kijelölt hatóság által megállapított, de az adatszolgáltatás vonatkozási időpontjában a szóban forgó országban még nem alkalmazandó anticiklikustőkepuffer-rátát nem kell jelenteni.</w:t>
            </w:r>
          </w:p>
          <w:p w14:paraId="5BEA0E13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kijelölt hatóság által megállapított anticiklikustőkepuffer-rátára vonatkozó adatot nem kell jelenteni az összes országra vonatkozó összesített („Összesen”) adatban.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D6580" w:rsidRPr="002A677E" w14:paraId="01E6253D" w14:textId="77777777" w:rsidTr="00822842">
        <w:tc>
          <w:tcPr>
            <w:tcW w:w="1697" w:type="dxa"/>
          </w:tcPr>
          <w:p w14:paraId="3226BBDD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131" w:type="dxa"/>
          </w:tcPr>
          <w:p w14:paraId="1301D1B3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Az intézmény helye szerinti országban alkalmazandó anticiklikustőkepuffer-ráta</w:t>
            </w:r>
          </w:p>
          <w:p w14:paraId="47D66D49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szóban forgó országban alkalmazandó anticiklikustőkepuffer-ráta, amelyet az intézmény székhelye szerinti ország kijelölt hatósága állapított meg a 2013/36/EU irányelv 137., 138., 139. cikkének és 140. cikke (2) bekezdése b) pontjának, valamint 140. cikke (3) bekezdése a) pontjának megfelelően.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adatszolgáltatás vonatkozási időpontjában még nem alkalmazandó anticiklikustőkepuffer-rátákat nem kell jelenteni.</w:t>
            </w:r>
          </w:p>
          <w:p w14:paraId="082B5846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 országában alkalmazandó anticiklikustőkepuffer-rátára vonatkozó adatot nem kell jelenteni az összes országra vonatkozó összesített („Összesen”) adatban.</w:t>
            </w:r>
          </w:p>
        </w:tc>
      </w:tr>
      <w:tr w:rsidR="009D6580" w:rsidRPr="002A677E" w14:paraId="3FF424DB" w14:textId="77777777" w:rsidTr="00822842">
        <w:tc>
          <w:tcPr>
            <w:tcW w:w="1697" w:type="dxa"/>
          </w:tcPr>
          <w:p w14:paraId="752F444A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131" w:type="dxa"/>
          </w:tcPr>
          <w:p w14:paraId="315BAE64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Intézményspecifikus anticiklikustőkepuffer-ráta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253E0547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2013/36/EU irányelv 140. cikke (1) bekezdésének megfelelően kiszámított intézményspecifikus anticiklikustőkepuffer-ráta.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75D2B31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intézményspecifikus anticiklikustőkepuffer-ráta az azon joghatóságokban alkalmazandó anticiklikustőkepuffer-ráták súlyozott átlaga, amelyekben az intézmény lényeges hitelkockázati kitettségei elhelyezkednek vagy amelyeket a 140. cikk céljából alkalmaznak a 2013/36/EU irányelv 139. cikkének (2) vagy (3) bekezdése értelmében.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 releváns anticiklikustőkepuffer-rátát az [r0120;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c0020;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országadatlap] mezőben vagy adott esetben az [r0130;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c0020;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országadatlap] mezőben kell megadni.</w:t>
            </w:r>
          </w:p>
          <w:p w14:paraId="2C4ECBB2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b/>
                <w:strike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anticiklikustőkepuffer-rátára vonatkozóan az egyes országokban alkalmazandó súly a szavatolótőke-követelménynek a teljes szavatolótőke-követelményhez viszonyított aránya, és az [r0110;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c0020;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országadatlap] mezőben kell megadni.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5E93DC9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intézményspecifikus anticiklikustőkepuffer-rátára vonatkozó adatot csak az összes országra vonatkozó összesített („Összesen”) adatban kell jelenteni, az egyes országokra vonatkozóan nem.</w:t>
            </w:r>
          </w:p>
        </w:tc>
      </w:tr>
      <w:tr w:rsidR="009D6580" w:rsidRPr="002A677E" w14:paraId="0CA64D03" w14:textId="77777777" w:rsidTr="00822842">
        <w:tc>
          <w:tcPr>
            <w:tcW w:w="1697" w:type="dxa"/>
          </w:tcPr>
          <w:p w14:paraId="1436C16C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 – 0160</w:t>
            </w:r>
          </w:p>
        </w:tc>
        <w:tc>
          <w:tcPr>
            <w:tcW w:w="8131" w:type="dxa"/>
          </w:tcPr>
          <w:p w14:paraId="13A71A3D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2 %-os küszöbérték alkalmazása</w:t>
            </w:r>
          </w:p>
        </w:tc>
      </w:tr>
      <w:tr w:rsidR="009D6580" w:rsidRPr="002A677E" w14:paraId="4C39701D" w14:textId="77777777" w:rsidTr="00822842">
        <w:tc>
          <w:tcPr>
            <w:tcW w:w="1697" w:type="dxa"/>
          </w:tcPr>
          <w:p w14:paraId="62E51E1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131" w:type="dxa"/>
          </w:tcPr>
          <w:p w14:paraId="0ABF51F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2 %-os küszöbérték alkalmazása az általános hitelkockázati kitettségekre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8B71CE8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1152/2014/EU felhatalmazáson alapuló bizottsági rendelet 2. cikke (5) bekezdése b) pontjának megfelelően azok a külföldi általános hitelkockázati kitettségek, amelyek együttesen nem haladják meg az adott intézmény összesített általános hitelkockázati, kereskedési könyvi és értékpapírosítási kitettségének 2 %-át, hozzárendelhetők az intézmény székhelye szerinti tagállamhoz.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összesített általános hitelkockázati, kereskedési könyvi és értékpapírosítási kitettségeket az 1152/2014/EU felhatalmazáson alapuló bizottsági rendelet 2. cikke (5) bekezdése a) pontjának és 2. cikke (4) bekezdésének megfelelően lokalizált általános hitelkockázati kitettség kizárásával kell kiszámítani.</w:t>
            </w:r>
          </w:p>
          <w:p w14:paraId="53DCDD6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 egy intézmény alkalmazza ezt az eltérést, a táblában a székhelye szerinti tagállamnak megfelelő joghatóság és az összes országra vonatkozó összesített („Összesen”) adat tekintetében „y”-t kell megadnia.</w:t>
            </w:r>
          </w:p>
          <w:p w14:paraId="5B2597B2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 egy intézmény nem alkalmazza ezt az eltérést, a megfelelő cellában „n”-t kell megadnia.</w:t>
            </w:r>
          </w:p>
        </w:tc>
      </w:tr>
      <w:tr w:rsidR="009D6580" w:rsidRPr="002A677E" w14:paraId="7179BBF6" w14:textId="77777777" w:rsidTr="00822842">
        <w:tc>
          <w:tcPr>
            <w:tcW w:w="1697" w:type="dxa"/>
          </w:tcPr>
          <w:p w14:paraId="528EEA51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131" w:type="dxa"/>
          </w:tcPr>
          <w:p w14:paraId="4FC000D6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2 %-os küszöbérték alkalmazása a kereskedési könyvi kitettségekre</w:t>
            </w:r>
          </w:p>
          <w:p w14:paraId="13ED02AA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1152/2014/EU felhatalmazáson alapuló bizottsági rendelet 3. cikke (3) bekezdésének megfelelően az intézmények a székhelyük szerinti tagállamhoz rendelhetik a kereskedési könyvi kitettségeket, amennyiben a teljes kereskedési könyvi kitettség nem haladja meg teljes általános hitelkockázati, kereskedési könyvi és értékpapírosítási kitettségük 2 %-át.</w:t>
            </w:r>
          </w:p>
          <w:p w14:paraId="068BDCF9" w14:textId="77777777" w:rsidR="009D6580" w:rsidRPr="002A677E" w:rsidRDefault="009D6580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 egy intézmény alkalmazza ezt az eltérést, a táblában a székhelye szerinti tagállamnak megfelelő joghatóság és az összes országra vonatkozó összesített („Összesen”) adat tekintetében „y”-t kell megadnia.</w:t>
            </w:r>
          </w:p>
          <w:p w14:paraId="3EA8EC30" w14:textId="77777777" w:rsidR="009D6580" w:rsidRPr="002A677E" w:rsidRDefault="009D6580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 egy intézmény nem alkalmazza ezt az eltérést, a megfelelő cellában „n”-t kell megadnia.</w:t>
            </w:r>
          </w:p>
        </w:tc>
      </w:tr>
    </w:tbl>
    <w:p w14:paraId="41871259" w14:textId="77777777" w:rsidR="009D6580" w:rsidRDefault="009D6580"/>
    <w:p w14:paraId="6D451BBA" w14:textId="77777777" w:rsidR="009D6580" w:rsidRDefault="009D6580"/>
    <w:sectPr w:rsidR="009D6580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93790" w14:textId="77777777" w:rsidR="00071022" w:rsidRDefault="00071022" w:rsidP="00E26A90">
      <w:pPr>
        <w:spacing w:after="0"/>
      </w:pPr>
      <w:r>
        <w:separator/>
      </w:r>
    </w:p>
  </w:endnote>
  <w:endnote w:type="continuationSeparator" w:id="0">
    <w:p w14:paraId="0E38E4C2" w14:textId="77777777" w:rsidR="00071022" w:rsidRDefault="00071022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6DF55" w14:textId="77777777" w:rsidR="00071022" w:rsidRDefault="00071022" w:rsidP="00E26A90">
      <w:pPr>
        <w:spacing w:after="0"/>
      </w:pPr>
      <w:r>
        <w:separator/>
      </w:r>
    </w:p>
  </w:footnote>
  <w:footnote w:type="continuationSeparator" w:id="0">
    <w:p w14:paraId="0EAFC9C2" w14:textId="77777777" w:rsidR="00071022" w:rsidRDefault="00071022" w:rsidP="00E26A90">
      <w:pPr>
        <w:spacing w:after="0"/>
      </w:pPr>
      <w:r>
        <w:continuationSeparator/>
      </w:r>
    </w:p>
  </w:footnote>
  <w:footnote w:id="1">
    <w:p w14:paraId="662CB3FE" w14:textId="77777777" w:rsidR="009D6580" w:rsidRPr="0002267E" w:rsidRDefault="009D6580" w:rsidP="009D6580">
      <w:pPr>
        <w:pStyle w:val="FootnoteText"/>
        <w:ind w:left="567" w:hanging="567"/>
        <w:rPr>
          <w:sz w:val="20"/>
          <w:szCs w:val="20"/>
          <w:rFonts w:ascii="Times New Roman" w:hAnsi="Times New Roman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tab/>
      </w:r>
      <w:r>
        <w:rPr>
          <w:sz w:val="20"/>
          <w:color w:val="444444"/>
          <w:rFonts w:ascii="Times New Roman" w:hAnsi="Times New Roman"/>
        </w:rPr>
        <w:t xml:space="preserve">A Bizottság 1152/2014/EU felhatalmazáson alapuló rendelete (2014. június 4.) a 2013/36/EU európai parlamenti és tanácsi irányelvnek az intézményspecifikus anticiklikus tőkepufferráta kiszámítása céljából a lényeges hitelkockázati kitettségek földrajzi helyének azonosítására irányuló szabályozástechnikai standardok tekintetében történő kiegészítéséről (HL L 309., 2014.10.30., 5. o.).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0291" w14:textId="50F94529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H – szokásos felhasználásr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170D" w14:textId="140FE0A2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H – szokásos felhasználásr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7100" w14:textId="19F65C93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H – szokásos felhasználásr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2F7D7F02"/>
    <w:multiLevelType w:val="multilevel"/>
    <w:tmpl w:val="0407001D"/>
    <w:numStyleLink w:val="Formatvorlage3"/>
  </w:abstractNum>
  <w:abstractNum w:abstractNumId="9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4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5776359">
    <w:abstractNumId w:val="3"/>
  </w:num>
  <w:num w:numId="2" w16cid:durableId="1733112609">
    <w:abstractNumId w:val="19"/>
  </w:num>
  <w:num w:numId="3" w16cid:durableId="286200695">
    <w:abstractNumId w:val="27"/>
  </w:num>
  <w:num w:numId="4" w16cid:durableId="487287975">
    <w:abstractNumId w:val="14"/>
  </w:num>
  <w:num w:numId="5" w16cid:durableId="1754350949">
    <w:abstractNumId w:val="22"/>
  </w:num>
  <w:num w:numId="6" w16cid:durableId="1507597667">
    <w:abstractNumId w:val="12"/>
  </w:num>
  <w:num w:numId="7" w16cid:durableId="139271283">
    <w:abstractNumId w:val="26"/>
  </w:num>
  <w:num w:numId="8" w16cid:durableId="763764270">
    <w:abstractNumId w:val="5"/>
  </w:num>
  <w:num w:numId="9" w16cid:durableId="1561986968">
    <w:abstractNumId w:val="20"/>
  </w:num>
  <w:num w:numId="10" w16cid:durableId="1349260748">
    <w:abstractNumId w:val="10"/>
  </w:num>
  <w:num w:numId="11" w16cid:durableId="1097991330">
    <w:abstractNumId w:val="16"/>
  </w:num>
  <w:num w:numId="12" w16cid:durableId="858469680">
    <w:abstractNumId w:val="6"/>
  </w:num>
  <w:num w:numId="13" w16cid:durableId="1485394352">
    <w:abstractNumId w:val="21"/>
  </w:num>
  <w:num w:numId="14" w16cid:durableId="881021889">
    <w:abstractNumId w:val="18"/>
  </w:num>
  <w:num w:numId="15" w16cid:durableId="1923681300">
    <w:abstractNumId w:val="9"/>
  </w:num>
  <w:num w:numId="16" w16cid:durableId="211188018">
    <w:abstractNumId w:val="15"/>
  </w:num>
  <w:num w:numId="17" w16cid:durableId="373817584">
    <w:abstractNumId w:val="8"/>
  </w:num>
  <w:num w:numId="18" w16cid:durableId="1615165847">
    <w:abstractNumId w:val="23"/>
  </w:num>
  <w:num w:numId="19" w16cid:durableId="429467310">
    <w:abstractNumId w:val="4"/>
  </w:num>
  <w:num w:numId="20" w16cid:durableId="1079792157">
    <w:abstractNumId w:val="13"/>
  </w:num>
  <w:num w:numId="21" w16cid:durableId="1333265662">
    <w:abstractNumId w:val="2"/>
  </w:num>
  <w:num w:numId="22" w16cid:durableId="737484550">
    <w:abstractNumId w:val="11"/>
  </w:num>
  <w:num w:numId="23" w16cid:durableId="309210531">
    <w:abstractNumId w:val="25"/>
  </w:num>
  <w:num w:numId="24" w16cid:durableId="166527561">
    <w:abstractNumId w:val="1"/>
  </w:num>
  <w:num w:numId="25" w16cid:durableId="1544101633">
    <w:abstractNumId w:val="24"/>
  </w:num>
  <w:num w:numId="26" w16cid:durableId="44380249">
    <w:abstractNumId w:val="17"/>
  </w:num>
  <w:num w:numId="27" w16cid:durableId="1838038624">
    <w:abstractNumId w:val="0"/>
  </w:num>
  <w:num w:numId="28" w16cid:durableId="1856265522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1099"/>
    <w:rsid w:val="00071022"/>
    <w:rsid w:val="000C5380"/>
    <w:rsid w:val="00117723"/>
    <w:rsid w:val="00123FDD"/>
    <w:rsid w:val="001A2CA7"/>
    <w:rsid w:val="0020657D"/>
    <w:rsid w:val="00234FB5"/>
    <w:rsid w:val="0035336C"/>
    <w:rsid w:val="00381D02"/>
    <w:rsid w:val="003C36D5"/>
    <w:rsid w:val="003D18F9"/>
    <w:rsid w:val="005644CB"/>
    <w:rsid w:val="005B37F0"/>
    <w:rsid w:val="005E7811"/>
    <w:rsid w:val="00631623"/>
    <w:rsid w:val="0064771D"/>
    <w:rsid w:val="00681B25"/>
    <w:rsid w:val="006D3385"/>
    <w:rsid w:val="007F4E89"/>
    <w:rsid w:val="00837F98"/>
    <w:rsid w:val="00910F63"/>
    <w:rsid w:val="009860C5"/>
    <w:rsid w:val="009D6580"/>
    <w:rsid w:val="00A6002C"/>
    <w:rsid w:val="00A931D0"/>
    <w:rsid w:val="00AF2BE6"/>
    <w:rsid w:val="00B3003C"/>
    <w:rsid w:val="00B56773"/>
    <w:rsid w:val="00B71F25"/>
    <w:rsid w:val="00BA13AD"/>
    <w:rsid w:val="00C04862"/>
    <w:rsid w:val="00D25C41"/>
    <w:rsid w:val="00DD798A"/>
    <w:rsid w:val="00E26A90"/>
    <w:rsid w:val="00E50DD0"/>
    <w:rsid w:val="00EF07A1"/>
    <w:rsid w:val="00F16E4D"/>
    <w:rsid w:val="00FB1404"/>
    <w:rsid w:val="00FD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580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9D6580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D6580"/>
    <w:pPr>
      <w:keepNext/>
      <w:spacing w:before="240"/>
      <w:outlineLvl w:val="1"/>
    </w:pPr>
    <w:rPr>
      <w:rFonts w:eastAsia="Arial"/>
      <w:b/>
      <w:sz w:val="24"/>
      <w:u w:val="single"/>
      <w:lang w:val="hu-HU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9D6580"/>
    <w:pPr>
      <w:keepNext/>
      <w:spacing w:before="180"/>
      <w:outlineLvl w:val="2"/>
    </w:pPr>
    <w:rPr>
      <w:rFonts w:ascii="Arial" w:eastAsia="Arial" w:hAnsi="Arial"/>
      <w:b/>
      <w:szCs w:val="20"/>
      <w:lang w:val="hu-HU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9D6580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9D6580"/>
    <w:pPr>
      <w:keepNext/>
      <w:spacing w:before="140"/>
      <w:outlineLvl w:val="4"/>
    </w:pPr>
    <w:rPr>
      <w:rFonts w:ascii="Arial" w:eastAsia="Arial" w:hAnsi="Arial"/>
      <w:b/>
      <w:i/>
      <w:szCs w:val="20"/>
      <w:lang w:val="hu-HU" w:eastAsia="de-DE"/>
    </w:rPr>
  </w:style>
  <w:style w:type="paragraph" w:styleId="Heading6">
    <w:name w:val="heading 6"/>
    <w:basedOn w:val="Normal"/>
    <w:next w:val="Normal"/>
    <w:link w:val="Heading6Char"/>
    <w:qFormat/>
    <w:rsid w:val="009D6580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hu-HU" w:eastAsia="de-DE"/>
    </w:rPr>
  </w:style>
  <w:style w:type="paragraph" w:styleId="Heading7">
    <w:name w:val="heading 7"/>
    <w:basedOn w:val="Normal"/>
    <w:next w:val="Normal"/>
    <w:link w:val="Heading7Char"/>
    <w:qFormat/>
    <w:rsid w:val="009D6580"/>
    <w:pPr>
      <w:spacing w:before="240" w:after="60"/>
      <w:outlineLvl w:val="6"/>
    </w:pPr>
    <w:rPr>
      <w:rFonts w:ascii="Times New Roman" w:eastAsia="Arial" w:hAnsi="Times New Roman"/>
      <w:szCs w:val="20"/>
      <w:lang w:val="hu-HU" w:eastAsia="de-DE"/>
    </w:rPr>
  </w:style>
  <w:style w:type="paragraph" w:styleId="Heading8">
    <w:name w:val="heading 8"/>
    <w:basedOn w:val="Normal"/>
    <w:next w:val="Normal"/>
    <w:link w:val="Heading8Char"/>
    <w:qFormat/>
    <w:rsid w:val="009D6580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hu-HU" w:eastAsia="de-DE"/>
    </w:rPr>
  </w:style>
  <w:style w:type="paragraph" w:styleId="Heading9">
    <w:name w:val="heading 9"/>
    <w:basedOn w:val="Normal"/>
    <w:next w:val="Normal"/>
    <w:link w:val="Heading9Char"/>
    <w:qFormat/>
    <w:rsid w:val="009D6580"/>
    <w:pPr>
      <w:spacing w:before="240" w:after="60"/>
      <w:outlineLvl w:val="8"/>
    </w:pPr>
    <w:rPr>
      <w:rFonts w:ascii="Arial" w:eastAsia="Arial" w:hAnsi="Arial"/>
      <w:szCs w:val="20"/>
      <w:lang w:val="hu-HU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9D6580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9D6580"/>
    <w:rPr>
      <w:rFonts w:ascii="Verdana" w:eastAsia="Arial" w:hAnsi="Verdana" w:cs="Times New Roman"/>
      <w:b/>
      <w:kern w:val="0"/>
      <w:sz w:val="24"/>
      <w:szCs w:val="24"/>
      <w:u w:val="single"/>
      <w:lang w:val="hu-HU" w:eastAsia="x-none"/>
      <w14:ligatures w14:val="none"/>
    </w:rPr>
  </w:style>
  <w:style w:type="character" w:customStyle="1" w:styleId="Heading3Char">
    <w:name w:val="Heading 3 Char"/>
    <w:aliases w:val="Title 2 Char"/>
    <w:basedOn w:val="DefaultParagraphFont"/>
    <w:uiPriority w:val="99"/>
    <w:rsid w:val="009D658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9"/>
    <w:rsid w:val="009D6580"/>
    <w:rPr>
      <w:rFonts w:ascii="Verdana" w:eastAsia="Times New Roman" w:hAnsi="Verdana" w:cs="Times New Roman"/>
      <w:b/>
      <w:kern w:val="0"/>
      <w:sz w:val="20"/>
      <w:szCs w:val="24"/>
      <w:u w:val="single"/>
      <w14:ligatures w14:val="none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9D6580"/>
    <w:rPr>
      <w:rFonts w:ascii="Arial" w:eastAsia="Arial" w:hAnsi="Arial" w:cs="Times New Roman"/>
      <w:b/>
      <w:i/>
      <w:kern w:val="0"/>
      <w:sz w:val="20"/>
      <w:szCs w:val="20"/>
      <w:lang w:val="hu-HU" w:eastAsia="de-DE"/>
      <w14:ligatures w14:val="none"/>
    </w:rPr>
  </w:style>
  <w:style w:type="character" w:customStyle="1" w:styleId="Heading6Char">
    <w:name w:val="Heading 6 Char"/>
    <w:basedOn w:val="DefaultParagraphFont"/>
    <w:link w:val="Heading6"/>
    <w:rsid w:val="009D6580"/>
    <w:rPr>
      <w:rFonts w:ascii="Times New Roman" w:eastAsia="Arial" w:hAnsi="Times New Roman" w:cs="Times New Roman"/>
      <w:b/>
      <w:bCs/>
      <w:kern w:val="0"/>
      <w:sz w:val="20"/>
      <w:szCs w:val="20"/>
      <w:lang w:val="hu-HU" w:eastAsia="de-DE"/>
      <w14:ligatures w14:val="none"/>
    </w:rPr>
  </w:style>
  <w:style w:type="character" w:customStyle="1" w:styleId="Heading7Char">
    <w:name w:val="Heading 7 Char"/>
    <w:basedOn w:val="DefaultParagraphFont"/>
    <w:link w:val="Heading7"/>
    <w:rsid w:val="009D6580"/>
    <w:rPr>
      <w:rFonts w:ascii="Times New Roman" w:eastAsia="Arial" w:hAnsi="Times New Roman" w:cs="Times New Roman"/>
      <w:kern w:val="0"/>
      <w:sz w:val="20"/>
      <w:szCs w:val="20"/>
      <w:lang w:val="hu-HU" w:eastAsia="de-DE"/>
      <w14:ligatures w14:val="none"/>
    </w:rPr>
  </w:style>
  <w:style w:type="character" w:customStyle="1" w:styleId="Heading8Char">
    <w:name w:val="Heading 8 Char"/>
    <w:basedOn w:val="DefaultParagraphFont"/>
    <w:link w:val="Heading8"/>
    <w:rsid w:val="009D6580"/>
    <w:rPr>
      <w:rFonts w:ascii="Times New Roman" w:eastAsia="Arial" w:hAnsi="Times New Roman" w:cs="Times New Roman"/>
      <w:i/>
      <w:iCs/>
      <w:kern w:val="0"/>
      <w:sz w:val="20"/>
      <w:szCs w:val="20"/>
      <w:lang w:val="hu-HU" w:eastAsia="de-DE"/>
      <w14:ligatures w14:val="none"/>
    </w:rPr>
  </w:style>
  <w:style w:type="character" w:customStyle="1" w:styleId="Heading9Char">
    <w:name w:val="Heading 9 Char"/>
    <w:basedOn w:val="DefaultParagraphFont"/>
    <w:link w:val="Heading9"/>
    <w:rsid w:val="009D6580"/>
    <w:rPr>
      <w:rFonts w:ascii="Arial" w:eastAsia="Arial" w:hAnsi="Arial" w:cs="Times New Roman"/>
      <w:kern w:val="0"/>
      <w:sz w:val="20"/>
      <w:szCs w:val="20"/>
      <w:lang w:val="hu-HU" w:eastAsia="de-DE"/>
      <w14:ligatures w14:val="none"/>
    </w:rPr>
  </w:style>
  <w:style w:type="paragraph" w:styleId="TableofFigures">
    <w:name w:val="table of figures"/>
    <w:basedOn w:val="Normal"/>
    <w:next w:val="Normal"/>
    <w:qFormat/>
    <w:rsid w:val="009D6580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9D6580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9D6580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9D6580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9D6580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9D6580"/>
    <w:pPr>
      <w:spacing w:line="180" w:lineRule="exact"/>
      <w:ind w:left="142" w:hanging="142"/>
    </w:pPr>
    <w:rPr>
      <w:rFonts w:ascii="Arial" w:eastAsia="Arial" w:hAnsi="Arial"/>
      <w:sz w:val="16"/>
      <w:szCs w:val="16"/>
      <w:lang w:val="hu-HU" w:eastAsia="de-DE"/>
    </w:rPr>
  </w:style>
  <w:style w:type="character" w:customStyle="1" w:styleId="FootnoteTextChar">
    <w:name w:val="Footnote Text Char"/>
    <w:basedOn w:val="DefaultParagraphFont"/>
    <w:link w:val="FootnoteText"/>
    <w:rsid w:val="009D6580"/>
    <w:rPr>
      <w:rFonts w:ascii="Arial" w:eastAsia="Arial" w:hAnsi="Arial" w:cs="Times New Roman"/>
      <w:kern w:val="0"/>
      <w:sz w:val="16"/>
      <w:szCs w:val="16"/>
      <w:lang w:val="hu-HU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9D658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9D6580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hu-HU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9D6580"/>
    <w:rPr>
      <w:rFonts w:ascii="Arial" w:eastAsia="Arial" w:hAnsi="Arial" w:cs="Times New Roman"/>
      <w:kern w:val="0"/>
      <w:sz w:val="14"/>
      <w:szCs w:val="14"/>
      <w:lang w:val="hu-HU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9D6580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9D6580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9D6580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9D6580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9D6580"/>
    <w:pPr>
      <w:spacing w:line="312" w:lineRule="auto"/>
      <w:ind w:left="1701" w:hanging="567"/>
    </w:pPr>
  </w:style>
  <w:style w:type="character" w:styleId="Hyperlink">
    <w:name w:val="Hyperlink"/>
    <w:uiPriority w:val="99"/>
    <w:rsid w:val="009D658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9D6580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9D6580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9D6580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9D6580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9D6580"/>
    <w:pPr>
      <w:numPr>
        <w:numId w:val="12"/>
      </w:numPr>
    </w:pPr>
  </w:style>
  <w:style w:type="character" w:styleId="PageNumber">
    <w:name w:val="page number"/>
    <w:uiPriority w:val="99"/>
    <w:rsid w:val="009D658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9D6580"/>
    <w:rPr>
      <w:rFonts w:ascii="Arial" w:eastAsia="Arial" w:hAnsi="Arial" w:cs="Times New Roman"/>
      <w:b/>
      <w:kern w:val="0"/>
      <w:sz w:val="20"/>
      <w:szCs w:val="20"/>
      <w:lang w:val="hu-HU" w:eastAsia="de-D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9D658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9D658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D6580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9D6580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9D6580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9D6580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9D6580"/>
    <w:rPr>
      <w:rFonts w:ascii="Arial" w:eastAsia="Arial" w:hAnsi="Arial"/>
      <w:i/>
      <w:iCs/>
      <w:color w:val="000000"/>
      <w:szCs w:val="20"/>
      <w:lang w:val="hu-HU" w:eastAsia="de-DE"/>
    </w:rPr>
  </w:style>
  <w:style w:type="character" w:customStyle="1" w:styleId="QuoteChar">
    <w:name w:val="Quote Char"/>
    <w:basedOn w:val="DefaultParagraphFont"/>
    <w:link w:val="Quote"/>
    <w:uiPriority w:val="29"/>
    <w:rsid w:val="009D6580"/>
    <w:rPr>
      <w:rFonts w:ascii="Arial" w:eastAsia="Arial" w:hAnsi="Arial" w:cs="Times New Roman"/>
      <w:i/>
      <w:iCs/>
      <w:color w:val="000000"/>
      <w:kern w:val="0"/>
      <w:sz w:val="20"/>
      <w:szCs w:val="20"/>
      <w:lang w:val="hu-HU" w:eastAsia="de-DE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9D658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9D6580"/>
    <w:pPr>
      <w:spacing w:line="180" w:lineRule="exact"/>
      <w:ind w:left="142" w:hanging="142"/>
    </w:pPr>
    <w:rPr>
      <w:rFonts w:ascii="Arial" w:eastAsia="Arial" w:hAnsi="Arial"/>
      <w:szCs w:val="20"/>
      <w:lang w:val="hu-HU"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9D6580"/>
    <w:rPr>
      <w:rFonts w:ascii="Arial" w:eastAsia="Arial" w:hAnsi="Arial" w:cs="Times New Roman"/>
      <w:kern w:val="0"/>
      <w:sz w:val="20"/>
      <w:szCs w:val="20"/>
      <w:lang w:val="hu-HU" w:eastAsia="de-DE"/>
      <w14:ligatures w14:val="none"/>
    </w:rPr>
  </w:style>
  <w:style w:type="character" w:styleId="EndnoteReference">
    <w:name w:val="endnote reference"/>
    <w:uiPriority w:val="1"/>
    <w:rsid w:val="009D658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9D658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9D65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D6580"/>
    <w:rPr>
      <w:rFonts w:eastAsia="Arial"/>
      <w:szCs w:val="20"/>
      <w:lang w:val="hu-HU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580"/>
    <w:rPr>
      <w:rFonts w:ascii="Verdana" w:eastAsia="Arial" w:hAnsi="Verdana" w:cs="Times New Roman"/>
      <w:kern w:val="0"/>
      <w:sz w:val="20"/>
      <w:szCs w:val="20"/>
      <w:lang w:val="hu-HU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9D6580"/>
    <w:rPr>
      <w:b/>
      <w:bCs/>
    </w:rPr>
  </w:style>
  <w:style w:type="character" w:styleId="FollowedHyperlink">
    <w:name w:val="FollowedHyperlink"/>
    <w:uiPriority w:val="99"/>
    <w:rsid w:val="009D658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9D6580"/>
    <w:rPr>
      <w:rFonts w:ascii="Tahoma" w:eastAsia="Arial" w:hAnsi="Tahoma"/>
      <w:sz w:val="16"/>
      <w:szCs w:val="16"/>
      <w:lang w:val="hu-HU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D6580"/>
    <w:rPr>
      <w:rFonts w:ascii="Tahoma" w:eastAsia="Arial" w:hAnsi="Tahoma" w:cs="Times New Roman"/>
      <w:kern w:val="0"/>
      <w:sz w:val="16"/>
      <w:szCs w:val="16"/>
      <w:lang w:val="hu-HU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D65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D6580"/>
    <w:rPr>
      <w:rFonts w:ascii="Verdana" w:eastAsia="Arial" w:hAnsi="Verdana" w:cs="Times New Roman"/>
      <w:b/>
      <w:bCs/>
      <w:kern w:val="0"/>
      <w:sz w:val="20"/>
      <w:szCs w:val="20"/>
      <w:lang w:val="hu-HU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9D65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hu-HU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9D6580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9D658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9D6580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9D6580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9D6580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hu-HU" w:eastAsia="en-US"/>
    </w:rPr>
  </w:style>
  <w:style w:type="character" w:customStyle="1" w:styleId="Instructionsberschrift3Zchn">
    <w:name w:val="Instructions Überschrift 3 Zchn"/>
    <w:link w:val="Instructionsberschrift3"/>
    <w:locked/>
    <w:rsid w:val="009D658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9D6580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9D6580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9D658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9D658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D658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D658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9D658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9D6580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9D6580"/>
    <w:pPr>
      <w:ind w:left="720"/>
    </w:pPr>
  </w:style>
  <w:style w:type="paragraph" w:customStyle="1" w:styleId="Prrafodelista2">
    <w:name w:val="Párrafo de lista2"/>
    <w:basedOn w:val="Normal"/>
    <w:uiPriority w:val="99"/>
    <w:rsid w:val="009D6580"/>
    <w:pPr>
      <w:ind w:left="708"/>
    </w:pPr>
  </w:style>
  <w:style w:type="paragraph" w:styleId="PlainText">
    <w:name w:val="Plain Text"/>
    <w:basedOn w:val="Normal"/>
    <w:link w:val="PlainTextChar"/>
    <w:uiPriority w:val="99"/>
    <w:rsid w:val="009D6580"/>
    <w:pPr>
      <w:spacing w:before="0" w:after="0"/>
      <w:jc w:val="left"/>
    </w:pPr>
    <w:rPr>
      <w:rFonts w:eastAsia="Arial"/>
      <w:szCs w:val="20"/>
      <w:lang w:val="hu-HU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9D6580"/>
    <w:rPr>
      <w:rFonts w:ascii="Verdana" w:eastAsia="Arial" w:hAnsi="Verdana" w:cs="Times New Roman"/>
      <w:kern w:val="0"/>
      <w:sz w:val="20"/>
      <w:szCs w:val="20"/>
      <w:lang w:val="hu-HU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9D6580"/>
    <w:pPr>
      <w:ind w:left="708"/>
    </w:pPr>
  </w:style>
  <w:style w:type="character" w:customStyle="1" w:styleId="InstructionsTextChar">
    <w:name w:val="Instructions Text Char"/>
    <w:link w:val="InstructionsText"/>
    <w:locked/>
    <w:rsid w:val="009D658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9D658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hu-HU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9D6580"/>
    <w:pPr>
      <w:ind w:left="708"/>
    </w:pPr>
  </w:style>
  <w:style w:type="character" w:styleId="PlaceholderText">
    <w:name w:val="Placeholder Text"/>
    <w:uiPriority w:val="99"/>
    <w:semiHidden/>
    <w:rsid w:val="009D6580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9D6580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9D6580"/>
    <w:rPr>
      <w:rFonts w:ascii="Verdana" w:hAnsi="Verdana" w:cs="Arial"/>
      <w:b/>
      <w:bCs/>
      <w:sz w:val="26"/>
      <w:szCs w:val="26"/>
      <w:u w:val="single"/>
      <w:lang w:val="hu-HU" w:eastAsia="en-US" w:bidi="ar-SA"/>
    </w:rPr>
  </w:style>
  <w:style w:type="paragraph" w:customStyle="1" w:styleId="CM4">
    <w:name w:val="CM4"/>
    <w:basedOn w:val="Normal"/>
    <w:next w:val="Normal"/>
    <w:uiPriority w:val="99"/>
    <w:rsid w:val="009D6580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hu-HU"/>
    </w:rPr>
  </w:style>
  <w:style w:type="paragraph" w:styleId="DocumentMap">
    <w:name w:val="Document Map"/>
    <w:basedOn w:val="Normal"/>
    <w:link w:val="DocumentMapChar"/>
    <w:uiPriority w:val="99"/>
    <w:semiHidden/>
    <w:rsid w:val="009D6580"/>
    <w:pPr>
      <w:spacing w:before="0" w:after="0"/>
    </w:pPr>
    <w:rPr>
      <w:rFonts w:ascii="Tahoma" w:eastAsia="Arial" w:hAnsi="Tahoma"/>
      <w:sz w:val="16"/>
      <w:szCs w:val="16"/>
      <w:lang w:val="hu-HU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D6580"/>
    <w:rPr>
      <w:rFonts w:ascii="Tahoma" w:eastAsia="Arial" w:hAnsi="Tahoma" w:cs="Times New Roman"/>
      <w:kern w:val="0"/>
      <w:sz w:val="16"/>
      <w:szCs w:val="16"/>
      <w:lang w:val="hu-HU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9D6580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9D6580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9D658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9D658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9D6580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9D658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9D6580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9D6580"/>
    <w:pPr>
      <w:numPr>
        <w:numId w:val="6"/>
      </w:numPr>
    </w:pPr>
  </w:style>
  <w:style w:type="numbering" w:customStyle="1" w:styleId="Formatvorlage3">
    <w:name w:val="Formatvorlage3"/>
    <w:uiPriority w:val="99"/>
    <w:rsid w:val="009D6580"/>
    <w:pPr>
      <w:numPr>
        <w:numId w:val="16"/>
      </w:numPr>
    </w:pPr>
  </w:style>
  <w:style w:type="numbering" w:customStyle="1" w:styleId="Formatvorlage1">
    <w:name w:val="Formatvorlage1"/>
    <w:uiPriority w:val="99"/>
    <w:rsid w:val="009D6580"/>
    <w:pPr>
      <w:numPr>
        <w:numId w:val="5"/>
      </w:numPr>
    </w:pPr>
  </w:style>
  <w:style w:type="numbering" w:customStyle="1" w:styleId="Formatvorlage4">
    <w:name w:val="Formatvorlage4"/>
    <w:uiPriority w:val="99"/>
    <w:rsid w:val="009D6580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9D6580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9D6580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9D658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9D658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9D658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hu-HU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9D6580"/>
    <w:pPr>
      <w:ind w:left="708"/>
    </w:pPr>
  </w:style>
  <w:style w:type="character" w:customStyle="1" w:styleId="Platzhaltertext1">
    <w:name w:val="Platzhaltertext1"/>
    <w:uiPriority w:val="99"/>
    <w:semiHidden/>
    <w:rsid w:val="009D6580"/>
    <w:rPr>
      <w:color w:val="808080"/>
    </w:rPr>
  </w:style>
  <w:style w:type="paragraph" w:customStyle="1" w:styleId="Default">
    <w:name w:val="Default"/>
    <w:rsid w:val="009D658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9D658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D658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9D658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9D658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9D6580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9D6580"/>
    <w:pPr>
      <w:spacing w:before="240" w:after="120" w:line="276" w:lineRule="auto"/>
      <w:jc w:val="both"/>
    </w:pPr>
    <w:rPr>
      <w:rFonts w:eastAsiaTheme="minorEastAsia"/>
      <w:kern w:val="0"/>
      <w:szCs w:val="24"/>
      <w:lang w:val="hu-HU"/>
      <w14:ligatures w14:val="none"/>
    </w:rPr>
  </w:style>
  <w:style w:type="paragraph" w:customStyle="1" w:styleId="Applicationdirecte">
    <w:name w:val="Application directe"/>
    <w:basedOn w:val="Normal"/>
    <w:next w:val="Fait"/>
    <w:rsid w:val="009D6580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9D6580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9D6580"/>
    <w:pPr>
      <w:numPr>
        <w:numId w:val="25"/>
      </w:numPr>
    </w:pPr>
  </w:style>
  <w:style w:type="paragraph" w:customStyle="1" w:styleId="Numberedtitlelevel2">
    <w:name w:val="Numbered title level 2"/>
    <w:basedOn w:val="Titlelevel2"/>
    <w:next w:val="body"/>
    <w:qFormat/>
    <w:rsid w:val="009D6580"/>
    <w:pPr>
      <w:numPr>
        <w:ilvl w:val="1"/>
        <w:numId w:val="25"/>
      </w:numPr>
    </w:pPr>
  </w:style>
  <w:style w:type="paragraph" w:customStyle="1" w:styleId="Titlelevel2">
    <w:name w:val="Title level 2"/>
    <w:qFormat/>
    <w:rsid w:val="009D658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kern w:val="0"/>
      <w:sz w:val="32"/>
      <w:szCs w:val="24"/>
      <w:lang w:val="hu-HU"/>
      <w14:ligatures w14:val="none"/>
    </w:rPr>
  </w:style>
  <w:style w:type="paragraph" w:customStyle="1" w:styleId="Tableheader">
    <w:name w:val="Table header"/>
    <w:next w:val="Tabledata"/>
    <w:qFormat/>
    <w:rsid w:val="009D658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hu-HU"/>
      <w14:ligatures w14:val="none"/>
    </w:rPr>
  </w:style>
  <w:style w:type="paragraph" w:customStyle="1" w:styleId="Tabledata">
    <w:name w:val="Table data"/>
    <w:basedOn w:val="body"/>
    <w:qFormat/>
    <w:rsid w:val="009D658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hu-HU" w:eastAsia="en-GB"/>
    </w:rPr>
  </w:style>
  <w:style w:type="paragraph" w:customStyle="1" w:styleId="List1">
    <w:name w:val="List1"/>
    <w:autoRedefine/>
    <w:qFormat/>
    <w:rsid w:val="009D6580"/>
    <w:pPr>
      <w:numPr>
        <w:numId w:val="23"/>
      </w:numPr>
      <w:spacing w:after="0" w:line="240" w:lineRule="auto"/>
    </w:pPr>
    <w:rPr>
      <w:rFonts w:eastAsiaTheme="minorEastAsia"/>
      <w:kern w:val="0"/>
      <w:lang w:val="hu-HU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9D6580"/>
    <w:pPr>
      <w:spacing w:after="0" w:line="240" w:lineRule="auto"/>
    </w:pPr>
    <w:rPr>
      <w:rFonts w:eastAsiaTheme="minorEastAsia"/>
      <w:kern w:val="0"/>
      <w:sz w:val="24"/>
      <w:szCs w:val="24"/>
      <w:lang w:val="hu-HU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9D6580"/>
    <w:pPr>
      <w:numPr>
        <w:numId w:val="24"/>
      </w:numPr>
      <w:spacing w:before="240" w:after="120" w:line="240" w:lineRule="auto"/>
      <w:contextualSpacing/>
    </w:pPr>
    <w:rPr>
      <w:rFonts w:eastAsiaTheme="minorEastAsia"/>
      <w:kern w:val="0"/>
      <w:szCs w:val="24"/>
      <w:lang w:val="hu-HU"/>
      <w14:ligatures w14:val="none"/>
    </w:rPr>
  </w:style>
  <w:style w:type="paragraph" w:customStyle="1" w:styleId="Titlelevel1">
    <w:name w:val="Title level 1"/>
    <w:autoRedefine/>
    <w:qFormat/>
    <w:rsid w:val="009D6580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hu-HU"/>
      <w14:ligatures w14:val="none"/>
    </w:rPr>
  </w:style>
  <w:style w:type="paragraph" w:customStyle="1" w:styleId="Titlelevel3">
    <w:name w:val="Title level 3"/>
    <w:qFormat/>
    <w:rsid w:val="009D6580"/>
    <w:pPr>
      <w:spacing w:before="240" w:after="240" w:line="240" w:lineRule="auto"/>
    </w:pPr>
    <w:rPr>
      <w:rFonts w:eastAsiaTheme="minorEastAsia"/>
      <w:b/>
      <w:color w:val="44546A" w:themeColor="text2"/>
      <w:kern w:val="0"/>
      <w:sz w:val="24"/>
      <w:szCs w:val="24"/>
      <w:lang w:val="hu-HU"/>
      <w14:ligatures w14:val="none"/>
    </w:rPr>
  </w:style>
  <w:style w:type="paragraph" w:customStyle="1" w:styleId="Titlelevel4">
    <w:name w:val="Title level 4"/>
    <w:next w:val="body"/>
    <w:qFormat/>
    <w:rsid w:val="009D6580"/>
    <w:pPr>
      <w:spacing w:before="240" w:after="240" w:line="240" w:lineRule="auto"/>
    </w:pPr>
    <w:rPr>
      <w:rFonts w:eastAsiaTheme="minorEastAsia"/>
      <w:color w:val="E7E6E6" w:themeColor="background2"/>
      <w:kern w:val="0"/>
      <w:sz w:val="24"/>
      <w:szCs w:val="24"/>
      <w:lang w:val="hu-HU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9D6580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val="hu-HU" w:eastAsia="en-GB"/>
    </w:rPr>
  </w:style>
  <w:style w:type="table" w:customStyle="1" w:styleId="EBAtable">
    <w:name w:val="EBA table"/>
    <w:basedOn w:val="TableNormal"/>
    <w:uiPriority w:val="99"/>
    <w:rsid w:val="009D6580"/>
    <w:pPr>
      <w:spacing w:after="0" w:line="240" w:lineRule="auto"/>
    </w:pPr>
    <w:rPr>
      <w:rFonts w:eastAsiaTheme="minorEastAsia"/>
      <w:kern w:val="0"/>
      <w:sz w:val="24"/>
      <w:szCs w:val="24"/>
      <w:lang w:val="hu-HU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9D6580"/>
    <w:pPr>
      <w:spacing w:after="0" w:line="240" w:lineRule="auto"/>
    </w:pPr>
    <w:rPr>
      <w:rFonts w:eastAsiaTheme="minorEastAsia"/>
      <w:caps/>
      <w:kern w:val="0"/>
      <w:sz w:val="16"/>
      <w:szCs w:val="18"/>
      <w:lang w:val="hu-HU"/>
      <w14:ligatures w14:val="none"/>
    </w:rPr>
  </w:style>
  <w:style w:type="paragraph" w:customStyle="1" w:styleId="bullet1">
    <w:name w:val="bullet 1"/>
    <w:basedOn w:val="body"/>
    <w:next w:val="body"/>
    <w:qFormat/>
    <w:rsid w:val="009D6580"/>
    <w:pPr>
      <w:numPr>
        <w:numId w:val="21"/>
      </w:numPr>
    </w:pPr>
    <w:rPr>
      <w:szCs w:val="22"/>
    </w:rPr>
  </w:style>
  <w:style w:type="paragraph" w:customStyle="1" w:styleId="bullet2">
    <w:name w:val="bullet 2"/>
    <w:basedOn w:val="body"/>
    <w:qFormat/>
    <w:rsid w:val="009D6580"/>
    <w:pPr>
      <w:numPr>
        <w:numId w:val="20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9D6580"/>
    <w:pPr>
      <w:numPr>
        <w:ilvl w:val="2"/>
        <w:numId w:val="25"/>
      </w:numPr>
    </w:pPr>
  </w:style>
  <w:style w:type="table" w:styleId="LightShading">
    <w:name w:val="Light Shading"/>
    <w:basedOn w:val="TableNormal"/>
    <w:uiPriority w:val="60"/>
    <w:rsid w:val="009D658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hu-HU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D6580"/>
    <w:pPr>
      <w:spacing w:after="0" w:line="240" w:lineRule="auto"/>
    </w:pPr>
    <w:rPr>
      <w:rFonts w:eastAsiaTheme="minorEastAsia"/>
      <w:color w:val="2F5496" w:themeColor="accent1" w:themeShade="BF"/>
      <w:kern w:val="0"/>
      <w:sz w:val="24"/>
      <w:szCs w:val="24"/>
      <w:lang w:val="hu-HU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9D6580"/>
  </w:style>
  <w:style w:type="paragraph" w:customStyle="1" w:styleId="Numberedtitlelevel4">
    <w:name w:val="Numbered title level 4"/>
    <w:basedOn w:val="Titlelevel4"/>
    <w:qFormat/>
    <w:rsid w:val="009D6580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qFormat/>
    <w:rsid w:val="009D6580"/>
    <w:pPr>
      <w:pBdr>
        <w:bottom w:val="single" w:sz="8" w:space="4" w:color="4472C4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hu-HU"/>
    </w:rPr>
  </w:style>
  <w:style w:type="character" w:customStyle="1" w:styleId="TitleChar">
    <w:name w:val="Title Char"/>
    <w:basedOn w:val="DefaultParagraphFont"/>
    <w:link w:val="Title"/>
    <w:rsid w:val="009D6580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hu-HU"/>
      <w14:ligatures w14:val="none"/>
    </w:rPr>
  </w:style>
  <w:style w:type="paragraph" w:styleId="Subtitle">
    <w:name w:val="Subtitle"/>
    <w:next w:val="Normal"/>
    <w:link w:val="SubtitleChar"/>
    <w:autoRedefine/>
    <w:uiPriority w:val="11"/>
    <w:qFormat/>
    <w:rsid w:val="009D6580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9D6580"/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styleId="BookTitle">
    <w:name w:val="Book Title"/>
    <w:basedOn w:val="DefaultParagraphFont"/>
    <w:uiPriority w:val="33"/>
    <w:qFormat/>
    <w:rsid w:val="009D658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9D6580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9D6580"/>
    <w:rPr>
      <w:bCs/>
      <w:lang w:val="hu-HU" w:eastAsia="en-GB"/>
    </w:rPr>
  </w:style>
  <w:style w:type="paragraph" w:styleId="ListBullet">
    <w:name w:val="List Bullet"/>
    <w:basedOn w:val="Normal"/>
    <w:semiHidden/>
    <w:qFormat/>
    <w:rsid w:val="009D6580"/>
    <w:pPr>
      <w:numPr>
        <w:numId w:val="27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hu-HU"/>
    </w:rPr>
  </w:style>
  <w:style w:type="paragraph" w:customStyle="1" w:styleId="numberedparagraph">
    <w:name w:val="numbered paragraph"/>
    <w:basedOn w:val="body"/>
    <w:qFormat/>
    <w:rsid w:val="009D6580"/>
    <w:pPr>
      <w:numPr>
        <w:numId w:val="26"/>
      </w:numPr>
    </w:pPr>
  </w:style>
  <w:style w:type="character" w:customStyle="1" w:styleId="Marker">
    <w:name w:val="Marker"/>
    <w:rsid w:val="009D6580"/>
    <w:rPr>
      <w:color w:val="0000FF"/>
      <w:shd w:val="clear" w:color="auto" w:fill="auto"/>
    </w:rPr>
  </w:style>
  <w:style w:type="character" w:customStyle="1" w:styleId="Marker2">
    <w:name w:val="Marker2"/>
    <w:rsid w:val="009D658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9D6580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9D6580"/>
    <w:pPr>
      <w:numPr>
        <w:numId w:val="28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9D6580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9D6580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9D6580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9D6580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9D6580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9D6580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9D6580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9D6580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9D6580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472C4" w:themeColor="accent1"/>
      <w:sz w:val="18"/>
      <w:szCs w:val="18"/>
      <w:lang w:val="hu-HU"/>
    </w:rPr>
  </w:style>
  <w:style w:type="paragraph" w:customStyle="1" w:styleId="TableNote">
    <w:name w:val="TableNote"/>
    <w:basedOn w:val="Normal"/>
    <w:rsid w:val="009D6580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val="hu-HU" w:eastAsia="en-US"/>
    </w:rPr>
  </w:style>
  <w:style w:type="paragraph" w:customStyle="1" w:styleId="CM31">
    <w:name w:val="CM3+1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val="hu-HU" w:eastAsia="en-US"/>
    </w:rPr>
  </w:style>
  <w:style w:type="paragraph" w:customStyle="1" w:styleId="CM13">
    <w:name w:val="CM1+3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val="hu-HU" w:eastAsia="en-US"/>
    </w:rPr>
  </w:style>
  <w:style w:type="paragraph" w:customStyle="1" w:styleId="CM33">
    <w:name w:val="CM3+3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val="hu-HU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D6580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658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D6580"/>
    <w:rPr>
      <w:color w:val="2B579A"/>
      <w:shd w:val="clear" w:color="auto" w:fill="E1DFDD"/>
    </w:rPr>
  </w:style>
  <w:style w:type="paragraph" w:customStyle="1" w:styleId="pf0">
    <w:name w:val="pf0"/>
    <w:basedOn w:val="Normal"/>
    <w:rsid w:val="009D658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D6580"/>
  </w:style>
  <w:style w:type="character" w:customStyle="1" w:styleId="cf01">
    <w:name w:val="cf01"/>
    <w:basedOn w:val="DefaultParagraphFont"/>
    <w:rsid w:val="009D658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9D6580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hu-HU" w:eastAsia="zh-CN" w:bidi="hi-IN"/>
    </w:rPr>
  </w:style>
  <w:style w:type="character" w:customStyle="1" w:styleId="BodyTextChar">
    <w:name w:val="Body Text Char"/>
    <w:basedOn w:val="DefaultParagraphFont"/>
    <w:link w:val="BodyText"/>
    <w:rsid w:val="009D6580"/>
    <w:rPr>
      <w:rFonts w:ascii="Liberation Serif" w:eastAsia="SimSun" w:hAnsi="Liberation Serif" w:cs="Lucida Sans"/>
      <w:kern w:val="0"/>
      <w:sz w:val="24"/>
      <w:szCs w:val="24"/>
      <w:lang w:val="hu-HU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9D6580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hu-HU" w:eastAsia="zh-CN" w:bidi="hi-IN"/>
    </w:rPr>
  </w:style>
  <w:style w:type="character" w:customStyle="1" w:styleId="cf11">
    <w:name w:val="cf11"/>
    <w:basedOn w:val="DefaultParagraphFont"/>
    <w:rsid w:val="009D658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E3563-1832-40C1-BCEC-AF309237A18A}"/>
</file>

<file path=customXml/itemProps2.xml><?xml version="1.0" encoding="utf-8"?>
<ds:datastoreItem xmlns:ds="http://schemas.openxmlformats.org/officeDocument/2006/customXml" ds:itemID="{69BF8FF7-243C-42F4-A5F7-CE24FF136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9897F-E8CD-4BD2-ADD3-536B46CA34A1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3827</Words>
  <Characters>22237</Characters>
  <Application>Microsoft Office Word</Application>
  <DocSecurity>0</DocSecurity>
  <Lines>427</Lines>
  <Paragraphs>138</Paragraphs>
  <ScaleCrop>false</ScaleCrop>
  <Company/>
  <LinksUpToDate>false</LinksUpToDate>
  <CharactersWithSpaces>25926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2024-06-19T17:56:00Z</dcterms:created>
  <dcterms:modified xsi:type="dcterms:W3CDTF">2024-07-04T16:47:00Z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