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Pr="00F12F7E" w:rsidRDefault="00FA1E0E" w:rsidP="00FA1E0E">
      <w:pPr>
        <w:jc w:val="center"/>
        <w:rPr>
          <w:rFonts w:ascii="Times New Roman" w:hAnsi="Times New Roman"/>
          <w:sz w:val="24"/>
          <w:szCs w:val="22"/>
        </w:rPr>
      </w:pPr>
      <w:r w:rsidRPr="00F12F7E">
        <w:rPr>
          <w:rFonts w:ascii="Times New Roman" w:hAnsi="Times New Roman"/>
          <w:sz w:val="24"/>
        </w:rPr>
        <w:t>SK</w:t>
      </w:r>
    </w:p>
    <w:p w14:paraId="2A534E61" w14:textId="77777777" w:rsidR="00FA1E0E" w:rsidRPr="00F12F7E" w:rsidRDefault="00FA1E0E" w:rsidP="00FA1E0E">
      <w:pPr>
        <w:rPr>
          <w:rFonts w:asciiTheme="minorHAnsi" w:hAnsiTheme="minorHAnsi"/>
          <w:sz w:val="22"/>
        </w:rPr>
      </w:pPr>
    </w:p>
    <w:p w14:paraId="4613AAF8" w14:textId="77777777" w:rsidR="00C61CB8" w:rsidRPr="00F12F7E" w:rsidRDefault="00C61CB8" w:rsidP="00C61CB8">
      <w:pPr>
        <w:jc w:val="center"/>
        <w:rPr>
          <w:rFonts w:ascii="Times New Roman" w:hAnsi="Times New Roman"/>
          <w:sz w:val="24"/>
        </w:rPr>
      </w:pPr>
      <w:r w:rsidRPr="00F12F7E">
        <w:rPr>
          <w:rFonts w:ascii="Times New Roman" w:hAnsi="Times New Roman"/>
          <w:sz w:val="24"/>
        </w:rPr>
        <w:t>PRÍLOHA II</w:t>
      </w:r>
    </w:p>
    <w:p w14:paraId="7B92C63B" w14:textId="77777777" w:rsidR="00C61CB8" w:rsidRPr="00F12F7E" w:rsidRDefault="00C61CB8" w:rsidP="00C61CB8">
      <w:pPr>
        <w:jc w:val="center"/>
        <w:rPr>
          <w:rFonts w:ascii="Times New Roman" w:hAnsi="Times New Roman"/>
          <w:sz w:val="24"/>
        </w:rPr>
      </w:pPr>
      <w:r w:rsidRPr="00F12F7E">
        <w:rPr>
          <w:rFonts w:ascii="Times New Roman" w:hAnsi="Times New Roman"/>
          <w:sz w:val="24"/>
        </w:rPr>
        <w:t>„PRÍLOHA II</w:t>
      </w:r>
    </w:p>
    <w:p w14:paraId="48CBB2FB" w14:textId="77777777" w:rsidR="00C61CB8" w:rsidRPr="00F12F7E" w:rsidRDefault="00C61CB8" w:rsidP="00C61CB8">
      <w:pPr>
        <w:jc w:val="center"/>
        <w:rPr>
          <w:rFonts w:ascii="Times New Roman" w:hAnsi="Times New Roman"/>
          <w:b/>
          <w:sz w:val="24"/>
        </w:rPr>
      </w:pPr>
      <w:r w:rsidRPr="00F12F7E">
        <w:rPr>
          <w:rFonts w:ascii="Times New Roman" w:hAnsi="Times New Roman"/>
          <w:b/>
          <w:sz w:val="24"/>
        </w:rPr>
        <w:t>POKYNY NA VYKAZOVANIE VLASTNÝCH ZDROJOV A POŽIADAVIEK NA VLASTNÉ ZDROJE</w:t>
      </w:r>
    </w:p>
    <w:p w14:paraId="499E103D" w14:textId="77777777" w:rsidR="00C61CB8" w:rsidRPr="00F12F7E" w:rsidRDefault="00C61CB8" w:rsidP="00C61CB8"/>
    <w:p w14:paraId="4FE1D1D2" w14:textId="77777777" w:rsidR="00C61CB8" w:rsidRPr="00F12F7E" w:rsidRDefault="00C61CB8" w:rsidP="00C61CB8">
      <w:pPr>
        <w:spacing w:before="0" w:after="0"/>
        <w:jc w:val="left"/>
        <w:rPr>
          <w:rStyle w:val="InstructionsTabelleText"/>
          <w:rFonts w:ascii="Times New Roman" w:hAnsi="Times New Roman"/>
          <w:b/>
          <w:bCs/>
          <w:sz w:val="24"/>
          <w:u w:val="single"/>
        </w:rPr>
      </w:pPr>
      <w:r w:rsidRPr="00F12F7E">
        <w:rPr>
          <w:rStyle w:val="InstructionsTabelleText"/>
          <w:rFonts w:ascii="Times New Roman" w:hAnsi="Times New Roman"/>
          <w:b/>
          <w:sz w:val="24"/>
          <w:u w:val="single"/>
        </w:rPr>
        <w:t>ČASŤ II: POKYNY TÝKAJÚCE SA VZOROV</w:t>
      </w:r>
    </w:p>
    <w:p w14:paraId="0EF4ABD7" w14:textId="77777777" w:rsidR="00F12F7E" w:rsidRDefault="00F12F7E" w:rsidP="00C61CB8">
      <w:pPr>
        <w:spacing w:before="0" w:after="0"/>
        <w:jc w:val="left"/>
        <w:rPr>
          <w:rStyle w:val="InstructionsTabelleText"/>
          <w:rFonts w:ascii="Times New Roman" w:hAnsi="Times New Roman"/>
          <w:sz w:val="24"/>
        </w:rPr>
      </w:pPr>
    </w:p>
    <w:p w14:paraId="6D3C634C" w14:textId="77777777" w:rsidR="00C61CB8" w:rsidRPr="00F12F7E" w:rsidRDefault="00C61CB8" w:rsidP="00C61CB8">
      <w:pPr>
        <w:spacing w:before="0" w:after="0"/>
        <w:jc w:val="left"/>
        <w:rPr>
          <w:rStyle w:val="InstructionsTabelleText"/>
          <w:rFonts w:ascii="Times New Roman" w:hAnsi="Times New Roman"/>
          <w:sz w:val="24"/>
        </w:rPr>
      </w:pPr>
      <w:r w:rsidRPr="00F12F7E">
        <w:rPr>
          <w:rStyle w:val="InstructionsTabelleText"/>
          <w:rFonts w:ascii="Times New Roman" w:hAnsi="Times New Roman"/>
          <w:sz w:val="24"/>
        </w:rPr>
        <w:t>(…)</w:t>
      </w:r>
    </w:p>
    <w:p w14:paraId="1693FB12" w14:textId="77777777" w:rsidR="00C61CB8" w:rsidRPr="00F12F7E" w:rsidRDefault="00C61CB8"/>
    <w:p w14:paraId="696BE2FA" w14:textId="6EDDFA1A" w:rsidR="00173F08" w:rsidRPr="00F12F7E" w:rsidRDefault="00173F08" w:rsidP="00173F08">
      <w:pPr>
        <w:pStyle w:val="Instructionsberschrift2"/>
        <w:numPr>
          <w:ilvl w:val="0"/>
          <w:numId w:val="0"/>
        </w:numPr>
        <w:ind w:left="357" w:hanging="357"/>
        <w:rPr>
          <w:rFonts w:ascii="Times New Roman" w:hAnsi="Times New Roman" w:cs="Times New Roman"/>
          <w:sz w:val="24"/>
        </w:rPr>
      </w:pPr>
      <w:r w:rsidRPr="00F12F7E">
        <w:rPr>
          <w:rFonts w:ascii="Times New Roman" w:hAnsi="Times New Roman"/>
          <w:sz w:val="24"/>
        </w:rPr>
        <w:t>SKUPINOVÁ SOLVENTNOSŤ: INFORMÁCIE</w:t>
      </w:r>
      <w:r w:rsidR="00F12F7E">
        <w:rPr>
          <w:rFonts w:ascii="Times New Roman" w:hAnsi="Times New Roman"/>
          <w:sz w:val="24"/>
        </w:rPr>
        <w:t xml:space="preserve"> O </w:t>
      </w:r>
      <w:r w:rsidRPr="00F12F7E">
        <w:rPr>
          <w:rFonts w:ascii="Times New Roman" w:hAnsi="Times New Roman"/>
          <w:sz w:val="24"/>
        </w:rPr>
        <w:t>PRIDRUŽENÝCH SUBJEKTOCH (GS)</w:t>
      </w:r>
    </w:p>
    <w:p w14:paraId="6AEF8BDA" w14:textId="77777777" w:rsidR="00173F08" w:rsidRPr="00F12F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sidRPr="00F12F7E">
        <w:rPr>
          <w:rFonts w:ascii="Times New Roman" w:hAnsi="Times New Roman"/>
          <w:sz w:val="24"/>
          <w:u w:val="none"/>
        </w:rPr>
        <w:t>2.1.</w:t>
      </w:r>
      <w:r w:rsidRPr="00801017">
        <w:rPr>
          <w:u w:val="none"/>
        </w:rPr>
        <w:tab/>
      </w:r>
      <w:r w:rsidRPr="00F12F7E">
        <w:rPr>
          <w:rFonts w:ascii="Times New Roman" w:hAnsi="Times New Roman"/>
          <w:sz w:val="24"/>
        </w:rPr>
        <w:t>Všeobecné poznámky</w:t>
      </w:r>
      <w:bookmarkEnd w:id="0"/>
      <w:bookmarkEnd w:id="1"/>
      <w:bookmarkEnd w:id="2"/>
      <w:bookmarkEnd w:id="3"/>
      <w:bookmarkEnd w:id="4"/>
      <w:bookmarkEnd w:id="5"/>
      <w:bookmarkEnd w:id="6"/>
    </w:p>
    <w:p w14:paraId="02D50DC7" w14:textId="1B210185" w:rsidR="00173F08" w:rsidRPr="00F12F7E" w:rsidRDefault="00173F08" w:rsidP="00173F08">
      <w:pPr>
        <w:pStyle w:val="InstructionsText2"/>
        <w:numPr>
          <w:ilvl w:val="0"/>
          <w:numId w:val="0"/>
        </w:numPr>
      </w:pPr>
      <w:r w:rsidRPr="00F12F7E">
        <w:fldChar w:fldCharType="begin"/>
      </w:r>
      <w:r w:rsidRPr="00F12F7E">
        <w:instrText>seq paragraphs</w:instrText>
      </w:r>
      <w:r w:rsidRPr="00F12F7E">
        <w:fldChar w:fldCharType="separate"/>
      </w:r>
      <w:r w:rsidRPr="00F12F7E">
        <w:t>27</w:t>
      </w:r>
      <w:r w:rsidRPr="00F12F7E">
        <w:fldChar w:fldCharType="end"/>
      </w:r>
      <w:r w:rsidRPr="00F12F7E">
        <w:t>.</w:t>
      </w:r>
      <w:r w:rsidRPr="00F12F7E">
        <w:tab/>
        <w:t>Vzory C 06.01</w:t>
      </w:r>
      <w:r w:rsidR="00F12F7E">
        <w:t xml:space="preserve"> a </w:t>
      </w:r>
      <w:r w:rsidRPr="00F12F7E">
        <w:t>C 06.02 sa vykazujú vtedy, keď sa požiadavky na vlastné zdroje vypočítavajú na konsolidovanom základe. Vzor C 06.02 sa skladá zo štyroch častí, aby sa zhromaždili rôzne informácie</w:t>
      </w:r>
      <w:r w:rsidR="00F12F7E">
        <w:t xml:space="preserve"> o </w:t>
      </w:r>
      <w:r w:rsidRPr="00F12F7E">
        <w:t>všetkých jednotlivých subjektoch (vrátane vykazujúcej inštitúcie) zahrnutých do rozsahu konsolidácie:</w:t>
      </w:r>
    </w:p>
    <w:p w14:paraId="427E4E34" w14:textId="59B38D7D" w:rsidR="00173F08" w:rsidRPr="00F12F7E" w:rsidRDefault="00173F08" w:rsidP="00173F08">
      <w:pPr>
        <w:pStyle w:val="InstructionsText2"/>
        <w:numPr>
          <w:ilvl w:val="0"/>
          <w:numId w:val="0"/>
        </w:numPr>
        <w:ind w:left="993"/>
      </w:pPr>
      <w:r w:rsidRPr="00F12F7E">
        <w:t>a)</w:t>
      </w:r>
      <w:r w:rsidRPr="00F12F7E">
        <w:tab/>
        <w:t>subjekty</w:t>
      </w:r>
      <w:r w:rsidR="00F12F7E">
        <w:t xml:space="preserve"> v </w:t>
      </w:r>
      <w:r w:rsidRPr="00F12F7E">
        <w:t>rámci rozsahu konsolidácie;</w:t>
      </w:r>
    </w:p>
    <w:p w14:paraId="028B029B" w14:textId="5628436E" w:rsidR="00173F08" w:rsidRPr="00F12F7E" w:rsidRDefault="00173F08" w:rsidP="00173F08">
      <w:pPr>
        <w:pStyle w:val="InstructionsText2"/>
        <w:numPr>
          <w:ilvl w:val="0"/>
          <w:numId w:val="0"/>
        </w:numPr>
        <w:ind w:left="993"/>
      </w:pPr>
      <w:r w:rsidRPr="00F12F7E">
        <w:t>b)</w:t>
      </w:r>
      <w:r w:rsidRPr="00F12F7E">
        <w:tab/>
        <w:t>podrobné informácie</w:t>
      </w:r>
      <w:r w:rsidR="00F12F7E">
        <w:t xml:space="preserve"> o </w:t>
      </w:r>
      <w:r w:rsidRPr="00F12F7E">
        <w:t>skupinovej solventnosti;</w:t>
      </w:r>
    </w:p>
    <w:p w14:paraId="29EF9308" w14:textId="6E9DD5C2" w:rsidR="00173F08" w:rsidRPr="00F12F7E" w:rsidRDefault="00173F08" w:rsidP="00173F08">
      <w:pPr>
        <w:pStyle w:val="InstructionsText2"/>
        <w:numPr>
          <w:ilvl w:val="0"/>
          <w:numId w:val="0"/>
        </w:numPr>
        <w:ind w:left="993"/>
      </w:pPr>
      <w:r w:rsidRPr="00F12F7E">
        <w:t>c)</w:t>
      </w:r>
      <w:r w:rsidRPr="00F12F7E">
        <w:tab/>
        <w:t>informácie</w:t>
      </w:r>
      <w:r w:rsidR="00F12F7E">
        <w:t xml:space="preserve"> o </w:t>
      </w:r>
      <w:r w:rsidRPr="00F12F7E">
        <w:t>príspevkoch jednotlivých subjektov</w:t>
      </w:r>
      <w:r w:rsidR="00F12F7E">
        <w:t xml:space="preserve"> k </w:t>
      </w:r>
      <w:r w:rsidRPr="00F12F7E">
        <w:t>skupinovej solventnosti;</w:t>
      </w:r>
    </w:p>
    <w:p w14:paraId="66E85F84" w14:textId="1E1DF445" w:rsidR="00173F08" w:rsidRPr="00F12F7E" w:rsidRDefault="00173F08" w:rsidP="00173F08">
      <w:pPr>
        <w:pStyle w:val="InstructionsText2"/>
        <w:numPr>
          <w:ilvl w:val="0"/>
          <w:numId w:val="0"/>
        </w:numPr>
        <w:ind w:left="993"/>
      </w:pPr>
      <w:r w:rsidRPr="00F12F7E">
        <w:t>d)</w:t>
      </w:r>
      <w:r w:rsidRPr="00F12F7E">
        <w:tab/>
        <w:t>informácie</w:t>
      </w:r>
      <w:r w:rsidR="00F12F7E">
        <w:t xml:space="preserve"> o </w:t>
      </w:r>
      <w:r w:rsidRPr="00F12F7E">
        <w:t>kapitálových vankúšoch.</w:t>
      </w:r>
    </w:p>
    <w:p w14:paraId="7BA531FA" w14:textId="3BDC9204" w:rsidR="00173F08" w:rsidRPr="00F12F7E" w:rsidRDefault="00173F08" w:rsidP="00173F08">
      <w:pPr>
        <w:pStyle w:val="InstructionsText2"/>
        <w:numPr>
          <w:ilvl w:val="0"/>
          <w:numId w:val="0"/>
        </w:numPr>
      </w:pPr>
      <w:r w:rsidRPr="00F12F7E">
        <w:fldChar w:fldCharType="begin"/>
      </w:r>
      <w:r w:rsidRPr="00F12F7E">
        <w:instrText>seq paragraphs</w:instrText>
      </w:r>
      <w:r w:rsidRPr="00F12F7E">
        <w:fldChar w:fldCharType="separate"/>
      </w:r>
      <w:r w:rsidRPr="00F12F7E">
        <w:t>28</w:t>
      </w:r>
      <w:r w:rsidRPr="00F12F7E">
        <w:fldChar w:fldCharType="end"/>
      </w:r>
      <w:r w:rsidRPr="00F12F7E">
        <w:t>.</w:t>
      </w:r>
      <w:r w:rsidRPr="00F12F7E">
        <w:tab/>
        <w:t>Inštitúcie, ktorým bola udelená výnimka</w:t>
      </w:r>
      <w:r w:rsidR="00F12F7E">
        <w:t xml:space="preserve"> v </w:t>
      </w:r>
      <w:r w:rsidRPr="00F12F7E">
        <w:t>súlade</w:t>
      </w:r>
      <w:r w:rsidR="00F12F7E">
        <w:t xml:space="preserve"> s </w:t>
      </w:r>
      <w:r w:rsidRPr="00F12F7E">
        <w:t>článkom 7 nariadenia (EÚ) č. 575/2013, vykazujú len stĺpce 0010 až 0065</w:t>
      </w:r>
      <w:r w:rsidR="00F12F7E">
        <w:t xml:space="preserve"> a </w:t>
      </w:r>
      <w:r w:rsidRPr="00F12F7E">
        <w:t>stĺpce 0250 až 0400.</w:t>
      </w:r>
    </w:p>
    <w:p w14:paraId="0B7B3AA9" w14:textId="01012624" w:rsidR="00173F08" w:rsidRPr="00F12F7E" w:rsidRDefault="00173F08" w:rsidP="00173F08">
      <w:pPr>
        <w:pStyle w:val="InstructionsText2"/>
        <w:numPr>
          <w:ilvl w:val="0"/>
          <w:numId w:val="0"/>
        </w:numPr>
      </w:pPr>
      <w:r w:rsidRPr="00F12F7E">
        <w:fldChar w:fldCharType="begin"/>
      </w:r>
      <w:r w:rsidRPr="00F12F7E">
        <w:instrText>seq paragraphs</w:instrText>
      </w:r>
      <w:r w:rsidRPr="00F12F7E">
        <w:fldChar w:fldCharType="separate"/>
      </w:r>
      <w:r w:rsidRPr="00F12F7E">
        <w:t>29</w:t>
      </w:r>
      <w:r w:rsidRPr="00F12F7E">
        <w:fldChar w:fldCharType="end"/>
      </w:r>
      <w:r w:rsidRPr="00F12F7E">
        <w:t>.</w:t>
      </w:r>
      <w:r w:rsidRPr="00F12F7E">
        <w:tab/>
        <w:t>Vykazované číselné hodnoty zohľadňujú všetky uplatniteľné prechodné ustanovenia nariadenia (EÚ) č. 575/2013, ktoré sú uplatniteľné</w:t>
      </w:r>
      <w:r w:rsidR="00F12F7E">
        <w:t xml:space="preserve"> k </w:t>
      </w:r>
      <w:r w:rsidRPr="00F12F7E">
        <w:t>príslušnému dátumu vykazovania.</w:t>
      </w:r>
    </w:p>
    <w:p w14:paraId="11861C2C" w14:textId="301A3456" w:rsidR="00173F08" w:rsidRPr="00F12F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sidRPr="00F12F7E">
        <w:rPr>
          <w:rFonts w:ascii="Times New Roman" w:hAnsi="Times New Roman"/>
          <w:sz w:val="24"/>
          <w:u w:val="none"/>
        </w:rPr>
        <w:t>2.2</w:t>
      </w:r>
      <w:r w:rsidRPr="00E24E2D">
        <w:rPr>
          <w:rFonts w:ascii="Times New Roman" w:hAnsi="Times New Roman"/>
          <w:sz w:val="24"/>
          <w:u w:val="none"/>
        </w:rPr>
        <w:t>.</w:t>
      </w:r>
      <w:r w:rsidRPr="00E24E2D">
        <w:rPr>
          <w:u w:val="none"/>
        </w:rPr>
        <w:tab/>
      </w:r>
      <w:r w:rsidRPr="00F12F7E">
        <w:rPr>
          <w:rFonts w:ascii="Times New Roman" w:hAnsi="Times New Roman"/>
          <w:sz w:val="24"/>
        </w:rPr>
        <w:t>Podrobné informácie</w:t>
      </w:r>
      <w:r w:rsidR="00F12F7E">
        <w:rPr>
          <w:rFonts w:ascii="Times New Roman" w:hAnsi="Times New Roman"/>
          <w:sz w:val="24"/>
        </w:rPr>
        <w:t xml:space="preserve"> o </w:t>
      </w:r>
      <w:r w:rsidRPr="00F12F7E">
        <w:rPr>
          <w:rFonts w:ascii="Times New Roman" w:hAnsi="Times New Roman"/>
          <w:sz w:val="24"/>
        </w:rPr>
        <w:t>skupinovej solventnosti</w:t>
      </w:r>
      <w:bookmarkEnd w:id="7"/>
      <w:bookmarkEnd w:id="8"/>
      <w:bookmarkEnd w:id="9"/>
    </w:p>
    <w:p w14:paraId="75458FD5" w14:textId="78FDC132" w:rsidR="00F12F7E" w:rsidRDefault="00173F08" w:rsidP="00173F08">
      <w:pPr>
        <w:pStyle w:val="InstructionsText2"/>
        <w:numPr>
          <w:ilvl w:val="0"/>
          <w:numId w:val="0"/>
        </w:numPr>
      </w:pPr>
      <w:r w:rsidRPr="00F12F7E">
        <w:fldChar w:fldCharType="begin"/>
      </w:r>
      <w:r w:rsidRPr="00F12F7E">
        <w:instrText>seq paragraphs</w:instrText>
      </w:r>
      <w:r w:rsidRPr="00F12F7E">
        <w:fldChar w:fldCharType="separate"/>
      </w:r>
      <w:r w:rsidRPr="00F12F7E">
        <w:t>30</w:t>
      </w:r>
      <w:r w:rsidRPr="00F12F7E">
        <w:fldChar w:fldCharType="end"/>
      </w:r>
      <w:r w:rsidRPr="00F12F7E">
        <w:t>.</w:t>
      </w:r>
      <w:r w:rsidRPr="00F12F7E">
        <w:tab/>
        <w:t>Druhá časť vzoru C 06.02 (podrobné informácie</w:t>
      </w:r>
      <w:r w:rsidR="00F12F7E">
        <w:t xml:space="preserve"> o </w:t>
      </w:r>
      <w:r w:rsidRPr="00F12F7E">
        <w:t>skupinovej solventnosti)</w:t>
      </w:r>
      <w:r w:rsidR="00F12F7E">
        <w:t xml:space="preserve"> v </w:t>
      </w:r>
      <w:r w:rsidRPr="00F12F7E">
        <w:t>stĺpcoch 0070 až 0240 je určená na zhromaždenie informácií</w:t>
      </w:r>
      <w:r w:rsidR="00F12F7E">
        <w:t xml:space="preserve"> o </w:t>
      </w:r>
      <w:r w:rsidRPr="00F12F7E">
        <w:t>kreditných</w:t>
      </w:r>
      <w:r w:rsidR="00F12F7E">
        <w:t xml:space="preserve"> a </w:t>
      </w:r>
      <w:r w:rsidRPr="00F12F7E">
        <w:t>iných regulovaných finančných inštitúciách, na ktoré sa</w:t>
      </w:r>
      <w:r w:rsidR="00F12F7E">
        <w:t xml:space="preserve"> v </w:t>
      </w:r>
      <w:r w:rsidRPr="00F12F7E">
        <w:t>skutočnosti vzťahujú osobitné požiadavky na platobnú schopnosť na individuálnom základe. Pre každý</w:t>
      </w:r>
      <w:r w:rsidR="00F12F7E">
        <w:t xml:space="preserve"> z </w:t>
      </w:r>
      <w:r w:rsidRPr="00F12F7E">
        <w:t>týchto subjektov</w:t>
      </w:r>
      <w:r w:rsidR="00F12F7E">
        <w:t xml:space="preserve"> v </w:t>
      </w:r>
      <w:r w:rsidRPr="00F12F7E">
        <w:t>rámci rozsahu vykazovania sa stanovujú požiadavky na vlastné zdroje pre každú rizikovú kategóriu</w:t>
      </w:r>
      <w:r w:rsidR="00F12F7E">
        <w:t xml:space="preserve"> a </w:t>
      </w:r>
      <w:r w:rsidRPr="00F12F7E">
        <w:t>vlastné zdroje na účely platobnej schopnosti</w:t>
      </w:r>
      <w:r w:rsidR="00F12F7E">
        <w:t>.</w:t>
      </w:r>
    </w:p>
    <w:p w14:paraId="75F5EA26" w14:textId="5108C1C2" w:rsidR="00173F08" w:rsidRPr="00F12F7E" w:rsidRDefault="00173F08" w:rsidP="00173F08">
      <w:pPr>
        <w:pStyle w:val="InstructionsText2"/>
        <w:numPr>
          <w:ilvl w:val="0"/>
          <w:numId w:val="0"/>
        </w:numPr>
      </w:pPr>
      <w:r w:rsidRPr="00F12F7E">
        <w:fldChar w:fldCharType="begin"/>
      </w:r>
      <w:r w:rsidRPr="00F12F7E">
        <w:instrText>seq paragraphs</w:instrText>
      </w:r>
      <w:r w:rsidRPr="00F12F7E">
        <w:fldChar w:fldCharType="separate"/>
      </w:r>
      <w:r w:rsidRPr="00F12F7E">
        <w:t>31</w:t>
      </w:r>
      <w:r w:rsidRPr="00F12F7E">
        <w:fldChar w:fldCharType="end"/>
      </w:r>
      <w:r w:rsidRPr="00F12F7E">
        <w:t>.</w:t>
      </w:r>
      <w:r w:rsidRPr="00F12F7E">
        <w:tab/>
        <w:t>V prípade proporcionálnej konsolidácie účastníkov vyjadrujú údaje, ktoré sa týkajú požiadaviek na vlastné zdroje</w:t>
      </w:r>
      <w:r w:rsidR="00F12F7E">
        <w:t xml:space="preserve"> a </w:t>
      </w:r>
      <w:r w:rsidRPr="00F12F7E">
        <w:t>vlastných zdrojov, príslušné proporcionálne hodnoty.</w:t>
      </w:r>
    </w:p>
    <w:p w14:paraId="7624B8E0" w14:textId="1C0BD4D7" w:rsidR="00173F08" w:rsidRPr="00F12F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sidRPr="00F12F7E">
        <w:rPr>
          <w:rFonts w:ascii="Times New Roman" w:hAnsi="Times New Roman"/>
          <w:sz w:val="24"/>
          <w:u w:val="none"/>
        </w:rPr>
        <w:lastRenderedPageBreak/>
        <w:t>2.3.</w:t>
      </w:r>
      <w:r w:rsidRPr="00E24E2D">
        <w:rPr>
          <w:u w:val="none"/>
        </w:rPr>
        <w:tab/>
      </w:r>
      <w:r w:rsidRPr="00F12F7E">
        <w:rPr>
          <w:rFonts w:ascii="Times New Roman" w:hAnsi="Times New Roman"/>
          <w:sz w:val="24"/>
        </w:rPr>
        <w:t>Informácie</w:t>
      </w:r>
      <w:r w:rsidR="00F12F7E">
        <w:rPr>
          <w:rFonts w:ascii="Times New Roman" w:hAnsi="Times New Roman"/>
          <w:sz w:val="24"/>
        </w:rPr>
        <w:t xml:space="preserve"> o </w:t>
      </w:r>
      <w:r w:rsidRPr="00F12F7E">
        <w:rPr>
          <w:rFonts w:ascii="Times New Roman" w:hAnsi="Times New Roman"/>
          <w:sz w:val="24"/>
        </w:rPr>
        <w:t>príspevkoch jednotlivých subjektov</w:t>
      </w:r>
      <w:r w:rsidR="00F12F7E">
        <w:rPr>
          <w:rFonts w:ascii="Times New Roman" w:hAnsi="Times New Roman"/>
          <w:sz w:val="24"/>
        </w:rPr>
        <w:t xml:space="preserve"> k </w:t>
      </w:r>
      <w:r w:rsidRPr="00F12F7E">
        <w:rPr>
          <w:rFonts w:ascii="Times New Roman" w:hAnsi="Times New Roman"/>
          <w:sz w:val="24"/>
        </w:rPr>
        <w:t>skupinovej solventnosti</w:t>
      </w:r>
      <w:bookmarkEnd w:id="10"/>
      <w:bookmarkEnd w:id="11"/>
      <w:bookmarkEnd w:id="12"/>
    </w:p>
    <w:p w14:paraId="4205C8A4" w14:textId="44EC0C4B" w:rsidR="00F12F7E" w:rsidRDefault="00173F08" w:rsidP="00173F08">
      <w:pPr>
        <w:pStyle w:val="InstructionsText2"/>
        <w:numPr>
          <w:ilvl w:val="0"/>
          <w:numId w:val="0"/>
        </w:numPr>
      </w:pPr>
      <w:r w:rsidRPr="00F12F7E">
        <w:fldChar w:fldCharType="begin"/>
      </w:r>
      <w:r w:rsidRPr="00F12F7E">
        <w:instrText>seq paragraphs</w:instrText>
      </w:r>
      <w:r w:rsidRPr="00F12F7E">
        <w:fldChar w:fldCharType="separate"/>
      </w:r>
      <w:r w:rsidRPr="00F12F7E">
        <w:t>32</w:t>
      </w:r>
      <w:r w:rsidRPr="00F12F7E">
        <w:fldChar w:fldCharType="end"/>
      </w:r>
      <w:r w:rsidRPr="00F12F7E">
        <w:t>.</w:t>
      </w:r>
      <w:r w:rsidRPr="00F12F7E">
        <w:tab/>
        <w:t>Cieľom tretej časti vzoru C 06.02</w:t>
      </w:r>
      <w:r w:rsidR="00F12F7E">
        <w:t xml:space="preserve"> a </w:t>
      </w:r>
      <w:r w:rsidRPr="00F12F7E">
        <w:t>vzoru C 06.01 [informácie</w:t>
      </w:r>
      <w:r w:rsidR="00F12F7E">
        <w:t xml:space="preserve"> o </w:t>
      </w:r>
      <w:r w:rsidRPr="00F12F7E">
        <w:t>príspevkoch všetkých subjektov</w:t>
      </w:r>
      <w:r w:rsidR="00F12F7E">
        <w:t xml:space="preserve"> v </w:t>
      </w:r>
      <w:r w:rsidRPr="00F12F7E">
        <w:t>rámci rozsahu pôsobnosti nariadenia (EÚ) č. 575/2013, pokiaľ ide</w:t>
      </w:r>
      <w:r w:rsidR="00F12F7E">
        <w:t xml:space="preserve"> o </w:t>
      </w:r>
      <w:r w:rsidRPr="00F12F7E">
        <w:t>konsolidáciu,</w:t>
      </w:r>
      <w:r w:rsidR="00F12F7E">
        <w:t xml:space="preserve"> k </w:t>
      </w:r>
      <w:r w:rsidRPr="00F12F7E">
        <w:t>skupinovej solventnosti] vrátane tých, na ktoré sa nevzťahujú osobitné požiadavky na platobnú schopnosť na individuálnom základe,</w:t>
      </w:r>
      <w:r w:rsidR="00F12F7E">
        <w:t xml:space="preserve"> v </w:t>
      </w:r>
      <w:r w:rsidRPr="00F12F7E">
        <w:t>stĺpcoch 0250 až 0400 je určiť, ktoré subjekty</w:t>
      </w:r>
      <w:r w:rsidR="00F12F7E">
        <w:t xml:space="preserve"> v </w:t>
      </w:r>
      <w:r w:rsidRPr="00F12F7E">
        <w:t>rámci skupiny prinášajú riziká</w:t>
      </w:r>
      <w:r w:rsidR="00F12F7E">
        <w:t xml:space="preserve"> a </w:t>
      </w:r>
      <w:r w:rsidRPr="00F12F7E">
        <w:t>získavajú vlastné zdroje na trhu, na základe údajov, ktoré sú jednoducho</w:t>
      </w:r>
      <w:r w:rsidR="00F12F7E">
        <w:t xml:space="preserve"> k </w:t>
      </w:r>
      <w:r w:rsidRPr="00F12F7E">
        <w:t>dispozícii alebo ich možno jednoducho spracovať bez toho, aby bolo potrebné prepočítavať podiel kapitálu na samostatnom alebo subkonsolidovanom základe. Na úrovni subjektu predstavujú údaje</w:t>
      </w:r>
      <w:r w:rsidR="00F12F7E">
        <w:t xml:space="preserve"> o </w:t>
      </w:r>
      <w:r w:rsidRPr="00F12F7E">
        <w:t>rizikách</w:t>
      </w:r>
      <w:r w:rsidR="00F12F7E">
        <w:t xml:space="preserve"> a </w:t>
      </w:r>
      <w:r w:rsidRPr="00F12F7E">
        <w:t>vlastných zdrojoch príspevky</w:t>
      </w:r>
      <w:r w:rsidR="00F12F7E">
        <w:t xml:space="preserve"> k </w:t>
      </w:r>
      <w:r w:rsidRPr="00F12F7E">
        <w:t>údajom skupiny</w:t>
      </w:r>
      <w:r w:rsidR="00F12F7E">
        <w:t xml:space="preserve"> a </w:t>
      </w:r>
      <w:r w:rsidRPr="00F12F7E">
        <w:t>nepredstavujú prvky pomeru platobnej schopnosti na samostatnom základe,</w:t>
      </w:r>
      <w:r w:rsidR="00F12F7E">
        <w:t xml:space="preserve"> a </w:t>
      </w:r>
      <w:r w:rsidRPr="00F12F7E">
        <w:t>preto sa nemôžu navzájom porovnávať</w:t>
      </w:r>
      <w:r w:rsidR="00F12F7E">
        <w:t>.</w:t>
      </w:r>
    </w:p>
    <w:p w14:paraId="08EA3F6A" w14:textId="5B4F5177" w:rsidR="00173F08" w:rsidRPr="00F12F7E" w:rsidRDefault="00173F08" w:rsidP="00173F08">
      <w:pPr>
        <w:pStyle w:val="InstructionsText2"/>
        <w:numPr>
          <w:ilvl w:val="0"/>
          <w:numId w:val="0"/>
        </w:numPr>
      </w:pPr>
      <w:r w:rsidRPr="00F12F7E">
        <w:fldChar w:fldCharType="begin"/>
      </w:r>
      <w:r w:rsidRPr="00F12F7E">
        <w:instrText>seq paragraphs</w:instrText>
      </w:r>
      <w:r w:rsidRPr="00F12F7E">
        <w:fldChar w:fldCharType="separate"/>
      </w:r>
      <w:r w:rsidRPr="00F12F7E">
        <w:t>33</w:t>
      </w:r>
      <w:r w:rsidRPr="00F12F7E">
        <w:fldChar w:fldCharType="end"/>
      </w:r>
      <w:r w:rsidRPr="00F12F7E">
        <w:t>.</w:t>
      </w:r>
      <w:r w:rsidRPr="00F12F7E">
        <w:tab/>
        <w:t>Tretia časť zahŕňa aj hodnoty menšinových účastí, kvalifikovaného AT1</w:t>
      </w:r>
      <w:r w:rsidR="00F12F7E">
        <w:t xml:space="preserve"> a </w:t>
      </w:r>
      <w:r w:rsidRPr="00F12F7E">
        <w:t>kvalifikovaného T2 prípustné</w:t>
      </w:r>
      <w:r w:rsidR="00F12F7E">
        <w:t xml:space="preserve"> v </w:t>
      </w:r>
      <w:r w:rsidRPr="00F12F7E">
        <w:t>konsolidovaných vlastných zdrojoch.</w:t>
      </w:r>
    </w:p>
    <w:p w14:paraId="1D8F8CC4" w14:textId="14974A16" w:rsidR="00173F08" w:rsidRPr="00F12F7E" w:rsidRDefault="00173F08" w:rsidP="00173F08">
      <w:pPr>
        <w:pStyle w:val="InstructionsText2"/>
        <w:numPr>
          <w:ilvl w:val="0"/>
          <w:numId w:val="0"/>
        </w:numPr>
      </w:pPr>
      <w:r w:rsidRPr="00F12F7E">
        <w:fldChar w:fldCharType="begin"/>
      </w:r>
      <w:r w:rsidRPr="00F12F7E">
        <w:instrText>seq paragraphs</w:instrText>
      </w:r>
      <w:r w:rsidRPr="00F12F7E">
        <w:fldChar w:fldCharType="separate"/>
      </w:r>
      <w:r w:rsidRPr="00F12F7E">
        <w:t>34</w:t>
      </w:r>
      <w:r w:rsidRPr="00F12F7E">
        <w:fldChar w:fldCharType="end"/>
      </w:r>
      <w:r w:rsidRPr="00F12F7E">
        <w:t>.</w:t>
      </w:r>
      <w:r w:rsidRPr="00F12F7E">
        <w:tab/>
        <w:t>Keďže táto tretia časť vzoru sa týka „príspevkov“, číselné hodnoty, ktoré sa majú vykázať</w:t>
      </w:r>
      <w:r w:rsidR="00F12F7E">
        <w:t xml:space="preserve"> v </w:t>
      </w:r>
      <w:r w:rsidRPr="00F12F7E">
        <w:t>tejto časti, sa</w:t>
      </w:r>
      <w:r w:rsidR="00F12F7E">
        <w:t xml:space="preserve"> v </w:t>
      </w:r>
      <w:r w:rsidRPr="00F12F7E">
        <w:t>náležitých prípadoch odchyľujú od číselných hodnôt vykázaných</w:t>
      </w:r>
      <w:r w:rsidR="00F12F7E">
        <w:t xml:space="preserve"> v </w:t>
      </w:r>
      <w:r w:rsidRPr="00F12F7E">
        <w:t>stĺpcoch týkajúcich sa podrobných informácií</w:t>
      </w:r>
      <w:r w:rsidR="00F12F7E">
        <w:t xml:space="preserve"> o </w:t>
      </w:r>
      <w:r w:rsidRPr="00F12F7E">
        <w:t>skupinovej solventnosti.</w:t>
      </w:r>
    </w:p>
    <w:p w14:paraId="27180B14" w14:textId="6B7F1868" w:rsidR="00173F08" w:rsidRPr="00F12F7E" w:rsidRDefault="00173F08" w:rsidP="00173F08">
      <w:pPr>
        <w:pStyle w:val="InstructionsText2"/>
        <w:numPr>
          <w:ilvl w:val="0"/>
          <w:numId w:val="0"/>
        </w:numPr>
      </w:pPr>
      <w:r w:rsidRPr="00F12F7E">
        <w:fldChar w:fldCharType="begin"/>
      </w:r>
      <w:r w:rsidRPr="00F12F7E">
        <w:instrText>seq paragraphs</w:instrText>
      </w:r>
      <w:r w:rsidRPr="00F12F7E">
        <w:fldChar w:fldCharType="separate"/>
      </w:r>
      <w:r w:rsidRPr="00F12F7E">
        <w:t>35</w:t>
      </w:r>
      <w:r w:rsidRPr="00F12F7E">
        <w:fldChar w:fldCharType="end"/>
      </w:r>
      <w:r w:rsidRPr="00F12F7E">
        <w:t>.</w:t>
      </w:r>
      <w:r w:rsidRPr="00F12F7E">
        <w:tab/>
        <w:t>Základnou myšlienkou je homogénnym spôsobom (z hľadiska rizík alebo vlastných zdrojov) odstrániť krížové expozície</w:t>
      </w:r>
      <w:r w:rsidR="00F12F7E">
        <w:t xml:space="preserve"> v </w:t>
      </w:r>
      <w:r w:rsidRPr="00F12F7E">
        <w:t>rámci rovnakých skupín</w:t>
      </w:r>
      <w:r w:rsidR="00F12F7E">
        <w:t xml:space="preserve"> s </w:t>
      </w:r>
      <w:r w:rsidRPr="00F12F7E">
        <w:t>cieľom pokryť hodnoty vykázané</w:t>
      </w:r>
      <w:r w:rsidR="00F12F7E">
        <w:t xml:space="preserve"> v </w:t>
      </w:r>
      <w:r w:rsidRPr="00F12F7E">
        <w:t>konsolidovanom vzore CA danej skupiny sčítaním hodnôt vykázaných pre každý subjekt vo vzore „Skupinová solventnosť“. Ak sa neprekročí prahová hodnota 1</w:t>
      </w:r>
      <w:r w:rsidR="00F12F7E">
        <w:t> %</w:t>
      </w:r>
      <w:r w:rsidRPr="00F12F7E">
        <w:t>, nie je možné priame spojenie so vzorom CA.</w:t>
      </w:r>
    </w:p>
    <w:p w14:paraId="606DC9DE" w14:textId="35D7A6F5" w:rsidR="00173F08" w:rsidRPr="00F12F7E" w:rsidRDefault="00173F08" w:rsidP="00173F08">
      <w:pPr>
        <w:pStyle w:val="InstructionsText2"/>
        <w:numPr>
          <w:ilvl w:val="0"/>
          <w:numId w:val="0"/>
        </w:numPr>
      </w:pPr>
      <w:r w:rsidRPr="00F12F7E">
        <w:fldChar w:fldCharType="begin"/>
      </w:r>
      <w:r w:rsidRPr="00F12F7E">
        <w:instrText>seq paragraphs</w:instrText>
      </w:r>
      <w:r w:rsidRPr="00F12F7E">
        <w:fldChar w:fldCharType="separate"/>
      </w:r>
      <w:r w:rsidRPr="00F12F7E">
        <w:t>36</w:t>
      </w:r>
      <w:r w:rsidRPr="00F12F7E">
        <w:fldChar w:fldCharType="end"/>
      </w:r>
      <w:r w:rsidRPr="00F12F7E">
        <w:t>.</w:t>
      </w:r>
      <w:r w:rsidRPr="00F12F7E">
        <w:tab/>
        <w:t>Inštitúcie zadefinujú najvhodnejšiu metódu na rozčlenenie medzi subjektmi, aby sa zohľadnili možné účinky diverzifikácie pre trhové riziko</w:t>
      </w:r>
      <w:r w:rsidR="00F12F7E">
        <w:t xml:space="preserve"> a </w:t>
      </w:r>
      <w:r w:rsidRPr="00F12F7E">
        <w:t>operačné riziko.</w:t>
      </w:r>
    </w:p>
    <w:p w14:paraId="58C21F4B" w14:textId="2BD2C8A3" w:rsidR="00F12F7E" w:rsidRDefault="00173F08" w:rsidP="00173F08">
      <w:pPr>
        <w:pStyle w:val="InstructionsText2"/>
        <w:numPr>
          <w:ilvl w:val="0"/>
          <w:numId w:val="0"/>
        </w:numPr>
      </w:pPr>
      <w:r w:rsidRPr="00F12F7E">
        <w:fldChar w:fldCharType="begin"/>
      </w:r>
      <w:r w:rsidRPr="00F12F7E">
        <w:instrText>seq paragraphs</w:instrText>
      </w:r>
      <w:r w:rsidRPr="00F12F7E">
        <w:fldChar w:fldCharType="separate"/>
      </w:r>
      <w:r w:rsidRPr="00F12F7E">
        <w:t>37</w:t>
      </w:r>
      <w:r w:rsidRPr="00F12F7E">
        <w:fldChar w:fldCharType="end"/>
      </w:r>
      <w:r w:rsidRPr="00F12F7E">
        <w:t>.</w:t>
      </w:r>
      <w:r w:rsidRPr="00F12F7E">
        <w:tab/>
        <w:t>Je možné, aby jedna konsolidovaná skupina bola zahrnutá do inej konsolidovanej skupiny. Znamená to, že pri subjektoch</w:t>
      </w:r>
      <w:r w:rsidR="00F12F7E">
        <w:t xml:space="preserve"> v </w:t>
      </w:r>
      <w:r w:rsidRPr="00F12F7E">
        <w:t>rámci podskupiny sa vo vzore GS celej skupiny vykazuje podľa jednotlivých subjektov,</w:t>
      </w:r>
      <w:r w:rsidR="00F12F7E">
        <w:t xml:space="preserve"> a </w:t>
      </w:r>
      <w:r w:rsidRPr="00F12F7E">
        <w:t>to aj vtedy, keď sa na samotnú podskupinu vzťahujú požiadavky na vykazovanie. Podskupina, na ktorú sa vzťahujú požiadavky na vykazovanie, takisto vykazuje vzor GS podľa jednotlivých subjektov, aj keď sú tieto údaje už zahrnuté vo vzore GS vyššej konsolidovanej skupiny</w:t>
      </w:r>
      <w:r w:rsidR="00F12F7E">
        <w:t>.</w:t>
      </w:r>
    </w:p>
    <w:p w14:paraId="0F8191DA" w14:textId="460C716C" w:rsidR="00173F08" w:rsidRPr="00F12F7E" w:rsidRDefault="00173F08" w:rsidP="00173F08">
      <w:pPr>
        <w:pStyle w:val="InstructionsText2"/>
        <w:numPr>
          <w:ilvl w:val="0"/>
          <w:numId w:val="0"/>
        </w:numPr>
      </w:pPr>
      <w:r w:rsidRPr="00F12F7E">
        <w:fldChar w:fldCharType="begin"/>
      </w:r>
      <w:r w:rsidRPr="00F12F7E">
        <w:instrText>seq paragraphs</w:instrText>
      </w:r>
      <w:r w:rsidRPr="00F12F7E">
        <w:fldChar w:fldCharType="separate"/>
      </w:r>
      <w:r w:rsidRPr="00F12F7E">
        <w:t>38</w:t>
      </w:r>
      <w:r w:rsidRPr="00F12F7E">
        <w:fldChar w:fldCharType="end"/>
      </w:r>
      <w:r w:rsidRPr="00F12F7E">
        <w:t>.</w:t>
      </w:r>
      <w:r w:rsidRPr="00F12F7E">
        <w:tab/>
        <w:t>Inštitúcia vykazuje údaje</w:t>
      </w:r>
      <w:r w:rsidR="00F12F7E">
        <w:t xml:space="preserve"> o </w:t>
      </w:r>
      <w:r w:rsidRPr="00F12F7E">
        <w:t>príspevku subjektu, keď jeho príspevok</w:t>
      </w:r>
      <w:r w:rsidR="00F12F7E">
        <w:t xml:space="preserve"> k </w:t>
      </w:r>
      <w:r w:rsidRPr="00F12F7E">
        <w:t>celkovej hodnote rizikovej expozície presahuje 1</w:t>
      </w:r>
      <w:r w:rsidR="00F12F7E">
        <w:t> %</w:t>
      </w:r>
      <w:r w:rsidRPr="00F12F7E">
        <w:t xml:space="preserve"> celkovej hodnoty rizikovej expozície skupiny alebo keď jeho príspevok</w:t>
      </w:r>
      <w:r w:rsidR="00F12F7E">
        <w:t xml:space="preserve"> k </w:t>
      </w:r>
      <w:r w:rsidRPr="00F12F7E">
        <w:t>celkovým vlastným zdrojom presahuje 1</w:t>
      </w:r>
      <w:r w:rsidR="00F12F7E">
        <w:t> %</w:t>
      </w:r>
      <w:r w:rsidRPr="00F12F7E">
        <w:t xml:space="preserve"> celkových vlastných zdrojov skupiny. Táto prahová hodnota sa neuplatňuje</w:t>
      </w:r>
      <w:r w:rsidR="00F12F7E">
        <w:t xml:space="preserve"> v </w:t>
      </w:r>
      <w:r w:rsidRPr="00F12F7E">
        <w:t>prípade dcérskych spoločností alebo podskupín, ktoré poskytujú skupine vlastné zdroje (vo forme menšinových účastí alebo nástrojov kvalifikovaného AT1 alebo T2 zahrnutých vo vlastných zdrojoch).</w:t>
      </w:r>
    </w:p>
    <w:p w14:paraId="78C505AC" w14:textId="62033C70" w:rsidR="00173F08" w:rsidRPr="00F12F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sidRPr="00F12F7E">
        <w:rPr>
          <w:rFonts w:ascii="Times New Roman" w:hAnsi="Times New Roman"/>
          <w:sz w:val="24"/>
          <w:u w:val="none"/>
        </w:rPr>
        <w:t>2.4</w:t>
      </w:r>
      <w:r w:rsidRPr="00E24E2D">
        <w:rPr>
          <w:rFonts w:ascii="Times New Roman" w:hAnsi="Times New Roman"/>
          <w:sz w:val="24"/>
          <w:u w:val="none"/>
        </w:rPr>
        <w:t>.</w:t>
      </w:r>
      <w:r w:rsidRPr="00E24E2D">
        <w:rPr>
          <w:u w:val="none"/>
        </w:rPr>
        <w:tab/>
      </w:r>
      <w:r w:rsidRPr="00F12F7E">
        <w:rPr>
          <w:rFonts w:ascii="Times New Roman" w:hAnsi="Times New Roman"/>
          <w:sz w:val="24"/>
        </w:rPr>
        <w:t>C 06.01 – SKUPINOVÁ SOLVENTNOSŤ: INFORMÁCIE</w:t>
      </w:r>
      <w:r w:rsidR="00F12F7E">
        <w:rPr>
          <w:rFonts w:ascii="Times New Roman" w:hAnsi="Times New Roman"/>
          <w:sz w:val="24"/>
        </w:rPr>
        <w:t xml:space="preserve"> O </w:t>
      </w:r>
      <w:r w:rsidRPr="00F12F7E">
        <w:rPr>
          <w:rFonts w:ascii="Times New Roman" w:hAnsi="Times New Roman"/>
          <w:sz w:val="24"/>
        </w:rPr>
        <w:t>PRIDRUŽENÝCH SUBJEKTOCH – Spolu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F12F7E" w14:paraId="4A15857B" w14:textId="77777777" w:rsidTr="00822842">
        <w:tc>
          <w:tcPr>
            <w:tcW w:w="1188" w:type="dxa"/>
            <w:shd w:val="clear" w:color="auto" w:fill="CCCCCC"/>
          </w:tcPr>
          <w:p w14:paraId="3977A181"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Stĺpce</w:t>
            </w:r>
          </w:p>
        </w:tc>
        <w:tc>
          <w:tcPr>
            <w:tcW w:w="8640" w:type="dxa"/>
            <w:shd w:val="clear" w:color="auto" w:fill="CCCCCC"/>
          </w:tcPr>
          <w:p w14:paraId="3D7B9BD1"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Pokyny</w:t>
            </w:r>
          </w:p>
        </w:tc>
      </w:tr>
      <w:tr w:rsidR="00173F08" w:rsidRPr="00F12F7E" w14:paraId="0E9AB27C" w14:textId="77777777" w:rsidTr="00822842">
        <w:tc>
          <w:tcPr>
            <w:tcW w:w="1188" w:type="dxa"/>
          </w:tcPr>
          <w:p w14:paraId="36AE9062"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0250 –⁠ 0400</w:t>
            </w:r>
          </w:p>
        </w:tc>
        <w:tc>
          <w:tcPr>
            <w:tcW w:w="8640" w:type="dxa"/>
          </w:tcPr>
          <w:p w14:paraId="61E5CB21" w14:textId="5A204CAC"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SUBJEKTY</w:t>
            </w:r>
            <w:r w:rsidR="00F12F7E">
              <w:rPr>
                <w:rStyle w:val="InstructionsTabelleberschrift"/>
                <w:rFonts w:ascii="Times New Roman" w:hAnsi="Times New Roman"/>
                <w:sz w:val="24"/>
              </w:rPr>
              <w:t xml:space="preserve"> V </w:t>
            </w:r>
            <w:r w:rsidRPr="00F12F7E">
              <w:rPr>
                <w:rStyle w:val="InstructionsTabelleberschrift"/>
                <w:rFonts w:ascii="Times New Roman" w:hAnsi="Times New Roman"/>
                <w:sz w:val="24"/>
              </w:rPr>
              <w:t>RÁMCI ROZSAHU KONSOLIDÁCIE</w:t>
            </w:r>
          </w:p>
          <w:p w14:paraId="47AE8E6C" w14:textId="53B2AEA5" w:rsidR="00173F08" w:rsidRPr="00F12F7E" w:rsidRDefault="00173F08" w:rsidP="00822842">
            <w:pPr>
              <w:rPr>
                <w:rStyle w:val="InstructionsTabelleberschrift"/>
                <w:rFonts w:ascii="Times New Roman" w:hAnsi="Times New Roman"/>
                <w:b w:val="0"/>
                <w:bCs w:val="0"/>
                <w:sz w:val="24"/>
              </w:rPr>
            </w:pPr>
            <w:r w:rsidRPr="00F12F7E">
              <w:rPr>
                <w:rStyle w:val="InstructionsTabelleText"/>
                <w:rFonts w:ascii="Times New Roman" w:hAnsi="Times New Roman"/>
                <w:sz w:val="24"/>
              </w:rPr>
              <w:t>Pozri pokyny</w:t>
            </w:r>
            <w:r w:rsidR="00F12F7E">
              <w:rPr>
                <w:rStyle w:val="InstructionsTabelleText"/>
                <w:rFonts w:ascii="Times New Roman" w:hAnsi="Times New Roman"/>
                <w:sz w:val="24"/>
              </w:rPr>
              <w:t xml:space="preserve"> k </w:t>
            </w:r>
            <w:r w:rsidRPr="00F12F7E">
              <w:rPr>
                <w:rStyle w:val="InstructionsTabelleText"/>
                <w:rFonts w:ascii="Times New Roman" w:hAnsi="Times New Roman"/>
                <w:sz w:val="24"/>
              </w:rPr>
              <w:t>C 06.02.</w:t>
            </w:r>
          </w:p>
        </w:tc>
      </w:tr>
      <w:tr w:rsidR="00173F08" w:rsidRPr="00F12F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lastRenderedPageBreak/>
              <w:t>0410 –⁠ 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KAPITÁLOVÉ VANKÚŠE</w:t>
            </w:r>
          </w:p>
          <w:p w14:paraId="4257537D" w14:textId="003E4581"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Pozri pokyny</w:t>
            </w:r>
            <w:r w:rsidR="00F12F7E">
              <w:rPr>
                <w:rStyle w:val="InstructionsTabelleText"/>
                <w:rFonts w:ascii="Times New Roman" w:hAnsi="Times New Roman"/>
                <w:sz w:val="24"/>
              </w:rPr>
              <w:t xml:space="preserve"> k </w:t>
            </w:r>
            <w:r w:rsidRPr="00F12F7E">
              <w:rPr>
                <w:rStyle w:val="InstructionsTabelleText"/>
                <w:rFonts w:ascii="Times New Roman" w:hAnsi="Times New Roman"/>
                <w:sz w:val="24"/>
              </w:rPr>
              <w:t>C 06.02.</w:t>
            </w:r>
          </w:p>
        </w:tc>
      </w:tr>
    </w:tbl>
    <w:p w14:paraId="20B2DE5D" w14:textId="77777777" w:rsidR="00173F08" w:rsidRPr="00F12F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F12F7E" w14:paraId="54185503" w14:textId="77777777" w:rsidTr="00822842">
        <w:tc>
          <w:tcPr>
            <w:tcW w:w="1188" w:type="dxa"/>
            <w:shd w:val="clear" w:color="auto" w:fill="CCCCCC"/>
          </w:tcPr>
          <w:p w14:paraId="0909691C"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Riadky</w:t>
            </w:r>
          </w:p>
        </w:tc>
        <w:tc>
          <w:tcPr>
            <w:tcW w:w="8640" w:type="dxa"/>
            <w:shd w:val="clear" w:color="auto" w:fill="CCCCCC"/>
          </w:tcPr>
          <w:p w14:paraId="49120A0C"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Pokyny</w:t>
            </w:r>
          </w:p>
        </w:tc>
      </w:tr>
      <w:tr w:rsidR="00173F08" w:rsidRPr="00F12F7E" w14:paraId="6283A16E" w14:textId="77777777" w:rsidTr="00822842">
        <w:tc>
          <w:tcPr>
            <w:tcW w:w="1188" w:type="dxa"/>
          </w:tcPr>
          <w:p w14:paraId="44822816"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0010</w:t>
            </w:r>
          </w:p>
        </w:tc>
        <w:tc>
          <w:tcPr>
            <w:tcW w:w="8640" w:type="dxa"/>
          </w:tcPr>
          <w:p w14:paraId="50489F38"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SPOLU</w:t>
            </w:r>
          </w:p>
          <w:p w14:paraId="0D110F46" w14:textId="77777777" w:rsidR="00173F08" w:rsidRPr="00F12F7E" w:rsidRDefault="00173F08" w:rsidP="00822842">
            <w:pPr>
              <w:rPr>
                <w:rStyle w:val="InstructionsTabelleberschrift"/>
                <w:rFonts w:ascii="Times New Roman" w:hAnsi="Times New Roman"/>
                <w:b w:val="0"/>
                <w:bCs w:val="0"/>
                <w:sz w:val="24"/>
              </w:rPr>
            </w:pPr>
            <w:r w:rsidRPr="00F12F7E">
              <w:rPr>
                <w:rStyle w:val="InstructionsTabelleText"/>
                <w:rFonts w:ascii="Times New Roman" w:hAnsi="Times New Roman"/>
                <w:sz w:val="24"/>
              </w:rPr>
              <w:t>Údaj „Spolu“ predstavuje súčet hodnôt vykázaných vo všetkých riadkoch vzoru C 06.02.</w:t>
            </w:r>
          </w:p>
        </w:tc>
      </w:tr>
    </w:tbl>
    <w:p w14:paraId="6ED4F138" w14:textId="77777777" w:rsidR="00173F08" w:rsidRPr="00F12F7E" w:rsidRDefault="00173F08" w:rsidP="00173F08">
      <w:pPr>
        <w:pStyle w:val="InstructionsText"/>
      </w:pPr>
    </w:p>
    <w:p w14:paraId="7A36DFA3" w14:textId="47EA5EC5" w:rsidR="00173F08" w:rsidRPr="00F12F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sidRPr="00F12F7E">
        <w:rPr>
          <w:rFonts w:ascii="Times New Roman" w:hAnsi="Times New Roman"/>
          <w:sz w:val="24"/>
          <w:u w:val="none"/>
        </w:rPr>
        <w:t>2.5.</w:t>
      </w:r>
      <w:r w:rsidRPr="00E24E2D">
        <w:rPr>
          <w:u w:val="none"/>
        </w:rPr>
        <w:tab/>
      </w:r>
      <w:r w:rsidRPr="00F12F7E">
        <w:rPr>
          <w:rFonts w:ascii="Times New Roman" w:hAnsi="Times New Roman"/>
          <w:sz w:val="24"/>
        </w:rPr>
        <w:t>C 06.02 – SKUPINOVÁ SOLVENTNOSŤ: INFORMÁCIE</w:t>
      </w:r>
      <w:r w:rsidR="00F12F7E">
        <w:rPr>
          <w:rFonts w:ascii="Times New Roman" w:hAnsi="Times New Roman"/>
          <w:sz w:val="24"/>
        </w:rPr>
        <w:t xml:space="preserve"> O </w:t>
      </w:r>
      <w:r w:rsidRPr="00F12F7E">
        <w:rPr>
          <w:rFonts w:ascii="Times New Roman" w:hAnsi="Times New Roman"/>
          <w:sz w:val="24"/>
        </w:rPr>
        <w:t>PRIDRUŽENÝCH SUBJEKTOCH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F12F7E" w14:paraId="381D52BF" w14:textId="77777777" w:rsidTr="00822842">
        <w:tc>
          <w:tcPr>
            <w:tcW w:w="1188" w:type="dxa"/>
            <w:shd w:val="clear" w:color="auto" w:fill="CCCCCC"/>
          </w:tcPr>
          <w:p w14:paraId="262E5871"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Stĺpce</w:t>
            </w:r>
          </w:p>
        </w:tc>
        <w:tc>
          <w:tcPr>
            <w:tcW w:w="8640" w:type="dxa"/>
            <w:shd w:val="clear" w:color="auto" w:fill="CCCCCC"/>
          </w:tcPr>
          <w:p w14:paraId="5B03B400"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Pokyny</w:t>
            </w:r>
          </w:p>
        </w:tc>
      </w:tr>
      <w:tr w:rsidR="00173F08" w:rsidRPr="00F12F7E" w14:paraId="3BC0042D" w14:textId="77777777" w:rsidTr="00822842">
        <w:tc>
          <w:tcPr>
            <w:tcW w:w="1188" w:type="dxa"/>
          </w:tcPr>
          <w:p w14:paraId="57FC2EB2"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0011 – 0060</w:t>
            </w:r>
          </w:p>
        </w:tc>
        <w:tc>
          <w:tcPr>
            <w:tcW w:w="8640" w:type="dxa"/>
          </w:tcPr>
          <w:p w14:paraId="00983D2E" w14:textId="065B6B2B"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SUBJEKTY</w:t>
            </w:r>
            <w:r w:rsidR="00F12F7E">
              <w:rPr>
                <w:rStyle w:val="InstructionsTabelleberschrift"/>
                <w:rFonts w:ascii="Times New Roman" w:hAnsi="Times New Roman"/>
                <w:sz w:val="24"/>
              </w:rPr>
              <w:t xml:space="preserve"> V </w:t>
            </w:r>
            <w:r w:rsidRPr="00F12F7E">
              <w:rPr>
                <w:rStyle w:val="InstructionsTabelleberschrift"/>
                <w:rFonts w:ascii="Times New Roman" w:hAnsi="Times New Roman"/>
                <w:sz w:val="24"/>
              </w:rPr>
              <w:t>RÁMCI ROZSAHU KONSOLIDÁCIE</w:t>
            </w:r>
          </w:p>
          <w:p w14:paraId="6B6FD15E" w14:textId="7FF7EEA9" w:rsidR="00173F08" w:rsidRPr="00F12F7E" w:rsidRDefault="00173F08" w:rsidP="00822842">
            <w:pPr>
              <w:rPr>
                <w:rStyle w:val="InstructionsTabelleberschrift"/>
                <w:rFonts w:ascii="Times New Roman" w:hAnsi="Times New Roman"/>
                <w:b w:val="0"/>
                <w:bCs w:val="0"/>
                <w:sz w:val="24"/>
              </w:rPr>
            </w:pPr>
            <w:r w:rsidRPr="00F12F7E">
              <w:rPr>
                <w:rStyle w:val="InstructionsTabelleText"/>
                <w:rFonts w:ascii="Times New Roman" w:hAnsi="Times New Roman"/>
                <w:sz w:val="24"/>
              </w:rPr>
              <w:t>V tomto vzore sa majú zhromaždiť informácie</w:t>
            </w:r>
            <w:r w:rsidR="00F12F7E">
              <w:rPr>
                <w:rStyle w:val="InstructionsTabelleText"/>
                <w:rFonts w:ascii="Times New Roman" w:hAnsi="Times New Roman"/>
                <w:sz w:val="24"/>
              </w:rPr>
              <w:t xml:space="preserve"> o </w:t>
            </w:r>
            <w:r w:rsidRPr="00F12F7E">
              <w:rPr>
                <w:rStyle w:val="InstructionsTabelleText"/>
                <w:rFonts w:ascii="Times New Roman" w:hAnsi="Times New Roman"/>
                <w:sz w:val="24"/>
              </w:rPr>
              <w:t>všetkých subjektoch podľa jednotlivých subjektov</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rámci rozsahu konsolidácie</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w:t>
            </w:r>
            <w:r w:rsidR="00F12F7E">
              <w:rPr>
                <w:rStyle w:val="InstructionsTabelleText"/>
                <w:rFonts w:ascii="Times New Roman" w:hAnsi="Times New Roman"/>
                <w:sz w:val="24"/>
              </w:rPr>
              <w:t xml:space="preserve"> s </w:t>
            </w:r>
            <w:r w:rsidRPr="00F12F7E">
              <w:rPr>
                <w:rFonts w:ascii="Times New Roman" w:hAnsi="Times New Roman"/>
                <w:sz w:val="24"/>
              </w:rPr>
              <w:t>prvou časťou hlavou II kapitolou 2 nariadenia (EÚ) č. 575/2013</w:t>
            </w:r>
            <w:r w:rsidRPr="00F12F7E">
              <w:rPr>
                <w:rStyle w:val="InstructionsTabelleText"/>
                <w:rFonts w:ascii="Times New Roman" w:hAnsi="Times New Roman"/>
                <w:sz w:val="24"/>
              </w:rPr>
              <w:t xml:space="preserve">. </w:t>
            </w:r>
          </w:p>
        </w:tc>
      </w:tr>
      <w:tr w:rsidR="00173F08" w:rsidRPr="00F12F7E" w14:paraId="7681C175" w14:textId="77777777" w:rsidTr="00822842">
        <w:tc>
          <w:tcPr>
            <w:tcW w:w="1188" w:type="dxa"/>
          </w:tcPr>
          <w:p w14:paraId="506D0F7C"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0011</w:t>
            </w:r>
          </w:p>
        </w:tc>
        <w:tc>
          <w:tcPr>
            <w:tcW w:w="8640" w:type="dxa"/>
          </w:tcPr>
          <w:p w14:paraId="02F7D96C"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NÁZOV</w:t>
            </w:r>
          </w:p>
          <w:p w14:paraId="795CC1BF" w14:textId="3E2C4B0E"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Názov subjektu</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rámci rozsahu konsolidácie.</w:t>
            </w:r>
          </w:p>
        </w:tc>
      </w:tr>
      <w:tr w:rsidR="00173F08" w:rsidRPr="00F12F7E" w14:paraId="2E707E2D" w14:textId="77777777" w:rsidTr="00822842">
        <w:tc>
          <w:tcPr>
            <w:tcW w:w="1188" w:type="dxa"/>
          </w:tcPr>
          <w:p w14:paraId="6AE7AD32"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0021</w:t>
            </w:r>
          </w:p>
        </w:tc>
        <w:tc>
          <w:tcPr>
            <w:tcW w:w="8640" w:type="dxa"/>
          </w:tcPr>
          <w:p w14:paraId="54EC5591"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KÓD</w:t>
            </w:r>
          </w:p>
          <w:p w14:paraId="099B8601" w14:textId="7DA1851E" w:rsidR="00173F08" w:rsidRPr="00F12F7E" w:rsidRDefault="00173F08" w:rsidP="00822842">
            <w:pPr>
              <w:pStyle w:val="InstructionsText"/>
              <w:rPr>
                <w:rStyle w:val="InstructionsTabelleText"/>
              </w:rPr>
            </w:pPr>
            <w:r w:rsidRPr="00F12F7E">
              <w:rPr>
                <w:rStyle w:val="InstructionsTabelleText"/>
              </w:rPr>
              <w:t>Kód ako súčasť identifikátora riadku musí byť jedinečný pre každý vykazovaný subjekt.</w:t>
            </w:r>
            <w:r w:rsidR="00F12F7E">
              <w:rPr>
                <w:rStyle w:val="InstructionsTabelleText"/>
              </w:rPr>
              <w:t xml:space="preserve"> V </w:t>
            </w:r>
            <w:r w:rsidRPr="00F12F7E">
              <w:rPr>
                <w:rStyle w:val="InstructionsTabelleText"/>
              </w:rPr>
              <w:t>prípade inštitúcií</w:t>
            </w:r>
            <w:r w:rsidR="00F12F7E">
              <w:rPr>
                <w:rStyle w:val="InstructionsTabelleText"/>
              </w:rPr>
              <w:t xml:space="preserve"> a </w:t>
            </w:r>
            <w:r w:rsidRPr="00F12F7E">
              <w:rPr>
                <w:rStyle w:val="InstructionsTabelleText"/>
              </w:rPr>
              <w:t>poisťovní je kódom kód LEI.</w:t>
            </w:r>
            <w:r w:rsidR="00F12F7E">
              <w:rPr>
                <w:rStyle w:val="InstructionsTabelleText"/>
              </w:rPr>
              <w:t xml:space="preserve"> V </w:t>
            </w:r>
            <w:r w:rsidRPr="00F12F7E">
              <w:rPr>
                <w:rStyle w:val="InstructionsTabelleText"/>
              </w:rPr>
              <w:t>prípade ostatných subjektov je kódom kód LEI alebo, ak nie je</w:t>
            </w:r>
            <w:r w:rsidR="00F12F7E">
              <w:rPr>
                <w:rStyle w:val="InstructionsTabelleText"/>
              </w:rPr>
              <w:t xml:space="preserve"> k </w:t>
            </w:r>
            <w:r w:rsidRPr="00F12F7E">
              <w:rPr>
                <w:rStyle w:val="InstructionsTabelleText"/>
              </w:rPr>
              <w:t>dispozícii, vnútroštátny kód. Kód je jedinečný</w:t>
            </w:r>
            <w:r w:rsidR="00F12F7E">
              <w:rPr>
                <w:rStyle w:val="InstructionsTabelleText"/>
              </w:rPr>
              <w:t xml:space="preserve"> a </w:t>
            </w:r>
            <w:r w:rsidRPr="00F12F7E">
              <w:rPr>
                <w:rStyle w:val="InstructionsTabelleText"/>
              </w:rPr>
              <w:t>používa sa konzistentne vo všetkých vzoroch</w:t>
            </w:r>
            <w:r w:rsidR="00F12F7E">
              <w:rPr>
                <w:rStyle w:val="InstructionsTabelleText"/>
              </w:rPr>
              <w:t xml:space="preserve"> a v </w:t>
            </w:r>
            <w:r w:rsidRPr="00F12F7E">
              <w:rPr>
                <w:rStyle w:val="InstructionsTabelleText"/>
              </w:rPr>
              <w:t>priebehu času. Kód má vždy hodnotu.</w:t>
            </w:r>
          </w:p>
        </w:tc>
      </w:tr>
      <w:tr w:rsidR="00173F08" w:rsidRPr="00F12F7E" w14:paraId="082E2FA1" w14:textId="77777777" w:rsidTr="00822842">
        <w:tc>
          <w:tcPr>
            <w:tcW w:w="1188" w:type="dxa"/>
          </w:tcPr>
          <w:p w14:paraId="2CA54576"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0026</w:t>
            </w:r>
          </w:p>
        </w:tc>
        <w:tc>
          <w:tcPr>
            <w:tcW w:w="8640" w:type="dxa"/>
          </w:tcPr>
          <w:p w14:paraId="5B6693C9"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DRUH KÓDU</w:t>
            </w:r>
          </w:p>
          <w:p w14:paraId="094070A5" w14:textId="38AB33E2"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Inštitúcie uvádzajú druh kódu vykazovaného</w:t>
            </w:r>
            <w:r w:rsidR="00F12F7E">
              <w:rPr>
                <w:rStyle w:val="InstructionsTabelleText"/>
                <w:rFonts w:ascii="Times New Roman" w:hAnsi="Times New Roman"/>
                <w:sz w:val="24"/>
              </w:rPr>
              <w:t xml:space="preserve"> v </w:t>
            </w:r>
            <w:r w:rsidRPr="00F12F7E">
              <w:rPr>
                <w:rStyle w:val="FormatvorlageInstructionsTabelleText"/>
                <w:rFonts w:ascii="Times New Roman" w:hAnsi="Times New Roman"/>
                <w:sz w:val="24"/>
              </w:rPr>
              <w:t>stĺpci 0021 ako „kód LEI“ alebo „kód iný ako LEI“. Druh kódu sa vykazuje vždy.</w:t>
            </w:r>
          </w:p>
        </w:tc>
      </w:tr>
      <w:tr w:rsidR="00173F08" w:rsidRPr="00F12F7E" w14:paraId="115CCEB9" w14:textId="77777777" w:rsidTr="00822842">
        <w:tc>
          <w:tcPr>
            <w:tcW w:w="1188" w:type="dxa"/>
          </w:tcPr>
          <w:p w14:paraId="6EE5E41D" w14:textId="77777777" w:rsidR="00173F08" w:rsidRPr="00F12F7E" w:rsidDel="00BF0637"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0027</w:t>
            </w:r>
          </w:p>
        </w:tc>
        <w:tc>
          <w:tcPr>
            <w:tcW w:w="8640" w:type="dxa"/>
          </w:tcPr>
          <w:p w14:paraId="046D2852"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VNÚTROŠTÁTNY KÓD</w:t>
            </w:r>
          </w:p>
          <w:p w14:paraId="6AB087F6" w14:textId="5B038E1C" w:rsidR="00173F08" w:rsidRPr="00F12F7E" w:rsidDel="00BF0637" w:rsidRDefault="00173F08" w:rsidP="00822842">
            <w:pPr>
              <w:rPr>
                <w:rStyle w:val="InstructionsTabelleberschrift"/>
                <w:rFonts w:ascii="Times New Roman" w:hAnsi="Times New Roman"/>
                <w:sz w:val="24"/>
              </w:rPr>
            </w:pPr>
            <w:r w:rsidRPr="00F12F7E">
              <w:rPr>
                <w:rFonts w:ascii="Times New Roman" w:hAnsi="Times New Roman"/>
                <w:sz w:val="24"/>
              </w:rPr>
              <w:t>Inštitúcie môžu dodatočne vykazovať vnútroštátny kód, keď</w:t>
            </w:r>
            <w:r w:rsidR="00F12F7E">
              <w:rPr>
                <w:rFonts w:ascii="Times New Roman" w:hAnsi="Times New Roman"/>
                <w:sz w:val="24"/>
              </w:rPr>
              <w:t xml:space="preserve"> v </w:t>
            </w:r>
            <w:r w:rsidRPr="00F12F7E">
              <w:rPr>
                <w:rFonts w:ascii="Times New Roman" w:hAnsi="Times New Roman"/>
                <w:sz w:val="24"/>
              </w:rPr>
              <w:t>stĺpci „kód“ vykazujú ako identifikátor kód LEI.</w:t>
            </w:r>
          </w:p>
        </w:tc>
      </w:tr>
      <w:tr w:rsidR="00173F08" w:rsidRPr="00F12F7E" w14:paraId="6D220418" w14:textId="77777777" w:rsidTr="00822842">
        <w:tc>
          <w:tcPr>
            <w:tcW w:w="1188" w:type="dxa"/>
          </w:tcPr>
          <w:p w14:paraId="30734754"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0030</w:t>
            </w:r>
          </w:p>
        </w:tc>
        <w:tc>
          <w:tcPr>
            <w:tcW w:w="8640" w:type="dxa"/>
          </w:tcPr>
          <w:p w14:paraId="51843D3A"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INŠTITÚCIA ALEBO EKVIVALENT (ÁNO/NIE)</w:t>
            </w:r>
          </w:p>
          <w:p w14:paraId="592DC07F" w14:textId="28916859"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„ÁNO“ sa zadáva vtedy, keď sa na subjekt vzťahujú požiadavky na vlastné zdroje podľa</w:t>
            </w:r>
            <w:r w:rsidRPr="00F12F7E">
              <w:rPr>
                <w:rFonts w:ascii="Times New Roman" w:hAnsi="Times New Roman"/>
                <w:sz w:val="24"/>
              </w:rPr>
              <w:t xml:space="preserve"> nariadenia (EÚ) č. 575/2013</w:t>
            </w:r>
            <w:r w:rsidR="00F12F7E">
              <w:rPr>
                <w:rFonts w:ascii="Times New Roman" w:hAnsi="Times New Roman"/>
                <w:sz w:val="24"/>
              </w:rPr>
              <w:t xml:space="preserve"> a </w:t>
            </w:r>
            <w:r w:rsidRPr="00F12F7E">
              <w:rPr>
                <w:rFonts w:ascii="Times New Roman" w:hAnsi="Times New Roman"/>
                <w:sz w:val="24"/>
              </w:rPr>
              <w:t xml:space="preserve">smernice 2013/36/EÚ </w:t>
            </w:r>
            <w:r w:rsidRPr="00F12F7E">
              <w:rPr>
                <w:rStyle w:val="InstructionsTabelleText"/>
                <w:rFonts w:ascii="Times New Roman" w:hAnsi="Times New Roman"/>
                <w:sz w:val="24"/>
              </w:rPr>
              <w:t>alebo ustanovenia, ktoré sú prinajmenšom rovnocenné</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ustanoveniami dohody Bazilej.</w:t>
            </w:r>
          </w:p>
          <w:p w14:paraId="4B3EAD97"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V ostatných prípadoch sa zadáva „NIE“.</w:t>
            </w:r>
          </w:p>
          <w:p w14:paraId="3E965172" w14:textId="77777777" w:rsidR="00173F08" w:rsidRPr="00F12F7E" w:rsidRDefault="00173F08" w:rsidP="00822842">
            <w:pPr>
              <w:rPr>
                <w:rStyle w:val="InstructionsTabelleText"/>
                <w:rFonts w:ascii="Times New Roman" w:hAnsi="Times New Roman"/>
                <w:sz w:val="24"/>
              </w:rPr>
            </w:pPr>
          </w:p>
          <w:p w14:paraId="27BF6938" w14:textId="77777777" w:rsidR="00173F08" w:rsidRPr="00F12F7E" w:rsidRDefault="00173F08" w:rsidP="00E24E2D">
            <w:pPr>
              <w:keepNext/>
              <w:ind w:left="372" w:hanging="360"/>
              <w:contextualSpacing/>
              <w:rPr>
                <w:rStyle w:val="InstructionsTabelleText"/>
                <w:rFonts w:ascii="Times New Roman" w:hAnsi="Times New Roman"/>
                <w:sz w:val="24"/>
              </w:rPr>
            </w:pPr>
            <w:r w:rsidRPr="00F12F7E">
              <w:rPr>
                <w:rStyle w:val="InstructionsTabelleText"/>
                <w:rFonts w:ascii="Wingdings" w:hAnsi="Wingdings"/>
                <w:sz w:val="24"/>
              </w:rPr>
              <w:lastRenderedPageBreak/>
              <w:t></w:t>
            </w:r>
            <w:r w:rsidRPr="00F12F7E">
              <w:tab/>
            </w:r>
            <w:r w:rsidRPr="00F12F7E">
              <w:rPr>
                <w:rStyle w:val="InstructionsTabelleText"/>
                <w:rFonts w:ascii="Times New Roman" w:hAnsi="Times New Roman"/>
                <w:sz w:val="24"/>
              </w:rPr>
              <w:t>Menšinové účasti:</w:t>
            </w:r>
          </w:p>
          <w:p w14:paraId="753444E9" w14:textId="2164B046" w:rsidR="00173F08" w:rsidRPr="00F12F7E" w:rsidRDefault="00173F08" w:rsidP="00E24E2D">
            <w:pPr>
              <w:keepNext/>
              <w:rPr>
                <w:rStyle w:val="InstructionsTabelleText"/>
                <w:rFonts w:ascii="Times New Roman" w:hAnsi="Times New Roman"/>
                <w:sz w:val="24"/>
              </w:rPr>
            </w:pPr>
            <w:r w:rsidRPr="00F12F7E">
              <w:rPr>
                <w:rFonts w:ascii="Times New Roman" w:hAnsi="Times New Roman"/>
                <w:sz w:val="24"/>
              </w:rPr>
              <w:t xml:space="preserve"> Článok 81 ods. 1 písm. a) bod ii)</w:t>
            </w:r>
            <w:r w:rsidR="00F12F7E">
              <w:rPr>
                <w:rFonts w:ascii="Times New Roman" w:hAnsi="Times New Roman"/>
                <w:sz w:val="24"/>
              </w:rPr>
              <w:t xml:space="preserve"> a </w:t>
            </w:r>
            <w:r w:rsidRPr="00F12F7E">
              <w:rPr>
                <w:rFonts w:ascii="Times New Roman" w:hAnsi="Times New Roman"/>
                <w:sz w:val="24"/>
              </w:rPr>
              <w:t>článok 82 ods. 1 písm. a) bod ii) nariadenia (EÚ) č. 575/2013</w:t>
            </w:r>
          </w:p>
          <w:p w14:paraId="714487FE" w14:textId="4ABECD83" w:rsidR="00173F08" w:rsidRPr="00F12F7E" w:rsidRDefault="00173F08" w:rsidP="00822842">
            <w:pPr>
              <w:rPr>
                <w:rStyle w:val="InstructionsTabelleText"/>
                <w:rFonts w:ascii="Times New Roman" w:hAnsi="Times New Roman"/>
                <w:sz w:val="24"/>
              </w:rPr>
            </w:pPr>
            <w:r w:rsidRPr="00F12F7E">
              <w:rPr>
                <w:rFonts w:ascii="Times New Roman" w:hAnsi="Times New Roman"/>
                <w:sz w:val="24"/>
              </w:rPr>
              <w:t>Pokiaľ ide</w:t>
            </w:r>
            <w:r w:rsidR="00F12F7E">
              <w:rPr>
                <w:rFonts w:ascii="Times New Roman" w:hAnsi="Times New Roman"/>
                <w:sz w:val="24"/>
              </w:rPr>
              <w:t xml:space="preserve"> o </w:t>
            </w:r>
            <w:r w:rsidRPr="00F12F7E">
              <w:rPr>
                <w:rFonts w:ascii="Times New Roman" w:hAnsi="Times New Roman"/>
                <w:sz w:val="24"/>
              </w:rPr>
              <w:t>účinky menšinových účastí</w:t>
            </w:r>
            <w:r w:rsidR="00F12F7E">
              <w:rPr>
                <w:rFonts w:ascii="Times New Roman" w:hAnsi="Times New Roman"/>
                <w:sz w:val="24"/>
              </w:rPr>
              <w:t xml:space="preserve"> a </w:t>
            </w:r>
            <w:r w:rsidRPr="00F12F7E">
              <w:rPr>
                <w:rFonts w:ascii="Times New Roman" w:hAnsi="Times New Roman"/>
                <w:sz w:val="24"/>
              </w:rPr>
              <w:t>nástrojov AT1</w:t>
            </w:r>
            <w:r w:rsidR="00F12F7E">
              <w:rPr>
                <w:rFonts w:ascii="Times New Roman" w:hAnsi="Times New Roman"/>
                <w:sz w:val="24"/>
              </w:rPr>
              <w:t xml:space="preserve"> a </w:t>
            </w:r>
            <w:r w:rsidRPr="00F12F7E">
              <w:rPr>
                <w:rFonts w:ascii="Times New Roman" w:hAnsi="Times New Roman"/>
                <w:sz w:val="24"/>
              </w:rPr>
              <w:t>T2 emitovaných dcérskymi spoločnosťami, dcérske spoločnosti, ktorých nástroje môžu byť prípustné, sú inštitúcie alebo podniky, na ktoré sa na základe uplatniteľných vnútroštátnych právnych predpisov vzťahujú požiadavky nariadenia (EÚ) č. 575/2013.</w:t>
            </w:r>
          </w:p>
        </w:tc>
      </w:tr>
      <w:tr w:rsidR="00173F08" w:rsidRPr="00F12F7E" w14:paraId="7BBFE780" w14:textId="77777777" w:rsidTr="00822842">
        <w:tc>
          <w:tcPr>
            <w:tcW w:w="1188" w:type="dxa"/>
          </w:tcPr>
          <w:p w14:paraId="4D04116B"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lastRenderedPageBreak/>
              <w:t>0035</w:t>
            </w:r>
          </w:p>
        </w:tc>
        <w:tc>
          <w:tcPr>
            <w:tcW w:w="8640" w:type="dxa"/>
          </w:tcPr>
          <w:p w14:paraId="301D03B9"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TYP SUBJEKTU</w:t>
            </w:r>
          </w:p>
          <w:p w14:paraId="64249F7B" w14:textId="77777777" w:rsidR="00173F08" w:rsidRPr="00F12F7E" w:rsidRDefault="00173F08" w:rsidP="00822842">
            <w:pPr>
              <w:rPr>
                <w:rStyle w:val="InstructionsTabelleText"/>
                <w:rFonts w:ascii="Times New Roman" w:hAnsi="Times New Roman"/>
                <w:bCs/>
                <w:sz w:val="24"/>
              </w:rPr>
            </w:pPr>
            <w:r w:rsidRPr="00F12F7E">
              <w:rPr>
                <w:rStyle w:val="InstructionsTabelleText"/>
                <w:rFonts w:ascii="Times New Roman" w:hAnsi="Times New Roman"/>
                <w:sz w:val="24"/>
              </w:rPr>
              <w:t>Typ subjektu sa vykazuje na základe týchto kategórií:</w:t>
            </w:r>
          </w:p>
          <w:p w14:paraId="6C071244" w14:textId="77777777" w:rsidR="00173F08" w:rsidRPr="00F12F7E" w:rsidRDefault="00173F08" w:rsidP="00822842">
            <w:pPr>
              <w:tabs>
                <w:tab w:val="left" w:pos="372"/>
              </w:tabs>
              <w:rPr>
                <w:rStyle w:val="InstructionsTabelleText"/>
                <w:rFonts w:ascii="Times New Roman" w:hAnsi="Times New Roman"/>
                <w:sz w:val="24"/>
              </w:rPr>
            </w:pPr>
            <w:r w:rsidRPr="00F12F7E">
              <w:rPr>
                <w:rStyle w:val="InstructionsTabelleText"/>
                <w:rFonts w:ascii="Times New Roman" w:hAnsi="Times New Roman"/>
                <w:sz w:val="24"/>
              </w:rPr>
              <w:t>a)</w:t>
            </w:r>
            <w:r w:rsidRPr="00F12F7E">
              <w:tab/>
            </w:r>
            <w:r w:rsidRPr="00F12F7E">
              <w:rPr>
                <w:rStyle w:val="InstructionsTabelleText"/>
                <w:rFonts w:ascii="Times New Roman" w:hAnsi="Times New Roman"/>
                <w:sz w:val="24"/>
              </w:rPr>
              <w:t>úverová inštitúcia</w:t>
            </w:r>
          </w:p>
          <w:p w14:paraId="665499B6" w14:textId="1C63C342" w:rsidR="00173F08" w:rsidRPr="00F12F7E" w:rsidRDefault="00173F08" w:rsidP="00822842">
            <w:pPr>
              <w:tabs>
                <w:tab w:val="left" w:pos="372"/>
              </w:tabs>
              <w:rPr>
                <w:rStyle w:val="InstructionsTabelleText"/>
                <w:rFonts w:ascii="Times New Roman" w:hAnsi="Times New Roman"/>
                <w:sz w:val="24"/>
              </w:rPr>
            </w:pPr>
            <w:r w:rsidRPr="00F12F7E">
              <w:tab/>
            </w:r>
            <w:r w:rsidR="00F60F3B" w:rsidRPr="00F12F7E">
              <w:rPr>
                <w:rStyle w:val="InstructionsTabelleText"/>
                <w:rFonts w:ascii="Times New Roman" w:hAnsi="Times New Roman"/>
                <w:sz w:val="24"/>
              </w:rPr>
              <w:t>č</w:t>
            </w:r>
            <w:r w:rsidRPr="00F12F7E">
              <w:rPr>
                <w:rStyle w:val="InstructionsTabelleText"/>
                <w:rFonts w:ascii="Times New Roman" w:hAnsi="Times New Roman"/>
                <w:sz w:val="24"/>
              </w:rPr>
              <w:t xml:space="preserve">lánok 4 ods. 1 bod 1 </w:t>
            </w:r>
            <w:r w:rsidRPr="00F12F7E">
              <w:rPr>
                <w:rFonts w:ascii="Times New Roman" w:hAnsi="Times New Roman"/>
                <w:sz w:val="24"/>
              </w:rPr>
              <w:t>nariadenia (EÚ) č. 575/2013</w:t>
            </w:r>
            <w:r w:rsidRPr="00F12F7E">
              <w:rPr>
                <w:rStyle w:val="InstructionsTabelleText"/>
                <w:rFonts w:ascii="Times New Roman" w:hAnsi="Times New Roman"/>
                <w:sz w:val="24"/>
              </w:rPr>
              <w:t>;</w:t>
            </w:r>
          </w:p>
          <w:p w14:paraId="5699C13E" w14:textId="77777777" w:rsidR="00173F08" w:rsidRPr="00F12F7E" w:rsidRDefault="00173F08" w:rsidP="00822842">
            <w:pPr>
              <w:tabs>
                <w:tab w:val="left" w:pos="372"/>
              </w:tabs>
              <w:rPr>
                <w:rStyle w:val="InstructionsTabelleText"/>
                <w:rFonts w:ascii="Times New Roman" w:hAnsi="Times New Roman"/>
                <w:bCs/>
                <w:sz w:val="24"/>
              </w:rPr>
            </w:pPr>
            <w:r w:rsidRPr="00F12F7E">
              <w:rPr>
                <w:rStyle w:val="InstructionsTabelleText"/>
                <w:rFonts w:ascii="Times New Roman" w:hAnsi="Times New Roman"/>
                <w:sz w:val="24"/>
              </w:rPr>
              <w:t>b)</w:t>
            </w:r>
            <w:r w:rsidRPr="00F12F7E">
              <w:tab/>
            </w:r>
            <w:r w:rsidRPr="00F12F7E">
              <w:rPr>
                <w:rStyle w:val="InstructionsTabelleText"/>
                <w:rFonts w:ascii="Times New Roman" w:hAnsi="Times New Roman"/>
                <w:sz w:val="24"/>
              </w:rPr>
              <w:t>investičná spoločnosť</w:t>
            </w:r>
          </w:p>
          <w:p w14:paraId="63975777" w14:textId="3E2D059A" w:rsidR="00173F08" w:rsidRPr="00F12F7E" w:rsidRDefault="00173F08" w:rsidP="00822842">
            <w:pPr>
              <w:tabs>
                <w:tab w:val="left" w:pos="372"/>
              </w:tabs>
              <w:rPr>
                <w:rStyle w:val="InstructionsTabelleText"/>
                <w:rFonts w:ascii="Times New Roman" w:hAnsi="Times New Roman"/>
                <w:bCs/>
                <w:sz w:val="24"/>
              </w:rPr>
            </w:pPr>
            <w:r w:rsidRPr="00F12F7E">
              <w:tab/>
            </w:r>
            <w:r w:rsidR="00F60F3B" w:rsidRPr="00F12F7E">
              <w:rPr>
                <w:rStyle w:val="InstructionsTabelleText"/>
                <w:rFonts w:ascii="Times New Roman" w:hAnsi="Times New Roman"/>
                <w:sz w:val="24"/>
              </w:rPr>
              <w:t>č</w:t>
            </w:r>
            <w:r w:rsidRPr="00F12F7E">
              <w:rPr>
                <w:rStyle w:val="InstructionsTabelleText"/>
                <w:rFonts w:ascii="Times New Roman" w:hAnsi="Times New Roman"/>
                <w:sz w:val="24"/>
              </w:rPr>
              <w:t xml:space="preserve">lánok 4 ods. 1 bod 2 </w:t>
            </w:r>
            <w:r w:rsidRPr="00F12F7E">
              <w:rPr>
                <w:rFonts w:ascii="Times New Roman" w:hAnsi="Times New Roman"/>
                <w:sz w:val="24"/>
              </w:rPr>
              <w:t>nariadenia (EÚ) č. 575/2013</w:t>
            </w:r>
            <w:r w:rsidRPr="00F12F7E">
              <w:rPr>
                <w:rStyle w:val="InstructionsTabelleText"/>
                <w:rFonts w:ascii="Times New Roman" w:hAnsi="Times New Roman"/>
                <w:sz w:val="24"/>
              </w:rPr>
              <w:t>;</w:t>
            </w:r>
          </w:p>
          <w:p w14:paraId="4003584E" w14:textId="77777777" w:rsidR="00173F08" w:rsidRPr="00F12F7E" w:rsidRDefault="00173F08" w:rsidP="00822842">
            <w:pPr>
              <w:tabs>
                <w:tab w:val="left" w:pos="372"/>
              </w:tabs>
              <w:rPr>
                <w:rStyle w:val="InstructionsTabelleText"/>
                <w:rFonts w:ascii="Times New Roman" w:hAnsi="Times New Roman"/>
                <w:bCs/>
                <w:sz w:val="24"/>
              </w:rPr>
            </w:pPr>
            <w:r w:rsidRPr="00F12F7E">
              <w:rPr>
                <w:rStyle w:val="InstructionsTabelleText"/>
                <w:rFonts w:ascii="Times New Roman" w:hAnsi="Times New Roman"/>
                <w:sz w:val="24"/>
              </w:rPr>
              <w:t>c)</w:t>
            </w:r>
            <w:r w:rsidRPr="00F12F7E">
              <w:tab/>
            </w:r>
            <w:r w:rsidRPr="00F12F7E">
              <w:rPr>
                <w:rStyle w:val="InstructionsTabelleText"/>
                <w:rFonts w:ascii="Times New Roman" w:hAnsi="Times New Roman"/>
                <w:sz w:val="24"/>
              </w:rPr>
              <w:t>finančná inštitúcia (iná)</w:t>
            </w:r>
          </w:p>
          <w:p w14:paraId="5B5F8DA3" w14:textId="4BA10B9C" w:rsidR="00173F08" w:rsidRPr="00F12F7E" w:rsidRDefault="00173F08" w:rsidP="00822842">
            <w:pPr>
              <w:tabs>
                <w:tab w:val="left" w:pos="372"/>
              </w:tabs>
              <w:rPr>
                <w:rStyle w:val="InstructionsTabelleText"/>
                <w:rFonts w:ascii="Times New Roman" w:hAnsi="Times New Roman"/>
                <w:bCs/>
                <w:sz w:val="24"/>
              </w:rPr>
            </w:pPr>
            <w:r w:rsidRPr="00F12F7E">
              <w:tab/>
            </w:r>
            <w:r w:rsidR="00F60F3B" w:rsidRPr="00F12F7E">
              <w:rPr>
                <w:rStyle w:val="InstructionsTabelleText"/>
                <w:rFonts w:ascii="Times New Roman" w:hAnsi="Times New Roman"/>
                <w:sz w:val="24"/>
              </w:rPr>
              <w:t>č</w:t>
            </w:r>
            <w:r w:rsidRPr="00F12F7E">
              <w:rPr>
                <w:rStyle w:val="InstructionsTabelleText"/>
                <w:rFonts w:ascii="Times New Roman" w:hAnsi="Times New Roman"/>
                <w:sz w:val="24"/>
              </w:rPr>
              <w:t>lánok 4 ods. 1 body 20, 21</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 xml:space="preserve">26 </w:t>
            </w:r>
            <w:r w:rsidRPr="00F12F7E">
              <w:rPr>
                <w:rFonts w:ascii="Times New Roman" w:hAnsi="Times New Roman"/>
                <w:sz w:val="24"/>
              </w:rPr>
              <w:t>nariadenia (EÚ) č. 575/2013</w:t>
            </w:r>
          </w:p>
          <w:p w14:paraId="7BC9963B" w14:textId="38E0F3A5" w:rsidR="00173F08" w:rsidRPr="00F12F7E" w:rsidRDefault="00173F08" w:rsidP="00822842">
            <w:pPr>
              <w:tabs>
                <w:tab w:val="left" w:pos="372"/>
              </w:tabs>
              <w:ind w:left="399" w:hanging="399"/>
              <w:rPr>
                <w:rStyle w:val="InstructionsTabelleText"/>
                <w:rFonts w:ascii="Times New Roman" w:hAnsi="Times New Roman"/>
                <w:bCs/>
                <w:sz w:val="24"/>
              </w:rPr>
            </w:pPr>
            <w:r w:rsidRPr="00F12F7E">
              <w:tab/>
            </w:r>
            <w:r w:rsidRPr="00F12F7E">
              <w:rPr>
                <w:rStyle w:val="InstructionsTabelleText"/>
                <w:rFonts w:ascii="Times New Roman" w:hAnsi="Times New Roman"/>
                <w:sz w:val="24"/>
              </w:rPr>
              <w:t>Finančné inštitúcie</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zmysle článku 4 ods. 1 bodu 26</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 ktoré nie sú zahrnuté do žiadnej</w:t>
            </w:r>
            <w:r w:rsidR="00F12F7E">
              <w:rPr>
                <w:rStyle w:val="InstructionsTabelleText"/>
                <w:rFonts w:ascii="Times New Roman" w:hAnsi="Times New Roman"/>
                <w:sz w:val="24"/>
              </w:rPr>
              <w:t xml:space="preserve"> z </w:t>
            </w:r>
            <w:r w:rsidRPr="00F12F7E">
              <w:rPr>
                <w:rStyle w:val="InstructionsTabelleText"/>
                <w:rFonts w:ascii="Times New Roman" w:hAnsi="Times New Roman"/>
                <w:sz w:val="24"/>
              </w:rPr>
              <w:t>kategórií d), e) ani g);</w:t>
            </w:r>
          </w:p>
          <w:p w14:paraId="7F954479" w14:textId="77777777" w:rsidR="00173F08" w:rsidRPr="00F12F7E" w:rsidRDefault="00173F08" w:rsidP="00822842">
            <w:pPr>
              <w:tabs>
                <w:tab w:val="left" w:pos="372"/>
              </w:tabs>
              <w:rPr>
                <w:rStyle w:val="InstructionsTabelleText"/>
                <w:rFonts w:ascii="Times New Roman" w:hAnsi="Times New Roman"/>
                <w:bCs/>
                <w:sz w:val="24"/>
              </w:rPr>
            </w:pPr>
            <w:r w:rsidRPr="00F12F7E">
              <w:rPr>
                <w:rStyle w:val="InstructionsTabelleText"/>
                <w:rFonts w:ascii="Times New Roman" w:hAnsi="Times New Roman"/>
                <w:sz w:val="24"/>
              </w:rPr>
              <w:t>d)</w:t>
            </w:r>
            <w:r w:rsidRPr="00F12F7E">
              <w:tab/>
            </w:r>
            <w:r w:rsidRPr="00F12F7E">
              <w:rPr>
                <w:rStyle w:val="InstructionsTabelleText"/>
                <w:rFonts w:ascii="Times New Roman" w:hAnsi="Times New Roman"/>
                <w:sz w:val="24"/>
              </w:rPr>
              <w:t>(zmiešaná) finančná holdingová spoločnosť</w:t>
            </w:r>
          </w:p>
          <w:p w14:paraId="1C70DDA8" w14:textId="55CC0D5C" w:rsidR="00173F08" w:rsidRPr="00F12F7E" w:rsidRDefault="00173F08" w:rsidP="00822842">
            <w:pPr>
              <w:tabs>
                <w:tab w:val="left" w:pos="372"/>
              </w:tabs>
              <w:rPr>
                <w:rStyle w:val="InstructionsTabelleText"/>
                <w:rFonts w:ascii="Times New Roman" w:hAnsi="Times New Roman"/>
                <w:bCs/>
                <w:sz w:val="24"/>
              </w:rPr>
            </w:pPr>
            <w:r w:rsidRPr="00F12F7E">
              <w:tab/>
            </w:r>
            <w:r w:rsidR="00F60F3B" w:rsidRPr="00F12F7E">
              <w:rPr>
                <w:rStyle w:val="InstructionsTabelleText"/>
                <w:rFonts w:ascii="Times New Roman" w:hAnsi="Times New Roman"/>
                <w:sz w:val="24"/>
              </w:rPr>
              <w:t>č</w:t>
            </w:r>
            <w:r w:rsidRPr="00F12F7E">
              <w:rPr>
                <w:rStyle w:val="InstructionsTabelleText"/>
                <w:rFonts w:ascii="Times New Roman" w:hAnsi="Times New Roman"/>
                <w:sz w:val="24"/>
              </w:rPr>
              <w:t>lánok 4 ods. 1 body 20</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 xml:space="preserve">21 </w:t>
            </w:r>
            <w:r w:rsidRPr="00F12F7E">
              <w:rPr>
                <w:rFonts w:ascii="Times New Roman" w:hAnsi="Times New Roman"/>
                <w:sz w:val="24"/>
              </w:rPr>
              <w:t>nariadenia (EÚ) č. 575/2013</w:t>
            </w:r>
            <w:r w:rsidRPr="00F12F7E">
              <w:rPr>
                <w:rStyle w:val="InstructionsTabelleText"/>
                <w:rFonts w:ascii="Times New Roman" w:hAnsi="Times New Roman"/>
                <w:sz w:val="24"/>
              </w:rPr>
              <w:t>;</w:t>
            </w:r>
          </w:p>
          <w:p w14:paraId="30F427B6" w14:textId="77777777" w:rsidR="00173F08" w:rsidRPr="00F12F7E" w:rsidRDefault="00173F08" w:rsidP="00822842">
            <w:pPr>
              <w:tabs>
                <w:tab w:val="left" w:pos="372"/>
              </w:tabs>
              <w:rPr>
                <w:rStyle w:val="InstructionsTabelleText"/>
                <w:rFonts w:ascii="Times New Roman" w:hAnsi="Times New Roman"/>
                <w:bCs/>
                <w:sz w:val="24"/>
              </w:rPr>
            </w:pPr>
            <w:r w:rsidRPr="00F12F7E">
              <w:rPr>
                <w:rStyle w:val="InstructionsTabelleText"/>
                <w:rFonts w:ascii="Times New Roman" w:hAnsi="Times New Roman"/>
                <w:sz w:val="24"/>
              </w:rPr>
              <w:t>e)</w:t>
            </w:r>
            <w:r w:rsidRPr="00F12F7E">
              <w:tab/>
            </w:r>
            <w:r w:rsidRPr="00F12F7E">
              <w:rPr>
                <w:rStyle w:val="InstructionsTabelleText"/>
                <w:rFonts w:ascii="Times New Roman" w:hAnsi="Times New Roman"/>
                <w:sz w:val="24"/>
              </w:rPr>
              <w:t>podnik pomocných služieb</w:t>
            </w:r>
          </w:p>
          <w:p w14:paraId="21A43501" w14:textId="44F22B64" w:rsidR="00173F08" w:rsidRPr="00F12F7E" w:rsidRDefault="00173F08" w:rsidP="00822842">
            <w:pPr>
              <w:tabs>
                <w:tab w:val="left" w:pos="372"/>
              </w:tabs>
              <w:rPr>
                <w:rStyle w:val="InstructionsTabelleText"/>
                <w:rFonts w:ascii="Times New Roman" w:hAnsi="Times New Roman"/>
                <w:bCs/>
                <w:sz w:val="24"/>
              </w:rPr>
            </w:pPr>
            <w:r w:rsidRPr="00F12F7E">
              <w:tab/>
            </w:r>
            <w:r w:rsidR="00F60F3B" w:rsidRPr="00F12F7E">
              <w:rPr>
                <w:rStyle w:val="InstructionsTabelleText"/>
                <w:rFonts w:ascii="Times New Roman" w:hAnsi="Times New Roman"/>
                <w:sz w:val="24"/>
              </w:rPr>
              <w:t>č</w:t>
            </w:r>
            <w:r w:rsidRPr="00F12F7E">
              <w:rPr>
                <w:rStyle w:val="InstructionsTabelleText"/>
                <w:rFonts w:ascii="Times New Roman" w:hAnsi="Times New Roman"/>
                <w:sz w:val="24"/>
              </w:rPr>
              <w:t xml:space="preserve">lánok 4 ods. 1 bod 18 </w:t>
            </w:r>
            <w:r w:rsidRPr="00F12F7E">
              <w:rPr>
                <w:rFonts w:ascii="Times New Roman" w:hAnsi="Times New Roman"/>
                <w:sz w:val="24"/>
              </w:rPr>
              <w:t>nariadenia (EÚ) č. 575/2013</w:t>
            </w:r>
            <w:r w:rsidRPr="00F12F7E">
              <w:rPr>
                <w:rStyle w:val="InstructionsTabelleText"/>
                <w:rFonts w:ascii="Times New Roman" w:hAnsi="Times New Roman"/>
                <w:sz w:val="24"/>
              </w:rPr>
              <w:t>;</w:t>
            </w:r>
          </w:p>
          <w:p w14:paraId="33923092" w14:textId="77777777" w:rsidR="00173F08" w:rsidRPr="00F12F7E" w:rsidRDefault="00173F08" w:rsidP="00822842">
            <w:pPr>
              <w:tabs>
                <w:tab w:val="left" w:pos="372"/>
              </w:tabs>
              <w:rPr>
                <w:rStyle w:val="InstructionsTabelleText"/>
                <w:rFonts w:ascii="Times New Roman" w:hAnsi="Times New Roman"/>
                <w:bCs/>
                <w:sz w:val="24"/>
              </w:rPr>
            </w:pPr>
            <w:r w:rsidRPr="00F12F7E">
              <w:rPr>
                <w:rStyle w:val="InstructionsTabelleText"/>
                <w:rFonts w:ascii="Times New Roman" w:hAnsi="Times New Roman"/>
                <w:sz w:val="24"/>
              </w:rPr>
              <w:t>f)</w:t>
            </w:r>
            <w:r w:rsidRPr="00F12F7E">
              <w:tab/>
            </w:r>
            <w:r w:rsidRPr="00F12F7E">
              <w:rPr>
                <w:rStyle w:val="InstructionsTabelleText"/>
                <w:rFonts w:ascii="Times New Roman" w:hAnsi="Times New Roman"/>
                <w:sz w:val="24"/>
              </w:rPr>
              <w:t>účelový subjekt zaoberajúci sa sekuritizáciou (SSPE);</w:t>
            </w:r>
          </w:p>
          <w:p w14:paraId="0A5E1647" w14:textId="167AC86F" w:rsidR="00173F08" w:rsidRPr="00F12F7E" w:rsidRDefault="00173F08" w:rsidP="00822842">
            <w:pPr>
              <w:tabs>
                <w:tab w:val="left" w:pos="372"/>
              </w:tabs>
              <w:rPr>
                <w:rStyle w:val="InstructionsTabelleText"/>
                <w:rFonts w:ascii="Times New Roman" w:hAnsi="Times New Roman"/>
                <w:bCs/>
                <w:sz w:val="24"/>
              </w:rPr>
            </w:pPr>
            <w:r w:rsidRPr="00F12F7E">
              <w:tab/>
            </w:r>
            <w:r w:rsidR="00F60F3B" w:rsidRPr="00F12F7E">
              <w:rPr>
                <w:rStyle w:val="InstructionsTabelleText"/>
                <w:rFonts w:ascii="Times New Roman" w:hAnsi="Times New Roman"/>
                <w:sz w:val="24"/>
              </w:rPr>
              <w:t>č</w:t>
            </w:r>
            <w:r w:rsidRPr="00F12F7E">
              <w:rPr>
                <w:rStyle w:val="InstructionsTabelleText"/>
                <w:rFonts w:ascii="Times New Roman" w:hAnsi="Times New Roman"/>
                <w:sz w:val="24"/>
              </w:rPr>
              <w:t xml:space="preserve">lánok 4 ods. 1 bod 66 </w:t>
            </w:r>
            <w:r w:rsidRPr="00F12F7E">
              <w:rPr>
                <w:rFonts w:ascii="Times New Roman" w:hAnsi="Times New Roman"/>
                <w:sz w:val="24"/>
              </w:rPr>
              <w:t>nariadenia (EÚ) č. 575/2013</w:t>
            </w:r>
            <w:r w:rsidRPr="00F12F7E">
              <w:rPr>
                <w:rStyle w:val="InstructionsTabelleText"/>
                <w:rFonts w:ascii="Times New Roman" w:hAnsi="Times New Roman"/>
                <w:sz w:val="24"/>
              </w:rPr>
              <w:t>;</w:t>
            </w:r>
          </w:p>
          <w:p w14:paraId="56894EF9" w14:textId="77777777" w:rsidR="00173F08" w:rsidRPr="00F12F7E" w:rsidRDefault="00173F08" w:rsidP="00822842">
            <w:pPr>
              <w:tabs>
                <w:tab w:val="left" w:pos="372"/>
              </w:tabs>
              <w:rPr>
                <w:rStyle w:val="InstructionsTabelleText"/>
                <w:rFonts w:ascii="Times New Roman" w:hAnsi="Times New Roman"/>
                <w:bCs/>
                <w:sz w:val="24"/>
              </w:rPr>
            </w:pPr>
            <w:r w:rsidRPr="00F12F7E">
              <w:rPr>
                <w:rStyle w:val="InstructionsTabelleText"/>
                <w:rFonts w:ascii="Times New Roman" w:hAnsi="Times New Roman"/>
                <w:sz w:val="24"/>
              </w:rPr>
              <w:t>g)</w:t>
            </w:r>
            <w:r w:rsidRPr="00F12F7E">
              <w:tab/>
            </w:r>
            <w:r w:rsidRPr="00F12F7E">
              <w:rPr>
                <w:rStyle w:val="InstructionsTabelleText"/>
                <w:rFonts w:ascii="Times New Roman" w:hAnsi="Times New Roman"/>
                <w:sz w:val="24"/>
              </w:rPr>
              <w:t>spoločnosť zaoberajúca sa krytými dlhopismi</w:t>
            </w:r>
          </w:p>
          <w:p w14:paraId="6CA79499" w14:textId="146C9F0C" w:rsidR="00173F08" w:rsidRPr="00F12F7E" w:rsidRDefault="00173F08" w:rsidP="00822842">
            <w:pPr>
              <w:tabs>
                <w:tab w:val="left" w:pos="372"/>
              </w:tabs>
              <w:ind w:left="372"/>
              <w:rPr>
                <w:rStyle w:val="InstructionsTabelleText"/>
                <w:rFonts w:ascii="Times New Roman" w:hAnsi="Times New Roman"/>
                <w:bCs/>
                <w:sz w:val="24"/>
              </w:rPr>
            </w:pPr>
            <w:r w:rsidRPr="00F12F7E">
              <w:rPr>
                <w:rStyle w:val="InstructionsTabelleText"/>
                <w:rFonts w:ascii="Times New Roman" w:hAnsi="Times New Roman"/>
                <w:sz w:val="24"/>
              </w:rPr>
              <w:t>Subjekt zriadený na emitovanie krytých dlhopisov alebo na držanie kolaterálu, ktorým je zabezpečený krytý dlhopis, ak nie je zahrnutý</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žiadnej</w:t>
            </w:r>
            <w:r w:rsidR="00F12F7E">
              <w:rPr>
                <w:rStyle w:val="InstructionsTabelleText"/>
                <w:rFonts w:ascii="Times New Roman" w:hAnsi="Times New Roman"/>
                <w:sz w:val="24"/>
              </w:rPr>
              <w:t xml:space="preserve"> z </w:t>
            </w:r>
            <w:r w:rsidRPr="00F12F7E">
              <w:rPr>
                <w:rStyle w:val="InstructionsTabelleText"/>
                <w:rFonts w:ascii="Times New Roman" w:hAnsi="Times New Roman"/>
                <w:sz w:val="24"/>
              </w:rPr>
              <w:t>uvedených kategórií a), b) ani d) až f);</w:t>
            </w:r>
          </w:p>
          <w:p w14:paraId="73FCB23B" w14:textId="77777777" w:rsidR="00173F08" w:rsidRPr="00F12F7E" w:rsidRDefault="00173F08" w:rsidP="00822842">
            <w:pPr>
              <w:tabs>
                <w:tab w:val="left" w:pos="372"/>
              </w:tabs>
              <w:rPr>
                <w:rStyle w:val="InstructionsTabelleText"/>
                <w:rFonts w:ascii="Times New Roman" w:hAnsi="Times New Roman"/>
                <w:sz w:val="24"/>
              </w:rPr>
            </w:pPr>
            <w:r w:rsidRPr="00F12F7E">
              <w:rPr>
                <w:rStyle w:val="InstructionsTabelleText"/>
                <w:rFonts w:ascii="Times New Roman" w:hAnsi="Times New Roman"/>
                <w:sz w:val="24"/>
              </w:rPr>
              <w:t>h)</w:t>
            </w:r>
            <w:r w:rsidRPr="00F12F7E">
              <w:tab/>
            </w:r>
            <w:r w:rsidRPr="00F12F7E">
              <w:rPr>
                <w:rStyle w:val="InstructionsTabelleText"/>
                <w:rFonts w:ascii="Times New Roman" w:hAnsi="Times New Roman"/>
                <w:sz w:val="24"/>
              </w:rPr>
              <w:t>iný typ subjektu</w:t>
            </w:r>
          </w:p>
          <w:p w14:paraId="404E7CFE" w14:textId="0544A3FD" w:rsidR="00173F08" w:rsidRPr="00F12F7E" w:rsidRDefault="00173F08" w:rsidP="00822842">
            <w:pPr>
              <w:tabs>
                <w:tab w:val="left" w:pos="372"/>
              </w:tabs>
              <w:ind w:left="372"/>
              <w:rPr>
                <w:rStyle w:val="InstructionsTabelleberschrift"/>
                <w:rFonts w:ascii="Times New Roman" w:hAnsi="Times New Roman"/>
                <w:b w:val="0"/>
                <w:sz w:val="24"/>
              </w:rPr>
            </w:pPr>
            <w:r w:rsidRPr="00F12F7E">
              <w:rPr>
                <w:rStyle w:val="InstructionsTabelleberschrift"/>
                <w:rFonts w:ascii="Times New Roman" w:hAnsi="Times New Roman"/>
                <w:sz w:val="24"/>
              </w:rPr>
              <w:t>Iný subjekt ako subjekty uvedené</w:t>
            </w:r>
            <w:r w:rsidR="00F12F7E">
              <w:rPr>
                <w:rStyle w:val="InstructionsTabelleberschrift"/>
                <w:rFonts w:ascii="Times New Roman" w:hAnsi="Times New Roman"/>
                <w:sz w:val="24"/>
              </w:rPr>
              <w:t xml:space="preserve"> v </w:t>
            </w:r>
            <w:r w:rsidRPr="00F12F7E">
              <w:rPr>
                <w:rStyle w:val="InstructionsTabelleberschrift"/>
                <w:rFonts w:ascii="Times New Roman" w:hAnsi="Times New Roman"/>
                <w:sz w:val="24"/>
              </w:rPr>
              <w:t>písmenách a) až g).</w:t>
            </w:r>
          </w:p>
          <w:p w14:paraId="1E1DE3FB" w14:textId="217F9D14" w:rsidR="00173F08" w:rsidRPr="00F12F7E" w:rsidRDefault="00173F08" w:rsidP="00822842">
            <w:pPr>
              <w:tabs>
                <w:tab w:val="left" w:pos="372"/>
              </w:tabs>
              <w:rPr>
                <w:rStyle w:val="InstructionsTabelleberschrift"/>
                <w:rFonts w:ascii="Times New Roman" w:hAnsi="Times New Roman"/>
                <w:b w:val="0"/>
                <w:sz w:val="24"/>
              </w:rPr>
            </w:pPr>
            <w:r w:rsidRPr="00F12F7E">
              <w:rPr>
                <w:rStyle w:val="InstructionsTabelleberschrift"/>
                <w:rFonts w:ascii="Times New Roman" w:hAnsi="Times New Roman"/>
                <w:sz w:val="24"/>
              </w:rPr>
              <w:t>Keď sa na subjekt nevzťahuje</w:t>
            </w:r>
            <w:r w:rsidRPr="00F12F7E">
              <w:rPr>
                <w:rFonts w:ascii="Times New Roman" w:hAnsi="Times New Roman"/>
                <w:sz w:val="24"/>
              </w:rPr>
              <w:t xml:space="preserve"> nariadenie (EÚ) č. 575/2013</w:t>
            </w:r>
            <w:r w:rsidR="00F12F7E">
              <w:rPr>
                <w:rFonts w:ascii="Times New Roman" w:hAnsi="Times New Roman"/>
                <w:sz w:val="24"/>
              </w:rPr>
              <w:t xml:space="preserve"> </w:t>
            </w:r>
            <w:r w:rsidR="00F12F7E" w:rsidRPr="00E24E2D">
              <w:rPr>
                <w:rFonts w:ascii="Times New Roman" w:hAnsi="Times New Roman"/>
                <w:b/>
                <w:bCs/>
                <w:sz w:val="24"/>
              </w:rPr>
              <w:t>a</w:t>
            </w:r>
            <w:r w:rsidR="00F12F7E">
              <w:rPr>
                <w:rFonts w:ascii="Times New Roman" w:hAnsi="Times New Roman"/>
                <w:sz w:val="24"/>
              </w:rPr>
              <w:t> </w:t>
            </w:r>
            <w:r w:rsidRPr="00F12F7E">
              <w:rPr>
                <w:rFonts w:ascii="Times New Roman" w:hAnsi="Times New Roman"/>
                <w:sz w:val="24"/>
              </w:rPr>
              <w:t>smernica 2013/36/EÚ</w:t>
            </w:r>
            <w:r w:rsidRPr="00F12F7E">
              <w:rPr>
                <w:rStyle w:val="InstructionsTabelleberschrift"/>
                <w:rFonts w:ascii="Times New Roman" w:hAnsi="Times New Roman"/>
                <w:sz w:val="24"/>
              </w:rPr>
              <w:t>, ale vzťahujú sa naň ustanovenia, ktoré sú prinajmenšom rovnocenné</w:t>
            </w:r>
            <w:r w:rsidR="00F12F7E">
              <w:rPr>
                <w:rStyle w:val="InstructionsTabelleberschrift"/>
                <w:rFonts w:ascii="Times New Roman" w:hAnsi="Times New Roman"/>
                <w:sz w:val="24"/>
              </w:rPr>
              <w:t xml:space="preserve"> s </w:t>
            </w:r>
            <w:r w:rsidRPr="00F12F7E">
              <w:rPr>
                <w:rStyle w:val="InstructionsTabelleberschrift"/>
                <w:rFonts w:ascii="Times New Roman" w:hAnsi="Times New Roman"/>
                <w:sz w:val="24"/>
              </w:rPr>
              <w:t>ustanoveniami dohody Bazilej, príslušná kategória sa určí podľa zásady najväčšieho úsilia.</w:t>
            </w:r>
          </w:p>
        </w:tc>
      </w:tr>
      <w:tr w:rsidR="00173F08" w:rsidRPr="00F12F7E" w14:paraId="177D0BA5" w14:textId="77777777" w:rsidTr="00822842">
        <w:tc>
          <w:tcPr>
            <w:tcW w:w="1188" w:type="dxa"/>
          </w:tcPr>
          <w:p w14:paraId="0C21191B"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0040</w:t>
            </w:r>
          </w:p>
        </w:tc>
        <w:tc>
          <w:tcPr>
            <w:tcW w:w="8640" w:type="dxa"/>
          </w:tcPr>
          <w:p w14:paraId="6CCCE12B" w14:textId="77777777" w:rsidR="00173F08" w:rsidRPr="00F12F7E" w:rsidRDefault="00173F08" w:rsidP="00822842">
            <w:pPr>
              <w:rPr>
                <w:rFonts w:ascii="Times New Roman" w:hAnsi="Times New Roman"/>
                <w:b/>
                <w:sz w:val="24"/>
                <w:u w:val="single"/>
              </w:rPr>
            </w:pPr>
            <w:r w:rsidRPr="00F12F7E">
              <w:rPr>
                <w:rFonts w:ascii="Times New Roman" w:hAnsi="Times New Roman"/>
                <w:b/>
                <w:sz w:val="24"/>
                <w:u w:val="single"/>
              </w:rPr>
              <w:t xml:space="preserve">ROZSAH ÚDAJOV: </w:t>
            </w:r>
            <w:r w:rsidRPr="00F12F7E">
              <w:rPr>
                <w:rFonts w:ascii="Times New Roman" w:hAnsi="Times New Roman"/>
                <w:b/>
                <w:caps/>
                <w:sz w:val="24"/>
                <w:u w:val="single"/>
              </w:rPr>
              <w:t>samostatne plne konsolidované (SF) ALEBO samostatne čiastočne konsolidované (SP)</w:t>
            </w:r>
          </w:p>
          <w:p w14:paraId="292308AF" w14:textId="6EA28DA1" w:rsidR="00F12F7E" w:rsidRPr="00E24E2D" w:rsidRDefault="00173F08" w:rsidP="00822842">
            <w:pPr>
              <w:rPr>
                <w:rFonts w:ascii="Times New Roman" w:hAnsi="Times New Roman"/>
                <w:spacing w:val="-4"/>
                <w:sz w:val="24"/>
              </w:rPr>
            </w:pPr>
            <w:r w:rsidRPr="00E24E2D">
              <w:rPr>
                <w:rStyle w:val="InstructionsTabelleText"/>
                <w:rFonts w:ascii="Times New Roman" w:hAnsi="Times New Roman"/>
                <w:spacing w:val="-4"/>
                <w:sz w:val="24"/>
              </w:rPr>
              <w:t>„SF“</w:t>
            </w:r>
            <w:r w:rsidRPr="00E24E2D">
              <w:rPr>
                <w:rFonts w:ascii="Times New Roman" w:hAnsi="Times New Roman"/>
                <w:spacing w:val="-4"/>
                <w:sz w:val="24"/>
              </w:rPr>
              <w:t xml:space="preserve"> sa uvádza</w:t>
            </w:r>
            <w:r w:rsidR="00F12F7E" w:rsidRPr="00E24E2D">
              <w:rPr>
                <w:rFonts w:ascii="Times New Roman" w:hAnsi="Times New Roman"/>
                <w:spacing w:val="-4"/>
                <w:sz w:val="24"/>
              </w:rPr>
              <w:t xml:space="preserve"> v </w:t>
            </w:r>
            <w:r w:rsidRPr="00E24E2D">
              <w:rPr>
                <w:rFonts w:ascii="Times New Roman" w:hAnsi="Times New Roman"/>
                <w:spacing w:val="-4"/>
                <w:sz w:val="24"/>
              </w:rPr>
              <w:t>prípade samostatných dcérskych spoločností, ktoré sú plne konsolidované</w:t>
            </w:r>
            <w:r w:rsidR="00F12F7E" w:rsidRPr="00E24E2D">
              <w:rPr>
                <w:rFonts w:ascii="Times New Roman" w:hAnsi="Times New Roman"/>
                <w:spacing w:val="-4"/>
                <w:sz w:val="24"/>
              </w:rPr>
              <w:t>.</w:t>
            </w:r>
          </w:p>
          <w:p w14:paraId="62274488" w14:textId="0D7F68A7" w:rsidR="00173F08" w:rsidRPr="00E24E2D" w:rsidRDefault="00173F08" w:rsidP="00822842">
            <w:pPr>
              <w:rPr>
                <w:rStyle w:val="InstructionsTabelleText"/>
                <w:rFonts w:ascii="Times New Roman" w:hAnsi="Times New Roman"/>
                <w:smallCaps/>
                <w:spacing w:val="-4"/>
                <w:sz w:val="24"/>
              </w:rPr>
            </w:pPr>
            <w:r w:rsidRPr="00E24E2D">
              <w:rPr>
                <w:rStyle w:val="InstructionsTabelleText"/>
                <w:rFonts w:ascii="Times New Roman" w:hAnsi="Times New Roman"/>
                <w:spacing w:val="-4"/>
                <w:sz w:val="24"/>
              </w:rPr>
              <w:t>„SP“</w:t>
            </w:r>
            <w:r w:rsidRPr="00E24E2D">
              <w:rPr>
                <w:rFonts w:ascii="Times New Roman" w:hAnsi="Times New Roman"/>
                <w:spacing w:val="-4"/>
                <w:sz w:val="24"/>
              </w:rPr>
              <w:t xml:space="preserve"> sa uvádza</w:t>
            </w:r>
            <w:r w:rsidR="00F12F7E" w:rsidRPr="00E24E2D">
              <w:rPr>
                <w:rFonts w:ascii="Times New Roman" w:hAnsi="Times New Roman"/>
                <w:spacing w:val="-4"/>
                <w:sz w:val="24"/>
              </w:rPr>
              <w:t xml:space="preserve"> v </w:t>
            </w:r>
            <w:r w:rsidRPr="00E24E2D">
              <w:rPr>
                <w:rFonts w:ascii="Times New Roman" w:hAnsi="Times New Roman"/>
                <w:spacing w:val="-4"/>
                <w:sz w:val="24"/>
              </w:rPr>
              <w:t>prípade samostatných dcérskych spoločností, ktoré sú čiastočne konsolidované.</w:t>
            </w:r>
            <w:r w:rsidRPr="00E24E2D">
              <w:rPr>
                <w:rStyle w:val="InstructionsTabelleText"/>
                <w:rFonts w:ascii="Times New Roman" w:hAnsi="Times New Roman"/>
                <w:i/>
                <w:spacing w:val="-4"/>
                <w:sz w:val="24"/>
              </w:rPr>
              <w:t xml:space="preserve"> </w:t>
            </w:r>
          </w:p>
        </w:tc>
      </w:tr>
      <w:tr w:rsidR="00173F08" w:rsidRPr="00F12F7E" w14:paraId="5114D2FB" w14:textId="77777777" w:rsidTr="00822842">
        <w:tc>
          <w:tcPr>
            <w:tcW w:w="1188" w:type="dxa"/>
          </w:tcPr>
          <w:p w14:paraId="3334848C"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lastRenderedPageBreak/>
              <w:t>0050</w:t>
            </w:r>
          </w:p>
        </w:tc>
        <w:tc>
          <w:tcPr>
            <w:tcW w:w="8640" w:type="dxa"/>
          </w:tcPr>
          <w:p w14:paraId="19DB1160" w14:textId="77777777" w:rsidR="00F12F7E" w:rsidRDefault="00173F08" w:rsidP="00822842">
            <w:pPr>
              <w:rPr>
                <w:rFonts w:ascii="Times New Roman" w:hAnsi="Times New Roman"/>
                <w:b/>
                <w:sz w:val="24"/>
                <w:u w:val="single"/>
              </w:rPr>
            </w:pPr>
            <w:r w:rsidRPr="00F12F7E">
              <w:rPr>
                <w:rFonts w:ascii="Times New Roman" w:hAnsi="Times New Roman"/>
                <w:b/>
                <w:sz w:val="24"/>
                <w:u w:val="single"/>
              </w:rPr>
              <w:t>KÓD KRAJINY</w:t>
            </w:r>
          </w:p>
          <w:p w14:paraId="6D6EDCAD" w14:textId="5B710509"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 xml:space="preserve">Inštitúcie uvedú dvojpísmenový kód krajiny podľa ISO 3166-1. </w:t>
            </w:r>
          </w:p>
        </w:tc>
      </w:tr>
      <w:tr w:rsidR="00173F08" w:rsidRPr="00F12F7E" w14:paraId="78D1D7A5" w14:textId="77777777" w:rsidTr="00822842">
        <w:tc>
          <w:tcPr>
            <w:tcW w:w="1188" w:type="dxa"/>
          </w:tcPr>
          <w:p w14:paraId="26EECF69"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0060</w:t>
            </w:r>
          </w:p>
        </w:tc>
        <w:tc>
          <w:tcPr>
            <w:tcW w:w="8640" w:type="dxa"/>
          </w:tcPr>
          <w:p w14:paraId="3297BC06"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MIERA PODIELU (%)</w:t>
            </w:r>
          </w:p>
          <w:p w14:paraId="0214F399" w14:textId="418B4F6E"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Tento percentuálny podiel označuje skutočný podiel kapitálu, ktorý materská spoločnosť drží</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dcérskych spoločnostiach.</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prípade úplnej konsolidácie priamej dcérskej spoločnosti je skutočný podiel napr. 70</w:t>
            </w:r>
            <w:r w:rsidR="00F12F7E">
              <w:rPr>
                <w:rStyle w:val="InstructionsTabelleText"/>
                <w:rFonts w:ascii="Times New Roman" w:hAnsi="Times New Roman"/>
                <w:sz w:val="24"/>
              </w:rPr>
              <w:t> %</w:t>
            </w:r>
            <w:r w:rsidRPr="00F12F7E">
              <w:rPr>
                <w:rStyle w:val="InstructionsTabelleText"/>
                <w:rFonts w:ascii="Times New Roman" w:hAnsi="Times New Roman"/>
                <w:sz w:val="24"/>
              </w:rPr>
              <w:t>.</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článkom 4 ods. 1 bodom 16</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 xml:space="preserve"> je podiel dcérskej spoločnosti, ktorý sa má vykázať, výsledkom vynásobenia podielov dotknutých dcérskych spoločností.</w:t>
            </w:r>
          </w:p>
        </w:tc>
      </w:tr>
      <w:tr w:rsidR="00173F08" w:rsidRPr="00F12F7E" w14:paraId="55A34781" w14:textId="77777777" w:rsidTr="00822842">
        <w:tc>
          <w:tcPr>
            <w:tcW w:w="1188" w:type="dxa"/>
          </w:tcPr>
          <w:p w14:paraId="254AD573"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0065</w:t>
            </w:r>
          </w:p>
        </w:tc>
        <w:tc>
          <w:tcPr>
            <w:tcW w:w="8640" w:type="dxa"/>
          </w:tcPr>
          <w:p w14:paraId="42EB5499" w14:textId="77777777" w:rsidR="00173F08" w:rsidRPr="00F12F7E" w:rsidRDefault="00173F08" w:rsidP="00822842">
            <w:pPr>
              <w:rPr>
                <w:rFonts w:ascii="Times New Roman" w:hAnsi="Times New Roman"/>
                <w:b/>
                <w:sz w:val="24"/>
                <w:u w:val="single"/>
              </w:rPr>
            </w:pPr>
            <w:r w:rsidRPr="00F12F7E">
              <w:rPr>
                <w:rFonts w:ascii="Times New Roman" w:hAnsi="Times New Roman"/>
                <w:b/>
                <w:sz w:val="24"/>
                <w:u w:val="single"/>
              </w:rPr>
              <w:t>ZAPOČÍTAVACIA SKUPINA</w:t>
            </w:r>
          </w:p>
          <w:p w14:paraId="591957C8" w14:textId="735E2D3F"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„Započítavacia skupina“ je každá</w:t>
            </w:r>
            <w:r w:rsidR="00F12F7E">
              <w:rPr>
                <w:rStyle w:val="InstructionsTabelleText"/>
                <w:rFonts w:ascii="Times New Roman" w:hAnsi="Times New Roman"/>
                <w:sz w:val="24"/>
              </w:rPr>
              <w:t xml:space="preserve"> z </w:t>
            </w:r>
            <w:r w:rsidRPr="00F12F7E">
              <w:rPr>
                <w:rStyle w:val="InstructionsTabelleText"/>
                <w:rFonts w:ascii="Times New Roman" w:hAnsi="Times New Roman"/>
                <w:sz w:val="24"/>
              </w:rPr>
              <w:t>týchto alternatív:</w:t>
            </w:r>
          </w:p>
          <w:p w14:paraId="3C498A91" w14:textId="5B23F2FC" w:rsidR="00173F08" w:rsidRPr="00F12F7E" w:rsidRDefault="00173F08" w:rsidP="00173F08">
            <w:pPr>
              <w:pStyle w:val="ListParagraph"/>
              <w:numPr>
                <w:ilvl w:val="0"/>
                <w:numId w:val="3"/>
              </w:numPr>
              <w:rPr>
                <w:rStyle w:val="InstructionsTabelleText"/>
                <w:rFonts w:ascii="Times New Roman" w:hAnsi="Times New Roman"/>
                <w:sz w:val="24"/>
              </w:rPr>
            </w:pPr>
            <w:r w:rsidRPr="00F12F7E">
              <w:rPr>
                <w:rStyle w:val="InstructionsTabelleText"/>
                <w:rFonts w:ascii="Times New Roman" w:hAnsi="Times New Roman"/>
                <w:sz w:val="24"/>
              </w:rPr>
              <w:t>skupina subjektov, ktorým príslušný orgán udelil povolenie používať pozície</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jednej inštitúcii alebo podniku uvedenej skupiny na započítanie pozícií</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inej inštitúcii alebo podniku uvedenej skupiny</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článkom 325b nariadenia (EÚ) č. 575/2013;</w:t>
            </w:r>
          </w:p>
          <w:p w14:paraId="6C55C0A1" w14:textId="72B5B07F" w:rsidR="00173F08" w:rsidRPr="00F12F7E" w:rsidRDefault="00173F08" w:rsidP="00173F08">
            <w:pPr>
              <w:pStyle w:val="ListParagraph"/>
              <w:numPr>
                <w:ilvl w:val="0"/>
                <w:numId w:val="3"/>
              </w:numPr>
              <w:rPr>
                <w:rStyle w:val="InstructionsTabelleText"/>
                <w:rFonts w:ascii="Times New Roman" w:hAnsi="Times New Roman"/>
                <w:b/>
                <w:bCs/>
                <w:sz w:val="24"/>
                <w:u w:val="single"/>
              </w:rPr>
            </w:pPr>
            <w:r w:rsidRPr="00F12F7E">
              <w:rPr>
                <w:rStyle w:val="InstructionsTabelleText"/>
                <w:rFonts w:ascii="Times New Roman" w:hAnsi="Times New Roman"/>
                <w:sz w:val="24"/>
              </w:rPr>
              <w:t>každý jednotlivý subjekt, ktorého pozície sa nemôžu započítať voči pozíciám iného subjektu tej istej skupiny, ktorá podlieha konsolidovanému dohľadu</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 so smernicou 2013/36/EÚ, pretože príslušný orgán neudelil povolenie</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článkom 325b uvedeného nariadenia.</w:t>
            </w:r>
          </w:p>
          <w:p w14:paraId="30CBC62B"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Inštitúcie uvádzajú započítavaciu skupinu, do ktorej patrí každý subjekt uvedený vo vzore, ak spĺňajú tieto dve podmienky:</w:t>
            </w:r>
          </w:p>
          <w:p w14:paraId="147E25D5" w14:textId="6320AE31"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a) vypočítavajú požiadavky na vlastné zdroje pre svoje činnosti podliehajúce trhovému riziku</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treťou časťou hlavou IV kapitolou 1a alebo 1b, alebo oboma kapitolami, nariadenia (EÚ) č. 575/2013, alebo podliehajú povinnosti vykazovať informácie</w:t>
            </w:r>
            <w:r w:rsidR="00F12F7E">
              <w:rPr>
                <w:rStyle w:val="InstructionsTabelleText"/>
                <w:rFonts w:ascii="Times New Roman" w:hAnsi="Times New Roman"/>
                <w:sz w:val="24"/>
              </w:rPr>
              <w:t xml:space="preserve"> o </w:t>
            </w:r>
            <w:r w:rsidRPr="00F12F7E">
              <w:rPr>
                <w:rStyle w:val="InstructionsTabelleText"/>
                <w:rFonts w:ascii="Times New Roman" w:hAnsi="Times New Roman"/>
                <w:sz w:val="24"/>
              </w:rPr>
              <w:t>uvedených požiadavkách na vlastné zdroje</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článkom 430 ods. 2a alebo 2b uvedeného nariadenia;</w:t>
            </w:r>
          </w:p>
          <w:p w14:paraId="467E176C" w14:textId="3BD68299"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b) skupina, ktorá podlieha konsolidovanému dohľadu</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 so smernicou 2013/36/EÚ, má aspoň dve započítavacie skupiny.</w:t>
            </w:r>
          </w:p>
          <w:p w14:paraId="6E55692B" w14:textId="5090580B"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Údaje vykazované</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tomto stĺpci sú „Započítavacia skupina 1“, „Započítavacia skupina 2“ atď. Zaraďovanie medzi právnymi subjektmi</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započítavacími skupinami musí byť konzistentné</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priebehu času, konzistentné pri vykazovaní informácií tej istej skupiny, ktorá podlieha konsolidovanému dohľadu,</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konzistentné</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 xml:space="preserve">identifikáciou započítavacích skupín vo vzoroch, ktoré sú zahrnuté do </w:t>
            </w:r>
            <w:r w:rsidRPr="00F12F7E">
              <w:rPr>
                <w:rStyle w:val="InstructionsTabelleText"/>
                <w:rFonts w:ascii="Times New Roman" w:hAnsi="Times New Roman"/>
                <w:sz w:val="24"/>
                <w:highlight w:val="yellow"/>
              </w:rPr>
              <w:t>[prílohy I</w:t>
            </w:r>
            <w:r w:rsidR="00F12F7E">
              <w:rPr>
                <w:rStyle w:val="InstructionsTabelleText"/>
                <w:rFonts w:ascii="Times New Roman" w:hAnsi="Times New Roman"/>
                <w:sz w:val="24"/>
                <w:highlight w:val="yellow"/>
              </w:rPr>
              <w:t xml:space="preserve"> k </w:t>
            </w:r>
            <w:r w:rsidRPr="00F12F7E">
              <w:rPr>
                <w:rStyle w:val="InstructionsTabelleText"/>
                <w:rFonts w:ascii="Times New Roman" w:hAnsi="Times New Roman"/>
                <w:sz w:val="24"/>
                <w:highlight w:val="yellow"/>
              </w:rPr>
              <w:t>nariadeniu (EÚ) 2021/453]</w:t>
            </w:r>
            <w:r w:rsidRPr="00F12F7E">
              <w:rPr>
                <w:rStyle w:val="InstructionsTabelleText"/>
                <w:rFonts w:ascii="Times New Roman" w:hAnsi="Times New Roman"/>
                <w:sz w:val="24"/>
              </w:rPr>
              <w:t>.</w:t>
            </w:r>
          </w:p>
          <w:p w14:paraId="5DB075C7" w14:textId="3EECE787"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Ak inštitúcia spĺňa podmienku a) vymedzenú vyššie, ale skupina, ktorá podlieha konsolidovanému dohľadu</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 so smernicou 2013/36/EÚ, má iba jednu započítavaciu skupinu, inštitúcie uvádzajú „Jedna započítavacia skupina“</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riadku zodpovedajúcom materskej spoločnosti vykazovanej</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tomto vzore.</w:t>
            </w:r>
          </w:p>
        </w:tc>
      </w:tr>
      <w:tr w:rsidR="00173F08" w:rsidRPr="00F12F7E" w14:paraId="79BDBC0E" w14:textId="77777777" w:rsidTr="00822842">
        <w:tc>
          <w:tcPr>
            <w:tcW w:w="1188" w:type="dxa"/>
          </w:tcPr>
          <w:p w14:paraId="73FB157F"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0070 –⁠ 0240</w:t>
            </w:r>
          </w:p>
        </w:tc>
        <w:tc>
          <w:tcPr>
            <w:tcW w:w="8640" w:type="dxa"/>
          </w:tcPr>
          <w:p w14:paraId="0274B016" w14:textId="6794FCE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INFORMÁCIE</w:t>
            </w:r>
            <w:r w:rsidR="00F12F7E">
              <w:rPr>
                <w:rStyle w:val="InstructionsTabelleberschrift"/>
                <w:rFonts w:ascii="Times New Roman" w:hAnsi="Times New Roman"/>
                <w:sz w:val="24"/>
              </w:rPr>
              <w:t xml:space="preserve"> O </w:t>
            </w:r>
            <w:r w:rsidRPr="00F12F7E">
              <w:rPr>
                <w:rStyle w:val="InstructionsTabelleberschrift"/>
                <w:rFonts w:ascii="Times New Roman" w:hAnsi="Times New Roman"/>
                <w:sz w:val="24"/>
              </w:rPr>
              <w:t>SUBJEKTOCH, NA KTORÉ SA VZŤAHUJE POŽIADAVKA NA VLASTNÉ ZDROJE</w:t>
            </w:r>
          </w:p>
          <w:p w14:paraId="61DE18FA" w14:textId="13E823BB" w:rsid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V oddiele podrobných informácií (t. j. stĺpce 0070 až 0240) sa zhromažďujú informácie len</w:t>
            </w:r>
            <w:r w:rsidR="00F12F7E">
              <w:rPr>
                <w:rStyle w:val="InstructionsTabelleText"/>
                <w:rFonts w:ascii="Times New Roman" w:hAnsi="Times New Roman"/>
                <w:sz w:val="24"/>
              </w:rPr>
              <w:t xml:space="preserve"> o </w:t>
            </w:r>
            <w:r w:rsidRPr="00F12F7E">
              <w:rPr>
                <w:rStyle w:val="InstructionsTabelleText"/>
                <w:rFonts w:ascii="Times New Roman" w:hAnsi="Times New Roman"/>
                <w:sz w:val="24"/>
              </w:rPr>
              <w:t>subjektoch</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podskupinách, na ktoré sa</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rámci rozsahu konsolidácie [</w:t>
            </w:r>
            <w:r w:rsidRPr="00F12F7E">
              <w:rPr>
                <w:rFonts w:ascii="Times New Roman" w:hAnsi="Times New Roman"/>
                <w:sz w:val="24"/>
              </w:rPr>
              <w:t>prvá časť hlava II kapitola 2 nariadenia (EÚ) č. 575/2013</w:t>
            </w:r>
            <w:r w:rsidRPr="00F12F7E">
              <w:rPr>
                <w:rStyle w:val="InstructionsTabelleText"/>
                <w:rFonts w:ascii="Times New Roman" w:hAnsi="Times New Roman"/>
                <w:sz w:val="24"/>
              </w:rPr>
              <w:t>]</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 xml:space="preserve">skutočnosti vzťahujú požiadavky na </w:t>
            </w:r>
            <w:r w:rsidRPr="00F12F7E">
              <w:rPr>
                <w:rStyle w:val="InstructionsTabelleText"/>
                <w:rFonts w:ascii="Times New Roman" w:hAnsi="Times New Roman"/>
                <w:sz w:val="24"/>
              </w:rPr>
              <w:lastRenderedPageBreak/>
              <w:t>platobnú schopnosť podľa</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 xml:space="preserve"> alebo ustanovenia, ktoré sú prinajmenšom rovnocenné</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ustanoveniami dohody Bazilej (t. j.</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stĺpci 0030 je uvedená hodnota „áno“)</w:t>
            </w:r>
            <w:r w:rsidR="00F12F7E">
              <w:rPr>
                <w:rStyle w:val="InstructionsTabelleText"/>
                <w:rFonts w:ascii="Times New Roman" w:hAnsi="Times New Roman"/>
                <w:sz w:val="24"/>
              </w:rPr>
              <w:t>.</w:t>
            </w:r>
          </w:p>
          <w:p w14:paraId="2F48A052" w14:textId="344C04A9" w:rsidR="00F12F7E" w:rsidRDefault="00173F08" w:rsidP="00822842">
            <w:pPr>
              <w:rPr>
                <w:rFonts w:ascii="Times New Roman" w:hAnsi="Times New Roman"/>
                <w:sz w:val="24"/>
              </w:rPr>
            </w:pPr>
            <w:r w:rsidRPr="00F12F7E">
              <w:rPr>
                <w:rFonts w:ascii="Times New Roman" w:hAnsi="Times New Roman"/>
                <w:sz w:val="24"/>
              </w:rPr>
              <w:t>Uvádzajú sa informácie</w:t>
            </w:r>
            <w:r w:rsidR="00F12F7E">
              <w:rPr>
                <w:rFonts w:ascii="Times New Roman" w:hAnsi="Times New Roman"/>
                <w:sz w:val="24"/>
              </w:rPr>
              <w:t xml:space="preserve"> o </w:t>
            </w:r>
            <w:r w:rsidRPr="00F12F7E">
              <w:rPr>
                <w:rFonts w:ascii="Times New Roman" w:hAnsi="Times New Roman"/>
                <w:sz w:val="24"/>
              </w:rPr>
              <w:t>všetkých samostatných inštitúciách konsolidovanej skupiny, na ktoré sa vzťahujú požiadavky na vlastné zdroje, bez ohľadu na to, kde majú sídlo</w:t>
            </w:r>
            <w:r w:rsidR="00F12F7E">
              <w:rPr>
                <w:rFonts w:ascii="Times New Roman" w:hAnsi="Times New Roman"/>
                <w:sz w:val="24"/>
              </w:rPr>
              <w:t>.</w:t>
            </w:r>
          </w:p>
          <w:p w14:paraId="44903571" w14:textId="24FC77DF" w:rsidR="00173F08" w:rsidRPr="00E24E2D" w:rsidRDefault="00173F08" w:rsidP="00822842">
            <w:pPr>
              <w:rPr>
                <w:rFonts w:ascii="Times New Roman" w:hAnsi="Times New Roman"/>
                <w:spacing w:val="-4"/>
                <w:sz w:val="24"/>
              </w:rPr>
            </w:pPr>
            <w:r w:rsidRPr="00E24E2D">
              <w:rPr>
                <w:rFonts w:ascii="Times New Roman" w:hAnsi="Times New Roman"/>
                <w:spacing w:val="-4"/>
                <w:sz w:val="24"/>
              </w:rPr>
              <w:t>Informácie vykazované</w:t>
            </w:r>
            <w:r w:rsidR="00F12F7E" w:rsidRPr="00E24E2D">
              <w:rPr>
                <w:rFonts w:ascii="Times New Roman" w:hAnsi="Times New Roman"/>
                <w:spacing w:val="-4"/>
                <w:sz w:val="24"/>
              </w:rPr>
              <w:t xml:space="preserve"> v </w:t>
            </w:r>
            <w:r w:rsidRPr="00E24E2D">
              <w:rPr>
                <w:rFonts w:ascii="Times New Roman" w:hAnsi="Times New Roman"/>
                <w:spacing w:val="-4"/>
                <w:sz w:val="24"/>
              </w:rPr>
              <w:t>tejto časti sa riadia miestnymi pravidlami</w:t>
            </w:r>
            <w:r w:rsidR="00F12F7E" w:rsidRPr="00E24E2D">
              <w:rPr>
                <w:rFonts w:ascii="Times New Roman" w:hAnsi="Times New Roman"/>
                <w:spacing w:val="-4"/>
                <w:sz w:val="24"/>
              </w:rPr>
              <w:t xml:space="preserve"> o </w:t>
            </w:r>
            <w:r w:rsidRPr="00E24E2D">
              <w:rPr>
                <w:rFonts w:ascii="Times New Roman" w:hAnsi="Times New Roman"/>
                <w:spacing w:val="-4"/>
                <w:sz w:val="24"/>
              </w:rPr>
              <w:t>platobnej schopnosti danej jurisdikcie,</w:t>
            </w:r>
            <w:r w:rsidR="00F12F7E" w:rsidRPr="00E24E2D">
              <w:rPr>
                <w:rFonts w:ascii="Times New Roman" w:hAnsi="Times New Roman"/>
                <w:spacing w:val="-4"/>
                <w:sz w:val="24"/>
              </w:rPr>
              <w:t xml:space="preserve"> v </w:t>
            </w:r>
            <w:r w:rsidRPr="00E24E2D">
              <w:rPr>
                <w:rFonts w:ascii="Times New Roman" w:hAnsi="Times New Roman"/>
                <w:spacing w:val="-4"/>
                <w:sz w:val="24"/>
              </w:rPr>
              <w:t>ktorej inštitúcia pôsobí (preto sa</w:t>
            </w:r>
            <w:r w:rsidR="00F12F7E" w:rsidRPr="00E24E2D">
              <w:rPr>
                <w:rFonts w:ascii="Times New Roman" w:hAnsi="Times New Roman"/>
                <w:spacing w:val="-4"/>
                <w:sz w:val="24"/>
              </w:rPr>
              <w:t xml:space="preserve"> v </w:t>
            </w:r>
            <w:r w:rsidRPr="00E24E2D">
              <w:rPr>
                <w:rFonts w:ascii="Times New Roman" w:hAnsi="Times New Roman"/>
                <w:spacing w:val="-4"/>
                <w:sz w:val="24"/>
              </w:rPr>
              <w:t>tomto vzore nemusí robiť dvojitý výpočet na individuálnom základe podľa pravidiel materskej inštitúcie). Keď sa miestne pravidlá</w:t>
            </w:r>
            <w:r w:rsidR="00F12F7E" w:rsidRPr="00E24E2D">
              <w:rPr>
                <w:rFonts w:ascii="Times New Roman" w:hAnsi="Times New Roman"/>
                <w:spacing w:val="-4"/>
                <w:sz w:val="24"/>
              </w:rPr>
              <w:t xml:space="preserve"> o </w:t>
            </w:r>
            <w:r w:rsidRPr="00E24E2D">
              <w:rPr>
                <w:rFonts w:ascii="Times New Roman" w:hAnsi="Times New Roman"/>
                <w:spacing w:val="-4"/>
                <w:sz w:val="24"/>
              </w:rPr>
              <w:t>platobnej schopnosti líšia od nariadenia (EÚ) č. 575/2013</w:t>
            </w:r>
            <w:r w:rsidR="00F12F7E" w:rsidRPr="00E24E2D">
              <w:rPr>
                <w:rFonts w:ascii="Times New Roman" w:hAnsi="Times New Roman"/>
                <w:spacing w:val="-4"/>
                <w:sz w:val="24"/>
              </w:rPr>
              <w:t xml:space="preserve"> a </w:t>
            </w:r>
            <w:r w:rsidRPr="00E24E2D">
              <w:rPr>
                <w:rFonts w:ascii="Times New Roman" w:hAnsi="Times New Roman"/>
                <w:spacing w:val="-4"/>
                <w:sz w:val="24"/>
              </w:rPr>
              <w:t>neposkytne sa porovnateľný prehľad, informácie sa doplnia, ak sú údaje dostupné</w:t>
            </w:r>
            <w:r w:rsidR="00F12F7E" w:rsidRPr="00E24E2D">
              <w:rPr>
                <w:rFonts w:ascii="Times New Roman" w:hAnsi="Times New Roman"/>
                <w:spacing w:val="-4"/>
                <w:sz w:val="24"/>
              </w:rPr>
              <w:t xml:space="preserve"> v </w:t>
            </w:r>
            <w:r w:rsidRPr="00E24E2D">
              <w:rPr>
                <w:rFonts w:ascii="Times New Roman" w:hAnsi="Times New Roman"/>
                <w:spacing w:val="-4"/>
                <w:sz w:val="24"/>
              </w:rPr>
              <w:t>príslušnej podrobnej štruktúre. Táto časť je preto faktický vzor,</w:t>
            </w:r>
            <w:r w:rsidR="00F12F7E" w:rsidRPr="00E24E2D">
              <w:rPr>
                <w:rFonts w:ascii="Times New Roman" w:hAnsi="Times New Roman"/>
                <w:spacing w:val="-4"/>
                <w:sz w:val="24"/>
              </w:rPr>
              <w:t xml:space="preserve"> v </w:t>
            </w:r>
            <w:r w:rsidRPr="00E24E2D">
              <w:rPr>
                <w:rFonts w:ascii="Times New Roman" w:hAnsi="Times New Roman"/>
                <w:spacing w:val="-4"/>
                <w:sz w:val="24"/>
              </w:rPr>
              <w:t>ktorom sú zhrnuté výpočty, ktoré jednotlivé inštitúcie skupiny musia vykonať, pričom treba zohľadniť, že na niektoré</w:t>
            </w:r>
            <w:r w:rsidR="00F12F7E" w:rsidRPr="00E24E2D">
              <w:rPr>
                <w:rFonts w:ascii="Times New Roman" w:hAnsi="Times New Roman"/>
                <w:spacing w:val="-4"/>
                <w:sz w:val="24"/>
              </w:rPr>
              <w:t xml:space="preserve"> z </w:t>
            </w:r>
            <w:r w:rsidRPr="00E24E2D">
              <w:rPr>
                <w:rFonts w:ascii="Times New Roman" w:hAnsi="Times New Roman"/>
                <w:spacing w:val="-4"/>
                <w:sz w:val="24"/>
              </w:rPr>
              <w:t>týchto inštitúcií sa môžu vzťahovať rozdielne pravidlá platobnej schopnosti.</w:t>
            </w:r>
          </w:p>
          <w:p w14:paraId="6B5F0F6F" w14:textId="77777777" w:rsidR="00173F08" w:rsidRPr="00F12F7E" w:rsidRDefault="00173F08" w:rsidP="00822842">
            <w:pPr>
              <w:rPr>
                <w:rStyle w:val="InstructionsTabelleText"/>
                <w:rFonts w:ascii="Times New Roman" w:hAnsi="Times New Roman"/>
                <w:b/>
                <w:sz w:val="24"/>
                <w:u w:val="single"/>
              </w:rPr>
            </w:pPr>
            <w:r w:rsidRPr="00F12F7E">
              <w:rPr>
                <w:rStyle w:val="InstructionsTabelleText"/>
                <w:rFonts w:ascii="Times New Roman" w:hAnsi="Times New Roman"/>
                <w:b/>
                <w:sz w:val="24"/>
                <w:u w:val="single"/>
              </w:rPr>
              <w:t>Vykazovanie fixných režijných nákladov investičných spoločností:</w:t>
            </w:r>
          </w:p>
          <w:p w14:paraId="38DFF7EE" w14:textId="0AADDEFB" w:rsidR="00173F08" w:rsidRPr="00F12F7E" w:rsidRDefault="00173F08" w:rsidP="00822842">
            <w:pPr>
              <w:autoSpaceDE w:val="0"/>
              <w:autoSpaceDN w:val="0"/>
              <w:adjustRightInd w:val="0"/>
              <w:spacing w:after="0"/>
              <w:rPr>
                <w:rStyle w:val="InstructionsTabelleText"/>
                <w:rFonts w:ascii="Times New Roman" w:hAnsi="Times New Roman"/>
                <w:sz w:val="24"/>
              </w:rPr>
            </w:pPr>
            <w:r w:rsidRPr="00F12F7E">
              <w:rPr>
                <w:rStyle w:val="InstructionsTabelleText"/>
                <w:rFonts w:ascii="Times New Roman" w:hAnsi="Times New Roman"/>
                <w:sz w:val="24"/>
              </w:rPr>
              <w:t>Investičné spoločnosti začlenia požiadavky na vlastné zdroje súvisiace</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fixnými režijnými nákladmi do svojho výpočtu podielu kapitálu podľa článkov 95, 96, 97</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98</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w:t>
            </w:r>
          </w:p>
          <w:p w14:paraId="033740CD" w14:textId="28B93012" w:rsidR="00173F08" w:rsidRPr="00F12F7E" w:rsidRDefault="00173F08" w:rsidP="00822842">
            <w:pPr>
              <w:autoSpaceDE w:val="0"/>
              <w:autoSpaceDN w:val="0"/>
              <w:adjustRightInd w:val="0"/>
              <w:spacing w:after="0"/>
              <w:rPr>
                <w:rStyle w:val="InstructionsTabelleText"/>
                <w:rFonts w:ascii="Times New Roman" w:hAnsi="Times New Roman"/>
                <w:sz w:val="24"/>
              </w:rPr>
            </w:pPr>
            <w:r w:rsidRPr="00F12F7E">
              <w:rPr>
                <w:rStyle w:val="InstructionsTabelleText"/>
                <w:rFonts w:ascii="Times New Roman" w:hAnsi="Times New Roman"/>
                <w:sz w:val="24"/>
              </w:rPr>
              <w:t>Časť celkovej hodnoty rizikovej expozície súvisiaca</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fixnými režijnými nákladmi sa vykazuje</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 xml:space="preserve">stĺpci 0100 tohto vzoru. </w:t>
            </w:r>
          </w:p>
        </w:tc>
      </w:tr>
      <w:tr w:rsidR="00173F08" w:rsidRPr="00F12F7E" w14:paraId="63C531B9" w14:textId="77777777" w:rsidTr="00822842">
        <w:tc>
          <w:tcPr>
            <w:tcW w:w="1188" w:type="dxa"/>
          </w:tcPr>
          <w:p w14:paraId="7EE45F25"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lastRenderedPageBreak/>
              <w:t>0070</w:t>
            </w:r>
          </w:p>
        </w:tc>
        <w:tc>
          <w:tcPr>
            <w:tcW w:w="8640" w:type="dxa"/>
          </w:tcPr>
          <w:p w14:paraId="3066A982" w14:textId="77777777" w:rsid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CELKOVÁ HODNOTA RIZIKOVEJ EXPOZÍCIE</w:t>
            </w:r>
          </w:p>
          <w:p w14:paraId="4B0A4350" w14:textId="043640F5"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Vykazuje sa súčet stĺpcov 0080 až 0110.</w:t>
            </w:r>
          </w:p>
        </w:tc>
      </w:tr>
      <w:tr w:rsidR="00173F08" w:rsidRPr="00F12F7E" w14:paraId="1431A12F" w14:textId="77777777" w:rsidTr="00822842">
        <w:tc>
          <w:tcPr>
            <w:tcW w:w="1188" w:type="dxa"/>
          </w:tcPr>
          <w:p w14:paraId="1F1161FF"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0075</w:t>
            </w:r>
          </w:p>
        </w:tc>
        <w:tc>
          <w:tcPr>
            <w:tcW w:w="8640" w:type="dxa"/>
          </w:tcPr>
          <w:p w14:paraId="78E93AAA"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Z ČOHO: ÚPRAVA SPODNEJ HRANICE (SPODNÁ HRANICA PRE VÝSTUPNÉ HODNOTY PRI VÝPOČTE TREA)</w:t>
            </w:r>
          </w:p>
          <w:p w14:paraId="267C9374" w14:textId="3A7AA154" w:rsidR="00173F08" w:rsidRPr="00F12F7E" w:rsidRDefault="00173F08" w:rsidP="00822842">
            <w:pPr>
              <w:rPr>
                <w:rStyle w:val="InstructionsTabelleberschrift"/>
                <w:rFonts w:ascii="Times New Roman" w:hAnsi="Times New Roman"/>
                <w:b w:val="0"/>
                <w:bCs w:val="0"/>
                <w:sz w:val="24"/>
              </w:rPr>
            </w:pPr>
            <w:r w:rsidRPr="00F12F7E">
              <w:rPr>
                <w:rStyle w:val="InstructionsTabelleberschrift"/>
                <w:rFonts w:ascii="Times New Roman" w:hAnsi="Times New Roman"/>
                <w:b w:val="0"/>
                <w:sz w:val="24"/>
              </w:rPr>
              <w:t>Subjekty vykazujú informácie</w:t>
            </w:r>
            <w:r w:rsidR="00F12F7E">
              <w:rPr>
                <w:rStyle w:val="InstructionsTabelleberschrift"/>
                <w:rFonts w:ascii="Times New Roman" w:hAnsi="Times New Roman"/>
                <w:b w:val="0"/>
                <w:sz w:val="24"/>
              </w:rPr>
              <w:t xml:space="preserve"> o </w:t>
            </w:r>
            <w:r w:rsidRPr="00F12F7E">
              <w:rPr>
                <w:rStyle w:val="InstructionsTabelleberschrift"/>
                <w:rFonts w:ascii="Times New Roman" w:hAnsi="Times New Roman"/>
                <w:b w:val="0"/>
                <w:sz w:val="24"/>
              </w:rPr>
              <w:t>úprave spodnej hranice vypočítanej na individuálnom základe.</w:t>
            </w:r>
          </w:p>
        </w:tc>
      </w:tr>
      <w:tr w:rsidR="00173F08" w:rsidRPr="00F12F7E" w14:paraId="5B3929C2" w14:textId="77777777" w:rsidTr="00822842">
        <w:tc>
          <w:tcPr>
            <w:tcW w:w="1188" w:type="dxa"/>
          </w:tcPr>
          <w:p w14:paraId="4F014BF5"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0080</w:t>
            </w:r>
          </w:p>
        </w:tc>
        <w:tc>
          <w:tcPr>
            <w:tcW w:w="8640" w:type="dxa"/>
          </w:tcPr>
          <w:p w14:paraId="7FCBE592" w14:textId="73F4A55F" w:rsidR="00173F08" w:rsidRPr="00E24E2D" w:rsidRDefault="00173F08" w:rsidP="00822842">
            <w:pPr>
              <w:rPr>
                <w:rStyle w:val="InstructionsTabelleberschrift"/>
                <w:rFonts w:ascii="Times New Roman" w:hAnsi="Times New Roman"/>
                <w:spacing w:val="-4"/>
                <w:sz w:val="24"/>
              </w:rPr>
            </w:pPr>
            <w:r w:rsidRPr="00E24E2D">
              <w:rPr>
                <w:rStyle w:val="InstructionsTabelleberschrift"/>
                <w:rFonts w:ascii="Times New Roman" w:hAnsi="Times New Roman"/>
                <w:spacing w:val="-4"/>
                <w:sz w:val="24"/>
              </w:rPr>
              <w:t>KREDITNÉ RIZIKO; KREDITNÉ RIZIKO PROTISTRANY; RIZIKÁ ZNÍŽENIA KVALITY POHĽADÁVOK</w:t>
            </w:r>
            <w:r w:rsidR="00F12F7E" w:rsidRPr="00E24E2D">
              <w:rPr>
                <w:rStyle w:val="InstructionsTabelleberschrift"/>
                <w:rFonts w:ascii="Times New Roman" w:hAnsi="Times New Roman"/>
                <w:spacing w:val="-4"/>
                <w:sz w:val="24"/>
              </w:rPr>
              <w:t xml:space="preserve"> Z </w:t>
            </w:r>
            <w:r w:rsidRPr="00E24E2D">
              <w:rPr>
                <w:rStyle w:val="InstructionsTabelleberschrift"/>
                <w:rFonts w:ascii="Times New Roman" w:hAnsi="Times New Roman"/>
                <w:spacing w:val="-4"/>
                <w:sz w:val="24"/>
              </w:rPr>
              <w:t>INÝCH AKO KREDITNÝCH DÔVODOV, BEZODPLATNÉ DODANIE A RIZIKO VYROVNANIA/DODANIA</w:t>
            </w:r>
          </w:p>
          <w:p w14:paraId="4C32FDA3" w14:textId="581227E8"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Hodnota, ktorá sa má vykázať</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tomto stĺpci, zodpovedá súčtu hodnôt rizikovo vážených expozícií, ktoré sa rovnajú alebo sú rovnocenné</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hodnotami, ktoré sa musia vykázať</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riadku 0040 „</w:t>
            </w:r>
            <w:r w:rsidRPr="00F12F7E">
              <w:rPr>
                <w:rStyle w:val="InstructionsTabelleberschrift"/>
                <w:rFonts w:ascii="Times New Roman" w:hAnsi="Times New Roman"/>
                <w:sz w:val="24"/>
              </w:rPr>
              <w:t>HODNOTY RIZIKOVO VÁŽENÝCH EXPOZÍCIÍ</w:t>
            </w:r>
            <w:r w:rsidRPr="00F12F7E">
              <w:rPr>
                <w:rFonts w:ascii="Times New Roman" w:hAnsi="Times New Roman"/>
                <w:sz w:val="24"/>
              </w:rPr>
              <w:t xml:space="preserve"> </w:t>
            </w:r>
            <w:r w:rsidRPr="00F12F7E">
              <w:rPr>
                <w:rStyle w:val="InstructionsTabelleText"/>
                <w:rFonts w:ascii="Times New Roman" w:hAnsi="Times New Roman"/>
                <w:sz w:val="24"/>
              </w:rPr>
              <w:t>PRE KREDITNÉ RIZIKO, KREDITNÉ RIZIKO PROTISTRANY, RIZIKO ZNÍŽENIA KVALITY POHĽADÁVOK</w:t>
            </w:r>
            <w:r w:rsidR="00F12F7E">
              <w:rPr>
                <w:rStyle w:val="InstructionsTabelleText"/>
                <w:rFonts w:ascii="Times New Roman" w:hAnsi="Times New Roman"/>
                <w:sz w:val="24"/>
              </w:rPr>
              <w:t xml:space="preserve"> Z </w:t>
            </w:r>
            <w:r w:rsidRPr="00F12F7E">
              <w:rPr>
                <w:rStyle w:val="InstructionsTabelleText"/>
                <w:rFonts w:ascii="Times New Roman" w:hAnsi="Times New Roman"/>
                <w:sz w:val="24"/>
              </w:rPr>
              <w:t>INÝCH AKO KREDITNÝCH DÔVODOV A BEZODPLATNÉ DODANIE“,</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hodnôt požiadaviek na vlastné zdroje, ktoré sa rovnajú alebo sú rovnocenné</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hodnotami, ktoré sa musia vykázať</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riadku 0490 „CELKOVÁ HODNOTA RIZIKOVEJ EXPOZÍCIE PRE RIZIKÁ VYROVNANIA/DODANIA“ vzoru CA2.</w:t>
            </w:r>
          </w:p>
        </w:tc>
      </w:tr>
      <w:tr w:rsidR="00173F08" w:rsidRPr="00F12F7E" w14:paraId="48538122" w14:textId="77777777" w:rsidTr="00822842">
        <w:tc>
          <w:tcPr>
            <w:tcW w:w="1188" w:type="dxa"/>
          </w:tcPr>
          <w:p w14:paraId="3B03E59F"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0090</w:t>
            </w:r>
          </w:p>
        </w:tc>
        <w:tc>
          <w:tcPr>
            <w:tcW w:w="8640" w:type="dxa"/>
          </w:tcPr>
          <w:p w14:paraId="1F8CDF0D" w14:textId="117F25BE"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TRHOVÉ RIZIKÁ</w:t>
            </w:r>
          </w:p>
          <w:p w14:paraId="7A55CAD7" w14:textId="242F4133"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Hodnota, ktorá sa má vykázať</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tomto stĺpci, zodpovedá hodnote požiadaviek na vlastné zdroje, ktorá sa rovná alebo je rovnocenná</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hodnotami, ktoré sa musia vykázať</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riadku 0520 „CELKOVÁ HODNOTA RIZIKOVEJ EXPOZÍCIE PRE ČINNOSTI PODLIEHAJÚCE TRHOVÉMU RIZIKU“ vzoru CA2.</w:t>
            </w:r>
          </w:p>
        </w:tc>
      </w:tr>
      <w:tr w:rsidR="00173F08" w:rsidRPr="00F12F7E" w14:paraId="292EDAF3" w14:textId="77777777" w:rsidTr="00822842">
        <w:tc>
          <w:tcPr>
            <w:tcW w:w="1188" w:type="dxa"/>
          </w:tcPr>
          <w:p w14:paraId="468DC5E6"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lastRenderedPageBreak/>
              <w:t>0100</w:t>
            </w:r>
          </w:p>
        </w:tc>
        <w:tc>
          <w:tcPr>
            <w:tcW w:w="8640" w:type="dxa"/>
          </w:tcPr>
          <w:p w14:paraId="47EDEC82"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OPERAČNÉ RIZIKO</w:t>
            </w:r>
          </w:p>
          <w:p w14:paraId="0D971CE8" w14:textId="1493ED11"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Hodnota, ktorá sa má vykázať</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tomto stĺpci, zodpovedá hodnote rizikovej expozície, ktorá sa rovná alebo je rovnocenná</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hodnotou, ktorá sa musí vykázať</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riadku 0590 „CELKOVÁ HODNOTA RIZIKOVEJ EXPOZÍCIE PRE OPERAČNÉ RIZIKÁ (OpR)“ vzoru CA2.</w:t>
            </w:r>
          </w:p>
          <w:p w14:paraId="793CB669"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Do tohto stĺpca sa zahrnú fixné režijné náklady vrátane riadku 0630 „DODATOČNÁ HODNOTA RIZIKOVEJ EXPOZÍCIE NA ZÁKLADE FIXNÝCH REŽIJNÝCH NÁKLADOV“ vzoru CA2.</w:t>
            </w:r>
          </w:p>
        </w:tc>
      </w:tr>
      <w:tr w:rsidR="00173F08" w:rsidRPr="00F12F7E" w14:paraId="21616B84" w14:textId="77777777" w:rsidTr="00822842">
        <w:tc>
          <w:tcPr>
            <w:tcW w:w="1188" w:type="dxa"/>
          </w:tcPr>
          <w:p w14:paraId="0592590C"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0110</w:t>
            </w:r>
          </w:p>
        </w:tc>
        <w:tc>
          <w:tcPr>
            <w:tcW w:w="8640" w:type="dxa"/>
          </w:tcPr>
          <w:p w14:paraId="5A6EE0BF"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INÉ HODNOTY RIZIKOVÝCH EXPOZÍCIÍ</w:t>
            </w:r>
          </w:p>
          <w:p w14:paraId="6AB0F2D9" w14:textId="3555DF7C"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Hodnota vykazovaná</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tomto stĺpci zodpovedá hodnote rizikovej expozície, ktorá nie je osobitne uvedená vyššie. Je to súčet hodnôt uvedených</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riadkoch 0640, 0680</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0690 vzoru CA2.</w:t>
            </w:r>
          </w:p>
        </w:tc>
      </w:tr>
      <w:tr w:rsidR="00173F08" w:rsidRPr="00F12F7E" w14:paraId="1AA509B5" w14:textId="77777777" w:rsidTr="00822842">
        <w:tc>
          <w:tcPr>
            <w:tcW w:w="1188" w:type="dxa"/>
          </w:tcPr>
          <w:p w14:paraId="31666405"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0120 –⁠⁠ 0240</w:t>
            </w:r>
          </w:p>
        </w:tc>
        <w:tc>
          <w:tcPr>
            <w:tcW w:w="8640" w:type="dxa"/>
          </w:tcPr>
          <w:p w14:paraId="4017EF14" w14:textId="618D27CE"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PODROBNÉ INFORMÁCIE</w:t>
            </w:r>
            <w:r w:rsidR="00F12F7E">
              <w:rPr>
                <w:rStyle w:val="InstructionsTabelleberschrift"/>
                <w:rFonts w:ascii="Times New Roman" w:hAnsi="Times New Roman"/>
                <w:sz w:val="24"/>
              </w:rPr>
              <w:t xml:space="preserve"> O </w:t>
            </w:r>
            <w:r w:rsidRPr="00F12F7E">
              <w:rPr>
                <w:rStyle w:val="InstructionsTabelleberschrift"/>
                <w:rFonts w:ascii="Times New Roman" w:hAnsi="Times New Roman"/>
                <w:sz w:val="24"/>
              </w:rPr>
              <w:t>VLASTNÝCH ZDROJOCH SKUPINOVEJ SOLVENTNOSTI</w:t>
            </w:r>
          </w:p>
          <w:p w14:paraId="713BB53E" w14:textId="499E1242"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Informácie vykazované</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nasledujúcich stĺpcoch odzrkadľujú miestne pravidlá</w:t>
            </w:r>
            <w:r w:rsidR="00F12F7E">
              <w:rPr>
                <w:rStyle w:val="InstructionsTabelleText"/>
                <w:rFonts w:ascii="Times New Roman" w:hAnsi="Times New Roman"/>
                <w:sz w:val="24"/>
              </w:rPr>
              <w:t xml:space="preserve"> o </w:t>
            </w:r>
            <w:r w:rsidRPr="00F12F7E">
              <w:rPr>
                <w:rStyle w:val="InstructionsTabelleText"/>
                <w:rFonts w:ascii="Times New Roman" w:hAnsi="Times New Roman"/>
                <w:sz w:val="24"/>
              </w:rPr>
              <w:t>platobnej schopnosti členského štátu,</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ktorom subjekt alebo podskupina pôsobia.</w:t>
            </w:r>
          </w:p>
        </w:tc>
      </w:tr>
      <w:tr w:rsidR="00173F08" w:rsidRPr="00F12F7E" w14:paraId="5A140096" w14:textId="77777777" w:rsidTr="00822842">
        <w:tc>
          <w:tcPr>
            <w:tcW w:w="1188" w:type="dxa"/>
          </w:tcPr>
          <w:p w14:paraId="487213BC"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0120</w:t>
            </w:r>
          </w:p>
        </w:tc>
        <w:tc>
          <w:tcPr>
            <w:tcW w:w="8640" w:type="dxa"/>
          </w:tcPr>
          <w:p w14:paraId="5B6BE8DD"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VLASTNÉ ZDROJE</w:t>
            </w:r>
          </w:p>
          <w:p w14:paraId="55D150C2" w14:textId="6595B39A"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Hodnota, ktorá sa má vykázať</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tomto stĺpci, zodpovedá hodnote vlastných zdrojov, ktorá sa rovná alebo je rovnocenná</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hodnotami, ktoré sa musia vykázať</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riadku 0010 „VLASTNÉ ZDROJE“ vzoru CA1.</w:t>
            </w:r>
          </w:p>
        </w:tc>
      </w:tr>
      <w:tr w:rsidR="00173F08" w:rsidRPr="00F12F7E" w14:paraId="40713F8A" w14:textId="77777777" w:rsidTr="00822842">
        <w:tc>
          <w:tcPr>
            <w:tcW w:w="1188" w:type="dxa"/>
          </w:tcPr>
          <w:p w14:paraId="4C6759BA"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0130</w:t>
            </w:r>
          </w:p>
        </w:tc>
        <w:tc>
          <w:tcPr>
            <w:tcW w:w="8640" w:type="dxa"/>
          </w:tcPr>
          <w:p w14:paraId="217ED5DF" w14:textId="77777777" w:rsid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Z ČOHO: KVALIFIKOVANÉ VLASTNÉ ZDROJE</w:t>
            </w:r>
          </w:p>
          <w:p w14:paraId="31720A52" w14:textId="77777777" w:rsidR="00F12F7E" w:rsidRDefault="00173F08" w:rsidP="00822842">
            <w:pPr>
              <w:rPr>
                <w:rFonts w:ascii="Times New Roman" w:hAnsi="Times New Roman"/>
                <w:sz w:val="24"/>
              </w:rPr>
            </w:pPr>
            <w:r w:rsidRPr="00F12F7E">
              <w:rPr>
                <w:rStyle w:val="InstructionsTabelleText"/>
                <w:rFonts w:ascii="Times New Roman" w:hAnsi="Times New Roman"/>
                <w:sz w:val="24"/>
              </w:rPr>
              <w:t xml:space="preserve">Článok 82 </w:t>
            </w:r>
            <w:r w:rsidRPr="00F12F7E">
              <w:rPr>
                <w:rFonts w:ascii="Times New Roman" w:hAnsi="Times New Roman"/>
                <w:sz w:val="24"/>
              </w:rPr>
              <w:t>nariadenia (EÚ) č. 575/2013</w:t>
            </w:r>
          </w:p>
          <w:p w14:paraId="4B95D50F" w14:textId="19DF955F" w:rsid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Tento stĺpec sa vypĺňa len</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prípade dcérskych spoločností vykazovaných na individuálnom základe, ktoré sú plne konsolidované</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ktoré sú inštitúciami</w:t>
            </w:r>
            <w:r w:rsidR="00F12F7E">
              <w:rPr>
                <w:rStyle w:val="InstructionsTabelleText"/>
                <w:rFonts w:ascii="Times New Roman" w:hAnsi="Times New Roman"/>
                <w:sz w:val="24"/>
              </w:rPr>
              <w:t>.</w:t>
            </w:r>
          </w:p>
          <w:p w14:paraId="1DFAEDAA" w14:textId="2CF96A1F" w:rsidR="00173F08" w:rsidRPr="00E24E2D" w:rsidRDefault="00173F08" w:rsidP="00822842">
            <w:pPr>
              <w:rPr>
                <w:rStyle w:val="InstructionsTabelleText"/>
                <w:rFonts w:ascii="Times New Roman" w:hAnsi="Times New Roman"/>
                <w:spacing w:val="-4"/>
                <w:sz w:val="24"/>
              </w:rPr>
            </w:pPr>
            <w:r w:rsidRPr="00E24E2D">
              <w:rPr>
                <w:rStyle w:val="InstructionsTabelleText"/>
                <w:rFonts w:ascii="Times New Roman" w:hAnsi="Times New Roman"/>
                <w:spacing w:val="-4"/>
                <w:sz w:val="24"/>
              </w:rPr>
              <w:t>Kvalifikované účasti sú,</w:t>
            </w:r>
            <w:r w:rsidR="00F12F7E" w:rsidRPr="00E24E2D">
              <w:rPr>
                <w:rStyle w:val="InstructionsTabelleText"/>
                <w:rFonts w:ascii="Times New Roman" w:hAnsi="Times New Roman"/>
                <w:spacing w:val="-4"/>
                <w:sz w:val="24"/>
              </w:rPr>
              <w:t xml:space="preserve"> v </w:t>
            </w:r>
            <w:r w:rsidRPr="00E24E2D">
              <w:rPr>
                <w:rStyle w:val="InstructionsTabelleText"/>
                <w:rFonts w:ascii="Times New Roman" w:hAnsi="Times New Roman"/>
                <w:spacing w:val="-4"/>
                <w:sz w:val="24"/>
              </w:rPr>
              <w:t>prípade dcérskych spoločností vymedzených vyššie, nástroje (plus súvisiace nerozdelené zisky, účty emisného ážia</w:t>
            </w:r>
            <w:r w:rsidR="00F12F7E" w:rsidRPr="00E24E2D">
              <w:rPr>
                <w:rStyle w:val="InstructionsTabelleText"/>
                <w:rFonts w:ascii="Times New Roman" w:hAnsi="Times New Roman"/>
                <w:spacing w:val="-4"/>
                <w:sz w:val="24"/>
              </w:rPr>
              <w:t xml:space="preserve"> a </w:t>
            </w:r>
            <w:r w:rsidRPr="00E24E2D">
              <w:rPr>
                <w:rStyle w:val="InstructionsTabelleText"/>
                <w:rFonts w:ascii="Times New Roman" w:hAnsi="Times New Roman"/>
                <w:spacing w:val="-4"/>
                <w:sz w:val="24"/>
              </w:rPr>
              <w:t>ostatné rezervy) vlastnené osobami inými než podnikmi zahrnutými do konsolidácie podľa</w:t>
            </w:r>
            <w:r w:rsidRPr="00E24E2D">
              <w:rPr>
                <w:rFonts w:ascii="Times New Roman" w:hAnsi="Times New Roman"/>
                <w:spacing w:val="-4"/>
                <w:sz w:val="24"/>
              </w:rPr>
              <w:t xml:space="preserve"> nariadenia (EÚ) č. 575/2013</w:t>
            </w:r>
            <w:r w:rsidRPr="00E24E2D">
              <w:rPr>
                <w:rStyle w:val="InstructionsTabelleText"/>
                <w:rFonts w:ascii="Times New Roman" w:hAnsi="Times New Roman"/>
                <w:spacing w:val="-4"/>
                <w:sz w:val="24"/>
              </w:rPr>
              <w:t>.</w:t>
            </w:r>
          </w:p>
          <w:p w14:paraId="3E7C4509" w14:textId="3EB8AFA4"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Vykazovaná hodnota zahŕňa účinky všetkých prechodných ustanovení. Je to hodnota prípustná</w:t>
            </w:r>
            <w:r w:rsidR="00F12F7E">
              <w:rPr>
                <w:rStyle w:val="InstructionsTabelleText"/>
                <w:rFonts w:ascii="Times New Roman" w:hAnsi="Times New Roman"/>
                <w:sz w:val="24"/>
              </w:rPr>
              <w:t xml:space="preserve"> k </w:t>
            </w:r>
            <w:r w:rsidRPr="00F12F7E">
              <w:rPr>
                <w:rStyle w:val="InstructionsTabelleText"/>
                <w:rFonts w:ascii="Times New Roman" w:hAnsi="Times New Roman"/>
                <w:sz w:val="24"/>
              </w:rPr>
              <w:t>dátumu vykazovania.</w:t>
            </w:r>
          </w:p>
        </w:tc>
      </w:tr>
      <w:tr w:rsidR="00173F08" w:rsidRPr="00F12F7E" w14:paraId="6C60DC0C" w14:textId="77777777" w:rsidTr="00822842">
        <w:tc>
          <w:tcPr>
            <w:tcW w:w="1188" w:type="dxa"/>
          </w:tcPr>
          <w:p w14:paraId="539F5FBB"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0140</w:t>
            </w:r>
          </w:p>
        </w:tc>
        <w:tc>
          <w:tcPr>
            <w:tcW w:w="8640" w:type="dxa"/>
          </w:tcPr>
          <w:p w14:paraId="24287788" w14:textId="77777777" w:rsidR="00173F08" w:rsidRPr="00F12F7E" w:rsidRDefault="00173F08" w:rsidP="00822842">
            <w:pPr>
              <w:rPr>
                <w:rStyle w:val="InstructionsTabelleberschrift"/>
                <w:rFonts w:ascii="Times New Roman" w:hAnsi="Times New Roman"/>
                <w:b w:val="0"/>
                <w:sz w:val="24"/>
              </w:rPr>
            </w:pPr>
            <w:r w:rsidRPr="00F12F7E">
              <w:rPr>
                <w:rStyle w:val="InstructionsTabelleberschrift"/>
                <w:rFonts w:ascii="Times New Roman" w:hAnsi="Times New Roman"/>
                <w:sz w:val="24"/>
              </w:rPr>
              <w:t>SÚVISIACE NÁSTROJE VLASTNÝCH ZDROJOV, SÚVISIACE NEROZDELENÉ ZISKY, ÚČTY EMISNÉHO ÁŽIA A OSTATNÉ REZERVY</w:t>
            </w:r>
          </w:p>
          <w:p w14:paraId="3F7E53C7" w14:textId="77777777" w:rsidR="00173F08" w:rsidRPr="00F12F7E" w:rsidRDefault="00173F08" w:rsidP="00822842">
            <w:pPr>
              <w:rPr>
                <w:rStyle w:val="InstructionsTabelleberschrift"/>
                <w:rFonts w:ascii="Times New Roman" w:hAnsi="Times New Roman"/>
                <w:b w:val="0"/>
                <w:sz w:val="24"/>
              </w:rPr>
            </w:pPr>
            <w:r w:rsidRPr="00F12F7E">
              <w:rPr>
                <w:rStyle w:val="InstructionsTabelleberschrift"/>
                <w:rFonts w:ascii="Times New Roman" w:hAnsi="Times New Roman"/>
                <w:sz w:val="24"/>
              </w:rPr>
              <w:t xml:space="preserve">Článok 87 ods. 1 písm. b) </w:t>
            </w:r>
            <w:r w:rsidRPr="00F12F7E">
              <w:rPr>
                <w:rFonts w:ascii="Times New Roman" w:hAnsi="Times New Roman"/>
                <w:sz w:val="24"/>
              </w:rPr>
              <w:t>nariadenia (EÚ) č. 575/2013</w:t>
            </w:r>
          </w:p>
        </w:tc>
      </w:tr>
      <w:tr w:rsidR="00173F08" w:rsidRPr="00F12F7E" w14:paraId="389DE242" w14:textId="77777777" w:rsidTr="00822842">
        <w:tc>
          <w:tcPr>
            <w:tcW w:w="1188" w:type="dxa"/>
          </w:tcPr>
          <w:p w14:paraId="5AE6A1A2"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0150</w:t>
            </w:r>
          </w:p>
        </w:tc>
        <w:tc>
          <w:tcPr>
            <w:tcW w:w="8640" w:type="dxa"/>
          </w:tcPr>
          <w:p w14:paraId="5CD3A5A2"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CELKOVÝ KAPITÁL TIER 1</w:t>
            </w:r>
          </w:p>
          <w:p w14:paraId="3E861344" w14:textId="77777777"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 xml:space="preserve">Článok 25 </w:t>
            </w:r>
            <w:r w:rsidRPr="00F12F7E">
              <w:rPr>
                <w:rFonts w:ascii="Times New Roman" w:hAnsi="Times New Roman"/>
                <w:sz w:val="24"/>
              </w:rPr>
              <w:t>nariadenia (EÚ) č. 575/2013</w:t>
            </w:r>
          </w:p>
        </w:tc>
      </w:tr>
      <w:tr w:rsidR="00173F08" w:rsidRPr="00F12F7E" w14:paraId="7471167E" w14:textId="77777777" w:rsidTr="00822842">
        <w:tc>
          <w:tcPr>
            <w:tcW w:w="1188" w:type="dxa"/>
          </w:tcPr>
          <w:p w14:paraId="1BFDCD8E"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lastRenderedPageBreak/>
              <w:t>0160</w:t>
            </w:r>
          </w:p>
        </w:tc>
        <w:tc>
          <w:tcPr>
            <w:tcW w:w="8640" w:type="dxa"/>
          </w:tcPr>
          <w:p w14:paraId="72C37050" w14:textId="77777777" w:rsidR="00173F08" w:rsidRPr="00F12F7E" w:rsidRDefault="00173F08" w:rsidP="00E24E2D">
            <w:pPr>
              <w:keepNext/>
              <w:keepLines/>
              <w:rPr>
                <w:rStyle w:val="InstructionsTabelleberschrift"/>
                <w:rFonts w:ascii="Times New Roman" w:hAnsi="Times New Roman"/>
                <w:sz w:val="24"/>
              </w:rPr>
            </w:pPr>
            <w:r w:rsidRPr="00F12F7E">
              <w:rPr>
                <w:rStyle w:val="InstructionsTabelleberschrift"/>
                <w:rFonts w:ascii="Times New Roman" w:hAnsi="Times New Roman"/>
                <w:sz w:val="24"/>
              </w:rPr>
              <w:t>Z ČOHO: KVALIFIKOVANÝ KAPITÁL TIER 1</w:t>
            </w:r>
          </w:p>
          <w:p w14:paraId="4EB8A1F3" w14:textId="77777777" w:rsidR="00173F08" w:rsidRPr="00F12F7E" w:rsidRDefault="00173F08" w:rsidP="00E24E2D">
            <w:pPr>
              <w:keepNext/>
              <w:keepLines/>
              <w:rPr>
                <w:rStyle w:val="InstructionsTabelleText"/>
                <w:rFonts w:ascii="Times New Roman" w:hAnsi="Times New Roman"/>
                <w:sz w:val="24"/>
              </w:rPr>
            </w:pPr>
            <w:r w:rsidRPr="00F12F7E">
              <w:rPr>
                <w:rStyle w:val="InstructionsTabelleText"/>
                <w:rFonts w:ascii="Times New Roman" w:hAnsi="Times New Roman"/>
                <w:sz w:val="24"/>
              </w:rPr>
              <w:t xml:space="preserve">Článok 82 </w:t>
            </w:r>
            <w:r w:rsidRPr="00F12F7E">
              <w:rPr>
                <w:rFonts w:ascii="Times New Roman" w:hAnsi="Times New Roman"/>
                <w:sz w:val="24"/>
              </w:rPr>
              <w:t>nariadenia (EÚ) č. 575/2013</w:t>
            </w:r>
          </w:p>
          <w:p w14:paraId="1C29CEE8" w14:textId="11EED909" w:rsidR="00173F08" w:rsidRPr="00F12F7E" w:rsidRDefault="00173F08" w:rsidP="00E24E2D">
            <w:pPr>
              <w:keepNext/>
              <w:keepLines/>
              <w:rPr>
                <w:rStyle w:val="InstructionsTabelleText"/>
                <w:rFonts w:ascii="Times New Roman" w:hAnsi="Times New Roman"/>
                <w:sz w:val="24"/>
              </w:rPr>
            </w:pPr>
            <w:r w:rsidRPr="00F12F7E">
              <w:rPr>
                <w:rStyle w:val="InstructionsTabelleText"/>
                <w:rFonts w:ascii="Times New Roman" w:hAnsi="Times New Roman"/>
                <w:sz w:val="24"/>
              </w:rPr>
              <w:t>Tento stĺpec sa vypĺňa len</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prípade dcérskych spoločností vykazovaných na individuálnom základe, ktoré sú plne konsolidované</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ktoré sú inštitúciami.</w:t>
            </w:r>
          </w:p>
          <w:p w14:paraId="0AF355C7" w14:textId="5730A967" w:rsidR="00173F08" w:rsidRPr="00F12F7E" w:rsidRDefault="00173F08" w:rsidP="00E24E2D">
            <w:pPr>
              <w:keepNext/>
              <w:keepLines/>
              <w:rPr>
                <w:rStyle w:val="InstructionsTabelleText"/>
                <w:rFonts w:ascii="Times New Roman" w:hAnsi="Times New Roman"/>
                <w:sz w:val="24"/>
              </w:rPr>
            </w:pPr>
            <w:r w:rsidRPr="00F12F7E">
              <w:rPr>
                <w:rStyle w:val="InstructionsTabelleText"/>
                <w:rFonts w:ascii="Times New Roman" w:hAnsi="Times New Roman"/>
                <w:sz w:val="24"/>
              </w:rPr>
              <w:t>Kvalifikované účasti sú,</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prípade dcérskych spoločností vymedzených vyššie, nástroje (plus súvisiace nerozdelené zisky</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účty emisného ážia) vlastnené osobami inými než podnikmi zahrnutými do konsolidácie podľa</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w:t>
            </w:r>
          </w:p>
          <w:p w14:paraId="342E6F50" w14:textId="2ECD1DE8"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Vykazovaná hodnota zahŕňa účinky všetkých prechodných ustanovení. Je to hodnota prípustná</w:t>
            </w:r>
            <w:r w:rsidR="00F12F7E">
              <w:rPr>
                <w:rStyle w:val="InstructionsTabelleText"/>
                <w:rFonts w:ascii="Times New Roman" w:hAnsi="Times New Roman"/>
                <w:sz w:val="24"/>
              </w:rPr>
              <w:t xml:space="preserve"> k </w:t>
            </w:r>
            <w:r w:rsidRPr="00F12F7E">
              <w:rPr>
                <w:rStyle w:val="InstructionsTabelleText"/>
                <w:rFonts w:ascii="Times New Roman" w:hAnsi="Times New Roman"/>
                <w:sz w:val="24"/>
              </w:rPr>
              <w:t>dátumu vykazovania.</w:t>
            </w:r>
          </w:p>
        </w:tc>
      </w:tr>
      <w:tr w:rsidR="00173F08" w:rsidRPr="00F12F7E" w14:paraId="4A7FFA9C" w14:textId="77777777" w:rsidTr="00822842">
        <w:tc>
          <w:tcPr>
            <w:tcW w:w="1188" w:type="dxa"/>
          </w:tcPr>
          <w:p w14:paraId="3178D616"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0170</w:t>
            </w:r>
          </w:p>
        </w:tc>
        <w:tc>
          <w:tcPr>
            <w:tcW w:w="8640" w:type="dxa"/>
          </w:tcPr>
          <w:p w14:paraId="03B9DCA4" w14:textId="77777777" w:rsidR="00173F08" w:rsidRPr="00F12F7E" w:rsidRDefault="00173F08" w:rsidP="00822842">
            <w:pPr>
              <w:rPr>
                <w:rStyle w:val="InstructionsTabelleberschrift"/>
                <w:rFonts w:ascii="Times New Roman" w:hAnsi="Times New Roman"/>
                <w:b w:val="0"/>
                <w:sz w:val="24"/>
              </w:rPr>
            </w:pPr>
            <w:r w:rsidRPr="00F12F7E">
              <w:rPr>
                <w:rStyle w:val="InstructionsTabelleberschrift"/>
                <w:rFonts w:ascii="Times New Roman" w:hAnsi="Times New Roman"/>
                <w:sz w:val="24"/>
              </w:rPr>
              <w:t>SÚVISIACE NÁSTROJE T1, SÚVISIACE NEROZDELENÉ ZISKY A ÚČTY EMISNÉHO ÁŽIA</w:t>
            </w:r>
          </w:p>
          <w:p w14:paraId="0C524078"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 xml:space="preserve">Článok 85 ods. 1 písm. b) </w:t>
            </w:r>
            <w:r w:rsidRPr="00F12F7E">
              <w:rPr>
                <w:rFonts w:ascii="Times New Roman" w:hAnsi="Times New Roman"/>
                <w:sz w:val="24"/>
              </w:rPr>
              <w:t xml:space="preserve">nariadenia (EÚ) č. 575/2013 </w:t>
            </w:r>
          </w:p>
        </w:tc>
      </w:tr>
      <w:tr w:rsidR="00173F08" w:rsidRPr="00F12F7E" w14:paraId="03F84939" w14:textId="77777777" w:rsidTr="00822842">
        <w:tc>
          <w:tcPr>
            <w:tcW w:w="1188" w:type="dxa"/>
          </w:tcPr>
          <w:p w14:paraId="2ABE034C"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0180</w:t>
            </w:r>
          </w:p>
        </w:tc>
        <w:tc>
          <w:tcPr>
            <w:tcW w:w="8640" w:type="dxa"/>
          </w:tcPr>
          <w:p w14:paraId="56913F2B"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VLASTNÝ KAPITÁL TIER 1</w:t>
            </w:r>
          </w:p>
          <w:p w14:paraId="1D31362E" w14:textId="77777777"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 xml:space="preserve">Článok 50 </w:t>
            </w:r>
            <w:r w:rsidRPr="00F12F7E">
              <w:rPr>
                <w:rFonts w:ascii="Times New Roman" w:hAnsi="Times New Roman"/>
                <w:sz w:val="24"/>
              </w:rPr>
              <w:t>nariadenia (EÚ) č. 575/2013</w:t>
            </w:r>
          </w:p>
        </w:tc>
      </w:tr>
      <w:tr w:rsidR="00173F08" w:rsidRPr="00F12F7E" w14:paraId="0E2BA238" w14:textId="77777777" w:rsidTr="00822842">
        <w:tc>
          <w:tcPr>
            <w:tcW w:w="1188" w:type="dxa"/>
          </w:tcPr>
          <w:p w14:paraId="671DC042"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0190</w:t>
            </w:r>
          </w:p>
        </w:tc>
        <w:tc>
          <w:tcPr>
            <w:tcW w:w="8640" w:type="dxa"/>
          </w:tcPr>
          <w:p w14:paraId="7B6598C9"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Z ČOHO: MENŠINOVÉ ÚČASTI</w:t>
            </w:r>
          </w:p>
          <w:p w14:paraId="03A35E0B"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 xml:space="preserve">Článok 81 </w:t>
            </w:r>
            <w:r w:rsidRPr="00F12F7E">
              <w:rPr>
                <w:rFonts w:ascii="Times New Roman" w:hAnsi="Times New Roman"/>
                <w:sz w:val="24"/>
              </w:rPr>
              <w:t>nariadenia (EÚ) č. 575/2013</w:t>
            </w:r>
          </w:p>
          <w:p w14:paraId="2D5B8BC3" w14:textId="20DF23A2"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Tento stĺpec sa vypĺňa len</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prípade dcérskych spoločností, ktoré sú plne konsolidované</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ktoré sú inštitúciami, okrem dcérskych spoločností uvedených</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článku 84 ods. 3</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 Každá dcérska spoločnosť sa na účely všetkých výpočtov požadovaných</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článku 84</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 xml:space="preserve"> posudzuje na subkonsolidovanom základe,</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náležitých prípadoch podľa článku 84 ods. 2, inak na samostatnom základe.</w:t>
            </w:r>
          </w:p>
          <w:p w14:paraId="2C0D816C" w14:textId="1F90AAF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Menšinové účasti sú,</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prípade dcérskych spoločností vymedzených vyššie, nástroje CET1 (plus súvisiace nerozdelené zisky</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účty emisného ážia) vlastnené osobami inými než podnikmi zahrnutými do konsolidácie podľa</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w:t>
            </w:r>
          </w:p>
          <w:p w14:paraId="1D2ACDF3" w14:textId="5C04B06B"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Vykazovaná hodnota zahŕňa účinky všetkých prechodných ustanovení. Je to hodnota prípustná</w:t>
            </w:r>
            <w:r w:rsidR="00F12F7E">
              <w:rPr>
                <w:rStyle w:val="InstructionsTabelleText"/>
                <w:rFonts w:ascii="Times New Roman" w:hAnsi="Times New Roman"/>
                <w:sz w:val="24"/>
              </w:rPr>
              <w:t xml:space="preserve"> k </w:t>
            </w:r>
            <w:r w:rsidRPr="00F12F7E">
              <w:rPr>
                <w:rStyle w:val="InstructionsTabelleText"/>
                <w:rFonts w:ascii="Times New Roman" w:hAnsi="Times New Roman"/>
                <w:sz w:val="24"/>
              </w:rPr>
              <w:t>dátumu vykazovania.</w:t>
            </w:r>
          </w:p>
        </w:tc>
      </w:tr>
      <w:tr w:rsidR="00173F08" w:rsidRPr="00F12F7E" w14:paraId="0252C0BA" w14:textId="77777777" w:rsidTr="00822842">
        <w:tc>
          <w:tcPr>
            <w:tcW w:w="1188" w:type="dxa"/>
          </w:tcPr>
          <w:p w14:paraId="3AFB0800"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0200</w:t>
            </w:r>
          </w:p>
        </w:tc>
        <w:tc>
          <w:tcPr>
            <w:tcW w:w="8640" w:type="dxa"/>
          </w:tcPr>
          <w:p w14:paraId="4B6EB0AE" w14:textId="77777777" w:rsidR="00173F08" w:rsidRPr="00F12F7E" w:rsidRDefault="00173F08" w:rsidP="00822842">
            <w:pPr>
              <w:rPr>
                <w:rStyle w:val="InstructionsTabelleberschrift"/>
                <w:rFonts w:ascii="Times New Roman" w:hAnsi="Times New Roman"/>
                <w:b w:val="0"/>
                <w:sz w:val="24"/>
              </w:rPr>
            </w:pPr>
            <w:r w:rsidRPr="00F12F7E">
              <w:rPr>
                <w:rStyle w:val="InstructionsTabelleberschrift"/>
                <w:rFonts w:ascii="Times New Roman" w:hAnsi="Times New Roman"/>
                <w:sz w:val="24"/>
              </w:rPr>
              <w:t>SÚVISIACE NÁSTROJE VLASTNÝCH ZDROJOV, SÚVISIACE NEROZDELENÉ ZISKY, ÚČTY EMISNÉHO ÁŽIA A OSTATNÉ REZERVY</w:t>
            </w:r>
          </w:p>
          <w:p w14:paraId="707CE464" w14:textId="77777777" w:rsidR="00173F08" w:rsidRPr="00F12F7E" w:rsidRDefault="00173F08" w:rsidP="00822842">
            <w:pPr>
              <w:rPr>
                <w:rStyle w:val="InstructionsTabelleberschrift"/>
                <w:rFonts w:ascii="Times New Roman" w:hAnsi="Times New Roman"/>
                <w:b w:val="0"/>
                <w:sz w:val="24"/>
              </w:rPr>
            </w:pPr>
            <w:r w:rsidRPr="00F12F7E">
              <w:rPr>
                <w:rStyle w:val="InstructionsTabelleberschrift"/>
                <w:rFonts w:ascii="Times New Roman" w:hAnsi="Times New Roman"/>
                <w:sz w:val="24"/>
              </w:rPr>
              <w:t xml:space="preserve">Článok 84 ods. 1 písm. b) </w:t>
            </w:r>
            <w:r w:rsidRPr="00F12F7E">
              <w:rPr>
                <w:rFonts w:ascii="Times New Roman" w:hAnsi="Times New Roman"/>
                <w:sz w:val="24"/>
              </w:rPr>
              <w:t>nariadenia (EÚ) č. 575/2013</w:t>
            </w:r>
          </w:p>
        </w:tc>
      </w:tr>
      <w:tr w:rsidR="00173F08" w:rsidRPr="00F12F7E" w14:paraId="79B83B2A" w14:textId="77777777" w:rsidTr="00822842">
        <w:tc>
          <w:tcPr>
            <w:tcW w:w="1188" w:type="dxa"/>
          </w:tcPr>
          <w:p w14:paraId="3BB83E5E"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0210</w:t>
            </w:r>
          </w:p>
        </w:tc>
        <w:tc>
          <w:tcPr>
            <w:tcW w:w="8640" w:type="dxa"/>
          </w:tcPr>
          <w:p w14:paraId="263D68BB"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DODATOČNÝ KAPITÁL TIER 1</w:t>
            </w:r>
          </w:p>
          <w:p w14:paraId="1CE78A7A" w14:textId="77777777"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 xml:space="preserve">Článok 61 </w:t>
            </w:r>
            <w:r w:rsidRPr="00F12F7E">
              <w:rPr>
                <w:rFonts w:ascii="Times New Roman" w:hAnsi="Times New Roman"/>
                <w:sz w:val="24"/>
              </w:rPr>
              <w:t>nariadenia (EÚ) č. 575/2013</w:t>
            </w:r>
          </w:p>
        </w:tc>
      </w:tr>
      <w:tr w:rsidR="00173F08" w:rsidRPr="00F12F7E" w14:paraId="3A09E2CF" w14:textId="77777777" w:rsidTr="00822842">
        <w:tc>
          <w:tcPr>
            <w:tcW w:w="1188" w:type="dxa"/>
          </w:tcPr>
          <w:p w14:paraId="2BC2BA16"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0220</w:t>
            </w:r>
          </w:p>
        </w:tc>
        <w:tc>
          <w:tcPr>
            <w:tcW w:w="8640" w:type="dxa"/>
          </w:tcPr>
          <w:p w14:paraId="6869B355"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Z ČOHO: KVALIFIKOVANÝ DODATOČNÝ KAPITÁL TIER 1</w:t>
            </w:r>
          </w:p>
          <w:p w14:paraId="3A11BFD0" w14:textId="4B417286"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Články 82</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 xml:space="preserve">83 </w:t>
            </w:r>
            <w:r w:rsidRPr="00F12F7E">
              <w:rPr>
                <w:rFonts w:ascii="Times New Roman" w:hAnsi="Times New Roman"/>
                <w:sz w:val="24"/>
              </w:rPr>
              <w:t>nariadenia (EÚ) č. 575/2013</w:t>
            </w:r>
          </w:p>
          <w:p w14:paraId="55F852AC" w14:textId="4D4CDB3B"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Tento stĺpec sa vypĺňa len</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prípade dcérskych spoločností, ktoré sú plne konsolidované</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ktoré sú inštitúciami, okrem dcérskych spoločností uvedených</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článku 85 ods. 2</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 Každá dcérska spoločnosť sa na účely všetkých výpočtov požadovaných</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článku 85</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 xml:space="preserve"> posudzuje na </w:t>
            </w:r>
            <w:r w:rsidRPr="00F12F7E">
              <w:rPr>
                <w:rStyle w:val="InstructionsTabelleText"/>
                <w:rFonts w:ascii="Times New Roman" w:hAnsi="Times New Roman"/>
                <w:sz w:val="24"/>
              </w:rPr>
              <w:lastRenderedPageBreak/>
              <w:t>subkonsolidovanom základe,</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náležitých prípadoch podľa článku 85 ods. 2, inak na samostatnom základe.</w:t>
            </w:r>
          </w:p>
          <w:p w14:paraId="32886E98" w14:textId="7E738D0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Menšinové účasti sú,</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prípade dcérskych spoločností vymedzených vyššie, nástroje AT1 (plus súvisiace nerozdelené zisky</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účty emisného ážia) vlastnené osobami inými než podnikmi zahrnutými do konsolidácie podľa</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w:t>
            </w:r>
          </w:p>
          <w:p w14:paraId="37079C74" w14:textId="43ED207F"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Vykazovaná hodnota zahŕňa účinky všetkých prechodných ustanovení. Je to hodnota prípustná</w:t>
            </w:r>
            <w:r w:rsidR="00F12F7E">
              <w:rPr>
                <w:rStyle w:val="InstructionsTabelleText"/>
                <w:rFonts w:ascii="Times New Roman" w:hAnsi="Times New Roman"/>
                <w:sz w:val="24"/>
              </w:rPr>
              <w:t xml:space="preserve"> k </w:t>
            </w:r>
            <w:r w:rsidRPr="00F12F7E">
              <w:rPr>
                <w:rStyle w:val="InstructionsTabelleText"/>
                <w:rFonts w:ascii="Times New Roman" w:hAnsi="Times New Roman"/>
                <w:sz w:val="24"/>
              </w:rPr>
              <w:t>dátumu vykazovania.</w:t>
            </w:r>
          </w:p>
        </w:tc>
      </w:tr>
      <w:tr w:rsidR="00173F08" w:rsidRPr="00F12F7E" w14:paraId="3A46A33B" w14:textId="77777777" w:rsidTr="00822842">
        <w:tc>
          <w:tcPr>
            <w:tcW w:w="1188" w:type="dxa"/>
          </w:tcPr>
          <w:p w14:paraId="284F02C8"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lastRenderedPageBreak/>
              <w:t>0230</w:t>
            </w:r>
          </w:p>
        </w:tc>
        <w:tc>
          <w:tcPr>
            <w:tcW w:w="8640" w:type="dxa"/>
          </w:tcPr>
          <w:p w14:paraId="7A2A757D"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KAPITÁL TIER 2</w:t>
            </w:r>
          </w:p>
          <w:p w14:paraId="49EA3D83" w14:textId="77777777"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 xml:space="preserve">Článok 71 </w:t>
            </w:r>
            <w:r w:rsidRPr="00F12F7E">
              <w:rPr>
                <w:rFonts w:ascii="Times New Roman" w:hAnsi="Times New Roman"/>
                <w:sz w:val="24"/>
              </w:rPr>
              <w:t>nariadenia (EÚ) č. 575/2013</w:t>
            </w:r>
          </w:p>
        </w:tc>
      </w:tr>
      <w:tr w:rsidR="00173F08" w:rsidRPr="00F12F7E" w14:paraId="127ECDAA" w14:textId="77777777" w:rsidTr="00822842">
        <w:tc>
          <w:tcPr>
            <w:tcW w:w="1188" w:type="dxa"/>
          </w:tcPr>
          <w:p w14:paraId="42F0E3B4"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0240</w:t>
            </w:r>
          </w:p>
        </w:tc>
        <w:tc>
          <w:tcPr>
            <w:tcW w:w="8640" w:type="dxa"/>
          </w:tcPr>
          <w:p w14:paraId="2E5C3EFE"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Z ČOHO: KVALIFIKOVANÝ KAPITÁL TIER 2</w:t>
            </w:r>
          </w:p>
          <w:p w14:paraId="23E95E82" w14:textId="516B3049"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Články 82</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 xml:space="preserve">83 </w:t>
            </w:r>
            <w:r w:rsidRPr="00F12F7E">
              <w:rPr>
                <w:rFonts w:ascii="Times New Roman" w:hAnsi="Times New Roman"/>
                <w:sz w:val="24"/>
              </w:rPr>
              <w:t>nariadenia (EÚ) č. 575/2013</w:t>
            </w:r>
          </w:p>
          <w:p w14:paraId="0E718318" w14:textId="5C507634" w:rsid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Tento stĺpec sa vypĺňa len</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prípade dcérskych spoločností, ktoré sú plne konsolidované</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ktoré sú inštitúciami, okrem dcérskych spoločností uvedených</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článku 87 ods. 2</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 Každá dcérska spoločnosť sa na účely všetkých výpočtov požadovaných</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článku 87</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 xml:space="preserve"> posudzuje na subkonsolidovanom základe,</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náležitých prípadoch podľa článku 87 ods. 2</w:t>
            </w:r>
            <w:r w:rsidRPr="00F12F7E">
              <w:rPr>
                <w:rFonts w:ascii="Times New Roman" w:hAnsi="Times New Roman"/>
                <w:sz w:val="24"/>
              </w:rPr>
              <w:t xml:space="preserve"> uvedeného nariadenia</w:t>
            </w:r>
            <w:r w:rsidRPr="00F12F7E">
              <w:rPr>
                <w:rStyle w:val="InstructionsTabelleText"/>
                <w:rFonts w:ascii="Times New Roman" w:hAnsi="Times New Roman"/>
                <w:sz w:val="24"/>
              </w:rPr>
              <w:t>, inak na samostatnom základe</w:t>
            </w:r>
            <w:r w:rsidR="00F12F7E">
              <w:rPr>
                <w:rStyle w:val="InstructionsTabelleText"/>
                <w:rFonts w:ascii="Times New Roman" w:hAnsi="Times New Roman"/>
                <w:sz w:val="24"/>
              </w:rPr>
              <w:t>.</w:t>
            </w:r>
          </w:p>
          <w:p w14:paraId="5BE2C856" w14:textId="6E25B349"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Menšinové účasti sú,</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prípade dcérskych spoločností vymedzených vyššie, nástroje T2 (plus súvisiace nerozdelené zisky</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účty emisného ážia) vlastnené osobami inými než podnikmi zahrnutými do konsolidácie podľa</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w:t>
            </w:r>
          </w:p>
          <w:p w14:paraId="262C7485" w14:textId="767CAB2E"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Vykazovaná hodnota zahŕňa účinky všetkých prechodných ustanovení. Musí to byť prípustná hodnota</w:t>
            </w:r>
            <w:r w:rsidR="00F12F7E">
              <w:rPr>
                <w:rStyle w:val="InstructionsTabelleText"/>
                <w:rFonts w:ascii="Times New Roman" w:hAnsi="Times New Roman"/>
                <w:sz w:val="24"/>
              </w:rPr>
              <w:t xml:space="preserve"> k </w:t>
            </w:r>
            <w:r w:rsidRPr="00F12F7E">
              <w:rPr>
                <w:rStyle w:val="InstructionsTabelleText"/>
                <w:rFonts w:ascii="Times New Roman" w:hAnsi="Times New Roman"/>
                <w:sz w:val="24"/>
              </w:rPr>
              <w:t>referenčnému dátumu.</w:t>
            </w:r>
          </w:p>
        </w:tc>
      </w:tr>
      <w:tr w:rsidR="00173F08" w:rsidRPr="00F12F7E" w14:paraId="21CB95DC" w14:textId="77777777" w:rsidTr="00822842">
        <w:tc>
          <w:tcPr>
            <w:tcW w:w="1188" w:type="dxa"/>
          </w:tcPr>
          <w:p w14:paraId="25A4A0D7"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0250 –⁠ 0400</w:t>
            </w:r>
          </w:p>
        </w:tc>
        <w:tc>
          <w:tcPr>
            <w:tcW w:w="8640" w:type="dxa"/>
          </w:tcPr>
          <w:p w14:paraId="37BB26C8" w14:textId="69018955"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INFORMÁCIE</w:t>
            </w:r>
            <w:r w:rsidR="00F12F7E">
              <w:rPr>
                <w:rStyle w:val="InstructionsTabelleberschrift"/>
                <w:rFonts w:ascii="Times New Roman" w:hAnsi="Times New Roman"/>
                <w:sz w:val="24"/>
              </w:rPr>
              <w:t xml:space="preserve"> O </w:t>
            </w:r>
            <w:r w:rsidRPr="00F12F7E">
              <w:rPr>
                <w:rStyle w:val="InstructionsTabelleberschrift"/>
                <w:rFonts w:ascii="Times New Roman" w:hAnsi="Times New Roman"/>
                <w:sz w:val="24"/>
              </w:rPr>
              <w:t>PRÍSPEVKU SUBJEKTOV</w:t>
            </w:r>
            <w:r w:rsidR="00F12F7E">
              <w:rPr>
                <w:rStyle w:val="InstructionsTabelleberschrift"/>
                <w:rFonts w:ascii="Times New Roman" w:hAnsi="Times New Roman"/>
                <w:sz w:val="24"/>
              </w:rPr>
              <w:t xml:space="preserve"> K </w:t>
            </w:r>
            <w:r w:rsidRPr="00F12F7E">
              <w:rPr>
                <w:rStyle w:val="InstructionsTabelleberschrift"/>
                <w:rFonts w:ascii="Times New Roman" w:hAnsi="Times New Roman"/>
                <w:sz w:val="24"/>
              </w:rPr>
              <w:t>PLATOBNEJ SCHOPNOSTI SKUPINY</w:t>
            </w:r>
          </w:p>
        </w:tc>
      </w:tr>
      <w:tr w:rsidR="00173F08" w:rsidRPr="00F12F7E" w14:paraId="2F4DF8FC" w14:textId="77777777" w:rsidTr="00822842">
        <w:tc>
          <w:tcPr>
            <w:tcW w:w="1188" w:type="dxa"/>
          </w:tcPr>
          <w:p w14:paraId="1A40CC2D"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0250 –⁠ 0290</w:t>
            </w:r>
          </w:p>
        </w:tc>
        <w:tc>
          <w:tcPr>
            <w:tcW w:w="8640" w:type="dxa"/>
          </w:tcPr>
          <w:p w14:paraId="42E5971D" w14:textId="0DB7D500"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PRÍSPEVOK</w:t>
            </w:r>
            <w:r w:rsidR="00F12F7E">
              <w:rPr>
                <w:rStyle w:val="InstructionsTabelleberschrift"/>
                <w:rFonts w:ascii="Times New Roman" w:hAnsi="Times New Roman"/>
                <w:sz w:val="24"/>
              </w:rPr>
              <w:t xml:space="preserve"> K </w:t>
            </w:r>
            <w:r w:rsidRPr="00F12F7E">
              <w:rPr>
                <w:rStyle w:val="InstructionsTabelleberschrift"/>
                <w:rFonts w:ascii="Times New Roman" w:hAnsi="Times New Roman"/>
                <w:sz w:val="24"/>
              </w:rPr>
              <w:t>RIZIKÁM</w:t>
            </w:r>
          </w:p>
          <w:p w14:paraId="7CE31949" w14:textId="285CF533" w:rsidR="00173F08" w:rsidRPr="00F12F7E" w:rsidRDefault="00173F08" w:rsidP="00822842">
            <w:pPr>
              <w:rPr>
                <w:rStyle w:val="InstructionsTabelleberschrift"/>
                <w:rFonts w:ascii="Times New Roman" w:hAnsi="Times New Roman"/>
                <w:sz w:val="24"/>
              </w:rPr>
            </w:pPr>
            <w:r w:rsidRPr="00F12F7E">
              <w:rPr>
                <w:rFonts w:ascii="Times New Roman" w:hAnsi="Times New Roman"/>
                <w:sz w:val="24"/>
              </w:rPr>
              <w:t>Informácie vykazované</w:t>
            </w:r>
            <w:r w:rsidR="00F12F7E">
              <w:rPr>
                <w:rFonts w:ascii="Times New Roman" w:hAnsi="Times New Roman"/>
                <w:sz w:val="24"/>
              </w:rPr>
              <w:t xml:space="preserve"> v </w:t>
            </w:r>
            <w:r w:rsidRPr="00F12F7E">
              <w:rPr>
                <w:rFonts w:ascii="Times New Roman" w:hAnsi="Times New Roman"/>
                <w:sz w:val="24"/>
              </w:rPr>
              <w:t>nasledujúcich stĺpcoch musia byť</w:t>
            </w:r>
            <w:r w:rsidR="00F12F7E">
              <w:rPr>
                <w:rFonts w:ascii="Times New Roman" w:hAnsi="Times New Roman"/>
                <w:sz w:val="24"/>
              </w:rPr>
              <w:t xml:space="preserve"> v </w:t>
            </w:r>
            <w:r w:rsidRPr="00F12F7E">
              <w:rPr>
                <w:rFonts w:ascii="Times New Roman" w:hAnsi="Times New Roman"/>
                <w:sz w:val="24"/>
              </w:rPr>
              <w:t>súlade</w:t>
            </w:r>
            <w:r w:rsidR="00F12F7E">
              <w:rPr>
                <w:rFonts w:ascii="Times New Roman" w:hAnsi="Times New Roman"/>
                <w:sz w:val="24"/>
              </w:rPr>
              <w:t xml:space="preserve"> s </w:t>
            </w:r>
            <w:r w:rsidRPr="00F12F7E">
              <w:rPr>
                <w:rFonts w:ascii="Times New Roman" w:hAnsi="Times New Roman"/>
                <w:sz w:val="24"/>
              </w:rPr>
              <w:t>pravidlami</w:t>
            </w:r>
            <w:r w:rsidR="00F12F7E">
              <w:rPr>
                <w:rFonts w:ascii="Times New Roman" w:hAnsi="Times New Roman"/>
                <w:sz w:val="24"/>
              </w:rPr>
              <w:t xml:space="preserve"> o </w:t>
            </w:r>
            <w:r w:rsidRPr="00F12F7E">
              <w:rPr>
                <w:rFonts w:ascii="Times New Roman" w:hAnsi="Times New Roman"/>
                <w:sz w:val="24"/>
              </w:rPr>
              <w:t>platobnej schopnosti uplatniteľnými na vykazujúcu inštitúciu.</w:t>
            </w:r>
          </w:p>
        </w:tc>
      </w:tr>
      <w:tr w:rsidR="00173F08" w:rsidRPr="00F12F7E" w14:paraId="2B71B535" w14:textId="77777777" w:rsidTr="00822842">
        <w:tc>
          <w:tcPr>
            <w:tcW w:w="1188" w:type="dxa"/>
          </w:tcPr>
          <w:p w14:paraId="5D55B1F0"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0250</w:t>
            </w:r>
          </w:p>
        </w:tc>
        <w:tc>
          <w:tcPr>
            <w:tcW w:w="8640" w:type="dxa"/>
          </w:tcPr>
          <w:p w14:paraId="3B982E96"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CELKOVÁ HODNOTA RIZIKOVEJ EXPOZÍCIE</w:t>
            </w:r>
          </w:p>
          <w:p w14:paraId="584007A2" w14:textId="77777777"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Vykazuje sa súčet stĺpcov 0260 až 0290.</w:t>
            </w:r>
          </w:p>
        </w:tc>
      </w:tr>
      <w:tr w:rsidR="00173F08" w:rsidRPr="00F12F7E" w14:paraId="04A08911" w14:textId="77777777" w:rsidTr="00822842">
        <w:tc>
          <w:tcPr>
            <w:tcW w:w="1188" w:type="dxa"/>
          </w:tcPr>
          <w:p w14:paraId="4441868C"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0260</w:t>
            </w:r>
          </w:p>
        </w:tc>
        <w:tc>
          <w:tcPr>
            <w:tcW w:w="8640" w:type="dxa"/>
          </w:tcPr>
          <w:p w14:paraId="20D38FF7" w14:textId="6770F9F4"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KREDITNÉ RIZIKO; KREDITNÉ RIZIKO PROTISTRANY; RIZIKÁ ZNÍŽENIA KVALITY POHĽADÁVOK</w:t>
            </w:r>
            <w:r w:rsidR="00F12F7E">
              <w:rPr>
                <w:rStyle w:val="InstructionsTabelleberschrift"/>
                <w:rFonts w:ascii="Times New Roman" w:hAnsi="Times New Roman"/>
                <w:sz w:val="24"/>
              </w:rPr>
              <w:t xml:space="preserve"> Z </w:t>
            </w:r>
            <w:r w:rsidRPr="00F12F7E">
              <w:rPr>
                <w:rStyle w:val="InstructionsTabelleberschrift"/>
                <w:rFonts w:ascii="Times New Roman" w:hAnsi="Times New Roman"/>
                <w:sz w:val="24"/>
              </w:rPr>
              <w:t>INÝCH AKO KREDITNÝCH DÔVODOV, BEZODPLATNÉ DODANIE A RIZIKO VYROVNANIA/DODANIA</w:t>
            </w:r>
          </w:p>
          <w:p w14:paraId="6F46A7CE" w14:textId="5AB1CE9D"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Vykazovaná hodnota zodpovedá hodnotám rizikovo vážených expozícií pre kreditné riziko</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požiadavkám na vlastné zdroje pre riziko vyrovnania/dodania podľa</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 xml:space="preserve"> bez hodnôt súvisiacich</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transakciami</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inými subjektmi zahrnutými do výpočtu konsolidovaného pomeru platobnej schopnosti skupiny.</w:t>
            </w:r>
          </w:p>
        </w:tc>
      </w:tr>
      <w:tr w:rsidR="00173F08" w:rsidRPr="00F12F7E" w14:paraId="659CB778" w14:textId="77777777" w:rsidTr="00822842">
        <w:tc>
          <w:tcPr>
            <w:tcW w:w="1188" w:type="dxa"/>
          </w:tcPr>
          <w:p w14:paraId="1DB71523"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lastRenderedPageBreak/>
              <w:t>0270</w:t>
            </w:r>
          </w:p>
        </w:tc>
        <w:tc>
          <w:tcPr>
            <w:tcW w:w="8640" w:type="dxa"/>
          </w:tcPr>
          <w:p w14:paraId="13B2AFE4" w14:textId="4AF0329D" w:rsidR="00173F08" w:rsidRPr="00F12F7E" w:rsidRDefault="00173F08" w:rsidP="00E24E2D">
            <w:pPr>
              <w:keepNext/>
              <w:keepLines/>
              <w:rPr>
                <w:rStyle w:val="InstructionsTabelleberschrift"/>
                <w:rFonts w:ascii="Times New Roman" w:hAnsi="Times New Roman"/>
                <w:sz w:val="24"/>
              </w:rPr>
            </w:pPr>
            <w:r w:rsidRPr="00F12F7E">
              <w:rPr>
                <w:rStyle w:val="InstructionsTabelleberschrift"/>
                <w:rFonts w:ascii="Times New Roman" w:hAnsi="Times New Roman"/>
                <w:sz w:val="24"/>
              </w:rPr>
              <w:t>TRHOVÉ RIZIKÁ</w:t>
            </w:r>
          </w:p>
          <w:p w14:paraId="49127EF1" w14:textId="765A3217" w:rsidR="00173F08" w:rsidRPr="00F12F7E" w:rsidRDefault="00173F08" w:rsidP="00E24E2D">
            <w:pPr>
              <w:keepNext/>
              <w:keepLines/>
              <w:rPr>
                <w:rStyle w:val="InstructionsTabelleText"/>
                <w:rFonts w:ascii="Times New Roman" w:hAnsi="Times New Roman"/>
                <w:sz w:val="24"/>
              </w:rPr>
            </w:pPr>
            <w:r w:rsidRPr="00F12F7E">
              <w:rPr>
                <w:rStyle w:val="InstructionsTabelleText"/>
                <w:rFonts w:ascii="Times New Roman" w:hAnsi="Times New Roman"/>
                <w:sz w:val="24"/>
              </w:rPr>
              <w:t>Hodnoty rizikových expozícií pre trhové riziká sa vypočítavajú na úrovni jednotlivých subjektov</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w:t>
            </w:r>
            <w:r w:rsidR="00F12F7E">
              <w:rPr>
                <w:rStyle w:val="InstructionsTabelleText"/>
                <w:rFonts w:ascii="Times New Roman" w:hAnsi="Times New Roman"/>
                <w:sz w:val="24"/>
              </w:rPr>
              <w:t xml:space="preserve"> s </w:t>
            </w:r>
            <w:r w:rsidRPr="00F12F7E">
              <w:rPr>
                <w:rFonts w:ascii="Times New Roman" w:hAnsi="Times New Roman"/>
                <w:sz w:val="24"/>
              </w:rPr>
              <w:t>nariadením (EÚ) č. 575/2013</w:t>
            </w:r>
            <w:r w:rsidRPr="00F12F7E">
              <w:rPr>
                <w:rStyle w:val="InstructionsTabelleText"/>
                <w:rFonts w:ascii="Times New Roman" w:hAnsi="Times New Roman"/>
                <w:sz w:val="24"/>
              </w:rPr>
              <w:t>. Subjekty vykazujú príspevok</w:t>
            </w:r>
            <w:r w:rsidR="00F12F7E">
              <w:rPr>
                <w:rStyle w:val="InstructionsTabelleText"/>
                <w:rFonts w:ascii="Times New Roman" w:hAnsi="Times New Roman"/>
                <w:sz w:val="24"/>
              </w:rPr>
              <w:t xml:space="preserve"> k </w:t>
            </w:r>
            <w:r w:rsidRPr="00F12F7E">
              <w:rPr>
                <w:rStyle w:val="InstructionsTabelleText"/>
                <w:rFonts w:ascii="Times New Roman" w:hAnsi="Times New Roman"/>
                <w:sz w:val="24"/>
              </w:rPr>
              <w:t>celkovým hodnotám rizikových expozícií pre trhové riziko skupiny. Tu vykazovaný súčet hodnôt zodpovedá hodnote vykázanej</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 xml:space="preserve">riadku 0520 „CELKOVÁ HODNOTA RIZIKOVEJ EXPOZÍCIE PRE ČINNOSTI PODLIEHAJÚCE TRHOVÉMU RIZIKU“ </w:t>
            </w:r>
            <w:r w:rsidRPr="00F12F7E">
              <w:t>konsolidovanej</w:t>
            </w:r>
            <w:r w:rsidRPr="00F12F7E">
              <w:rPr>
                <w:rStyle w:val="InstructionsTabelleText"/>
                <w:rFonts w:ascii="Times New Roman" w:hAnsi="Times New Roman"/>
                <w:sz w:val="24"/>
              </w:rPr>
              <w:t xml:space="preserve"> správy.</w:t>
            </w:r>
          </w:p>
        </w:tc>
      </w:tr>
      <w:tr w:rsidR="00173F08" w:rsidRPr="00F12F7E" w14:paraId="50F614F9" w14:textId="77777777" w:rsidTr="00822842">
        <w:tc>
          <w:tcPr>
            <w:tcW w:w="1188" w:type="dxa"/>
          </w:tcPr>
          <w:p w14:paraId="48376137"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0280</w:t>
            </w:r>
          </w:p>
        </w:tc>
        <w:tc>
          <w:tcPr>
            <w:tcW w:w="8640" w:type="dxa"/>
          </w:tcPr>
          <w:p w14:paraId="0F996708"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OPERAČNÉ RIZIKO</w:t>
            </w:r>
          </w:p>
          <w:p w14:paraId="58C1AE53" w14:textId="341BDC2E" w:rsidR="00702B2E" w:rsidRPr="00F12F7E" w:rsidRDefault="00702B2E" w:rsidP="00822842">
            <w:pPr>
              <w:rPr>
                <w:rFonts w:ascii="Times New Roman" w:hAnsi="Times New Roman"/>
                <w:sz w:val="24"/>
              </w:rPr>
            </w:pPr>
            <w:r w:rsidRPr="00F12F7E">
              <w:rPr>
                <w:rFonts w:ascii="Times New Roman" w:hAnsi="Times New Roman"/>
                <w:sz w:val="24"/>
              </w:rPr>
              <w:t>Hodnota vykazovaná</w:t>
            </w:r>
            <w:r w:rsidR="00F12F7E">
              <w:rPr>
                <w:rFonts w:ascii="Times New Roman" w:hAnsi="Times New Roman"/>
                <w:sz w:val="24"/>
              </w:rPr>
              <w:t xml:space="preserve"> v </w:t>
            </w:r>
            <w:r w:rsidRPr="00F12F7E">
              <w:rPr>
                <w:rFonts w:ascii="Times New Roman" w:hAnsi="Times New Roman"/>
                <w:sz w:val="24"/>
              </w:rPr>
              <w:t>tomto stĺpci zodpovedá hodnote rizikovej expozície pre operačné riziko.</w:t>
            </w:r>
          </w:p>
          <w:p w14:paraId="585BB330" w14:textId="03A1297F" w:rsidR="00173F08" w:rsidRPr="00F12F7E" w:rsidRDefault="00173F08" w:rsidP="00822842">
            <w:pPr>
              <w:rPr>
                <w:rStyle w:val="InstructionsTabelleText"/>
                <w:rFonts w:ascii="Times New Roman" w:hAnsi="Times New Roman"/>
                <w:sz w:val="24"/>
              </w:rPr>
            </w:pPr>
            <w:r w:rsidRPr="00F12F7E">
              <w:rPr>
                <w:rFonts w:ascii="Times New Roman" w:hAnsi="Times New Roman"/>
                <w:caps/>
                <w:sz w:val="24"/>
              </w:rPr>
              <w:t>V</w:t>
            </w:r>
            <w:r w:rsidRPr="00F12F7E">
              <w:rPr>
                <w:rFonts w:ascii="Times New Roman" w:hAnsi="Times New Roman"/>
                <w:sz w:val="24"/>
              </w:rPr>
              <w:t xml:space="preserve"> tomto stĺpci sú zahrnuté fixné režijné náklady.</w:t>
            </w:r>
          </w:p>
        </w:tc>
      </w:tr>
      <w:tr w:rsidR="00173F08" w:rsidRPr="00F12F7E" w14:paraId="3D9214F2" w14:textId="77777777" w:rsidTr="00822842">
        <w:tc>
          <w:tcPr>
            <w:tcW w:w="1188" w:type="dxa"/>
          </w:tcPr>
          <w:p w14:paraId="0B8F7AD0"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0290</w:t>
            </w:r>
          </w:p>
        </w:tc>
        <w:tc>
          <w:tcPr>
            <w:tcW w:w="8640" w:type="dxa"/>
          </w:tcPr>
          <w:p w14:paraId="1A6735B0"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INÉ HODNOTY RIZIKOVÝCH EXPOZÍCIÍ</w:t>
            </w:r>
          </w:p>
          <w:p w14:paraId="0483564A" w14:textId="7AABE47C"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Hodnota vykazovaná</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tomto stĺpci zodpovedá hodnote rizikovej expozície pre riziká, ktoré nie sú uvedené vyššie.</w:t>
            </w:r>
          </w:p>
        </w:tc>
      </w:tr>
      <w:tr w:rsidR="00173F08" w:rsidRPr="00F12F7E" w14:paraId="120F25EE" w14:textId="77777777" w:rsidTr="00822842">
        <w:tc>
          <w:tcPr>
            <w:tcW w:w="1188" w:type="dxa"/>
          </w:tcPr>
          <w:p w14:paraId="283A6D5E"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0300 –⁠ 0400</w:t>
            </w:r>
          </w:p>
        </w:tc>
        <w:tc>
          <w:tcPr>
            <w:tcW w:w="8640" w:type="dxa"/>
          </w:tcPr>
          <w:p w14:paraId="648286BD" w14:textId="37D475CA"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PRÍSPEVOK</w:t>
            </w:r>
            <w:r w:rsidR="00F12F7E">
              <w:rPr>
                <w:rStyle w:val="InstructionsTabelleberschrift"/>
                <w:rFonts w:ascii="Times New Roman" w:hAnsi="Times New Roman"/>
                <w:sz w:val="24"/>
              </w:rPr>
              <w:t xml:space="preserve"> K </w:t>
            </w:r>
            <w:r w:rsidRPr="00F12F7E">
              <w:rPr>
                <w:rStyle w:val="InstructionsTabelleberschrift"/>
                <w:rFonts w:ascii="Times New Roman" w:hAnsi="Times New Roman"/>
                <w:sz w:val="24"/>
              </w:rPr>
              <w:t>VLASTNÝM ZDROJOM</w:t>
            </w:r>
          </w:p>
          <w:p w14:paraId="3D91C1AA" w14:textId="77777777" w:rsidR="00F12F7E" w:rsidRDefault="00173F08" w:rsidP="00822842">
            <w:pPr>
              <w:pStyle w:val="Texte2"/>
              <w:ind w:left="0"/>
              <w:rPr>
                <w:rStyle w:val="InstructionsTabelleText"/>
                <w:rFonts w:ascii="Times New Roman" w:hAnsi="Times New Roman"/>
                <w:sz w:val="24"/>
              </w:rPr>
            </w:pPr>
            <w:r w:rsidRPr="00F12F7E">
              <w:rPr>
                <w:rStyle w:val="InstructionsTabelleText"/>
                <w:rFonts w:ascii="Times New Roman" w:hAnsi="Times New Roman"/>
                <w:sz w:val="24"/>
              </w:rPr>
              <w:t>Táto časť vzoru neznamená, že inštitúcie majú vykonať úplný výpočet celkového podielu kapitálu na úrovni každého subjektu</w:t>
            </w:r>
            <w:r w:rsidR="00F12F7E">
              <w:rPr>
                <w:rStyle w:val="InstructionsTabelleText"/>
                <w:rFonts w:ascii="Times New Roman" w:hAnsi="Times New Roman"/>
                <w:sz w:val="24"/>
              </w:rPr>
              <w:t>.</w:t>
            </w:r>
          </w:p>
          <w:p w14:paraId="58F77BCC" w14:textId="77346DCF" w:rsidR="00173F08" w:rsidRPr="00F12F7E" w:rsidRDefault="00173F08" w:rsidP="00822842">
            <w:pPr>
              <w:pStyle w:val="Texte2"/>
              <w:ind w:left="0"/>
              <w:rPr>
                <w:rStyle w:val="InstructionsTabelleText"/>
                <w:rFonts w:ascii="Times New Roman" w:hAnsi="Times New Roman"/>
                <w:sz w:val="24"/>
                <w:szCs w:val="24"/>
              </w:rPr>
            </w:pPr>
            <w:r w:rsidRPr="00F12F7E">
              <w:rPr>
                <w:rFonts w:ascii="Times New Roman" w:hAnsi="Times New Roman"/>
                <w:sz w:val="24"/>
              </w:rPr>
              <w:t>Stĺpce 0300 až 0350 sa vypĺňajú pre konsolidované subjekty, ktoré</w:t>
            </w:r>
            <w:r w:rsidR="00F12F7E">
              <w:rPr>
                <w:rFonts w:ascii="Times New Roman" w:hAnsi="Times New Roman"/>
                <w:sz w:val="24"/>
              </w:rPr>
              <w:t xml:space="preserve"> k </w:t>
            </w:r>
            <w:r w:rsidRPr="00F12F7E">
              <w:rPr>
                <w:rFonts w:ascii="Times New Roman" w:hAnsi="Times New Roman"/>
                <w:sz w:val="24"/>
              </w:rPr>
              <w:t>vlastným zdrojom prispievajú menšinovou účasťou,</w:t>
            </w:r>
            <w:r w:rsidRPr="00F12F7E">
              <w:t xml:space="preserve"> </w:t>
            </w:r>
            <w:r w:rsidRPr="00F12F7E">
              <w:rPr>
                <w:rFonts w:ascii="Times New Roman" w:hAnsi="Times New Roman"/>
                <w:sz w:val="24"/>
              </w:rPr>
              <w:t>kvalifikovaným kapitálom Tier 1 alebo kvalifikovanými vlastnými zdrojmi. Keďže sa na ne vzťahuje prahová hodnota uvedená</w:t>
            </w:r>
            <w:r w:rsidR="00F12F7E">
              <w:rPr>
                <w:rFonts w:ascii="Times New Roman" w:hAnsi="Times New Roman"/>
                <w:sz w:val="24"/>
              </w:rPr>
              <w:t xml:space="preserve"> v </w:t>
            </w:r>
            <w:r w:rsidRPr="00F12F7E">
              <w:rPr>
                <w:rFonts w:ascii="Times New Roman" w:hAnsi="Times New Roman"/>
                <w:sz w:val="24"/>
              </w:rPr>
              <w:t>časti II kapitole 2.3 poslednom odseku vyššie, stĺpce 0360 až 0400 sa vypĺňajú pre všetky konsolidované subjekty, ktoré prispievajú ku konsolidovaným vlastným zdrojom.</w:t>
            </w:r>
          </w:p>
          <w:p w14:paraId="188943B1" w14:textId="0F15EA58" w:rsidR="00F12F7E" w:rsidRPr="00AE2413" w:rsidRDefault="00173F08" w:rsidP="00822842">
            <w:pPr>
              <w:pStyle w:val="Texte2"/>
              <w:ind w:left="0"/>
              <w:rPr>
                <w:rStyle w:val="InstructionsTabelleText"/>
                <w:rFonts w:ascii="Times New Roman" w:hAnsi="Times New Roman"/>
                <w:spacing w:val="-4"/>
                <w:sz w:val="24"/>
              </w:rPr>
            </w:pPr>
            <w:r w:rsidRPr="00AE2413">
              <w:rPr>
                <w:rStyle w:val="InstructionsTabelleText"/>
                <w:rFonts w:ascii="Times New Roman" w:hAnsi="Times New Roman"/>
                <w:spacing w:val="-4"/>
                <w:sz w:val="24"/>
              </w:rPr>
              <w:t>Vlastné zdroje, ktoré do subjektu priniesli zvyšné subjekty zahrnuté</w:t>
            </w:r>
            <w:r w:rsidR="00F12F7E" w:rsidRPr="00AE2413">
              <w:rPr>
                <w:rStyle w:val="InstructionsTabelleText"/>
                <w:rFonts w:ascii="Times New Roman" w:hAnsi="Times New Roman"/>
                <w:spacing w:val="-4"/>
                <w:sz w:val="24"/>
              </w:rPr>
              <w:t xml:space="preserve"> v </w:t>
            </w:r>
            <w:r w:rsidRPr="00AE2413">
              <w:rPr>
                <w:rStyle w:val="InstructionsTabelleText"/>
                <w:rFonts w:ascii="Times New Roman" w:hAnsi="Times New Roman"/>
                <w:spacing w:val="-4"/>
                <w:sz w:val="24"/>
              </w:rPr>
              <w:t>rámci vykazujúceho subjektu, sa nezohľadňujú,</w:t>
            </w:r>
            <w:r w:rsidR="00F12F7E" w:rsidRPr="00AE2413">
              <w:rPr>
                <w:rStyle w:val="InstructionsTabelleText"/>
                <w:rFonts w:ascii="Times New Roman" w:hAnsi="Times New Roman"/>
                <w:spacing w:val="-4"/>
                <w:sz w:val="24"/>
              </w:rPr>
              <w:t xml:space="preserve"> v </w:t>
            </w:r>
            <w:r w:rsidRPr="00AE2413">
              <w:rPr>
                <w:rStyle w:val="InstructionsTabelleText"/>
                <w:rFonts w:ascii="Times New Roman" w:hAnsi="Times New Roman"/>
                <w:spacing w:val="-4"/>
                <w:sz w:val="24"/>
              </w:rPr>
              <w:t>tomto stĺpci sa vykazuje len čistý príspevok</w:t>
            </w:r>
            <w:r w:rsidR="00F12F7E" w:rsidRPr="00AE2413">
              <w:rPr>
                <w:rStyle w:val="InstructionsTabelleText"/>
                <w:rFonts w:ascii="Times New Roman" w:hAnsi="Times New Roman"/>
                <w:spacing w:val="-4"/>
                <w:sz w:val="24"/>
              </w:rPr>
              <w:t xml:space="preserve"> k </w:t>
            </w:r>
            <w:r w:rsidRPr="00AE2413">
              <w:rPr>
                <w:rStyle w:val="InstructionsTabelleText"/>
                <w:rFonts w:ascii="Times New Roman" w:hAnsi="Times New Roman"/>
                <w:spacing w:val="-4"/>
                <w:sz w:val="24"/>
              </w:rPr>
              <w:t>vlastným zdrojom skupiny (najmä vlastné zdroje získané od tretích strán</w:t>
            </w:r>
            <w:r w:rsidR="00F12F7E" w:rsidRPr="00AE2413">
              <w:rPr>
                <w:rStyle w:val="InstructionsTabelleText"/>
                <w:rFonts w:ascii="Times New Roman" w:hAnsi="Times New Roman"/>
                <w:spacing w:val="-4"/>
                <w:sz w:val="24"/>
              </w:rPr>
              <w:t xml:space="preserve"> a </w:t>
            </w:r>
            <w:r w:rsidRPr="00AE2413">
              <w:rPr>
                <w:rStyle w:val="InstructionsTabelleText"/>
                <w:rFonts w:ascii="Times New Roman" w:hAnsi="Times New Roman"/>
                <w:spacing w:val="-4"/>
                <w:sz w:val="24"/>
              </w:rPr>
              <w:t>akumulované rezervy)</w:t>
            </w:r>
            <w:r w:rsidR="00F12F7E" w:rsidRPr="00AE2413">
              <w:rPr>
                <w:rStyle w:val="InstructionsTabelleText"/>
                <w:rFonts w:ascii="Times New Roman" w:hAnsi="Times New Roman"/>
                <w:spacing w:val="-4"/>
                <w:sz w:val="24"/>
              </w:rPr>
              <w:t>.</w:t>
            </w:r>
          </w:p>
          <w:p w14:paraId="434D930D" w14:textId="43FB21EC" w:rsidR="00173F08" w:rsidRPr="00F12F7E" w:rsidRDefault="00173F08" w:rsidP="00822842">
            <w:pPr>
              <w:pStyle w:val="Texte2"/>
              <w:spacing w:after="120"/>
              <w:ind w:left="0"/>
              <w:rPr>
                <w:rStyle w:val="InstructionsTabelleberschrift"/>
                <w:rFonts w:ascii="Times New Roman" w:hAnsi="Times New Roman"/>
                <w:b w:val="0"/>
                <w:bCs w:val="0"/>
                <w:sz w:val="24"/>
                <w:szCs w:val="24"/>
              </w:rPr>
            </w:pPr>
            <w:r w:rsidRPr="00F12F7E">
              <w:rPr>
                <w:rStyle w:val="InstructionsTabelleText"/>
                <w:rFonts w:ascii="Times New Roman" w:hAnsi="Times New Roman"/>
                <w:sz w:val="24"/>
              </w:rPr>
              <w:t>Informácie vykazované</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nasledujúcich stĺpcoch musia byť</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w:t>
            </w:r>
            <w:r w:rsidR="00F12F7E">
              <w:rPr>
                <w:rStyle w:val="InstructionsTabelleText"/>
                <w:rFonts w:ascii="Times New Roman" w:hAnsi="Times New Roman"/>
                <w:sz w:val="24"/>
              </w:rPr>
              <w:t xml:space="preserve"> s </w:t>
            </w:r>
            <w:r w:rsidRPr="00F12F7E">
              <w:rPr>
                <w:rStyle w:val="InstructionsTabelleText"/>
                <w:rFonts w:ascii="Times New Roman" w:hAnsi="Times New Roman"/>
                <w:sz w:val="24"/>
              </w:rPr>
              <w:t>pravidlami</w:t>
            </w:r>
            <w:r w:rsidR="00F12F7E">
              <w:rPr>
                <w:rStyle w:val="InstructionsTabelleText"/>
                <w:rFonts w:ascii="Times New Roman" w:hAnsi="Times New Roman"/>
                <w:sz w:val="24"/>
              </w:rPr>
              <w:t xml:space="preserve"> o </w:t>
            </w:r>
            <w:r w:rsidRPr="00F12F7E">
              <w:rPr>
                <w:rStyle w:val="InstructionsTabelleText"/>
                <w:rFonts w:ascii="Times New Roman" w:hAnsi="Times New Roman"/>
                <w:sz w:val="24"/>
              </w:rPr>
              <w:t>platobnej schopnosti uplatniteľnými na vykazujúcu inštitúciu.</w:t>
            </w:r>
          </w:p>
        </w:tc>
      </w:tr>
      <w:tr w:rsidR="00173F08" w:rsidRPr="00F12F7E" w14:paraId="00233A1B" w14:textId="77777777" w:rsidTr="00822842">
        <w:tc>
          <w:tcPr>
            <w:tcW w:w="1188" w:type="dxa"/>
          </w:tcPr>
          <w:p w14:paraId="6A2EC485"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0300 –⁠ 0350</w:t>
            </w:r>
          </w:p>
        </w:tc>
        <w:tc>
          <w:tcPr>
            <w:tcW w:w="8640" w:type="dxa"/>
          </w:tcPr>
          <w:p w14:paraId="1F3610D7"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KVALIFIKOVANÉ VLASTNÉ ZDROJE ZAHRNUTÉ DO KONSOLIDOVANÝCH VLASTNÝCH ZDROJOV</w:t>
            </w:r>
          </w:p>
          <w:p w14:paraId="7830B882" w14:textId="77777777"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Hodnota, ktorá sa vykazuje ako „KVALIFIKOVANÉ VLASTNÉ ZDROJE ZAHRNUTÉ DO KONSOLIDOVANÝCH VLASTNÝCH ZDROJOV“, je hodnota odvodená od druhej časti hlavy II</w:t>
            </w:r>
            <w:r w:rsidRPr="00F12F7E">
              <w:rPr>
                <w:rFonts w:ascii="Times New Roman" w:hAnsi="Times New Roman"/>
                <w:sz w:val="24"/>
              </w:rPr>
              <w:t xml:space="preserve"> nariadenia (EÚ) č. 575/2013</w:t>
            </w:r>
            <w:r w:rsidRPr="00F12F7E">
              <w:rPr>
                <w:rStyle w:val="InstructionsTabelleText"/>
                <w:rFonts w:ascii="Times New Roman" w:hAnsi="Times New Roman"/>
                <w:sz w:val="24"/>
              </w:rPr>
              <w:t xml:space="preserve"> bez zdrojov prinesených ostatnými subjektmi skupiny.</w:t>
            </w:r>
          </w:p>
        </w:tc>
      </w:tr>
      <w:tr w:rsidR="00173F08" w:rsidRPr="00F12F7E" w14:paraId="2D948A28" w14:textId="77777777" w:rsidTr="00822842">
        <w:tc>
          <w:tcPr>
            <w:tcW w:w="1188" w:type="dxa"/>
          </w:tcPr>
          <w:p w14:paraId="6278E06B" w14:textId="77777777" w:rsidR="00173F08" w:rsidRPr="00F12F7E" w:rsidRDefault="00173F08" w:rsidP="00822842">
            <w:pPr>
              <w:rPr>
                <w:rStyle w:val="InstructionsTabelleText"/>
                <w:rFonts w:ascii="Times New Roman" w:hAnsi="Times New Roman"/>
                <w:sz w:val="24"/>
              </w:rPr>
            </w:pPr>
            <w:r w:rsidRPr="00F12F7E">
              <w:rPr>
                <w:rFonts w:ascii="Times New Roman" w:hAnsi="Times New Roman"/>
                <w:sz w:val="24"/>
              </w:rPr>
              <w:t>0300</w:t>
            </w:r>
          </w:p>
        </w:tc>
        <w:tc>
          <w:tcPr>
            <w:tcW w:w="8640" w:type="dxa"/>
          </w:tcPr>
          <w:p w14:paraId="52465511"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KVALIFIKOVANÉ VLASTNÉ ZDROJE ZAHRNUTÉ DO KONSOLIDOVANÝCH VLASTNÝCH ZDROJOV</w:t>
            </w:r>
          </w:p>
          <w:p w14:paraId="6F3A607D"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 xml:space="preserve">Článok 87 </w:t>
            </w:r>
            <w:r w:rsidRPr="00F12F7E">
              <w:rPr>
                <w:rFonts w:ascii="Times New Roman" w:hAnsi="Times New Roman"/>
                <w:sz w:val="24"/>
              </w:rPr>
              <w:t>nariadenia (EÚ) č. 575/2013</w:t>
            </w:r>
          </w:p>
        </w:tc>
      </w:tr>
      <w:tr w:rsidR="00173F08" w:rsidRPr="00F12F7E" w14:paraId="1998204E" w14:textId="77777777" w:rsidTr="00822842">
        <w:tc>
          <w:tcPr>
            <w:tcW w:w="1188" w:type="dxa"/>
          </w:tcPr>
          <w:p w14:paraId="3684E5FE" w14:textId="77777777" w:rsidR="00173F08" w:rsidRPr="00F12F7E" w:rsidRDefault="00173F08" w:rsidP="00822842">
            <w:pPr>
              <w:rPr>
                <w:rStyle w:val="InstructionsTabelleText"/>
                <w:rFonts w:ascii="Times New Roman" w:hAnsi="Times New Roman"/>
                <w:sz w:val="24"/>
              </w:rPr>
            </w:pPr>
            <w:r w:rsidRPr="00F12F7E">
              <w:rPr>
                <w:rFonts w:ascii="Times New Roman" w:hAnsi="Times New Roman"/>
                <w:sz w:val="24"/>
              </w:rPr>
              <w:t>0310</w:t>
            </w:r>
          </w:p>
        </w:tc>
        <w:tc>
          <w:tcPr>
            <w:tcW w:w="8640" w:type="dxa"/>
          </w:tcPr>
          <w:p w14:paraId="2378035D"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KVALIFIKOVANÉ NÁSTROJE TIER 1 ZAHRNUTÉ DO KONSOLIDOVANÉHO KAPITÁLU TIER 1</w:t>
            </w:r>
          </w:p>
          <w:p w14:paraId="4E25C234"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 xml:space="preserve">Článok 85 </w:t>
            </w:r>
            <w:r w:rsidRPr="00F12F7E">
              <w:rPr>
                <w:rFonts w:ascii="Times New Roman" w:hAnsi="Times New Roman"/>
                <w:sz w:val="24"/>
              </w:rPr>
              <w:t>nariadenia (EÚ) č. 575/2013</w:t>
            </w:r>
          </w:p>
        </w:tc>
      </w:tr>
      <w:tr w:rsidR="00173F08" w:rsidRPr="00F12F7E" w14:paraId="70CC0CF1" w14:textId="77777777" w:rsidTr="00822842">
        <w:tc>
          <w:tcPr>
            <w:tcW w:w="1188" w:type="dxa"/>
          </w:tcPr>
          <w:p w14:paraId="7C1C1AE3" w14:textId="77777777" w:rsidR="00173F08" w:rsidRPr="00F12F7E" w:rsidRDefault="00173F08" w:rsidP="00822842">
            <w:pPr>
              <w:rPr>
                <w:rStyle w:val="InstructionsTabelleText"/>
                <w:rFonts w:ascii="Times New Roman" w:hAnsi="Times New Roman"/>
                <w:sz w:val="24"/>
              </w:rPr>
            </w:pPr>
            <w:r w:rsidRPr="00F12F7E">
              <w:rPr>
                <w:rFonts w:ascii="Times New Roman" w:hAnsi="Times New Roman"/>
                <w:sz w:val="24"/>
              </w:rPr>
              <w:lastRenderedPageBreak/>
              <w:t>0320</w:t>
            </w:r>
          </w:p>
        </w:tc>
        <w:tc>
          <w:tcPr>
            <w:tcW w:w="8640" w:type="dxa"/>
          </w:tcPr>
          <w:p w14:paraId="5D406C67" w14:textId="77777777" w:rsidR="00173F08" w:rsidRPr="00F12F7E" w:rsidRDefault="00173F08" w:rsidP="00822842">
            <w:pPr>
              <w:rPr>
                <w:rStyle w:val="InstructionsTabelleText"/>
                <w:rFonts w:ascii="Times New Roman" w:hAnsi="Times New Roman"/>
                <w:sz w:val="24"/>
              </w:rPr>
            </w:pPr>
            <w:r w:rsidRPr="00F12F7E">
              <w:rPr>
                <w:rStyle w:val="InstructionsTabelleberschrift"/>
                <w:rFonts w:ascii="Times New Roman" w:hAnsi="Times New Roman"/>
                <w:sz w:val="24"/>
              </w:rPr>
              <w:t>MENŠINOVÉ ÚČASTI ZAHRNUTÉ DO KONSOLIDOVANÉHO VLASTNÉHO</w:t>
            </w:r>
            <w:r w:rsidRPr="00F12F7E">
              <w:t xml:space="preserve"> </w:t>
            </w:r>
            <w:r w:rsidRPr="00F12F7E">
              <w:br/>
            </w:r>
            <w:r w:rsidRPr="00F12F7E">
              <w:rPr>
                <w:rStyle w:val="InstructionsTabelleberschrift"/>
                <w:rFonts w:ascii="Times New Roman" w:hAnsi="Times New Roman"/>
                <w:sz w:val="24"/>
              </w:rPr>
              <w:t>KAPITÁLU TIER 1</w:t>
            </w:r>
          </w:p>
          <w:p w14:paraId="0B8B81AA"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 xml:space="preserve">Článok 84 </w:t>
            </w:r>
            <w:r w:rsidRPr="00F12F7E">
              <w:rPr>
                <w:rFonts w:ascii="Times New Roman" w:hAnsi="Times New Roman"/>
                <w:sz w:val="24"/>
              </w:rPr>
              <w:t>nariadenia (EÚ) č. 575/2013</w:t>
            </w:r>
          </w:p>
          <w:p w14:paraId="01FA0CDC" w14:textId="0B495258"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Vykazovaná hodnota je hodnota menšinových účastí dcérskej spoločnosti, ktorá je zahrnutá do konsolidovaného CET1</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w:t>
            </w:r>
            <w:r w:rsidR="00F12F7E">
              <w:rPr>
                <w:rStyle w:val="InstructionsTabelleText"/>
                <w:rFonts w:ascii="Times New Roman" w:hAnsi="Times New Roman"/>
                <w:sz w:val="24"/>
              </w:rPr>
              <w:t xml:space="preserve"> s </w:t>
            </w:r>
            <w:r w:rsidRPr="00F12F7E">
              <w:rPr>
                <w:rFonts w:ascii="Times New Roman" w:hAnsi="Times New Roman"/>
                <w:sz w:val="24"/>
              </w:rPr>
              <w:t>nariadením (EÚ) č. 575/2013</w:t>
            </w:r>
            <w:r w:rsidRPr="00F12F7E">
              <w:rPr>
                <w:rStyle w:val="InstructionsTabelleText"/>
                <w:rFonts w:ascii="Times New Roman" w:hAnsi="Times New Roman"/>
                <w:sz w:val="24"/>
              </w:rPr>
              <w:t xml:space="preserve">. </w:t>
            </w:r>
          </w:p>
        </w:tc>
      </w:tr>
      <w:tr w:rsidR="00173F08" w:rsidRPr="00F12F7E" w14:paraId="72674BB4" w14:textId="77777777" w:rsidTr="00822842">
        <w:tc>
          <w:tcPr>
            <w:tcW w:w="1188" w:type="dxa"/>
          </w:tcPr>
          <w:p w14:paraId="5F195C28" w14:textId="77777777" w:rsidR="00173F08" w:rsidRPr="00F12F7E" w:rsidRDefault="00173F08" w:rsidP="00822842">
            <w:pPr>
              <w:rPr>
                <w:rStyle w:val="InstructionsTabelleText"/>
                <w:rFonts w:ascii="Times New Roman" w:hAnsi="Times New Roman"/>
                <w:sz w:val="24"/>
              </w:rPr>
            </w:pPr>
            <w:r w:rsidRPr="00F12F7E">
              <w:rPr>
                <w:rFonts w:ascii="Times New Roman" w:hAnsi="Times New Roman"/>
                <w:sz w:val="24"/>
              </w:rPr>
              <w:t>0330</w:t>
            </w:r>
          </w:p>
        </w:tc>
        <w:tc>
          <w:tcPr>
            <w:tcW w:w="8640" w:type="dxa"/>
          </w:tcPr>
          <w:p w14:paraId="6AF15CF2" w14:textId="77777777" w:rsidR="00173F08" w:rsidRPr="00F12F7E" w:rsidRDefault="00173F08" w:rsidP="00822842">
            <w:pPr>
              <w:rPr>
                <w:rStyle w:val="InstructionsTabelleText"/>
                <w:rFonts w:ascii="Times New Roman" w:hAnsi="Times New Roman"/>
                <w:sz w:val="24"/>
              </w:rPr>
            </w:pPr>
            <w:r w:rsidRPr="00F12F7E">
              <w:rPr>
                <w:rStyle w:val="InstructionsTabelleberschrift"/>
                <w:rFonts w:ascii="Times New Roman" w:hAnsi="Times New Roman"/>
                <w:sz w:val="24"/>
              </w:rPr>
              <w:t>KVALIFIKOVANÉ NÁSTROJE TIER 1 ZAHRNUTÉ DO KONSOLIDOVANÉHO DODATOČNÉHO KAPITÁLU TIER 1</w:t>
            </w:r>
          </w:p>
          <w:p w14:paraId="488797C4"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 xml:space="preserve">Článok 86 </w:t>
            </w:r>
            <w:r w:rsidRPr="00F12F7E">
              <w:rPr>
                <w:rFonts w:ascii="Times New Roman" w:hAnsi="Times New Roman"/>
                <w:sz w:val="24"/>
              </w:rPr>
              <w:t>nariadenia (EÚ) č. 575/2013</w:t>
            </w:r>
          </w:p>
          <w:p w14:paraId="14D60AC1" w14:textId="77BD1B4C"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Vykazovaná hodnota je hodnota kvalifikovaného kapitálu T1 dcérskej spoločnosti, ktorá je zahrnutá do konsolidovaného AT1</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w:t>
            </w:r>
            <w:r w:rsidR="00F12F7E">
              <w:rPr>
                <w:rStyle w:val="InstructionsTabelleText"/>
                <w:rFonts w:ascii="Times New Roman" w:hAnsi="Times New Roman"/>
                <w:sz w:val="24"/>
              </w:rPr>
              <w:t xml:space="preserve"> s </w:t>
            </w:r>
            <w:r w:rsidRPr="00F12F7E">
              <w:rPr>
                <w:rFonts w:ascii="Times New Roman" w:hAnsi="Times New Roman"/>
                <w:sz w:val="24"/>
              </w:rPr>
              <w:t>nariadením (EÚ) č. 575/2013</w:t>
            </w:r>
            <w:r w:rsidRPr="00F12F7E">
              <w:rPr>
                <w:rStyle w:val="InstructionsTabelleText"/>
                <w:rFonts w:ascii="Times New Roman" w:hAnsi="Times New Roman"/>
                <w:sz w:val="24"/>
              </w:rPr>
              <w:t xml:space="preserve">. </w:t>
            </w:r>
          </w:p>
        </w:tc>
      </w:tr>
      <w:tr w:rsidR="00173F08" w:rsidRPr="00F12F7E" w14:paraId="26437422" w14:textId="77777777" w:rsidTr="00822842">
        <w:tc>
          <w:tcPr>
            <w:tcW w:w="1188" w:type="dxa"/>
          </w:tcPr>
          <w:p w14:paraId="7FD01E11" w14:textId="77777777" w:rsidR="00173F08" w:rsidRPr="00F12F7E" w:rsidRDefault="00173F08" w:rsidP="00822842">
            <w:pPr>
              <w:rPr>
                <w:rStyle w:val="InstructionsTabelleText"/>
                <w:rFonts w:ascii="Times New Roman" w:hAnsi="Times New Roman"/>
                <w:sz w:val="24"/>
              </w:rPr>
            </w:pPr>
            <w:r w:rsidRPr="00F12F7E">
              <w:rPr>
                <w:rFonts w:ascii="Times New Roman" w:hAnsi="Times New Roman"/>
                <w:sz w:val="24"/>
              </w:rPr>
              <w:t>0340</w:t>
            </w:r>
          </w:p>
        </w:tc>
        <w:tc>
          <w:tcPr>
            <w:tcW w:w="8640" w:type="dxa"/>
          </w:tcPr>
          <w:p w14:paraId="6E1E5EBF"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KVALIFIKOVANÉ NÁSTROJE VLASTNÝCH ZDROJOV ZAHRNUTÉ DO</w:t>
            </w:r>
            <w:r w:rsidRPr="00F12F7E">
              <w:t xml:space="preserve"> </w:t>
            </w:r>
            <w:r w:rsidRPr="00F12F7E">
              <w:br/>
            </w:r>
            <w:r w:rsidRPr="00F12F7E">
              <w:rPr>
                <w:rStyle w:val="InstructionsTabelleberschrift"/>
                <w:rFonts w:ascii="Times New Roman" w:hAnsi="Times New Roman"/>
                <w:sz w:val="24"/>
              </w:rPr>
              <w:t>KONSOLIDOVANÉHO KAPITÁLU TIER 2</w:t>
            </w:r>
          </w:p>
          <w:p w14:paraId="1E25A6DF"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 xml:space="preserve">Článok 88 </w:t>
            </w:r>
            <w:r w:rsidRPr="00F12F7E">
              <w:rPr>
                <w:rFonts w:ascii="Times New Roman" w:hAnsi="Times New Roman"/>
                <w:sz w:val="24"/>
              </w:rPr>
              <w:t>nariadenia (EÚ) č. 575/2013</w:t>
            </w:r>
          </w:p>
          <w:p w14:paraId="257F78A1" w14:textId="5737467A"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Vykazovaná hodnota je hodnota kvalifikovaných vlastných zdrojov dcérskej spoločnosti, ktorá je zahrnutá do konsolidovaného T2</w:t>
            </w:r>
            <w:r w:rsidR="00F12F7E">
              <w:rPr>
                <w:rStyle w:val="InstructionsTabelleText"/>
                <w:rFonts w:ascii="Times New Roman" w:hAnsi="Times New Roman"/>
                <w:sz w:val="24"/>
              </w:rPr>
              <w:t xml:space="preserve"> v </w:t>
            </w:r>
            <w:r w:rsidRPr="00F12F7E">
              <w:rPr>
                <w:rStyle w:val="InstructionsTabelleText"/>
                <w:rFonts w:ascii="Times New Roman" w:hAnsi="Times New Roman"/>
                <w:sz w:val="24"/>
              </w:rPr>
              <w:t>súlade</w:t>
            </w:r>
            <w:r w:rsidR="00F12F7E">
              <w:rPr>
                <w:rStyle w:val="InstructionsTabelleText"/>
                <w:rFonts w:ascii="Times New Roman" w:hAnsi="Times New Roman"/>
                <w:sz w:val="24"/>
              </w:rPr>
              <w:t xml:space="preserve"> s </w:t>
            </w:r>
            <w:r w:rsidRPr="00F12F7E">
              <w:rPr>
                <w:rFonts w:ascii="Times New Roman" w:hAnsi="Times New Roman"/>
                <w:sz w:val="24"/>
              </w:rPr>
              <w:t>nariadením (EÚ) č. 575/2013</w:t>
            </w:r>
            <w:r w:rsidRPr="00F12F7E">
              <w:rPr>
                <w:rStyle w:val="InstructionsTabelleText"/>
                <w:rFonts w:ascii="Times New Roman" w:hAnsi="Times New Roman"/>
                <w:sz w:val="24"/>
              </w:rPr>
              <w:t xml:space="preserve">. </w:t>
            </w:r>
          </w:p>
        </w:tc>
      </w:tr>
      <w:tr w:rsidR="00173F08" w:rsidRPr="00F12F7E" w14:paraId="39EA7587" w14:textId="77777777" w:rsidTr="00822842">
        <w:tc>
          <w:tcPr>
            <w:tcW w:w="1188" w:type="dxa"/>
          </w:tcPr>
          <w:p w14:paraId="04CB064F" w14:textId="77777777" w:rsidR="00173F08" w:rsidRPr="00F12F7E" w:rsidRDefault="00173F08" w:rsidP="00822842">
            <w:pPr>
              <w:rPr>
                <w:rFonts w:ascii="Times New Roman" w:hAnsi="Times New Roman"/>
                <w:sz w:val="24"/>
              </w:rPr>
            </w:pPr>
            <w:r w:rsidRPr="00F12F7E">
              <w:rPr>
                <w:rFonts w:ascii="Times New Roman" w:hAnsi="Times New Roman"/>
                <w:sz w:val="24"/>
              </w:rPr>
              <w:t>0350</w:t>
            </w:r>
          </w:p>
        </w:tc>
        <w:tc>
          <w:tcPr>
            <w:tcW w:w="8640" w:type="dxa"/>
          </w:tcPr>
          <w:p w14:paraId="7BBDC2E3" w14:textId="77777777" w:rsidR="00173F08" w:rsidRPr="00F12F7E" w:rsidRDefault="00173F08" w:rsidP="00822842">
            <w:pPr>
              <w:rPr>
                <w:rStyle w:val="InstructionsTabelleberschrift"/>
                <w:rFonts w:ascii="Times New Roman" w:hAnsi="Times New Roman"/>
                <w:b w:val="0"/>
                <w:sz w:val="24"/>
              </w:rPr>
            </w:pPr>
            <w:r w:rsidRPr="00F12F7E">
              <w:rPr>
                <w:rStyle w:val="InstructionsTabelleberschrift"/>
                <w:rFonts w:ascii="Times New Roman" w:hAnsi="Times New Roman"/>
                <w:sz w:val="24"/>
              </w:rPr>
              <w:t>DOPLŇUJÚCA POLOŽKA: GOODWILL (–)/(+) NEGATÍVNY GOODWILL</w:t>
            </w:r>
          </w:p>
        </w:tc>
      </w:tr>
      <w:tr w:rsidR="00173F08" w:rsidRPr="00F12F7E" w14:paraId="3997C23F" w14:textId="77777777" w:rsidTr="00822842">
        <w:tc>
          <w:tcPr>
            <w:tcW w:w="1188" w:type="dxa"/>
          </w:tcPr>
          <w:p w14:paraId="72AB87A5" w14:textId="77777777" w:rsidR="00173F08" w:rsidRPr="00F12F7E" w:rsidRDefault="00173F08" w:rsidP="00822842">
            <w:pPr>
              <w:rPr>
                <w:rFonts w:ascii="Times New Roman" w:hAnsi="Times New Roman"/>
                <w:sz w:val="24"/>
              </w:rPr>
            </w:pPr>
            <w:r w:rsidRPr="00F12F7E">
              <w:rPr>
                <w:rFonts w:ascii="Times New Roman" w:hAnsi="Times New Roman"/>
                <w:sz w:val="24"/>
              </w:rPr>
              <w:t>0360 –⁠ 0400</w:t>
            </w:r>
          </w:p>
        </w:tc>
        <w:tc>
          <w:tcPr>
            <w:tcW w:w="8640" w:type="dxa"/>
          </w:tcPr>
          <w:p w14:paraId="397FA959"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KONSOLIDOVANÉ VLASTNÉ ZDROJE</w:t>
            </w:r>
          </w:p>
          <w:p w14:paraId="71907E17"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 xml:space="preserve">Článok 18 </w:t>
            </w:r>
            <w:r w:rsidRPr="00F12F7E">
              <w:rPr>
                <w:rFonts w:ascii="Times New Roman" w:hAnsi="Times New Roman"/>
                <w:sz w:val="24"/>
              </w:rPr>
              <w:t>nariadenia (EÚ) č. 575/2013</w:t>
            </w:r>
          </w:p>
          <w:p w14:paraId="4F42327D"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Hodnota, ktorá sa má vykázať ako „KONSOLIDOVANÉ VLASTNÉ ZDROJE“, je hodnota odvodená zo súvahy bez zdrojov prinesených ostatnými subjektmi skupiny.</w:t>
            </w:r>
          </w:p>
        </w:tc>
      </w:tr>
      <w:tr w:rsidR="00173F08" w:rsidRPr="00F12F7E" w14:paraId="293A7FF6" w14:textId="77777777" w:rsidTr="00822842">
        <w:tc>
          <w:tcPr>
            <w:tcW w:w="1188" w:type="dxa"/>
          </w:tcPr>
          <w:p w14:paraId="0E03C6C1" w14:textId="77777777" w:rsidR="00173F08" w:rsidRPr="00F12F7E" w:rsidRDefault="00173F08" w:rsidP="00822842">
            <w:pPr>
              <w:rPr>
                <w:rFonts w:ascii="Times New Roman" w:hAnsi="Times New Roman"/>
                <w:sz w:val="24"/>
              </w:rPr>
            </w:pPr>
            <w:r w:rsidRPr="00F12F7E">
              <w:rPr>
                <w:rFonts w:ascii="Times New Roman" w:hAnsi="Times New Roman"/>
                <w:sz w:val="24"/>
              </w:rPr>
              <w:t>0360</w:t>
            </w:r>
          </w:p>
        </w:tc>
        <w:tc>
          <w:tcPr>
            <w:tcW w:w="8640" w:type="dxa"/>
          </w:tcPr>
          <w:p w14:paraId="41EC81C0"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KONSOLIDOVANÉ VLASTNÉ ZDROJE</w:t>
            </w:r>
          </w:p>
        </w:tc>
      </w:tr>
      <w:tr w:rsidR="00173F08" w:rsidRPr="00F12F7E" w14:paraId="2E86BBAD" w14:textId="77777777" w:rsidTr="00822842">
        <w:tc>
          <w:tcPr>
            <w:tcW w:w="1188" w:type="dxa"/>
          </w:tcPr>
          <w:p w14:paraId="444BD8B5" w14:textId="77777777" w:rsidR="00173F08" w:rsidRPr="00F12F7E" w:rsidRDefault="00173F08" w:rsidP="00822842">
            <w:pPr>
              <w:rPr>
                <w:rFonts w:ascii="Times New Roman" w:hAnsi="Times New Roman"/>
                <w:sz w:val="24"/>
              </w:rPr>
            </w:pPr>
            <w:r w:rsidRPr="00F12F7E">
              <w:rPr>
                <w:rFonts w:ascii="Times New Roman" w:hAnsi="Times New Roman"/>
                <w:sz w:val="24"/>
              </w:rPr>
              <w:t>0370</w:t>
            </w:r>
          </w:p>
        </w:tc>
        <w:tc>
          <w:tcPr>
            <w:tcW w:w="8640" w:type="dxa"/>
          </w:tcPr>
          <w:p w14:paraId="2CC57784"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Z ČOHO: VLASTNÝ KAPITÁL TIER 1</w:t>
            </w:r>
          </w:p>
        </w:tc>
      </w:tr>
      <w:tr w:rsidR="00173F08" w:rsidRPr="00F12F7E" w14:paraId="68DCA9F1" w14:textId="77777777" w:rsidTr="00822842">
        <w:tc>
          <w:tcPr>
            <w:tcW w:w="1188" w:type="dxa"/>
          </w:tcPr>
          <w:p w14:paraId="01DAA296" w14:textId="77777777" w:rsidR="00173F08" w:rsidRPr="00F12F7E" w:rsidDel="0081176B" w:rsidRDefault="00173F08" w:rsidP="00822842">
            <w:pPr>
              <w:rPr>
                <w:rFonts w:ascii="Times New Roman" w:hAnsi="Times New Roman"/>
                <w:sz w:val="24"/>
              </w:rPr>
            </w:pPr>
            <w:r w:rsidRPr="00F12F7E">
              <w:rPr>
                <w:rFonts w:ascii="Times New Roman" w:hAnsi="Times New Roman"/>
                <w:sz w:val="24"/>
              </w:rPr>
              <w:t>0380</w:t>
            </w:r>
          </w:p>
        </w:tc>
        <w:tc>
          <w:tcPr>
            <w:tcW w:w="8640" w:type="dxa"/>
          </w:tcPr>
          <w:p w14:paraId="3B9BF397" w14:textId="77777777" w:rsidR="00173F08" w:rsidRPr="00F12F7E" w:rsidDel="0081176B"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Z ČOHO: DODATOČNÝ KAPITÁL TIER 1</w:t>
            </w:r>
          </w:p>
        </w:tc>
      </w:tr>
      <w:tr w:rsidR="00173F08" w:rsidRPr="00F12F7E" w14:paraId="0D196D2B" w14:textId="77777777" w:rsidTr="00822842">
        <w:tc>
          <w:tcPr>
            <w:tcW w:w="1188" w:type="dxa"/>
          </w:tcPr>
          <w:p w14:paraId="74707B55" w14:textId="77777777" w:rsidR="00173F08" w:rsidRPr="00F12F7E" w:rsidRDefault="00173F08" w:rsidP="00822842">
            <w:pPr>
              <w:rPr>
                <w:rFonts w:ascii="Times New Roman" w:hAnsi="Times New Roman"/>
                <w:sz w:val="24"/>
              </w:rPr>
            </w:pPr>
            <w:r w:rsidRPr="00F12F7E">
              <w:rPr>
                <w:rFonts w:ascii="Times New Roman" w:hAnsi="Times New Roman"/>
                <w:sz w:val="24"/>
              </w:rPr>
              <w:t>0390</w:t>
            </w:r>
          </w:p>
        </w:tc>
        <w:tc>
          <w:tcPr>
            <w:tcW w:w="8640" w:type="dxa"/>
          </w:tcPr>
          <w:p w14:paraId="1A386497" w14:textId="77777777" w:rsidR="00173F08" w:rsidRPr="00F12F7E" w:rsidRDefault="00173F08" w:rsidP="00822842">
            <w:pPr>
              <w:rPr>
                <w:rStyle w:val="InstructionsTabelleText"/>
                <w:rFonts w:ascii="Times New Roman" w:hAnsi="Times New Roman"/>
                <w:sz w:val="24"/>
              </w:rPr>
            </w:pPr>
            <w:r w:rsidRPr="00F12F7E">
              <w:rPr>
                <w:rStyle w:val="InstructionsTabelleberschrift"/>
                <w:rFonts w:ascii="Times New Roman" w:hAnsi="Times New Roman"/>
                <w:sz w:val="24"/>
              </w:rPr>
              <w:t>Z ČOHO: PRÍSPEVKY KU KONSOLIDAVANÉMU VÝSLEDKU</w:t>
            </w:r>
          </w:p>
          <w:p w14:paraId="0077C050" w14:textId="77777777"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Vykazuje sa príspevok každého subjektu ku konsolidovanému výsledku [zisk alebo strata (–)]. Hodnota zahŕňa výsledky, ktoré možno pripísať menšinovým účastiam.</w:t>
            </w:r>
          </w:p>
        </w:tc>
      </w:tr>
      <w:tr w:rsidR="00173F08" w:rsidRPr="00F12F7E" w14:paraId="499357F9" w14:textId="77777777" w:rsidTr="00822842">
        <w:tc>
          <w:tcPr>
            <w:tcW w:w="1188" w:type="dxa"/>
          </w:tcPr>
          <w:p w14:paraId="237DD5A1" w14:textId="77777777" w:rsidR="00173F08" w:rsidRPr="00F12F7E" w:rsidRDefault="00173F08" w:rsidP="00822842">
            <w:pPr>
              <w:rPr>
                <w:rFonts w:ascii="Times New Roman" w:hAnsi="Times New Roman"/>
                <w:sz w:val="24"/>
              </w:rPr>
            </w:pPr>
            <w:r w:rsidRPr="00F12F7E">
              <w:rPr>
                <w:rFonts w:ascii="Times New Roman" w:hAnsi="Times New Roman"/>
                <w:sz w:val="24"/>
              </w:rPr>
              <w:t>0400</w:t>
            </w:r>
          </w:p>
        </w:tc>
        <w:tc>
          <w:tcPr>
            <w:tcW w:w="8640" w:type="dxa"/>
          </w:tcPr>
          <w:p w14:paraId="2D7939A6"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Z ČOHO: (–) GOODWILL/(+) NEGATÍVNY GOODWILL</w:t>
            </w:r>
          </w:p>
          <w:p w14:paraId="1EA56152" w14:textId="0F293C55" w:rsidR="00173F08" w:rsidRPr="00F12F7E" w:rsidRDefault="00173F08" w:rsidP="00822842">
            <w:pPr>
              <w:rPr>
                <w:rStyle w:val="InstructionsTabelleberschrift"/>
                <w:rFonts w:ascii="Times New Roman" w:hAnsi="Times New Roman"/>
                <w:sz w:val="24"/>
              </w:rPr>
            </w:pPr>
            <w:r w:rsidRPr="00F12F7E">
              <w:rPr>
                <w:rStyle w:val="InstructionsTabelleText"/>
                <w:rFonts w:ascii="Times New Roman" w:hAnsi="Times New Roman"/>
                <w:sz w:val="24"/>
              </w:rPr>
              <w:t>Vykazuje sa tu goodwill alebo negatívny goodwill vykazujúceho subjektu vo vzťahu</w:t>
            </w:r>
            <w:r w:rsidR="00F12F7E">
              <w:rPr>
                <w:rStyle w:val="InstructionsTabelleText"/>
                <w:rFonts w:ascii="Times New Roman" w:hAnsi="Times New Roman"/>
                <w:sz w:val="24"/>
              </w:rPr>
              <w:t xml:space="preserve"> k </w:t>
            </w:r>
            <w:r w:rsidRPr="00F12F7E">
              <w:rPr>
                <w:rStyle w:val="InstructionsTabelleText"/>
                <w:rFonts w:ascii="Times New Roman" w:hAnsi="Times New Roman"/>
                <w:sz w:val="24"/>
              </w:rPr>
              <w:t>dcérskej spoločnosti.</w:t>
            </w:r>
          </w:p>
        </w:tc>
      </w:tr>
      <w:tr w:rsidR="00173F08" w:rsidRPr="00F12F7E" w14:paraId="33B902F7" w14:textId="77777777" w:rsidTr="00822842">
        <w:tc>
          <w:tcPr>
            <w:tcW w:w="1188" w:type="dxa"/>
          </w:tcPr>
          <w:p w14:paraId="34A2D119"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0410 –⁠ 0480</w:t>
            </w:r>
          </w:p>
        </w:tc>
        <w:tc>
          <w:tcPr>
            <w:tcW w:w="8640" w:type="dxa"/>
          </w:tcPr>
          <w:p w14:paraId="653C81F3"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KAPITÁLOVÉ VANKÚŠE</w:t>
            </w:r>
          </w:p>
          <w:p w14:paraId="5D522742" w14:textId="6A702001" w:rsidR="00173F08" w:rsidRPr="00F12F7E" w:rsidRDefault="00173F08" w:rsidP="00822842">
            <w:pPr>
              <w:rPr>
                <w:rStyle w:val="InstructionsTabelleberschrift"/>
                <w:rFonts w:ascii="Times New Roman" w:hAnsi="Times New Roman"/>
                <w:b w:val="0"/>
                <w:sz w:val="24"/>
              </w:rPr>
            </w:pPr>
            <w:r w:rsidRPr="00F12F7E">
              <w:rPr>
                <w:rStyle w:val="InstructionsTabelleberschrift"/>
                <w:rFonts w:ascii="Times New Roman" w:hAnsi="Times New Roman"/>
                <w:sz w:val="24"/>
              </w:rPr>
              <w:t>Štruktúra vykazovania kapitálových vankúšov pre vzor GS sa riadi všeobecnou štruktúrou vzoru CA4</w:t>
            </w:r>
            <w:r w:rsidR="00F12F7E">
              <w:rPr>
                <w:rStyle w:val="InstructionsTabelleberschrift"/>
                <w:rFonts w:ascii="Times New Roman" w:hAnsi="Times New Roman"/>
                <w:sz w:val="24"/>
              </w:rPr>
              <w:t xml:space="preserve"> a </w:t>
            </w:r>
            <w:r w:rsidRPr="00F12F7E">
              <w:rPr>
                <w:rStyle w:val="InstructionsTabelleberschrift"/>
                <w:rFonts w:ascii="Times New Roman" w:hAnsi="Times New Roman"/>
                <w:sz w:val="24"/>
              </w:rPr>
              <w:t>používajú sa rovnaké koncepcie vykazovania. Pri vykazovaní kapitálových vankúšov pre vzor GS sa príslušné hodnoty vykazujú</w:t>
            </w:r>
            <w:r w:rsidR="00F12F7E">
              <w:rPr>
                <w:rStyle w:val="InstructionsTabelleberschrift"/>
                <w:rFonts w:ascii="Times New Roman" w:hAnsi="Times New Roman"/>
                <w:sz w:val="24"/>
              </w:rPr>
              <w:t xml:space="preserve"> v </w:t>
            </w:r>
            <w:r w:rsidRPr="00F12F7E">
              <w:rPr>
                <w:rStyle w:val="InstructionsTabelleberschrift"/>
                <w:rFonts w:ascii="Times New Roman" w:hAnsi="Times New Roman"/>
                <w:sz w:val="24"/>
              </w:rPr>
              <w:t>súlade</w:t>
            </w:r>
            <w:r w:rsidR="00F12F7E">
              <w:rPr>
                <w:rStyle w:val="InstructionsTabelleberschrift"/>
                <w:rFonts w:ascii="Times New Roman" w:hAnsi="Times New Roman"/>
                <w:sz w:val="24"/>
              </w:rPr>
              <w:t xml:space="preserve"> s </w:t>
            </w:r>
            <w:r w:rsidRPr="00F12F7E">
              <w:rPr>
                <w:rStyle w:val="InstructionsTabelleberschrift"/>
                <w:rFonts w:ascii="Times New Roman" w:hAnsi="Times New Roman"/>
                <w:sz w:val="24"/>
              </w:rPr>
              <w:t xml:space="preserve">ustanoveniami uplatniteľnými na určenie požiadavky na vankúš pre konsolidovanú situáciu skupiny. Preto vykázané hodnoty kapitálových vankúšov </w:t>
            </w:r>
            <w:r w:rsidRPr="00F12F7E">
              <w:rPr>
                <w:rStyle w:val="InstructionsTabelleberschrift"/>
                <w:rFonts w:ascii="Times New Roman" w:hAnsi="Times New Roman"/>
                <w:sz w:val="24"/>
              </w:rPr>
              <w:lastRenderedPageBreak/>
              <w:t>predstavujú príspevky každého subjektu ku kapitálovým vankúšom skupiny. Vykázané hodnoty sa zakladajú na vnútroštátnych transpozičných opatreniach</w:t>
            </w:r>
            <w:r w:rsidRPr="00F12F7E">
              <w:rPr>
                <w:rFonts w:ascii="Times New Roman" w:hAnsi="Times New Roman"/>
                <w:sz w:val="24"/>
              </w:rPr>
              <w:t xml:space="preserve"> smernice 2013/36/EÚ</w:t>
            </w:r>
            <w:r w:rsidR="00F12F7E">
              <w:rPr>
                <w:rFonts w:ascii="Times New Roman" w:hAnsi="Times New Roman"/>
                <w:sz w:val="24"/>
              </w:rPr>
              <w:t xml:space="preserve"> a </w:t>
            </w:r>
            <w:r w:rsidRPr="00F12F7E">
              <w:rPr>
                <w:rStyle w:val="InstructionsTabelleberschrift"/>
                <w:rFonts w:ascii="Times New Roman" w:hAnsi="Times New Roman"/>
                <w:sz w:val="24"/>
              </w:rPr>
              <w:t>na</w:t>
            </w:r>
            <w:r w:rsidRPr="00F12F7E">
              <w:rPr>
                <w:rFonts w:ascii="Times New Roman" w:hAnsi="Times New Roman"/>
                <w:sz w:val="24"/>
              </w:rPr>
              <w:t xml:space="preserve"> nariadení (EÚ) č. 575/2013</w:t>
            </w:r>
            <w:r w:rsidRPr="00F12F7E">
              <w:rPr>
                <w:rStyle w:val="InstructionsTabelleberschrift"/>
                <w:rFonts w:ascii="Times New Roman" w:hAnsi="Times New Roman"/>
                <w:sz w:val="24"/>
              </w:rPr>
              <w:t xml:space="preserve"> vrátane akýchkoľvek prechodných ustanovení, ktoré sú</w:t>
            </w:r>
            <w:r w:rsidR="00F12F7E">
              <w:rPr>
                <w:rStyle w:val="InstructionsTabelleberschrift"/>
                <w:rFonts w:ascii="Times New Roman" w:hAnsi="Times New Roman"/>
                <w:sz w:val="24"/>
              </w:rPr>
              <w:t xml:space="preserve"> v </w:t>
            </w:r>
            <w:r w:rsidRPr="00F12F7E">
              <w:rPr>
                <w:rStyle w:val="InstructionsTabelleberschrift"/>
                <w:rFonts w:ascii="Times New Roman" w:hAnsi="Times New Roman"/>
                <w:sz w:val="24"/>
              </w:rPr>
              <w:t>nich uvedené.</w:t>
            </w:r>
          </w:p>
        </w:tc>
      </w:tr>
      <w:tr w:rsidR="00173F08" w:rsidRPr="00F12F7E" w14:paraId="63DC141B" w14:textId="77777777" w:rsidTr="00822842">
        <w:tc>
          <w:tcPr>
            <w:tcW w:w="1188" w:type="dxa"/>
          </w:tcPr>
          <w:p w14:paraId="5BB39E76"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lastRenderedPageBreak/>
              <w:t>0410</w:t>
            </w:r>
          </w:p>
        </w:tc>
        <w:tc>
          <w:tcPr>
            <w:tcW w:w="8640" w:type="dxa"/>
          </w:tcPr>
          <w:p w14:paraId="14D301D1"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POŽIADAVKA NA KOMBINOVANÝ VANKÚŠ</w:t>
            </w:r>
          </w:p>
          <w:p w14:paraId="7DF96672" w14:textId="77777777" w:rsidR="00173F08" w:rsidRPr="00F12F7E" w:rsidRDefault="00173F08" w:rsidP="00822842">
            <w:pPr>
              <w:tabs>
                <w:tab w:val="left" w:pos="3510"/>
              </w:tabs>
              <w:rPr>
                <w:rStyle w:val="InstructionsTabelleberschrift"/>
                <w:rFonts w:ascii="Times New Roman" w:hAnsi="Times New Roman"/>
                <w:sz w:val="24"/>
              </w:rPr>
            </w:pPr>
            <w:r w:rsidRPr="00F12F7E">
              <w:rPr>
                <w:rStyle w:val="InstructionsTabelleText"/>
                <w:rFonts w:ascii="Times New Roman" w:hAnsi="Times New Roman"/>
                <w:sz w:val="24"/>
              </w:rPr>
              <w:t>Článok 128 bod 6</w:t>
            </w:r>
            <w:r w:rsidRPr="00F12F7E">
              <w:rPr>
                <w:rFonts w:ascii="Times New Roman" w:hAnsi="Times New Roman"/>
                <w:sz w:val="24"/>
              </w:rPr>
              <w:t xml:space="preserve"> smernice 2013/36/EÚ</w:t>
            </w:r>
          </w:p>
        </w:tc>
      </w:tr>
      <w:tr w:rsidR="00173F08" w:rsidRPr="00F12F7E" w14:paraId="4304DCA5" w14:textId="77777777" w:rsidTr="00822842">
        <w:tc>
          <w:tcPr>
            <w:tcW w:w="1188" w:type="dxa"/>
          </w:tcPr>
          <w:p w14:paraId="0CFC30D8"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0420</w:t>
            </w:r>
          </w:p>
        </w:tc>
        <w:tc>
          <w:tcPr>
            <w:tcW w:w="8640" w:type="dxa"/>
          </w:tcPr>
          <w:p w14:paraId="41EA8A90"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VANKÚŠ NA ZACHOVANIE KAPITÁLU</w:t>
            </w:r>
          </w:p>
          <w:p w14:paraId="5DD283B6" w14:textId="1AC0CB2A"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Článok 128 bod 1</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článok 129</w:t>
            </w:r>
            <w:r w:rsidRPr="00F12F7E">
              <w:rPr>
                <w:rFonts w:ascii="Times New Roman" w:hAnsi="Times New Roman"/>
                <w:sz w:val="24"/>
              </w:rPr>
              <w:t xml:space="preserve"> smernice 2013/36/EÚ</w:t>
            </w:r>
          </w:p>
          <w:p w14:paraId="7013CF4E" w14:textId="0E50E73A" w:rsidR="00173F08" w:rsidRPr="00F12F7E" w:rsidRDefault="00173F08" w:rsidP="00822842">
            <w:pPr>
              <w:pStyle w:val="InstructionsText"/>
              <w:rPr>
                <w:rStyle w:val="InstructionsTabelleText"/>
              </w:rPr>
            </w:pPr>
            <w:r w:rsidRPr="00F12F7E">
              <w:t>Podľa článku 129 ods. 1 smernice 2013/36/EÚ je vankúš na zachovanie kapitálu dodatočná suma nad rámec vlastného kapitálu Tier 1. Keďže miera vankúša na zachovanie kapitálu vo výške 2,5</w:t>
            </w:r>
            <w:r w:rsidR="00F12F7E">
              <w:t> %</w:t>
            </w:r>
            <w:r w:rsidRPr="00F12F7E">
              <w:t xml:space="preserve"> je stabilná,</w:t>
            </w:r>
            <w:r w:rsidR="00F12F7E">
              <w:t xml:space="preserve"> v </w:t>
            </w:r>
            <w:r w:rsidRPr="00F12F7E">
              <w:t>tejto bunke sa vykazuje hodnota.</w:t>
            </w:r>
          </w:p>
        </w:tc>
      </w:tr>
      <w:tr w:rsidR="00173F08" w:rsidRPr="00F12F7E" w14:paraId="33A8BFBD" w14:textId="77777777" w:rsidTr="00822842">
        <w:tc>
          <w:tcPr>
            <w:tcW w:w="1188" w:type="dxa"/>
          </w:tcPr>
          <w:p w14:paraId="2C9182C7"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0430</w:t>
            </w:r>
          </w:p>
        </w:tc>
        <w:tc>
          <w:tcPr>
            <w:tcW w:w="8640" w:type="dxa"/>
          </w:tcPr>
          <w:p w14:paraId="6552E827"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PROTICYKLICKÝ KAPITÁLOVÝ VANKÚŠ ŠPECIFICKÝ PRE INŠTITÚCIU</w:t>
            </w:r>
          </w:p>
          <w:p w14:paraId="38A11488" w14:textId="0EBCAA13"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Článok 128 bod 2, článok 130</w:t>
            </w:r>
            <w:r w:rsidR="00F12F7E">
              <w:rPr>
                <w:rStyle w:val="InstructionsTabelleText"/>
                <w:rFonts w:ascii="Times New Roman" w:hAnsi="Times New Roman"/>
                <w:sz w:val="24"/>
              </w:rPr>
              <w:t xml:space="preserve"> a </w:t>
            </w:r>
            <w:r w:rsidRPr="00F12F7E">
              <w:rPr>
                <w:rStyle w:val="InstructionsTabelleText"/>
                <w:rFonts w:ascii="Times New Roman" w:hAnsi="Times New Roman"/>
                <w:sz w:val="24"/>
              </w:rPr>
              <w:t>články 135 až 140</w:t>
            </w:r>
            <w:r w:rsidRPr="00F12F7E">
              <w:rPr>
                <w:rFonts w:ascii="Times New Roman" w:hAnsi="Times New Roman"/>
                <w:sz w:val="24"/>
              </w:rPr>
              <w:t xml:space="preserve"> smernice 2013/36/EÚ</w:t>
            </w:r>
          </w:p>
          <w:p w14:paraId="169D829F" w14:textId="77777777" w:rsidR="00173F08" w:rsidRPr="00F12F7E" w:rsidRDefault="00173F08" w:rsidP="00822842">
            <w:pPr>
              <w:pStyle w:val="InstructionsText"/>
              <w:rPr>
                <w:rStyle w:val="InstructionsTabelleText"/>
              </w:rPr>
            </w:pPr>
            <w:r w:rsidRPr="00F12F7E">
              <w:t>V tejto bunke sa vykazuje konkrétna hodnota proticyklického vankúša.</w:t>
            </w:r>
          </w:p>
        </w:tc>
      </w:tr>
      <w:tr w:rsidR="00173F08" w:rsidRPr="00F12F7E" w14:paraId="393ED63D" w14:textId="77777777" w:rsidTr="00822842">
        <w:tc>
          <w:tcPr>
            <w:tcW w:w="1188" w:type="dxa"/>
          </w:tcPr>
          <w:p w14:paraId="6BD0956B" w14:textId="77777777" w:rsidR="00173F08" w:rsidRPr="00F12F7E" w:rsidDel="00D70027"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0440</w:t>
            </w:r>
          </w:p>
        </w:tc>
        <w:tc>
          <w:tcPr>
            <w:tcW w:w="8640" w:type="dxa"/>
          </w:tcPr>
          <w:p w14:paraId="3C0108F5" w14:textId="3A260E89"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VANKÚŠ NA ZACHOVANIE</w:t>
            </w:r>
            <w:r w:rsidR="00F12F7E">
              <w:rPr>
                <w:rStyle w:val="InstructionsTabelleberschrift"/>
                <w:rFonts w:ascii="Times New Roman" w:hAnsi="Times New Roman"/>
                <w:sz w:val="24"/>
              </w:rPr>
              <w:t xml:space="preserve"> Z </w:t>
            </w:r>
            <w:r w:rsidRPr="00F12F7E">
              <w:rPr>
                <w:rStyle w:val="InstructionsTabelleberschrift"/>
                <w:rFonts w:ascii="Times New Roman" w:hAnsi="Times New Roman"/>
                <w:sz w:val="24"/>
              </w:rPr>
              <w:t>DÔVODU MAKROPRUDENCIÁLNEHO ALEBO SYSTÉMOVÉHO RIZIKA IDENTIFIKOVANÉHO NA ÚROVNI ČLENSKÉHO ŠTÁTU</w:t>
            </w:r>
          </w:p>
          <w:p w14:paraId="0EC165D1" w14:textId="77777777" w:rsidR="00173F08" w:rsidRPr="00F12F7E" w:rsidRDefault="00173F08" w:rsidP="00822842">
            <w:pPr>
              <w:rPr>
                <w:rStyle w:val="InstructionsTabelleberschrift"/>
                <w:rFonts w:ascii="Times New Roman" w:hAnsi="Times New Roman"/>
                <w:b w:val="0"/>
                <w:sz w:val="24"/>
              </w:rPr>
            </w:pPr>
            <w:r w:rsidRPr="00F12F7E">
              <w:rPr>
                <w:rStyle w:val="InstructionsTabelleberschrift"/>
                <w:rFonts w:ascii="Times New Roman" w:hAnsi="Times New Roman"/>
                <w:sz w:val="24"/>
              </w:rPr>
              <w:t>Článok 458 ods. 2 písm. d) bod iv)</w:t>
            </w:r>
            <w:r w:rsidRPr="00F12F7E">
              <w:rPr>
                <w:rFonts w:ascii="Times New Roman" w:hAnsi="Times New Roman"/>
                <w:sz w:val="24"/>
              </w:rPr>
              <w:t xml:space="preserve"> nariadenia (EÚ) č. 575/2013</w:t>
            </w:r>
          </w:p>
          <w:p w14:paraId="2C6BA8FE" w14:textId="5A675C27" w:rsidR="00173F08" w:rsidRPr="00F12F7E" w:rsidRDefault="00173F08" w:rsidP="00822842">
            <w:pPr>
              <w:pStyle w:val="InstructionsText"/>
              <w:rPr>
                <w:rStyle w:val="InstructionsTabelleberschrift"/>
              </w:rPr>
            </w:pPr>
            <w:r w:rsidRPr="00F12F7E">
              <w:t>V tejto bunke sa vykazuje hodnota vankúša na zachovanie kapitálu</w:t>
            </w:r>
            <w:r w:rsidR="00F12F7E">
              <w:t xml:space="preserve"> z </w:t>
            </w:r>
            <w:r w:rsidRPr="00F12F7E">
              <w:t>dôvodu makroprudenciálneho alebo systémového rizika identifikovaného na úrovni členského štátu, ktorý sa môže požadovať podľa článku 458 nariadenia (EÚ) č. 575/2013 popri vankúši na zachovanie kapitálu.</w:t>
            </w:r>
          </w:p>
        </w:tc>
      </w:tr>
      <w:tr w:rsidR="00173F08" w:rsidRPr="00F12F7E" w14:paraId="4E8C2CA8" w14:textId="77777777" w:rsidTr="00822842">
        <w:tc>
          <w:tcPr>
            <w:tcW w:w="1188" w:type="dxa"/>
          </w:tcPr>
          <w:p w14:paraId="3AADC451"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0450</w:t>
            </w:r>
          </w:p>
        </w:tc>
        <w:tc>
          <w:tcPr>
            <w:tcW w:w="8640" w:type="dxa"/>
          </w:tcPr>
          <w:p w14:paraId="37512F51" w14:textId="77777777" w:rsidR="00173F08" w:rsidRPr="00F12F7E" w:rsidRDefault="00173F08" w:rsidP="00822842">
            <w:pPr>
              <w:rPr>
                <w:rStyle w:val="InstructionsTabelleberschrift"/>
                <w:rFonts w:ascii="Times New Roman" w:hAnsi="Times New Roman"/>
                <w:sz w:val="24"/>
              </w:rPr>
            </w:pPr>
            <w:r w:rsidRPr="00F12F7E">
              <w:rPr>
                <w:rStyle w:val="InstructionsTabelleberschrift"/>
                <w:rFonts w:ascii="Times New Roman" w:hAnsi="Times New Roman"/>
                <w:sz w:val="24"/>
              </w:rPr>
              <w:t>VANKÚŠ NA KRYTIE SYSTÉMOVÉHO RIZIKA</w:t>
            </w:r>
          </w:p>
          <w:p w14:paraId="2636DC40" w14:textId="77777777" w:rsidR="00F12F7E" w:rsidRDefault="00173F08" w:rsidP="00822842">
            <w:pPr>
              <w:pStyle w:val="InstructionsText"/>
            </w:pPr>
            <w:r w:rsidRPr="00F12F7E">
              <w:t>Článok 128 bod 5, články 133</w:t>
            </w:r>
            <w:r w:rsidR="00F12F7E">
              <w:t xml:space="preserve"> a </w:t>
            </w:r>
            <w:r w:rsidRPr="00F12F7E">
              <w:t>134 smernice 2013/36/EÚ</w:t>
            </w:r>
          </w:p>
          <w:p w14:paraId="1888AE1C" w14:textId="7F02B717" w:rsidR="00173F08" w:rsidRPr="00F12F7E" w:rsidRDefault="00173F08" w:rsidP="00822842">
            <w:pPr>
              <w:rPr>
                <w:rStyle w:val="InstructionsTabelleberschrift"/>
                <w:rFonts w:ascii="Times New Roman" w:hAnsi="Times New Roman"/>
                <w:sz w:val="24"/>
              </w:rPr>
            </w:pPr>
            <w:r w:rsidRPr="00F12F7E">
              <w:rPr>
                <w:rFonts w:ascii="Times New Roman" w:hAnsi="Times New Roman"/>
                <w:sz w:val="24"/>
              </w:rPr>
              <w:t>V tejto bunke sa vykazuje hodnota vankúša na krytie systémového rizika.</w:t>
            </w:r>
          </w:p>
        </w:tc>
      </w:tr>
      <w:tr w:rsidR="00173F08" w:rsidRPr="00F12F7E" w14:paraId="1CE0C973" w14:textId="77777777" w:rsidTr="00822842">
        <w:tc>
          <w:tcPr>
            <w:tcW w:w="1188" w:type="dxa"/>
          </w:tcPr>
          <w:p w14:paraId="729A039E"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0470</w:t>
            </w:r>
          </w:p>
        </w:tc>
        <w:tc>
          <w:tcPr>
            <w:tcW w:w="8640" w:type="dxa"/>
          </w:tcPr>
          <w:p w14:paraId="1989B565" w14:textId="77777777" w:rsidR="00173F08" w:rsidRPr="00F12F7E" w:rsidRDefault="00173F08" w:rsidP="00822842">
            <w:pPr>
              <w:tabs>
                <w:tab w:val="left" w:pos="6660"/>
              </w:tabs>
              <w:rPr>
                <w:rStyle w:val="InstructionsTabelleberschrift"/>
                <w:rFonts w:ascii="Times New Roman" w:hAnsi="Times New Roman"/>
                <w:sz w:val="24"/>
              </w:rPr>
            </w:pPr>
            <w:r w:rsidRPr="00F12F7E">
              <w:rPr>
                <w:rStyle w:val="InstructionsTabelleberschrift"/>
                <w:rFonts w:ascii="Times New Roman" w:hAnsi="Times New Roman"/>
                <w:sz w:val="24"/>
              </w:rPr>
              <w:t>VANKÚŠ PRE GLOBÁLNE SYSTÉMOVO VÝZNAMNÉ INŠTITÚCIE</w:t>
            </w:r>
            <w:r w:rsidRPr="00F12F7E">
              <w:tab/>
            </w:r>
          </w:p>
          <w:p w14:paraId="530093DF" w14:textId="3697C685" w:rsidR="00173F08" w:rsidRPr="00F12F7E" w:rsidRDefault="00173F08" w:rsidP="00822842">
            <w:pPr>
              <w:pStyle w:val="InstructionsText"/>
              <w:rPr>
                <w:rStyle w:val="InstructionsTabelleberschrift"/>
                <w:b w:val="0"/>
              </w:rPr>
            </w:pPr>
            <w:r w:rsidRPr="00F12F7E">
              <w:rPr>
                <w:rStyle w:val="InstructionsTabelleberschrift"/>
              </w:rPr>
              <w:t>Článok 128 bod 3</w:t>
            </w:r>
            <w:r w:rsidR="00F12F7E">
              <w:rPr>
                <w:rStyle w:val="InstructionsTabelleberschrift"/>
              </w:rPr>
              <w:t xml:space="preserve"> a </w:t>
            </w:r>
            <w:r w:rsidRPr="00F12F7E">
              <w:rPr>
                <w:rStyle w:val="InstructionsTabelleberschrift"/>
              </w:rPr>
              <w:t>článok 131</w:t>
            </w:r>
            <w:r w:rsidRPr="00F12F7E">
              <w:t xml:space="preserve"> smernice 2013/36/EÚ</w:t>
            </w:r>
          </w:p>
          <w:p w14:paraId="5835A3FB" w14:textId="77777777" w:rsidR="00173F08" w:rsidRPr="00F12F7E" w:rsidRDefault="00173F08" w:rsidP="00822842">
            <w:pPr>
              <w:pStyle w:val="InstructionsText"/>
              <w:rPr>
                <w:rStyle w:val="InstructionsTabelleberschrift"/>
              </w:rPr>
            </w:pPr>
            <w:r w:rsidRPr="00F12F7E">
              <w:t>V tejto bunke sa vykazuje hodnota vankúša pre globálne systémovo významné inštitúcie.</w:t>
            </w:r>
          </w:p>
        </w:tc>
      </w:tr>
      <w:tr w:rsidR="00173F08" w:rsidRPr="00F12F7E" w14:paraId="57BA6A14" w14:textId="77777777" w:rsidTr="00822842">
        <w:tc>
          <w:tcPr>
            <w:tcW w:w="1188" w:type="dxa"/>
          </w:tcPr>
          <w:p w14:paraId="769CFE84" w14:textId="77777777" w:rsidR="00173F08" w:rsidRPr="00F12F7E" w:rsidRDefault="00173F08" w:rsidP="00822842">
            <w:pPr>
              <w:rPr>
                <w:rStyle w:val="InstructionsTabelleText"/>
                <w:rFonts w:ascii="Times New Roman" w:hAnsi="Times New Roman"/>
                <w:sz w:val="24"/>
              </w:rPr>
            </w:pPr>
            <w:r w:rsidRPr="00F12F7E">
              <w:rPr>
                <w:rStyle w:val="InstructionsTabelleText"/>
                <w:rFonts w:ascii="Times New Roman" w:hAnsi="Times New Roman"/>
                <w:sz w:val="24"/>
              </w:rPr>
              <w:t>0480</w:t>
            </w:r>
          </w:p>
        </w:tc>
        <w:tc>
          <w:tcPr>
            <w:tcW w:w="8640" w:type="dxa"/>
          </w:tcPr>
          <w:p w14:paraId="7FDD0190" w14:textId="77777777" w:rsidR="00173F08" w:rsidRPr="00F12F7E" w:rsidRDefault="00173F08" w:rsidP="00822842">
            <w:pPr>
              <w:tabs>
                <w:tab w:val="left" w:pos="6315"/>
              </w:tabs>
              <w:rPr>
                <w:rStyle w:val="InstructionsTabelleberschrift"/>
                <w:rFonts w:ascii="Times New Roman" w:hAnsi="Times New Roman"/>
                <w:sz w:val="24"/>
              </w:rPr>
            </w:pPr>
            <w:r w:rsidRPr="00F12F7E">
              <w:rPr>
                <w:rStyle w:val="InstructionsTabelleberschrift"/>
                <w:rFonts w:ascii="Times New Roman" w:hAnsi="Times New Roman"/>
                <w:sz w:val="24"/>
              </w:rPr>
              <w:t>VANKÚŠ PRE INAK SYSTÉMOVO VÝZNAMNÉ INŠTITÚCIE</w:t>
            </w:r>
            <w:r w:rsidRPr="00F12F7E">
              <w:tab/>
            </w:r>
          </w:p>
          <w:p w14:paraId="5C91FC01" w14:textId="76D61BC7" w:rsidR="00173F08" w:rsidRPr="00F12F7E" w:rsidRDefault="00173F08" w:rsidP="00822842">
            <w:pPr>
              <w:pStyle w:val="InstructionsText"/>
            </w:pPr>
            <w:r w:rsidRPr="00F12F7E">
              <w:t>Článok 128 bod 4</w:t>
            </w:r>
            <w:r w:rsidR="00F12F7E">
              <w:t xml:space="preserve"> a </w:t>
            </w:r>
            <w:r w:rsidRPr="00F12F7E">
              <w:t>článok 131 smernice 2013/36/EÚ</w:t>
            </w:r>
          </w:p>
          <w:p w14:paraId="677D9498" w14:textId="77777777" w:rsidR="00173F08" w:rsidRPr="00F12F7E" w:rsidRDefault="00173F08" w:rsidP="00822842">
            <w:pPr>
              <w:pStyle w:val="InstructionsText"/>
              <w:rPr>
                <w:rStyle w:val="InstructionsTabelleberschrift"/>
              </w:rPr>
            </w:pPr>
            <w:r w:rsidRPr="00F12F7E">
              <w:t>V tejto bunke sa vykazuje hodnota vankúša pre inak systémovo významné inštitúcie.</w:t>
            </w:r>
          </w:p>
        </w:tc>
      </w:tr>
    </w:tbl>
    <w:p w14:paraId="25845975" w14:textId="77777777" w:rsidR="00173F08" w:rsidRPr="00F12F7E" w:rsidRDefault="00173F08" w:rsidP="00173F08">
      <w:pPr>
        <w:pStyle w:val="InstructionsText"/>
      </w:pPr>
    </w:p>
    <w:p w14:paraId="1EA0AB00" w14:textId="77777777" w:rsidR="00BF2D9E" w:rsidRPr="00F12F7E" w:rsidRDefault="00BF2D9E"/>
    <w:p w14:paraId="12D86B4B" w14:textId="77777777" w:rsidR="00BF2D9E" w:rsidRPr="00F12F7E" w:rsidRDefault="00BF2D9E"/>
    <w:sectPr w:rsidR="00BF2D9E" w:rsidRPr="00F12F7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BA08D" w14:textId="77777777" w:rsidR="002E75DB" w:rsidRDefault="002E75DB" w:rsidP="00E26A90">
      <w:pPr>
        <w:spacing w:after="0"/>
      </w:pPr>
      <w:r>
        <w:separator/>
      </w:r>
    </w:p>
  </w:endnote>
  <w:endnote w:type="continuationSeparator" w:id="0">
    <w:p w14:paraId="3B9F9C9E" w14:textId="77777777" w:rsidR="002E75DB" w:rsidRDefault="002E75D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A4DAA" w14:textId="77777777" w:rsidR="00C57980" w:rsidRDefault="00C579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35D7" w14:textId="77777777" w:rsidR="00C57980" w:rsidRDefault="00C579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156BC" w14:textId="77777777" w:rsidR="00C57980" w:rsidRDefault="00C579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FEC08" w14:textId="77777777" w:rsidR="002E75DB" w:rsidRDefault="002E75DB" w:rsidP="00E26A90">
      <w:pPr>
        <w:spacing w:after="0"/>
      </w:pPr>
      <w:r>
        <w:separator/>
      </w:r>
    </w:p>
  </w:footnote>
  <w:footnote w:type="continuationSeparator" w:id="0">
    <w:p w14:paraId="123669C3" w14:textId="77777777" w:rsidR="002E75DB" w:rsidRDefault="002E75D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AC48BFA"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r w:rsidR="00C57980">
                            <w:rPr>
                              <w:rFonts w:ascii="Calibri" w:hAnsi="Calibri"/>
                              <w:color w:val="000000"/>
                              <w:sz w:val="24"/>
                            </w:rPr>
                            <w:t>–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AC48BFA"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 xml:space="preserve">EBA </w:t>
                    </w:r>
                    <w:r w:rsidR="00C57980">
                      <w:rPr>
                        <w:rFonts w:ascii="Calibri" w:hAnsi="Calibri"/>
                        <w:color w:val="000000"/>
                        <w:sz w:val="24"/>
                      </w:rPr>
                      <w:t>–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04B2E"/>
    <w:rsid w:val="0011055A"/>
    <w:rsid w:val="00173F08"/>
    <w:rsid w:val="00192728"/>
    <w:rsid w:val="002E75DB"/>
    <w:rsid w:val="00601EA3"/>
    <w:rsid w:val="00631623"/>
    <w:rsid w:val="00694862"/>
    <w:rsid w:val="00702B2E"/>
    <w:rsid w:val="00732785"/>
    <w:rsid w:val="007431DB"/>
    <w:rsid w:val="00780E9B"/>
    <w:rsid w:val="00801017"/>
    <w:rsid w:val="009871DF"/>
    <w:rsid w:val="00A6002C"/>
    <w:rsid w:val="00A70706"/>
    <w:rsid w:val="00AE2413"/>
    <w:rsid w:val="00B44A0E"/>
    <w:rsid w:val="00B71F25"/>
    <w:rsid w:val="00BF2D9E"/>
    <w:rsid w:val="00C071AD"/>
    <w:rsid w:val="00C57980"/>
    <w:rsid w:val="00C61CB8"/>
    <w:rsid w:val="00E24E2D"/>
    <w:rsid w:val="00E26A90"/>
    <w:rsid w:val="00EB0CA8"/>
    <w:rsid w:val="00EF07A1"/>
    <w:rsid w:val="00F12F7E"/>
    <w:rsid w:val="00F60F3B"/>
    <w:rsid w:val="00F935C0"/>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F12F7E"/>
    <w:rPr>
      <w:sz w:val="16"/>
      <w:szCs w:val="16"/>
    </w:rPr>
  </w:style>
  <w:style w:type="paragraph" w:styleId="CommentText">
    <w:name w:val="annotation text"/>
    <w:basedOn w:val="Normal"/>
    <w:link w:val="CommentTextChar"/>
    <w:uiPriority w:val="99"/>
    <w:semiHidden/>
    <w:unhideWhenUsed/>
    <w:rsid w:val="00F12F7E"/>
    <w:rPr>
      <w:szCs w:val="20"/>
    </w:rPr>
  </w:style>
  <w:style w:type="character" w:customStyle="1" w:styleId="CommentTextChar">
    <w:name w:val="Comment Text Char"/>
    <w:basedOn w:val="DefaultParagraphFont"/>
    <w:link w:val="CommentText"/>
    <w:uiPriority w:val="99"/>
    <w:semiHidden/>
    <w:rsid w:val="00F12F7E"/>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12F7E"/>
    <w:rPr>
      <w:b/>
      <w:bCs/>
    </w:rPr>
  </w:style>
  <w:style w:type="character" w:customStyle="1" w:styleId="CommentSubjectChar">
    <w:name w:val="Comment Subject Char"/>
    <w:basedOn w:val="CommentTextChar"/>
    <w:link w:val="CommentSubject"/>
    <w:uiPriority w:val="99"/>
    <w:semiHidden/>
    <w:rsid w:val="00F12F7E"/>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C57980"/>
    <w:pPr>
      <w:tabs>
        <w:tab w:val="center" w:pos="4513"/>
        <w:tab w:val="right" w:pos="9026"/>
      </w:tabs>
      <w:spacing w:before="0" w:after="0"/>
    </w:pPr>
  </w:style>
  <w:style w:type="character" w:customStyle="1" w:styleId="FooterChar">
    <w:name w:val="Footer Char"/>
    <w:basedOn w:val="DefaultParagraphFont"/>
    <w:link w:val="Footer"/>
    <w:uiPriority w:val="99"/>
    <w:rsid w:val="00C57980"/>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3.xml><?xml version="1.0" encoding="utf-8"?>
<ds:datastoreItem xmlns:ds="http://schemas.openxmlformats.org/officeDocument/2006/customXml" ds:itemID="{4939B0F2-4521-4232-97F4-1434C82F20D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3771</Words>
  <Characters>22816</Characters>
  <Application>Microsoft Office Word</Application>
  <DocSecurity>0</DocSecurity>
  <Lines>543</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2025-01-23T08:55:11Z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0a2c2d44-7c58-400d-b75d-ab0e23bb4fba</vt:lpwstr>
  </property>
  <property fmtid="{D5CDD505-2E9C-101B-9397-08002B2CF9AE}" pid="10" name="MSIP_Label_6bd9ddd1-4d20-43f6-abfa-fc3c07406f94_ContentBits">
    <vt:lpwstr>0</vt:lpwstr>
  </property>
</Properties>
</file>