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SV</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BILAGA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”BILAGA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INSTRUKTIONER FÖR RAPPORTERING AV KAPITALBAS OCH KAPITALBASKRAV</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MALLRELATERADE INSTRUKTIONER</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Förlusttäckning för nödlidande exponeringar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Allmänna kommentarer</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Mallarna för förlusttäckning för nödlidande exponeringar innehåller information om nödlidande exponeringar för beräkning av kravet på minsta förlusttäckning för nödlidande exponeringar i enlighet med artiklarna 47a, 47b och 47c i förordning (EU) nr 575/2013.</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Mallgruppen består av tre mallar:</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Beräkning av avdrag för nödlidande exponeringar (C 35.01): detta är en översiktsmall som anger tillämpligt belopp för otillräcklig täckning, beräknat som skillnaden mellan de totala kraven på minsta täckning för nödlidande exponeringar och de totala avsättningar och justeringar eller avdrag som redan gjorts. Mallen omfattar både nödlidande exponeringar där anståndsåtgärder inte har beviljats och nödlidande exponeringar med anstånd.</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Krav på minsta täckning och exponeringsvärden för nödlidande exponeringar, exklusive exponeringar med anstånd som omfattas av artikel 47c.6 i förordning (EU) nr 575/2013 (C 35.02): i mallen beräknas de totala kraven på minsta täckning för nödlidande exponeringar som inte är nödlidande exponeringar med anstånd som omfattas av artikel 47c.6 i förordning (EU) nr 575/2013 med angivande av de faktorer som ska tillämpas på exponeringsvärdena vid denna beräkning, med beaktande av om exponeringen är säkrad eller osäkrad och med beaktande av den tid som förflutit sedan exponeringen blev nödlidande.</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Krav på minsta täckning och exponeringsvärden för nödlidande exponeringar med anstånd som omfattas av artikel 47c.6 i förordning (EU) nr 575/2013 (C 35.03): i mallen beräknas de totala kraven på minsta täckning för nödlidande exponeringar med anstånd som omfattas av artikel 47c.6 i förordning (EU) nr 575/2013, med angivande av de faktorer som ska tillämpas på exponeringsvärdena vid denna beräkning, med beaktande av om exponeringen är säkrad eller osäkrad och med beaktande av den tid som förflutit sedan exponeringen blev nödlidande.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204</w:t>
      </w:r>
      <w:r w:rsidRPr="005B57EC">
        <w:fldChar w:fldCharType="end"/>
      </w:r>
      <w:r>
        <w:t xml:space="preserve">. Kravet på minsta förlusttäckning för nödlidande exponeringar gäller i) exponeringar som uppkommit den 26 april 2019 eller senare och som blir nödlidande </w:t>
      </w:r>
      <w:r>
        <w:lastRenderedPageBreak/>
        <w:t>och ii) exponeringar som uppkommit före den 26 april 2019 när de modifieras efter detta datum på ett sätt som ökar deras exponeringsvärde gentemot gäldenären (artikel 469a i förordning (EU) nr 575/2013) och som blir nödlidande. I enlighet med artikel 47c.4a i förordning (EU) nr 575/2013 är kravet på minsta förlusttäckning inte tillämpligt på den del av nödlidande exponeringar som garanteras eller försäkras av ett officiellt exportkreditorgan.</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Instituten ska beräkna avdragen för nödlidande exponeringar i enlighet med artikel 47c.1 a och b i förordning (EU) nr 575/2013, inbegripet beräkningen av krav på minsta täckning och totala avsättningar och justeringar eller avdrag, på individuell exponeringsnivå (transaktionsbaserat) och inte på gäldenärs- eller portföljnivå.</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Vid beräkningen av avdragen för nödlidande exponeringar ska instituten skilja mellan osäkrad och säkrad del av en nödlidande exponering i enlighet med artikel 47c.1 i förordning (EU) nr 575/2013. För detta ändamål ska instituten rapportera exponeringsvärden och krav på minsta täckning separat för den osäkrade delen av nödlidande exponeringar och för den säkrade delen av nödlidande exponeringar.</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För inplacering av relevanta tillämpliga faktorer och beräkning av krav på minsta täckning ska instituten klassificera den säkrade delen av nödlidande exponeringar beroende på typen av kreditriskskydd i enlighet med artikel 47c.3 i förordning (EU) nr 575/2013 enligt följande: i) ”säkrad genom fast egendom eller bostadslån som garanteras av en godtagbar tillhandahållare av kreditriskskydd enligt artikel 201”, ii) ”säkrad genom annat betalt eller obetalt kreditriskskydd” eller iii) ”garanteras eller motgaranteras av en godtagbar tillhandahållare av kreditriskskydd”. Om en nödlidande exponering är säkrad genom mer än en typ av kreditriskskydd ska dess exponeringsvärde indelas enligt kreditriskskyddets kvalitet, där det som har bäst kvalitet kommer först.</w:t>
      </w:r>
    </w:p>
    <w:p w14:paraId="2778C954" w14:textId="1C8C1115" w:rsidR="00C6168C" w:rsidRPr="00C6168C" w:rsidRDefault="00C6168C" w:rsidP="00C6168C">
      <w:pPr>
        <w:pStyle w:val="InstructionsText2"/>
        <w:numPr>
          <w:ilvl w:val="0"/>
          <w:numId w:val="0"/>
        </w:numPr>
        <w:ind w:left="993"/>
        <w:rPr>
          <w:noProof/>
        </w:rPr>
      </w:pPr>
      <w:r>
        <w:t xml:space="preserve">207a.  I enlighet med artikel 36.5 i förordning (EU) nr 575/2013 ska specialiserade skuldomstrukturerare rapportera alla relevanta exponeringar, inbegripet nödlidande exponeringar som förvärvats av dessa institut, i mallarna C35.01–C35.03 och fastställa det tillämpliga beloppet av otillräcklig täckning för den förvärvade delen till noll på rad 0010 i C35.01.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BERÄKNING AV AVDRAG FÖR NÖDLIDANDE EXPONERINGAR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Instruktioner för specifika positioner</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Instruktioner</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Tid som förflutit sedan exponeringar klassificerats som nödlidande</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Med ”tid som förflutit sedan exponeringar klassificerats som nödlidande” avses den tid i år som gått, per referensdagen, efter det att exponeringen har klassificerats som nödlidande. För förvärvade nödlidande exponeringar ska tiden i år börja löpa från och med den dag då </w:t>
            </w:r>
            <w:r>
              <w:rPr>
                <w:rFonts w:ascii="Times New Roman" w:hAnsi="Times New Roman"/>
                <w:sz w:val="24"/>
              </w:rPr>
              <w:lastRenderedPageBreak/>
              <w:t xml:space="preserve">exponeringarna ursprungligen klassificerades som nödlidande, och inte från dagen för förvärvet. </w:t>
            </w:r>
          </w:p>
          <w:p w14:paraId="4D6DCF87" w14:textId="77777777" w:rsidR="00E7212E" w:rsidRPr="002A677E" w:rsidRDefault="00E7212E" w:rsidP="00BF7D57">
            <w:pPr>
              <w:rPr>
                <w:rFonts w:ascii="Times New Roman" w:hAnsi="Times New Roman"/>
                <w:sz w:val="24"/>
              </w:rPr>
            </w:pPr>
            <w:r>
              <w:rPr>
                <w:rFonts w:ascii="Times New Roman" w:hAnsi="Times New Roman"/>
                <w:sz w:val="24"/>
              </w:rPr>
              <w:t>Instituten ska rapportera uppgifter om exponeringar för vilka referensdagen ligger inom motsvarande tidsintervall med angivande av perioden i år efter exponeringarnas klassificering som nödlidande, oavsett om anståndsåtgärder tillämpas.</w:t>
            </w:r>
          </w:p>
          <w:p w14:paraId="08BF43EA" w14:textId="77777777" w:rsidR="00E7212E" w:rsidRPr="002A677E" w:rsidRDefault="00E7212E" w:rsidP="00BF7D57">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Totalt</w:t>
            </w:r>
          </w:p>
          <w:p w14:paraId="785D55A5" w14:textId="77777777" w:rsidR="00E7212E" w:rsidRPr="002A677E" w:rsidRDefault="00E7212E" w:rsidP="00BF7D57">
            <w:pPr>
              <w:rPr>
                <w:rFonts w:ascii="Times New Roman" w:hAnsi="Times New Roman"/>
                <w:sz w:val="24"/>
              </w:rPr>
            </w:pPr>
            <w:r>
              <w:rPr>
                <w:rFonts w:ascii="Times New Roman" w:hAnsi="Times New Roman"/>
                <w:sz w:val="24"/>
              </w:rPr>
              <w:t>Instituten ska rapportera summan av alla kolumner från 0010 till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Instruktioner</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Tillämpligt belopp av otillräcklig täckning</w:t>
            </w:r>
          </w:p>
          <w:p w14:paraId="07CA6C51" w14:textId="77777777" w:rsidR="00E7212E" w:rsidRPr="002A677E" w:rsidRDefault="00E7212E" w:rsidP="00BF7D57">
            <w:pPr>
              <w:rPr>
                <w:rFonts w:ascii="Times New Roman" w:hAnsi="Times New Roman"/>
                <w:sz w:val="24"/>
              </w:rPr>
            </w:pPr>
            <w:r>
              <w:rPr>
                <w:rFonts w:ascii="Times New Roman" w:hAnsi="Times New Roman"/>
                <w:sz w:val="24"/>
              </w:rPr>
              <w:t>Artikel 47c.1 i förordning (EU) nr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För beräkningen av det tillämpliga beloppet av otillräcklig täckning ska instituten dra av de totala avsättningarna och justeringarna eller avdragen (med tak) (rad 0080) från det totala kravet på minsta täckning för nödlidande exponeringar (rad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Det tillämpliga beloppet av otillräcklig täckning (dvs. underskottet i det totala kravet på minsta på täckning för nödlidande exponeringar) ska vara lika med eller större än noll.</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Totalt krav på minsta täckning för nödlidande exponeringar</w:t>
            </w:r>
          </w:p>
          <w:p w14:paraId="649C7EAB" w14:textId="77777777" w:rsidR="00E7212E" w:rsidRPr="002A677E" w:rsidRDefault="00E7212E" w:rsidP="00BF7D57">
            <w:pPr>
              <w:rPr>
                <w:rFonts w:ascii="Times New Roman" w:hAnsi="Times New Roman"/>
                <w:sz w:val="24"/>
              </w:rPr>
            </w:pPr>
            <w:r>
              <w:rPr>
                <w:rFonts w:ascii="Times New Roman" w:hAnsi="Times New Roman"/>
                <w:sz w:val="24"/>
              </w:rPr>
              <w:t>Artikel 47c.1 a i förordning (EU) nr 575/2013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För beräkningen av det totala kravet på minsta täckning för nödlidande exponeringar ska instituten summera kravet på minsta täckning för den osäkrade delen av nödlidande exponeringar (rad 0030) och för den säkrade delen av nödlidande exponeringar (rad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Osäkrad del av nödlidande exponeringar</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Artikel 47c.1 a i, 47c.2 och 47c.6 i förordning (EU) nr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Institutet ska rapportera det totala kravet på minsta täckning för den osäkrade delen av nödlidande exponeringar, dvs. summan av beräkningar på exponeringsnivå.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Det belopp som rapporteras i varje kolumn ska vara lika med summan av de belopp som rapporteras på rad 0020 i C 35.02 och rad 0020 i C 35.03 (i tillämpliga fall) i respektive kolumner.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Säkrad del av nödlidande exponeringar</w:t>
            </w:r>
          </w:p>
          <w:p w14:paraId="12886933" w14:textId="77777777" w:rsidR="00E7212E" w:rsidRPr="002A677E" w:rsidRDefault="00E7212E" w:rsidP="00BF7D57">
            <w:pPr>
              <w:rPr>
                <w:rFonts w:ascii="Times New Roman" w:hAnsi="Times New Roman"/>
                <w:sz w:val="24"/>
              </w:rPr>
            </w:pPr>
            <w:r>
              <w:rPr>
                <w:rFonts w:ascii="Times New Roman" w:hAnsi="Times New Roman"/>
                <w:sz w:val="24"/>
              </w:rPr>
              <w:t>Artikel 47c.1 a ii, 47c.3, 47c.4 och 47c.6 i förordning (EU) nr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Instituten ska rapportera det totala kravet på minsta täckning för den säkrade delen av nödlidande exponeringar, dvs. summan av beräkningar på exponeringsnivå.</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lastRenderedPageBreak/>
              <w:t>Det belopp som rapporteras i varje kolumn ska vara lika med summan av de belopp som rapporteras på rad 0030–0045 i C 35.02 och rad 0030–0040 i C 35.03 (i tillämpliga fall) i respektive kolumner.</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Exponeringsvärde</w:t>
            </w:r>
          </w:p>
          <w:p w14:paraId="3D274535" w14:textId="77777777" w:rsidR="00E7212E" w:rsidRPr="002A677E" w:rsidRDefault="00E7212E" w:rsidP="00BF7D57">
            <w:pPr>
              <w:rPr>
                <w:rFonts w:ascii="Times New Roman" w:hAnsi="Times New Roman"/>
                <w:sz w:val="24"/>
              </w:rPr>
            </w:pPr>
            <w:r>
              <w:rPr>
                <w:rFonts w:ascii="Times New Roman" w:hAnsi="Times New Roman"/>
                <w:sz w:val="24"/>
              </w:rPr>
              <w:t>Artikel 47a.2 i förordning (EU) nr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Instituten ska rapportera det totala exponeringsvärdet för nödlidande exponeringar, inklusive både osäkrade exponeringar och säkrade exponeringar. Detta ska motsvara summan av rad 0060 och rad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Osäkrad del av nödlidande exponeringar</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Artiklarna 47a.2 och 47c.1 i förordning (EU) nr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Säkrad del av nödlidande exponeringar</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Artiklarna 47a.2 och 47c.1 i förordning (EU) nr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Totala avsättningar och justeringar eller avdrag (med tak)</w:t>
            </w:r>
          </w:p>
          <w:p w14:paraId="1063BD06" w14:textId="77777777" w:rsidR="00E7212E" w:rsidRPr="002A677E" w:rsidRDefault="00E7212E" w:rsidP="00BF7D57">
            <w:pPr>
              <w:rPr>
                <w:rFonts w:ascii="Times New Roman" w:hAnsi="Times New Roman"/>
                <w:sz w:val="24"/>
              </w:rPr>
            </w:pPr>
            <w:r>
              <w:rPr>
                <w:rFonts w:ascii="Times New Roman" w:hAnsi="Times New Roman"/>
                <w:sz w:val="24"/>
              </w:rPr>
              <w:t>Instituten ska rapportera beloppet med tak för summan av posterna på raderna 0100–0150 i enlighet med artikel 47c.1 b i förordning (EU) nr 575/2013. Maximigränsen för avsättningar och justeringar eller avdrag med tak är kravet på minsta täckning på exponeringsnivå.</w:t>
            </w:r>
          </w:p>
          <w:p w14:paraId="5D5758AF" w14:textId="77777777" w:rsidR="00E7212E" w:rsidRPr="002A677E" w:rsidRDefault="00E7212E" w:rsidP="00BF7D57">
            <w:pPr>
              <w:rPr>
                <w:rFonts w:ascii="Times New Roman" w:hAnsi="Times New Roman"/>
                <w:sz w:val="24"/>
              </w:rPr>
            </w:pPr>
            <w:r>
              <w:rPr>
                <w:rFonts w:ascii="Times New Roman" w:hAnsi="Times New Roman"/>
                <w:sz w:val="24"/>
              </w:rPr>
              <w:t>Beloppet med tak ska beräknas separat för varje exponering som det lägre beloppet av kravet på minsta täckning för denna exponering och totala avsättningar och justeringar eller avdrag för exponeringen.</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Totala avsättningar och justeringar eller avdrag (utan tak)</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Instituten ska rapportera summan av belopp utan tak för posterna på raderna 0100–0150 i enlighet med artikel 47c.1 b i förordning (EU) nr 575/2013. Avsättningar och justeringar eller avdrag (utan tak) ska inte vara begränsade till beloppet för minsta täckning på exponeringsnivå.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Särskilda kreditriskjusteringar</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Artikel 47c.1 b i) i förordning (EU) nr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Ytterligare värderingsjusteringar</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47c.1 b ii i förordning (EU) nr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Andra reduceringar av kapitalbasen</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47c.1 b iii i förordning (EU) nr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Underskott enligt internmetoden</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47c.1 b iv i förordning (EU) nr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Skillnaden mellan förvärvspriset och det belopp som gäldenären är skyldig</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47c.1 b v i förordning (EU) nr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Belopp som institutet har skrivit av sedan exponeringen klassificerades som nödlidande</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Artikel 47c.1 b vi i förordning (EU) nr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KRAV PÅ MINSTA TÄCKNING OCH EXPONERINGSVÄRDEN FÖR NÖDLIDANDE EXPONERINGAR, EXKLUSIVE EXPONERINGAR MED ANSTÅND SOM OMFATTAS AV ARTIKEL 47c.6 I FÖRORDNING (EU) NR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Instruktioner för specifika positioner</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Instruktioner</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Tid som förflutit sedan exponeringar klassificerats som nödlidande</w:t>
            </w:r>
          </w:p>
          <w:p w14:paraId="27559F86" w14:textId="77777777" w:rsidR="00E7212E" w:rsidRPr="002A677E" w:rsidRDefault="00E7212E" w:rsidP="00BF7D57">
            <w:pPr>
              <w:rPr>
                <w:rFonts w:ascii="Times New Roman" w:hAnsi="Times New Roman"/>
                <w:sz w:val="24"/>
              </w:rPr>
            </w:pPr>
            <w:r>
              <w:rPr>
                <w:rFonts w:ascii="Times New Roman" w:hAnsi="Times New Roman"/>
                <w:sz w:val="24"/>
              </w:rPr>
              <w:t>Med ”tid som förflutit sedan exponeringar klassificerats som nödlidande” avses den tid i år som gått efter det att exponeringen har klassificerats som nödlidande. Instituten ska rapportera uppgifter om exponeringar för vilka referensdagen ligger inom motsvarande tidsintervall med angivande av perioden i år efter exponeringarnas klassificering som nödlidande, oavsett om anståndsåtgärder tillämpas.</w:t>
            </w:r>
          </w:p>
          <w:p w14:paraId="1AD59E7D" w14:textId="77777777" w:rsidR="00E7212E" w:rsidRPr="002A677E" w:rsidRDefault="00E7212E" w:rsidP="00BF7D57">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Totalt</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Instituten ska rapportera summan av alla kolumner från 0010 till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Instruktioner</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Totalt krav på minsta täckning</w:t>
            </w:r>
          </w:p>
          <w:p w14:paraId="182F35CE" w14:textId="77777777" w:rsidR="00E7212E" w:rsidRPr="002A677E" w:rsidRDefault="00E7212E" w:rsidP="00BF7D57">
            <w:pPr>
              <w:rPr>
                <w:rFonts w:ascii="Times New Roman" w:hAnsi="Times New Roman"/>
                <w:sz w:val="24"/>
              </w:rPr>
            </w:pPr>
            <w:r>
              <w:rPr>
                <w:rFonts w:ascii="Times New Roman" w:hAnsi="Times New Roman"/>
                <w:sz w:val="24"/>
              </w:rPr>
              <w:t>Artikel 47c.1 a i förordning (EU) nr 575/2013</w:t>
            </w:r>
          </w:p>
          <w:p w14:paraId="662FCE5D" w14:textId="79E2CFC8" w:rsidR="00E7212E" w:rsidRPr="002A677E" w:rsidRDefault="00E7212E" w:rsidP="00BF7D57">
            <w:pPr>
              <w:rPr>
                <w:rFonts w:ascii="Times New Roman" w:hAnsi="Times New Roman"/>
                <w:sz w:val="24"/>
              </w:rPr>
            </w:pPr>
            <w:r>
              <w:rPr>
                <w:rFonts w:ascii="Times New Roman" w:hAnsi="Times New Roman"/>
                <w:sz w:val="24"/>
              </w:rPr>
              <w:t>För beräkningen av det totala kravet på minsta täckning för nödlidande exponeringar, exklusive exponeringar med anstånd som omfattas av artikel 47c.6 i förordning (EU) nr 575/2013, ska instituten summera beloppet för kravet på minsta täckning för den osäkrade delen av nödlidande exponeringar (rad 0020) och beloppet för kravet på minsta täckning för den säkrade delen av nödlidande exponeringar (raderna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Osäkrad del av nödlidande exponeringar</w:t>
            </w:r>
          </w:p>
          <w:p w14:paraId="27ED7CA9" w14:textId="77777777" w:rsidR="00E7212E" w:rsidRPr="002A677E" w:rsidRDefault="00E7212E" w:rsidP="00BF7D57">
            <w:pPr>
              <w:rPr>
                <w:rFonts w:ascii="Times New Roman" w:hAnsi="Times New Roman"/>
                <w:sz w:val="24"/>
              </w:rPr>
            </w:pPr>
            <w:r>
              <w:rPr>
                <w:rFonts w:ascii="Times New Roman" w:hAnsi="Times New Roman"/>
                <w:sz w:val="24"/>
              </w:rPr>
              <w:t>Artikel 47c.1 a i och 47c.2 i förordning (EU) nr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Kravet på minsta täckning ska beräknas genom att de aggregerade exponeringsvärdena på rad 0070 multipliceras med motsvarande faktor per kolumn.</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Del av nödlidande exponeringar säkrad genom fast egendom eller bostadslån som garanteras av en godtagbar tillhandahållare av kreditriskskydd </w:t>
            </w:r>
          </w:p>
          <w:p w14:paraId="1AB54B5D" w14:textId="77777777" w:rsidR="00E7212E" w:rsidRPr="002A677E" w:rsidRDefault="00E7212E" w:rsidP="00BF7D57">
            <w:pPr>
              <w:rPr>
                <w:rFonts w:ascii="Times New Roman" w:hAnsi="Times New Roman"/>
                <w:sz w:val="24"/>
              </w:rPr>
            </w:pPr>
            <w:r>
              <w:rPr>
                <w:rFonts w:ascii="Times New Roman" w:hAnsi="Times New Roman"/>
                <w:sz w:val="24"/>
              </w:rPr>
              <w:lastRenderedPageBreak/>
              <w:t>Artikel 47c.1 a ii och 47c.3 a, b, c, d, f, h och i) i förordning (EU) nr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Kravet på minsta täckning ska beräknas genom att de aggregerade exponeringsvärdena på rad 0080 multipliceras med motsvarande faktor per kolumn.</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14:paraId="5857E4F4" w14:textId="77777777" w:rsidR="00E7212E" w:rsidRPr="002A677E" w:rsidRDefault="00E7212E" w:rsidP="00BF7D57">
            <w:pPr>
              <w:rPr>
                <w:rFonts w:ascii="Times New Roman" w:hAnsi="Times New Roman"/>
                <w:sz w:val="24"/>
              </w:rPr>
            </w:pPr>
            <w:r>
              <w:rPr>
                <w:rFonts w:ascii="Times New Roman" w:hAnsi="Times New Roman"/>
                <w:sz w:val="24"/>
              </w:rPr>
              <w:t>Artikel 47c.1 a ii och 47c.3 a, b, c, e och g i förordning (EU) nr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Kravet på minsta täckning ska beräknas genom att de aggregerade exponeringsvärdena på rad 0090 multipliceras med motsvarande faktor per kolumn.</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Del av nödlidande exponeringar som garanteras eller motgaranteras av en godtagbar tillhandahållare av kreditriskskydd</w:t>
            </w:r>
          </w:p>
          <w:p w14:paraId="4C97CF34" w14:textId="77777777" w:rsidR="00920721" w:rsidRDefault="00EB1058" w:rsidP="00BF7D57">
            <w:pPr>
              <w:jc w:val="left"/>
              <w:rPr>
                <w:rFonts w:ascii="Times New Roman" w:hAnsi="Times New Roman"/>
                <w:sz w:val="24"/>
              </w:rPr>
            </w:pPr>
            <w:r>
              <w:rPr>
                <w:rFonts w:ascii="Times New Roman" w:hAnsi="Times New Roman"/>
                <w:sz w:val="24"/>
              </w:rPr>
              <w:t>Artikel 47c.4 b i förordning (EU) nr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Kravet på minsta täckning ska beräknas genom att de aggregerade exponeringsvärdena på raderna 0110 och 0120 multipliceras med motsvarande faktorer per kolumn.</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Exponeringsvärde</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Artikel 47a.2 i förordning (EU) nr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För beräkningen av rad 0060 ska instituten summera de exponeringsvärden som rapporteras för den osäkrade delen av nödlidande exponeringar (rad 0070), den del av nödlidande exponeringar som är säkrad genom fast egendom eller bostadslån som garanteras av en godtagbar tillhandahållare av kreditriskskydd (rad 0080), den del av nödlidande exponeringar som är säkrad genom annat betalt eller obetalt kreditriskskydd (rad 0090) och den del av nödlidande exponeringar som garanteras eller motgaranteras av en godtagbar tillhandahållare av kreditriskskydd (raderna 0110 och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Osäkrad del av nödlidande exponeringar</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Artiklarna 47a.2, 47c.1 och 47c.2 i förordning (EU) nr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Instituten ska rapportera det totala exponeringsvärdet för den osäkrade delen av nödlidande exponeringar uppdelat efter den tid som förflutit sedan exponeringarna klassificerats som nödlidande.</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14:paraId="353C8B9D" w14:textId="77777777" w:rsidR="00E7212E" w:rsidRPr="002A677E" w:rsidRDefault="00E7212E" w:rsidP="00BF7D57">
            <w:pPr>
              <w:rPr>
                <w:rFonts w:ascii="Times New Roman" w:hAnsi="Times New Roman"/>
                <w:sz w:val="24"/>
              </w:rPr>
            </w:pPr>
            <w:r>
              <w:rPr>
                <w:rFonts w:ascii="Times New Roman" w:hAnsi="Times New Roman"/>
                <w:sz w:val="24"/>
              </w:rPr>
              <w:t>Artikel 47a.2 och artikel 47c.1 och 47c.3 a, b, c, d, f, h och i) i förordning (EU) nr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det totala exponeringsvärdet för de delar av nödlidande exponeringar som är säkrade genom fast egendom i enlighet med del tre avdelning II i förordning (EU) nr 575/2013 eller som är ett bostadslån som garanteras av en godtagbar tillhandahållare av kreditriskskydd enligt artikel 201 i den förordningen.</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Artikel 47a.2 och artikel 47c.1 och 47c.3 a, b, c, e och g i förordning (EU) nr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lastRenderedPageBreak/>
              <w:t>Instituten ska rapportera det totala exponeringsvärdet för de delar av nödlidande exponeringar som är säkrade genom annat betalt eller obetalt kreditriskskydd i enlighet med del tre avdelning II i förordning (EU) nr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Del av nödlidande exponeringar som garanteras eller motgaranteras av en godtagbar tillhandahållare av kreditriskskydd (faktor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Artikel 47c.4 b i förordning (EU) nr 575/2013 (faktor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Del av nödlidande exponeringar som garanteras eller motgaranteras av en godtagbar tillhandahållare av kreditriskskydd (faktor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Artikel 47c.4 a och b i förordning (EU) nr 575/2013 (faktor 0). Exponeringar för vilka en godtagbar tillhandahållare av kreditriskskydd har åtagit sig att fullgöra alla gäldenärens betalningsskyldigheter gentemot kreditinstitutet fullständigt och i enlighet med den ursprungliga avtalade betalningsplanen ska rapporteras på rad 0120 (för alla tidsintervall).</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KRAV PÅ MINSTA TÄCKNING OCH EXPONERINGSVÄRDEN FÖR NÖDLIDANDE EXPONERINGAR, MED ANSTÅND SOM OMFATTAS AV ARTIKEL 47c.6 I FÖRORDNING (EU) NR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Instruktioner för specifika positioner</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Instruktioner</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Tid som förflutit sedan exponeringar klassificerats som nödlidande</w:t>
            </w:r>
          </w:p>
          <w:p w14:paraId="6028F7B7" w14:textId="77777777" w:rsidR="00E7212E" w:rsidRPr="002A677E" w:rsidRDefault="00E7212E" w:rsidP="00BF7D57">
            <w:pPr>
              <w:rPr>
                <w:rFonts w:ascii="Times New Roman" w:hAnsi="Times New Roman"/>
                <w:sz w:val="24"/>
              </w:rPr>
            </w:pPr>
            <w:r>
              <w:rPr>
                <w:rFonts w:ascii="Times New Roman" w:hAnsi="Times New Roman"/>
                <w:sz w:val="24"/>
              </w:rPr>
              <w:t>Med ”tid som förflutit sedan exponeringar klassificerats som nödlidande” avses den tid i år som gått efter det att exponeringen har klassificerats som nödlidande. Instituten ska rapportera uppgifter om exponeringar för vilka referensdagen ligger inom motsvarande tidsintervall med angivande av perioden i år efter exponeringarnas klassificering som nödlidande, oavsett om anståndsåtgärder tillämpas.</w:t>
            </w:r>
          </w:p>
          <w:p w14:paraId="1EB41D92" w14:textId="77777777" w:rsidR="00E7212E" w:rsidRPr="002A677E" w:rsidRDefault="00E7212E" w:rsidP="00BF7D57">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Summa</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summan av alla kolumner från 0010 till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Instruktioner</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Totalt krav på minsta täckning</w:t>
            </w:r>
          </w:p>
          <w:p w14:paraId="1C8DD96C" w14:textId="77777777" w:rsidR="00E7212E" w:rsidRPr="002A677E" w:rsidRDefault="00E7212E" w:rsidP="00BF7D57">
            <w:pPr>
              <w:rPr>
                <w:rFonts w:ascii="Times New Roman" w:hAnsi="Times New Roman"/>
                <w:sz w:val="24"/>
              </w:rPr>
            </w:pPr>
            <w:r>
              <w:rPr>
                <w:rFonts w:ascii="Times New Roman" w:hAnsi="Times New Roman"/>
                <w:sz w:val="24"/>
              </w:rPr>
              <w:t>Artikel 47c.1 a och 47c.6 i förordning (EU) nr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 xml:space="preserve">För beräkningen av det totala kravet på minsta täckning för nödlidande exponeringar med anstånd som omfattas av artikel 47c.6 i förordning (EU) nr 575/2013 ska instituten </w:t>
            </w:r>
            <w:r>
              <w:rPr>
                <w:rFonts w:ascii="Times New Roman" w:hAnsi="Times New Roman"/>
                <w:sz w:val="24"/>
              </w:rPr>
              <w:lastRenderedPageBreak/>
              <w:t>summera beloppet för kraven på minsta täckning för den osäkrade delen av nödlidande exponeringar med anstånd (rad 0020), den del av nödlidande exponeringar med anstånd som är säkrad genom fast egendom eller bostadslån som garanteras av en godtagbar tillhandahållare av kreditriskskydd (rad 0030) och den del av nödlidande exponeringar med anstånd som är säkrad genom annat betalt eller obetalt kreditriskskydd (rad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Osäkrad del av nödlidande exponeringar</w:t>
            </w:r>
          </w:p>
          <w:p w14:paraId="01C888D8" w14:textId="77777777" w:rsidR="00E7212E" w:rsidRPr="002A677E" w:rsidRDefault="00E7212E" w:rsidP="00BF7D57">
            <w:pPr>
              <w:rPr>
                <w:rFonts w:ascii="Times New Roman" w:hAnsi="Times New Roman"/>
                <w:sz w:val="24"/>
              </w:rPr>
            </w:pPr>
            <w:r>
              <w:rPr>
                <w:rFonts w:ascii="Times New Roman" w:hAnsi="Times New Roman"/>
                <w:sz w:val="24"/>
              </w:rPr>
              <w:t>Artikel 47c.1 a i, 47c.2 och 47c.6 i förordning (EU) nr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Instituten ska rapportera det totala kravet på minsta täckning för den osäkrade delen av nödlidande exponeringar med anstånd som omfattas av artikel 47c.6 i förordning (EU) nr 575/2013, dvs. summan av beräkningar på exponeringsnivå.</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14:paraId="073D5D9E" w14:textId="77777777" w:rsidR="00E7212E" w:rsidRPr="002A677E" w:rsidRDefault="00E7212E" w:rsidP="00BF7D57">
            <w:pPr>
              <w:rPr>
                <w:rFonts w:ascii="Times New Roman" w:hAnsi="Times New Roman"/>
                <w:sz w:val="24"/>
              </w:rPr>
            </w:pPr>
            <w:r>
              <w:rPr>
                <w:rFonts w:ascii="Times New Roman" w:hAnsi="Times New Roman"/>
                <w:sz w:val="24"/>
              </w:rPr>
              <w:t>Artikel 47c.1 a ii, 47c.3 a, b, c, d, f, h och i samt 47c.6 i förordning (EU) nr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Instituten ska rapportera det totala kravet på minsta täckning för delar av nödlidande exponeringar med anstånd som är säkrade genom fast egendom i enlighet med del tre avdelning II i förordning (EU) nr 575/2013 eller som är bostadslån som garanteras av en godtagbar tillhandahållare av kreditriskskydd enligt artikel 201 i den förordningen, som omfattas av artikel 47c.6 i den förordningen, dvs. summan av beräkningarna på exponeringsnivå.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14:paraId="001BEF19" w14:textId="77777777" w:rsidR="00E7212E" w:rsidRPr="002A677E" w:rsidRDefault="00E7212E" w:rsidP="00BF7D57">
            <w:pPr>
              <w:rPr>
                <w:rFonts w:ascii="Times New Roman" w:hAnsi="Times New Roman"/>
                <w:sz w:val="24"/>
              </w:rPr>
            </w:pPr>
            <w:r>
              <w:rPr>
                <w:rFonts w:ascii="Times New Roman" w:hAnsi="Times New Roman"/>
                <w:sz w:val="24"/>
              </w:rPr>
              <w:t>Artikel 47c.1 a ii och 47c.3 a, b, c, e och g samt 47c.6 i förordning (EU) nr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Instituten ska rapportera det totala kravet på minsta täckning för delar av nödlidande exponeringar med anstånd som är säkrade genom annat betalt eller obetalt kreditriskskydd, som omfattas av artikel 47c.6 i förordning (EU) nr 575/2013, dvs. summan av beräkningar på exponeringsnivå.</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Exponeringsvärde</w:t>
            </w:r>
          </w:p>
          <w:p w14:paraId="1D4AA342" w14:textId="77777777" w:rsidR="00E7212E" w:rsidRPr="002A677E" w:rsidRDefault="00E7212E" w:rsidP="00BF7D57">
            <w:pPr>
              <w:rPr>
                <w:rFonts w:ascii="Times New Roman" w:hAnsi="Times New Roman"/>
                <w:sz w:val="24"/>
              </w:rPr>
            </w:pPr>
            <w:r>
              <w:rPr>
                <w:rFonts w:ascii="Times New Roman" w:hAnsi="Times New Roman"/>
                <w:sz w:val="24"/>
              </w:rPr>
              <w:t>Artiklarna 47a.2 och 47c.6 i förordning (EU) nr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För beräkningen av exponeringsvärde ska instituten summera exponeringsvärdena för den osäkrade delen av nödlidande exponeringar (rad 0060), den del av nödlidande exponeringar som är säkrad genom fast egendom eller bostadslån som garanteras av en godtagbar tillhandahållare av kreditriskskydd (rad 0070) och den del av nödlidande exponeringar som är säkrad genom annat betalt eller obetalt kreditriskskydd (rad 0120), enligt vad som är tillämpligt.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Osäkrad del av nödlidande exponeringar</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Artikel 47a.2 och artikel 47c.1, 47c.2 och 47c.6 i förordning (EU) nr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totalt exponeringsvärde för den osäkrade delen av nödlidande exponeringar med anstånd som omfattas av artikel 47c.6 i förordning (EU) nr 575/2013, där den första anståndsåtgärden har beviljats mellan den första och den sista dagen i det andra året efter klassificeringen av exponeringen som nödlidande (&gt;1 år; &lt;=2 år).</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14:paraId="6D8528EC" w14:textId="77777777" w:rsidR="00E7212E" w:rsidRPr="002A677E" w:rsidRDefault="00E7212E" w:rsidP="00BF7D57">
            <w:pPr>
              <w:rPr>
                <w:rFonts w:ascii="Times New Roman" w:hAnsi="Times New Roman"/>
                <w:sz w:val="24"/>
              </w:rPr>
            </w:pPr>
            <w:r>
              <w:rPr>
                <w:rFonts w:ascii="Times New Roman" w:hAnsi="Times New Roman"/>
                <w:sz w:val="24"/>
              </w:rPr>
              <w:t>Artikel 47a.2 och artikel 47c.1, 47c.3 a, b, c, d, f, h och i samt 47c.6 i förordning (EU) nr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det totala exponeringsvärdet för de delar av nödlidande exponeringar med anstånd som omfattas av artikel 47c.6 i förordning (EU) nr 575/2013 och är säkrade genom fast egendom i enlighet med del tre avdelning II i den förordningen eller som är ett bostadslån som garanteras av en godtagbar tillhandahållare av kreditriskskydd enligt artikel 201 i samma förordning.</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och &lt;= 3 år efter klassificering som nödlidande exponering</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tredje året efter klassificeringen av exponeringen som nödlidande.</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och &lt;= 4 år efter klassificering som nödlidande exponering</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fjärde året efter klassificeringen av exponeringen som nödlidande.</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och &lt;= 5 år efter klassificering som nödlidande exponering</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femte året efter klassificeringen av exponeringen som nödlidande.</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och &lt;= 6 år efter klassificering som nödlidande exponering</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fast egendom eller bostadslån som garanteras av en godtagbar tillhandahållare av kreditriskskydd, där den första anståndsåtgärden har beviljats mellan den första och den sista dagen det sjätte året efter klassificeringen av exponeringen som nödlidande.</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Del av nödlidande exponeringar säkrad genom annat betalt eller obetalt kreditriskskydd</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Artikel 47c.1, 47c.3 a, b, c, e och g samt 47c.6 i förordning (EU) nr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det totala exponeringsvärdet för de delar av nödlidande exponeringar med anstånd som omfattas av artikel 47c.6 i förordning (EU) nr 575/2013, säkrade genom annat betalt eller obetalt kreditriskskydd i enlighet med del tre avdelning II i förordning (EU) nr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och &lt;= 3 år efter klassificering som nödlidande exponering</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tredje året efter klassificeringen av exponeringen som nödlidande.</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och &lt;= 4 år efter klassificering som nödlidande exponering</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fjärde året efter klassificeringen av exponeringen som nödlidande.</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och &lt;= 5 år efter klassificering som nödlidande exponering</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femte året efter klassificeringen av exponeringen som nödlidande.</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och &lt;= 6 år efter klassificering som nödlidande exponering</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förordning (EU) nr 575/2013, säkrade genom annat betalt eller obetalt kreditriskskydd, där den första anståndsåtgärden har beviljats mellan den första och den sista dagen det sjätte året efter klassificeringen av exponeringen som nödlidande.”</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48306CD"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AA72417"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B4A1576"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64127"/>
    <w:rsid w:val="00483B10"/>
    <w:rsid w:val="00486B14"/>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sv-SE"/>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F93317-900B-4282-9E00-DA742F8515E8}"/>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3488</Words>
  <Characters>20583</Characters>
  <Application>Microsoft Office Word</Application>
  <DocSecurity>0</DocSecurity>
  <Lines>428</Lines>
  <Paragraphs>245</Paragraphs>
  <ScaleCrop>false</ScaleCrop>
  <Company/>
  <LinksUpToDate>false</LinksUpToDate>
  <CharactersWithSpaces>23826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2025-01-27T09:25:14Z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2edfe1ee-b6ad-46ba-afe9-5ba31481f322</vt:lpwstr>
  </property>
  <property fmtid="{D5CDD505-2E9C-101B-9397-08002B2CF9AE}" pid="9" name="MSIP_Label_6bd9ddd1-4d20-43f6-abfa-fc3c07406f94_ContentBits">
    <vt:lpwstr>0</vt:lpwstr>
  </property>
</Properties>
</file>