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LV</w:t>
      </w:r>
      <w:r>
        <w:rPr>
          <w:rFonts w:ascii="Times New Roman" w:hAnsi="Times New Roman"/>
          <w:b/>
          <w:sz w:val="24"/>
        </w:rPr>
        <w:br/>
        <w:t>VI PIELIKUMS</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“XIX PIELIKUMS</w:t>
      </w:r>
    </w:p>
    <w:p w14:paraId="1796FE74" w14:textId="29CC78AB" w:rsidR="007F5684" w:rsidRPr="00E37FBE" w:rsidRDefault="007F5684" w:rsidP="00F30436">
      <w:pPr>
        <w:jc w:val="center"/>
        <w:rPr>
          <w:b/>
          <w:szCs w:val="20"/>
        </w:rPr>
      </w:pPr>
      <w:r>
        <w:rPr>
          <w:b/>
        </w:rPr>
        <w:t>NORĀDES PAR XVIII PIELIKUMA PAPILDU NOVĒRTĒŠANAS RĪKU VEIDNES AIZPILDĪŠANU</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Papildu novērtēšanas rīki</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Vispārīgi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[ieraksta nav]. </w:t>
      </w:r>
    </w:p>
    <w:p w14:paraId="39998106" w14:textId="1169C0B2" w:rsidR="00A344AA" w:rsidRPr="00E37FBE" w:rsidRDefault="00A344AA" w:rsidP="00CC3091">
      <w:pPr>
        <w:pStyle w:val="InstructionsText2"/>
        <w:numPr>
          <w:ilvl w:val="0"/>
          <w:numId w:val="4"/>
        </w:numPr>
        <w:rPr>
          <w:u w:val="none"/>
        </w:rPr>
      </w:pPr>
      <w:r>
        <w:rPr>
          <w:u w:val="none"/>
        </w:rPr>
        <w:t>Kopējais finansējums ir visas finanšu saistības, kas nav atvasinātie instrumenti un īsās pozīcijas.</w:t>
      </w:r>
    </w:p>
    <w:p w14:paraId="50F797C6" w14:textId="18A1D5E6" w:rsidR="00A344AA" w:rsidRPr="00E37FBE" w:rsidRDefault="00A344AA" w:rsidP="00927DCB">
      <w:pPr>
        <w:pStyle w:val="InstructionsText2"/>
        <w:numPr>
          <w:ilvl w:val="0"/>
          <w:numId w:val="4"/>
        </w:numPr>
        <w:rPr>
          <w:u w:val="none"/>
        </w:rPr>
      </w:pPr>
      <w:r>
        <w:rPr>
          <w:u w:val="none"/>
        </w:rPr>
        <w:t xml:space="preserve">Tiek uzskatīts, ka finansējumam ar nenoteiktu termiņu, tostarp beztermiņa noguldījumiem, termiņš iestājas uz nakti. </w:t>
      </w:r>
    </w:p>
    <w:p w14:paraId="4586638B" w14:textId="7C96029D" w:rsidR="00A344AA" w:rsidRPr="00E37FBE" w:rsidRDefault="00A344AA" w:rsidP="00927DCB">
      <w:pPr>
        <w:pStyle w:val="InstructionsText2"/>
        <w:numPr>
          <w:ilvl w:val="0"/>
          <w:numId w:val="4"/>
        </w:numPr>
        <w:rPr>
          <w:u w:val="none"/>
        </w:rPr>
      </w:pPr>
      <w:r>
        <w:rPr>
          <w:u w:val="none"/>
        </w:rPr>
        <w:t xml:space="preserve">Sākotnējais termiņš ir laiks starp finansējuma iniciēšanas datumu un termiņa datumu. Finansējuma termiņa datumu nosaka saskaņā ar XXIII pielikuma 12. punktu. Tas nozīmē, ka iespējamības gadījumā, piemēram, XXIII pielikuma 12. punkta gadījumā, finansējuma pozīcijas sākotnējais termiņš var būt īsāks par laiku, kas pagājis kopš tās iniciēšanas. </w:t>
      </w:r>
    </w:p>
    <w:p w14:paraId="4FA59274" w14:textId="21EF3C98" w:rsidR="00A344AA" w:rsidRPr="00E37FBE" w:rsidRDefault="00A344AA" w:rsidP="00927DCB">
      <w:pPr>
        <w:pStyle w:val="InstructionsText2"/>
        <w:numPr>
          <w:ilvl w:val="0"/>
          <w:numId w:val="4"/>
        </w:numPr>
        <w:rPr>
          <w:u w:val="none"/>
        </w:rPr>
      </w:pPr>
      <w:r>
        <w:rPr>
          <w:u w:val="none"/>
        </w:rPr>
        <w:t>Atlikušais termiņš ir laiks starp pārskata perioda beigām un finansējuma termiņa datumu. Finansējuma termiņa datumu nosaka saskaņā ar XXIII pielikuma 12. punktu.</w:t>
      </w:r>
    </w:p>
    <w:p w14:paraId="1DF04682" w14:textId="743926F7" w:rsidR="007462FE" w:rsidRPr="00E37FBE" w:rsidRDefault="007462FE" w:rsidP="00927DCB">
      <w:pPr>
        <w:pStyle w:val="InstructionsText2"/>
        <w:numPr>
          <w:ilvl w:val="0"/>
          <w:numId w:val="4"/>
        </w:numPr>
        <w:rPr>
          <w:u w:val="none"/>
        </w:rPr>
      </w:pPr>
      <w:r>
        <w:rPr>
          <w:u w:val="none"/>
        </w:rPr>
        <w:t>Lai aprēķinātu sākotnējo vai atlikušo vidēji svērto termiņu, uzskata, ka noguldījumiem, kuru termiņš iestājas uz nakti, ir vienas dienas termiņš.</w:t>
      </w:r>
    </w:p>
    <w:p w14:paraId="25CD9EF4" w14:textId="173EC59C" w:rsidR="007462FE" w:rsidRPr="00E37FBE" w:rsidRDefault="007462FE" w:rsidP="00927DCB">
      <w:pPr>
        <w:pStyle w:val="InstructionsText2"/>
        <w:numPr>
          <w:ilvl w:val="0"/>
          <w:numId w:val="4"/>
        </w:numPr>
        <w:rPr>
          <w:u w:val="none"/>
        </w:rPr>
      </w:pPr>
      <w:r>
        <w:rPr>
          <w:u w:val="none"/>
        </w:rPr>
        <w:t>Lai aprēķinātu sākotnējo un atlikušo termiņu, ja iestādes darījuma partnerim ir finansējums ar iepriekšējas paziņošanas periodu vai atcelšanas vai priekšlaicīgas izņemšanas klauzulu, pieņem, ka izņemšanu veiks pirmajā iespējamajā dienā.</w:t>
      </w:r>
    </w:p>
    <w:p w14:paraId="2B81E2EC" w14:textId="4651096B" w:rsidR="00A344AA" w:rsidRPr="00E37FBE" w:rsidRDefault="00A344AA" w:rsidP="00927DCB">
      <w:pPr>
        <w:pStyle w:val="InstructionsText2"/>
        <w:numPr>
          <w:ilvl w:val="0"/>
          <w:numId w:val="4"/>
        </w:numPr>
        <w:rPr>
          <w:u w:val="none"/>
        </w:rPr>
      </w:pPr>
      <w:r>
        <w:rPr>
          <w:u w:val="none"/>
        </w:rPr>
        <w:t>Attiecībā uz beztermiņa saistībām, izņemot gadījumus, kad uz tām attiecas XXIII pielikuma 12. punktā minēta iespējamība, pieņem fiksētu divdesmit gadu sākotnējo un atlikušo termiņu.</w:t>
      </w:r>
    </w:p>
    <w:p w14:paraId="30EB5133" w14:textId="05E31F69" w:rsidR="00A344AA" w:rsidRPr="00E37FBE" w:rsidRDefault="00A344AA" w:rsidP="00927DCB">
      <w:pPr>
        <w:pStyle w:val="InstructionsText2"/>
        <w:numPr>
          <w:ilvl w:val="0"/>
          <w:numId w:val="4"/>
        </w:numPr>
        <w:rPr>
          <w:u w:val="none"/>
        </w:rPr>
      </w:pPr>
      <w:r>
        <w:rPr>
          <w:u w:val="none"/>
        </w:rPr>
        <w:t>Lai aprēķinātu procentu slieksni, kas minēts pārskatu sniegšanas veidnē C 67.00 pēc nozīmīgas valūtas, iestādes izmanto 1 % slieksni no kopējām saistībām visās valūtās.</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Finansējuma koncentrācija pēc darījuma partnera (C 67.00)</w:t>
      </w:r>
    </w:p>
    <w:p w14:paraId="322C1A75" w14:textId="2DE3271D" w:rsidR="00A344AA" w:rsidRPr="00E37FBE" w:rsidRDefault="00490B62" w:rsidP="00CC3091">
      <w:pPr>
        <w:pStyle w:val="InstructionsText2"/>
        <w:numPr>
          <w:ilvl w:val="0"/>
          <w:numId w:val="6"/>
        </w:numPr>
        <w:rPr>
          <w:u w:val="none"/>
        </w:rPr>
      </w:pPr>
      <w:r>
        <w:rPr>
          <w:u w:val="none"/>
        </w:rPr>
        <w:t>Lai C 67.00 veidnē apkopotu informāciju par pārskatu sniedzošo iestāžu finansējuma koncentrāciju pēc darījuma partnera, iestādes piemēro šajā iedaļā ietvertās norādes.</w:t>
      </w:r>
    </w:p>
    <w:p w14:paraId="52091F90" w14:textId="0B7A17FD" w:rsidR="00A344AA" w:rsidRPr="00E37FBE" w:rsidRDefault="00A344AA" w:rsidP="00CC3091">
      <w:pPr>
        <w:pStyle w:val="InstructionsText2"/>
        <w:numPr>
          <w:ilvl w:val="0"/>
          <w:numId w:val="6"/>
        </w:numPr>
        <w:rPr>
          <w:u w:val="none"/>
        </w:rPr>
      </w:pPr>
      <w:r>
        <w:rPr>
          <w:u w:val="none"/>
        </w:rPr>
        <w:t>Iestādes uzrāda desmit lielākos darījumu partnerus vai savstarpēji saistītu klientu grupu, kas definēta Regulas (ES) Nr. 575/2013 4. panta 1. punkta 39) apakšpunktā, ja iegūtais finansējums no katra darījuma partnera vai savstarpēji saistītu klientu grupas pārsniedz 1 % slieksni no kopējām saistībām veidnes 1. iedaļas 020. līdz 110. rindā. 1.01. postenī norādītais darījuma partneris ir no viena darījuma partnera vai savstarpēji saistītu klientu grupas saņemtā finansējuma lielākā summa, kas pārsniedz 1 % slieksni pārskata sniegšanas datumā. 1.02. postenī norāda otro lielāko summu, kas pārsniedz 1 % slieksni, un analoģiski rīkojas attiecībā uz pārējiem posteņiem.</w:t>
      </w:r>
    </w:p>
    <w:p w14:paraId="430CAED4" w14:textId="505B6732" w:rsidR="00A344AA" w:rsidRPr="00E37FBE" w:rsidRDefault="00A344AA" w:rsidP="00CC3091">
      <w:pPr>
        <w:pStyle w:val="InstructionsText2"/>
        <w:numPr>
          <w:ilvl w:val="0"/>
          <w:numId w:val="6"/>
        </w:numPr>
        <w:rPr>
          <w:u w:val="none"/>
        </w:rPr>
      </w:pPr>
      <w:r>
        <w:rPr>
          <w:u w:val="none"/>
        </w:rPr>
        <w:t xml:space="preserve">Ja darījuma partneris pieder pie vairākām savstarpēji saistītu klientu grupām, to uzrāda tikai vienu reizi tajā grupā, kurai ir lielākais finansējums. </w:t>
      </w:r>
    </w:p>
    <w:p w14:paraId="589BDAD9" w14:textId="65F70951" w:rsidR="00A344AA" w:rsidRPr="00E37FBE" w:rsidRDefault="00A344AA" w:rsidP="00381AA0">
      <w:pPr>
        <w:pStyle w:val="InstructionsText2"/>
        <w:numPr>
          <w:ilvl w:val="0"/>
          <w:numId w:val="6"/>
        </w:numPr>
        <w:rPr>
          <w:u w:val="none"/>
        </w:rPr>
      </w:pPr>
      <w:r>
        <w:rPr>
          <w:u w:val="none"/>
        </w:rPr>
        <w:lastRenderedPageBreak/>
        <w:t>2. iedaļā iestādes norāda visa pārējā atlikušā finansējuma kopsummu.</w:t>
      </w:r>
    </w:p>
    <w:p w14:paraId="6E279CE2" w14:textId="1CC30DEB" w:rsidR="00A344AA" w:rsidRPr="00E37FBE" w:rsidRDefault="00A344AA" w:rsidP="00927DCB">
      <w:pPr>
        <w:pStyle w:val="InstructionsText2"/>
        <w:numPr>
          <w:ilvl w:val="0"/>
          <w:numId w:val="6"/>
        </w:numPr>
        <w:rPr>
          <w:u w:val="none"/>
        </w:rPr>
      </w:pPr>
      <w:r>
        <w:rPr>
          <w:u w:val="none"/>
        </w:rPr>
        <w:t>1. iedaļas (Desmit galvenie darījumu partneri) un 2. iedaļas (Viss pārējais finansējums) summa ir vienāda ar iestādes kopējo finansējumu atbilstīgi tās bilancei saskaņā ar finanšu pārskatu sniegšanas sistēmu (</w:t>
      </w:r>
      <w:r>
        <w:rPr>
          <w:i/>
          <w:iCs/>
          <w:u w:val="none"/>
        </w:rPr>
        <w:t>FINREP</w:t>
      </w:r>
      <w:r>
        <w:rPr>
          <w:u w:val="none"/>
        </w:rPr>
        <w:t xml:space="preserve"> – kas ir finanšu saistības, kas koriģētas, lai izslēgtu atvasinātos instrumentus un īsās pozīcijas saskaņā ar 1.1. iedaļas 2. punktu) tiem pārskata periodiem, kuros ir pieejami abi pārskati (piemēram, </w:t>
      </w:r>
      <w:r>
        <w:rPr>
          <w:i/>
          <w:iCs/>
          <w:u w:val="none"/>
        </w:rPr>
        <w:t>Finrep</w:t>
      </w:r>
      <w:r>
        <w:rPr>
          <w:u w:val="none"/>
        </w:rPr>
        <w:t xml:space="preserve"> 1. cet. un C 67.00 marts/1. cet.).</w:t>
      </w:r>
    </w:p>
    <w:p w14:paraId="00BA7315" w14:textId="5EBAC99F" w:rsidR="00A344AA" w:rsidRPr="00E37FBE" w:rsidRDefault="00A344AA" w:rsidP="00927DCB">
      <w:pPr>
        <w:pStyle w:val="InstructionsText2"/>
        <w:numPr>
          <w:ilvl w:val="0"/>
          <w:numId w:val="6"/>
        </w:numPr>
        <w:rPr>
          <w:u w:val="none"/>
        </w:rPr>
      </w:pPr>
      <w:r>
        <w:rPr>
          <w:u w:val="none"/>
        </w:rPr>
        <w:t>Attiecībā uz katru darījuma partneri iestādes aizpilda visas slejas no 0010. līdz 0080. slejai.</w:t>
      </w:r>
    </w:p>
    <w:p w14:paraId="3425ECF0" w14:textId="65ED6564" w:rsidR="00A344AA" w:rsidRPr="00E37FBE" w:rsidRDefault="00A344AA" w:rsidP="00927DCB">
      <w:pPr>
        <w:pStyle w:val="InstructionsText2"/>
        <w:numPr>
          <w:ilvl w:val="0"/>
          <w:numId w:val="6"/>
        </w:numPr>
        <w:rPr>
          <w:u w:val="none"/>
        </w:rPr>
      </w:pPr>
      <w:r>
        <w:rPr>
          <w:u w:val="none"/>
        </w:rPr>
        <w:t>Ja finansējums tiek iegūts vairākos produktu veidos, norāda to veidu, uz ko attiecina lielāko iegūtā finansējuma daļu. Vērtspapīru turētāju identificē, pieliekot visas pūles. Ja iestādei ir informācija par vērtspapīru turētāju (tai pildot turētājbankas funkcijas), šo summu ņem vērā, uzrādot darījumu partneru koncentrāciju. Ja informācija par vērtspapīru turētāju nav pieejama, attiecīgā summa nav jāuzrāda.</w:t>
      </w:r>
    </w:p>
    <w:p w14:paraId="2DFF75CD" w14:textId="77777777" w:rsidR="00A344AA" w:rsidRPr="00E37FBE" w:rsidRDefault="00A344AA" w:rsidP="00927DCB">
      <w:pPr>
        <w:pStyle w:val="InstructionsText2"/>
        <w:numPr>
          <w:ilvl w:val="0"/>
          <w:numId w:val="6"/>
        </w:numPr>
        <w:rPr>
          <w:u w:val="none"/>
        </w:rPr>
      </w:pPr>
      <w:r>
        <w:rPr>
          <w:u w:val="none"/>
        </w:rPr>
        <w:t>Norādes par konkrētām slejām:</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Sleja</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Atsauces uz tiesību aktu noteikumiem un norādījumi</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Darījumu partnera nosaukums</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Katra tāda darījuma partnera nosaukumu, no kura iegūtais finansējums pārsniedz 1 % no kopējām saistībām, dilstošā secībā ieraksta 0010. slejā, t. i., pēc iegūtā finansējuma apjoma.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Jānorāda darījuma partnera nosaukums neatkarīgi no tā, vai tas ir vai nu juridiska persona, vai fiziska persona. Ja darījuma partneris ir juridiska persona, darījuma partnera uzrādītais nosaukums ir tādas juridiskās personas pilns nosaukums, no kuras tiek iegūts finansējums, tostarp jebkādas atsauces uz uzņēmuma veidu saskaņā ar valsts uzņēmējdarbības tiesībām.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Gadījumos, kad savstarpēji saistītu klientu grupai nav mātesuzņēmuma, tad norādāmais darījuma partneris ir atsevišķa vienība, kuru iestāde uzskata par svarīgāko savstarpēji saistītu klientu grupā. Visos pārējos gadījumos nosaukums atbilst atsevišķam darījuma partnerim.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Kods</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Kodam, kas ir daļa no rindu identifikatora, jābūt unikālam attiecībā uz katru uzrādīto sabiedrību. Iestādēm un apdrošināšanas sabiedrībām šis kods ir juridiskās personas identifikācijas (</w:t>
            </w:r>
            <w:r>
              <w:rPr>
                <w:rStyle w:val="FormatvorlageInstructionsTabelleText"/>
                <w:rFonts w:ascii="Times New Roman" w:hAnsi="Times New Roman"/>
                <w:i/>
                <w:iCs/>
              </w:rPr>
              <w:t>LEI)</w:t>
            </w:r>
            <w:r>
              <w:rPr>
                <w:rStyle w:val="FormatvorlageInstructionsTabelleText"/>
                <w:rFonts w:ascii="Times New Roman" w:hAnsi="Times New Roman"/>
              </w:rPr>
              <w:t xml:space="preserve"> kods. Citām sabiedrībām šis kods ir </w:t>
            </w:r>
            <w:r>
              <w:rPr>
                <w:rStyle w:val="FormatvorlageInstructionsTabelleText"/>
                <w:rFonts w:ascii="Times New Roman" w:hAnsi="Times New Roman"/>
                <w:i/>
                <w:iCs/>
              </w:rPr>
              <w:t>LEI</w:t>
            </w:r>
            <w:r>
              <w:rPr>
                <w:rStyle w:val="FormatvorlageInstructionsTabelleText"/>
                <w:rFonts w:ascii="Times New Roman" w:hAnsi="Times New Roman"/>
              </w:rPr>
              <w:t xml:space="preserve"> kods vai, ja tas nav pieejams, valsts kods. Šis kods ir unikāls, un to izmanto konsekventi visās veidnēs un visos laikos. Kodam vienmēr ir kāda vērtība.</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Koda veids</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Iestādes identificē 0015. slejā uzrādīto kodu kā “</w:t>
            </w:r>
            <w:r>
              <w:rPr>
                <w:rStyle w:val="FormatvorlageInstructionsTabelleText"/>
                <w:rFonts w:ascii="Times New Roman" w:hAnsi="Times New Roman"/>
                <w:i/>
                <w:iCs/>
              </w:rPr>
              <w:t>LEI</w:t>
            </w:r>
            <w:r>
              <w:rPr>
                <w:rStyle w:val="FormatvorlageInstructionsTabelleText"/>
                <w:rFonts w:ascii="Times New Roman" w:hAnsi="Times New Roman"/>
              </w:rPr>
              <w:t xml:space="preserve"> kodu” vai kodu, kas nav </w:t>
            </w:r>
            <w:r>
              <w:rPr>
                <w:rStyle w:val="FormatvorlageInstructionsTabelleText"/>
                <w:rFonts w:ascii="Times New Roman" w:hAnsi="Times New Roman"/>
                <w:i/>
                <w:iCs/>
              </w:rPr>
              <w:t>LEI</w:t>
            </w:r>
            <w:r>
              <w:rPr>
                <w:rStyle w:val="FormatvorlageInstructionsTabelleText"/>
                <w:rFonts w:ascii="Times New Roman" w:hAnsi="Times New Roman"/>
              </w:rPr>
              <w:t xml:space="preserve"> kods.</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Koda veids ir jāuzrāda vienmēr.</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Valsts kods</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Iestādes, kā identifikatoru uzrādot </w:t>
            </w:r>
            <w:r>
              <w:rPr>
                <w:rStyle w:val="FormatvorlageInstructionsTabelleText"/>
                <w:rFonts w:ascii="Times New Roman" w:hAnsi="Times New Roman"/>
                <w:i/>
                <w:iCs/>
              </w:rPr>
              <w:t>LEI</w:t>
            </w:r>
            <w:r>
              <w:rPr>
                <w:rStyle w:val="FormatvorlageInstructionsTabelleText"/>
                <w:rFonts w:ascii="Times New Roman" w:hAnsi="Times New Roman"/>
              </w:rPr>
              <w:t xml:space="preserve"> kodu slejā “Kods”, var papildus uzrādīt valsts kodu.</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Darījuma partnera sektors</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Katram darījumu partnerim izvēlas vienu sektoru, balstoties uz turpmākajām [</w:t>
            </w:r>
            <w:r>
              <w:rPr>
                <w:rStyle w:val="FormatvorlageInstructionsTabelleText"/>
                <w:rFonts w:ascii="Times New Roman" w:hAnsi="Times New Roman"/>
                <w:i/>
                <w:iCs/>
              </w:rPr>
              <w:t>FINREP</w:t>
            </w:r>
            <w:r>
              <w:rPr>
                <w:rStyle w:val="FormatvorlageInstructionsTabelleText"/>
                <w:rFonts w:ascii="Times New Roman" w:hAnsi="Times New Roman"/>
              </w:rPr>
              <w:t>] ekonomiskā sektora klasēm (sk. šīs Īstenošanas regulas V pielikuma 1. daļu):</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centrālās bankas; ii) vispārējās valdības; iii) kredītiestādes; iv) citas finanšu sabiedrības; v) nefinanšu sabiedrības; vi) mājsaimniecības.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Savstarpēji saistītu klientu grupām sektoru nenorāda.</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Darījuma partnera rezidences vietas valsts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t xml:space="preserve">Izmanto darījuma partnera inkorporācijas valsts </w:t>
            </w:r>
            <w:r>
              <w:rPr>
                <w:i/>
                <w:iCs/>
              </w:rPr>
              <w:t>ISO</w:t>
            </w:r>
            <w:r>
              <w:t xml:space="preserve"> kodu 3166-1-alpha-2, tostarp pseido </w:t>
            </w:r>
            <w:r>
              <w:rPr>
                <w:i/>
                <w:iCs/>
              </w:rPr>
              <w:t>ISO</w:t>
            </w:r>
            <w:r>
              <w:t xml:space="preserve"> kodus starptautiskajām organizācijām, kas pieejami Eurostat “Balance of Payments Vademecum” jaunākajā izdevumā.</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Savstarpēji saistītu klientu grupām valsti nenorāda.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Ražojuma veids</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slejā minētos darījumu partnerus klasificē pēc produkta veida, kas atbilst emitētajam produktam, kurā saņemts finansējums (vai jauktiem produktu veidiem – kurā saņemta finansējuma lielākā daļa), izmantojot šādus kodus, kas norādīti treknrakstā:</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i/>
                <w:iCs/>
                <w:color w:val="000000"/>
              </w:rPr>
              <w:t>UWF</w:t>
            </w:r>
            <w:r>
              <w:rPr>
                <w:rFonts w:ascii="Times New Roman" w:hAnsi="Times New Roman"/>
                <w:color w:val="000000"/>
              </w:rPr>
              <w:t xml:space="preserve"> (nenodrošināts korporatīvais finansējums, kas iegūts no finanšu klientiem, ieskaitot starpbanku līdzekļus)</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i/>
                <w:iCs/>
                <w:color w:val="000000"/>
              </w:rPr>
              <w:t>UWNF</w:t>
            </w:r>
            <w:r>
              <w:rPr>
                <w:rFonts w:ascii="Times New Roman" w:hAnsi="Times New Roman"/>
                <w:color w:val="000000"/>
              </w:rPr>
              <w:t xml:space="preserve"> (nenodrošināts korporatīvais finansējums, kas iegūts no nefinanšu klientiem)</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bCs/>
                <w:i/>
                <w:iCs/>
                <w:color w:val="000000"/>
              </w:rPr>
              <w:t>SFT</w:t>
            </w:r>
            <w:r>
              <w:rPr>
                <w:rFonts w:ascii="Times New Roman" w:hAnsi="Times New Roman"/>
                <w:color w:val="000000"/>
              </w:rPr>
              <w:t xml:space="preserve"> (finansējums, kas iegūts no līgumiem par aktīvu pārdošanu ar atpirkšanu, kā definēts Regulas (ES) Nr. 575/2013 4. panta 1. punkta 82. apakšpunktā)</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i/>
                <w:iCs/>
                <w:color w:val="000000"/>
              </w:rPr>
              <w:t>CB</w:t>
            </w:r>
            <w:r>
              <w:rPr>
                <w:rFonts w:ascii="Times New Roman" w:hAnsi="Times New Roman"/>
                <w:color w:val="000000"/>
              </w:rPr>
              <w:t xml:space="preserve"> (finansējums, kas iegūts no segto obligāciju emisijas, kā definēts Regulas (ES) Nr. 575/2013 129. panta 4. vai 5. punktā vai Direktīvas 2009/65/EK 52. panta 4. punktā)</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i/>
                <w:iCs/>
                <w:color w:val="000000"/>
              </w:rPr>
              <w:t>ABS</w:t>
            </w:r>
            <w:r>
              <w:rPr>
                <w:rFonts w:ascii="Times New Roman" w:hAnsi="Times New Roman"/>
                <w:color w:val="000000"/>
              </w:rPr>
              <w:t xml:space="preserve"> (finansējums, kas iegūts no ar aktīviem nodrošinātiem vērtspapīriem, ieskaitot ar aktīviem nodrošinātus komerciālos vērtspapīrus)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bCs/>
                <w:i/>
                <w:iCs/>
                <w:color w:val="000000"/>
              </w:rPr>
              <w:t>CBM</w:t>
            </w:r>
            <w:r>
              <w:rPr>
                <w:rFonts w:ascii="Times New Roman" w:hAnsi="Times New Roman"/>
                <w:color w:val="000000"/>
              </w:rPr>
              <w:t xml:space="preserve"> (centrālo banku finansējums saistībā ar monetārās politikas operācijām)</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i/>
                <w:iCs/>
                <w:color w:val="000000"/>
              </w:rPr>
              <w:t>IGUWF</w:t>
            </w:r>
            <w:r>
              <w:rPr>
                <w:rFonts w:ascii="Times New Roman" w:hAnsi="Times New Roman"/>
                <w:color w:val="000000"/>
              </w:rPr>
              <w:t xml:space="preserve"> (finansējums, kas iegūts no grupas iekšējiem darījumu partneriem)</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bCs/>
                <w:i/>
                <w:iCs/>
                <w:color w:val="000000"/>
              </w:rPr>
              <w:t>IGSWF</w:t>
            </w:r>
            <w:r>
              <w:rPr>
                <w:rFonts w:ascii="Times New Roman" w:hAnsi="Times New Roman"/>
                <w:color w:val="000000"/>
              </w:rPr>
              <w:t xml:space="preserve"> (finansējums, kas iegūts no grupas iekšējiem darījumu partneriem)</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i/>
                <w:iCs/>
                <w:color w:val="000000"/>
              </w:rPr>
              <w:t>OSWF</w:t>
            </w:r>
            <w:r>
              <w:rPr>
                <w:rFonts w:ascii="Times New Roman" w:hAnsi="Times New Roman"/>
                <w:color w:val="000000"/>
              </w:rPr>
              <w:t xml:space="preserve"> (cits nodrošinātais korporatīvais finansējums)</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bCs/>
                <w:i/>
                <w:iCs/>
                <w:color w:val="000000"/>
              </w:rPr>
              <w:t>OFP</w:t>
            </w:r>
            <w:r>
              <w:rPr>
                <w:rFonts w:ascii="Times New Roman" w:hAnsi="Times New Roman"/>
                <w:color w:val="000000"/>
              </w:rPr>
              <w:t xml:space="preserve"> (citi finansējuma produkti, piemēram, privātpersonu vai MVU finansējums)</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Saņemtā summa</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Tāda finansējuma kopsummu, kas saņemts no darījumu partneriem, kuri norādīti 0010. slejā, norāda 0060. slejā, un iestādes tur uzrāda uzskaites vērtības.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Vidējais svērtais sākotnējais periods līdz beigu termiņam</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0060. slejā norādītai saņemtā finansējuma summai (no 0010. slejā norādītā darījumu partnera) vidējo svērto sākotnējo termiņu (dienās) šādam finansējumam norāda 0070. slejā.</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Vidējo svērto sākotnējo termiņu aprēķina kā no attiecīgā darījuma partnera saņemtā finansējuma vidējo sākotnējo termiņu (dienās). Vidējo svērumu nosaka pēc lieluma, pamatojoties uz saņemtā finansējuma dažādo summu lielumu salīdzinājumā ar kopējo finansējumu, kas saņemts no minētā darījumu partnera.</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Attiecībā uz beztermiņa saistībām iestādes ņem vērā fiksētu 20 gadu termiņu un 1 dienas termiņu noguldījumiem pēc pieprasījuma.</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68793976"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r w:rsidR="007C3489">
              <w:rPr>
                <w:rFonts w:ascii="Times New Roman" w:hAnsi="Times New Roman"/>
                <w:color w:val="000000"/>
              </w:rPr>
              <w:t>.</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Vidējais svērtais atlikušais termiņš</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0060. slejā norādītai saņemtā finansējuma summai (no 0010. slejā norādītā darījuma partnera) vidējo svērto atlikušo termiņu dienās šādam finansējumam norāda 0080. slejā.</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Vidējo svērto atlikušo termiņu aprēķina kā no attiecīgā darījuma partnera saņemtā finansējuma vidējo termiņu (atlikušajās dienās). Vidējo svērumu nosaka pēc lieluma, pamatojoties uz saņemtā finansējuma dažādo summu lielumu salīdzinājumā ar kopējo finansējumu, kas saņemts no minētā darījumu partnera.</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Attiecībā uz beztermiņa saistībām iestādes ņem vērā fiksētu 20 gadu termiņu un 1 dienas termiņu noguldījumiem pēc pieprasījuma.</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Finansējuma koncentrācija pēc produkta veida (C 68.00)</w:t>
      </w:r>
    </w:p>
    <w:p w14:paraId="5B6DFC15" w14:textId="3E2FC327" w:rsidR="00A344AA" w:rsidRPr="00E37FBE" w:rsidRDefault="00A344AA" w:rsidP="00CC3091">
      <w:pPr>
        <w:pStyle w:val="InstructionsText2"/>
        <w:numPr>
          <w:ilvl w:val="0"/>
          <w:numId w:val="13"/>
        </w:numPr>
        <w:rPr>
          <w:u w:val="none"/>
        </w:rPr>
      </w:pPr>
      <w:r>
        <w:rPr>
          <w:u w:val="none"/>
        </w:rPr>
        <w:t>Ar šo veidni paredzēts apkopot informāciju par pārskatu sniedzošo iestāžu finansējuma koncentrāciju pēc produkta veida, kas sadalīts finansējuma veidos, kā noteikts turpmāk minētajās norādēs attiecībā uz rindām.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Rinda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Atsauces uz tiesību aktu noteikumiem un norādījumi</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Pr>
                <w:rFonts w:ascii="Times New Roman" w:hAnsi="Times New Roman"/>
                <w:b/>
                <w:u w:val="single"/>
              </w:rPr>
              <w:tab/>
              <w:t>Privātpersonu vai MVU finansējums</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Privātpersonu vai MVU noguldījumi, kā definēts Regulas (ES) Nr. 575/2013 411. panta 2. punktā, un privātpersonu vai MVU obligācijas, kā minēts Komisijas Deleģētās regulas (ES) 2015/61 28. panta 6. punktā.</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Pr>
                <w:rFonts w:ascii="Times New Roman" w:hAnsi="Times New Roman"/>
                <w:b/>
                <w:u w:val="single"/>
              </w:rPr>
              <w:tab/>
              <w:t>No kā: beztermiņa noguldījumi</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Beztermiņa noguldījumi no privātpersonu vai MVU finansējuma 0010. rindā.</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Pr>
                <w:rFonts w:ascii="Times New Roman" w:hAnsi="Times New Roman"/>
                <w:b/>
                <w:u w:val="single"/>
              </w:rPr>
              <w:tab/>
              <w:t>No kā: termiņnoguldījumi, kas nav izņemami turpmāko 30 dienu laikā</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Termiņnoguldījumi, kuri nav izņemami turpmāko 30 dienu laikā, no privātpersonu vai MVU finansējuma 0010. rindā.</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Pr>
                <w:rFonts w:ascii="Times New Roman" w:hAnsi="Times New Roman"/>
                <w:b/>
                <w:u w:val="single"/>
              </w:rPr>
              <w:tab/>
              <w:t>No kā: termiņnoguldījumi, kas ir izņemami turpmāko 30 dienu laikā</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Termiņnoguldījumi, kuri ir izņemami turpmāko 30 dienu laikā, no privātpersonu vai MVU finansējuma 0010. rindā.</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Pr>
                <w:rFonts w:ascii="Times New Roman" w:hAnsi="Times New Roman"/>
                <w:b/>
                <w:u w:val="single"/>
              </w:rPr>
              <w:tab/>
              <w:t>Krājkonti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Krājkonti no privātpersonu vai MVU finansējuma 0010. rindā, kuriem ir viena no turpmāk minētajām iezīmēm:</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ar tādu iepriekšējās paziņošanas periodu par izņemšanu, kas lielāks par 30 dienām;</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bez tāda iepriekšējās paziņošanas perioda par izņemšanu, kas lielāks par 30 dienām.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lastRenderedPageBreak/>
              <w:t>Šo rindu neuzrāda.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Pr>
                <w:rFonts w:ascii="Times New Roman" w:hAnsi="Times New Roman"/>
                <w:b/>
                <w:u w:val="single"/>
              </w:rPr>
              <w:tab/>
              <w:t>Ar iepriekšējas paziņošanas periodu par izņemšanu, kurš pārsniedz 30 dienas</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Krājkonti no privātpersonu vai MVU finansējuma 0010. rindā, kuriem iepriekšējas paziņošanas periods par izņemšanu pārsniedz 30 dienas.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Pr>
                <w:rFonts w:ascii="Times New Roman" w:hAnsi="Times New Roman"/>
                <w:b/>
                <w:u w:val="single"/>
              </w:rPr>
              <w:tab/>
              <w:t>Bez tāda iepriekšējās paziņošanas perioda par izņemšanu, kas lielāks par 30 dienām.</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Krājkonti no privātpersonu vai MVU finansējuma 0010. rindā bez tāda iepriekšējās paziņošanas perioda par izņemšanu, kas lielāks par 30 dienām.</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Korporatīvais finansējums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Visi darījumu partneru, kas nav privātpersonas vai MVU, noguldījumi, kā definēts Deleģētās regulas (ES) 575/2013 411. panta 2. punktā.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Šo rindu neuzrāda.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Pr>
                <w:rFonts w:ascii="Times New Roman" w:hAnsi="Times New Roman"/>
                <w:b/>
                <w:u w:val="single"/>
              </w:rPr>
              <w:tab/>
              <w:t>Nenodrošināts korporatīvais finansējums;</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Visu darījumu partneru, kas nav privātpersonas vai MVU, noguldījumi, kā definēts Deleģētās regulas (ES) 575/2013 411. panta 2. punktā, ja finansējums nav nodrošināts.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Pr>
                <w:rFonts w:ascii="Times New Roman" w:hAnsi="Times New Roman"/>
                <w:b/>
                <w:u w:val="single"/>
              </w:rPr>
              <w:tab/>
              <w:t>No kā: finanšu klientu aizdevumi un noguldījumi</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No finansējuma 0110. rindā, kurš ietver finanšu klientu aizdevumus un noguldījumus.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Centrālo banku finansējumu no šīs rindas izslēdz.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Pr>
                <w:rFonts w:ascii="Times New Roman" w:hAnsi="Times New Roman"/>
                <w:b/>
                <w:u w:val="single"/>
              </w:rPr>
              <w:tab/>
              <w:t>No kā: nefinanšu klientu aizdevumi un noguldījumi</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No finansējuma 0110. rindā, kurš ietver nefinanšu klientu aizdevumus un noguldījumus.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Centrālo banku finansējumu no šīs rindas izslēdz.</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Pr>
                <w:rFonts w:ascii="Times New Roman" w:hAnsi="Times New Roman"/>
                <w:b/>
                <w:u w:val="single"/>
              </w:rPr>
              <w:tab/>
              <w:t>No kā: grupas iekšējo sabiedrību aizdevumi un noguldījumi</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No 0110. rindā norādītā finansējuma – tie, ko veido grupas iekšējo sabiedrību aizdevumi un noguldījumi, ja darījuma partneris ir iestādes mātesuzņēmums vai meitasuzņēmums, vai tā paša mātesuzņēmuma cits meitasuzņēmums, vai tas ar kredītiestādi ir saistīts Direktīvas 2013/34/ES 22. panta 7. punkta nozīmē.</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Grupas iekšējo sabiedrību korporatīvo finansējumu uzrāda tikai individuālā vai subkonsolidētā līmenī.</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Pr>
                <w:rFonts w:ascii="Times New Roman" w:hAnsi="Times New Roman"/>
                <w:b/>
                <w:u w:val="single"/>
              </w:rPr>
              <w:tab/>
              <w:t xml:space="preserve">Nodrošināts korporatīvais finansējums;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Visu darījumu partneru, kas nav privātpersonas vai MVU, noguldījumi, kā definēts Deleģētās regulas (ES) 575/2013 411. panta 2. punktā, ja finansējums ir nodrošināts.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Pr>
                <w:rFonts w:ascii="Times New Roman" w:hAnsi="Times New Roman"/>
                <w:b/>
                <w:u w:val="single"/>
              </w:rPr>
              <w:tab/>
              <w:t>No kā: vērtspapīru finansēšanas darījumi</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No finansējuma 0150. rindā, kurš ir iegūts no līgumiem par aktīvu pārdošanu ar atpirkšanu, kā definēts Regulas (ES) Nr. 575/2013 4. panta 1. punkta 82) apakšpunktā.</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Pr>
                <w:rFonts w:ascii="Times New Roman" w:hAnsi="Times New Roman"/>
                <w:b/>
                <w:u w:val="single"/>
              </w:rPr>
              <w:tab/>
              <w:t>No kā: segto obligāciju emisija</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No finansējuma 0150. rindā, kurš ir iegūts no segto obligāciju emisijas, kā definēts Regulas (ES) Nr. 575/2013 129. panta 4. vai 5. punktā vai Direktīvas 2009/65/EK 52. panta 4. punktā.</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Pr>
                <w:rFonts w:ascii="Times New Roman" w:hAnsi="Times New Roman"/>
                <w:b/>
                <w:u w:val="single"/>
              </w:rPr>
              <w:tab/>
              <w:t>No kā: ar aktīviem nodrošinātu vērtspapīru (</w:t>
            </w:r>
            <w:r>
              <w:rPr>
                <w:rFonts w:ascii="Times New Roman" w:hAnsi="Times New Roman"/>
                <w:b/>
                <w:i/>
                <w:iCs/>
                <w:u w:val="single"/>
              </w:rPr>
              <w:t>ABS</w:t>
            </w:r>
            <w:r>
              <w:rPr>
                <w:rFonts w:ascii="Times New Roman" w:hAnsi="Times New Roman"/>
                <w:b/>
                <w:u w:val="single"/>
              </w:rPr>
              <w:t>) emisijas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 xml:space="preserve">No finansējuma 0150. rindā, kurš ir iegūts no </w:t>
            </w:r>
            <w:r>
              <w:rPr>
                <w:rFonts w:ascii="Times New Roman" w:hAnsi="Times New Roman"/>
                <w:i/>
                <w:iCs/>
              </w:rPr>
              <w:t>ABS</w:t>
            </w:r>
            <w:r>
              <w:rPr>
                <w:rFonts w:ascii="Times New Roman" w:hAnsi="Times New Roman"/>
              </w:rPr>
              <w:t xml:space="preserve"> emisijas, tostarp ar aktīviem nodrošinātiem komerciāliem vērtspapīriem.</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Pr>
                <w:rFonts w:ascii="Times New Roman" w:hAnsi="Times New Roman"/>
                <w:b/>
                <w:u w:val="single"/>
              </w:rPr>
              <w:tab/>
              <w:t>tostarp finanšu saistības, kas nav grupas iekšējo sabiedrību atvasinātie instrumenti un īsās pozīcijas.</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No 0150. rindā norādītā finansējuma, kas ir finansējums, kas iegūts no grupas iekšējām sabiedrībām, ja darījuma partneris ir iestādes mātesuzņēmums vai meitasuzņēmums, vai tā paša mātesuzņēmuma cits meitasuzņēmums, vai tas ar kredītiestādi ir saistīts Direktīvas 2013/34/ES 22. panta 7. punkta nozīmē.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Grupas iekšējo sabiedrību korporatīvo finansējumu uzrāda tikai individuālā vai subkonsolidētā līmenī.</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Attiecībā uz katru produkta veidu iestādes aizpilda visas slejas no 0010. līdz 0050. slejai.</w:t>
      </w:r>
    </w:p>
    <w:p w14:paraId="2935E76B" w14:textId="502C6FE3" w:rsidR="00792E65" w:rsidRPr="00E37FBE" w:rsidRDefault="00792E65" w:rsidP="00927DCB">
      <w:pPr>
        <w:pStyle w:val="InstructionsText2"/>
        <w:numPr>
          <w:ilvl w:val="0"/>
          <w:numId w:val="13"/>
        </w:numPr>
        <w:rPr>
          <w:u w:val="none"/>
        </w:rPr>
      </w:pPr>
      <w:r>
        <w:rPr>
          <w:u w:val="none"/>
        </w:rPr>
        <w:t xml:space="preserve">Dati, ko uzrāda 1. rindā. “Privātpersonas vai MVU”, 2.1. rindā “Nenodrošināts korporatīvais finansējums”, 2.2. rindā “Nodrošināts korporatīvais finansējums” var ietvert plašāku produktu veidu klāstu nekā pamatā esošie “no kā” posteņi. </w:t>
      </w:r>
    </w:p>
    <w:p w14:paraId="5C94FB4A" w14:textId="649B48DC" w:rsidR="008E720B" w:rsidRPr="00E37FBE" w:rsidRDefault="008E720B" w:rsidP="008E720B">
      <w:pPr>
        <w:pStyle w:val="InstructionsText2"/>
        <w:numPr>
          <w:ilvl w:val="0"/>
          <w:numId w:val="13"/>
        </w:numPr>
        <w:rPr>
          <w:u w:val="none"/>
        </w:rPr>
      </w:pPr>
      <w:r>
        <w:rPr>
          <w:u w:val="none"/>
        </w:rPr>
        <w:t>Neizmantoti aizdevumi un avansi korporatīvajiem darījumu partneriem</w:t>
      </w:r>
    </w:p>
    <w:p w14:paraId="2FED639D" w14:textId="77777777" w:rsidR="00A344AA" w:rsidRPr="00E37FBE" w:rsidRDefault="00A344AA" w:rsidP="00927DCB">
      <w:pPr>
        <w:pStyle w:val="InstructionsText2"/>
        <w:numPr>
          <w:ilvl w:val="0"/>
          <w:numId w:val="13"/>
        </w:numPr>
        <w:rPr>
          <w:u w:val="none"/>
        </w:rPr>
      </w:pPr>
      <w:r>
        <w:rPr>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Sleja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Atsauces uz tiesību aktu noteikumiem un norādījumi</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Saņemtā uzskaites vērtība</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Finansējuma uzskaites vērtību, kas saņemts katrai produktu kategorijai, kuras norādītas “Produkta nosaukums” slejā, norāda veidnes 0010. slejā.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Summa, uz ko attiecas noguldījumu garantiju shēma saskaņā ar Direktīvu 2014/49/ES vai līdzvērtīga noguldījumu garantiju shēma trešā valstī</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Summa, uz ko attiecas noguldījumu garantiju shēma saskaņā ar Direktīvu 2014/49/ES vai līdzvērtīga noguldījumu garantiju shēma trešā valstī, no saņemtā finansējuma kopsummas katrai “Produkta nosaukums” slejā uzskaitītai produktu kategorijai, kas norādīta 0010. slejā.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Piezīme. Summas, kas norādītas 0020. un 0030. slejā katrai produktu kategorijai, kuras norādītas “Produkta nosaukums” slejā, ir vienādas ar saņemto kopsummu, kas norādīta 0010. slejā.</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Summa, uz ko neattiecas noguldījumu garantiju shēma saskaņā ar Direktīvu 2014/49/ES vai līdzvērtīga noguldījumu garantiju shēma trešā valstī</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Summa, uz ko neattiecas noguldījumu garantiju shēma saskaņā ar Direktīvu 2014/49/ES vai līdzvērtīga noguldījumu garantiju shēma trešā valstī, no saņemtā finansējuma kopsummas katrai “Produkta nosaukums” slejā uzskaitītai produktu kategorijai, kas norādīta 0010. slejā.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Piezīme. Summas, kas norādītas 0020. un 0030. slejā katrai produktu kategorijai, kuras norādītas “Produkta nosaukums” slejā, ir vienādas ar saņemto kopsummu, kas norādīta 0010. slejā.</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Vidējais svērtais sākotnējais periods līdz beigu termiņam</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0010. slejā norādītai saņemtā finansējuma summai (no “Produkta nosaukums” slejā norādītajām produktu kategorijām) vidējo svērto sākotnējo termiņu (dienās) šādam finansējumam norāda 0040. slejā.</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Vidējo svērto sākotnējo termiņu aprēķina kā par minēto produkta veidu saņemtā finansējuma vidējo sākotnējo termiņu (dienās). Vidējo svērumu nosaka pēc lieluma, pamatojoties uz saņemtā finansējuma dažādo summu lielumu salīdzinājumā ar kopējo finansējumu, kas saņemts no visām minētā produkta veida emisijām.</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Vidējais svērtais atlikušais termiņš</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0010. slejā norādītai saņemtā finansējuma summai (no “Produkta nosaukums” slejā norādītajām produktu kategorijām) vidējo svērto atlikušo termiņu (dienās) šādam finansējumam norāda 0050. slejā.</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Vidējo svērto atlikušo termiņu aprēķina kā par minēto produkta veidu saņemtā finansējuma vidējo atlikušo termiņu (dienās). Vidējo svērumu nosaka pēc lieluma, pamatojoties uz saņemtā finansējuma dažādo summu lielumu salīdzinājumā ar kopējo finansējumu, kas saņemts no visām minētā produkta veida emisijām.</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Cenas par dažādu finansējuma ilgumu (C 69.00)</w:t>
      </w:r>
    </w:p>
    <w:p w14:paraId="691ACAEA" w14:textId="381B9664" w:rsidR="002C154A" w:rsidRPr="00E37FBE" w:rsidRDefault="00DD76F0" w:rsidP="00927DCB">
      <w:pPr>
        <w:pStyle w:val="InstructionsText2"/>
        <w:numPr>
          <w:ilvl w:val="0"/>
          <w:numId w:val="7"/>
        </w:numPr>
        <w:rPr>
          <w:u w:val="none"/>
        </w:rPr>
      </w:pPr>
      <w:r>
        <w:rPr>
          <w:u w:val="none"/>
        </w:rPr>
        <w:t>Iestādes veidnē C 69.00 sniedz informāciju par darījuma apjomu un cenām, ko iestādes maksājušas par finansējumu, kas iegūts pārskata periodā un joprojām pastāv pārskata perioda beigās saskaņā ar šādiem termiņiem:</w:t>
      </w:r>
    </w:p>
    <w:p w14:paraId="43E76F50" w14:textId="4AC64B2B" w:rsidR="0019013A" w:rsidRPr="00E37FBE" w:rsidRDefault="00C13077" w:rsidP="00927DCB">
      <w:pPr>
        <w:pStyle w:val="InstructionsText2"/>
        <w:numPr>
          <w:ilvl w:val="1"/>
          <w:numId w:val="13"/>
        </w:numPr>
        <w:ind w:left="993" w:hanging="284"/>
        <w:rPr>
          <w:u w:val="none"/>
        </w:rPr>
      </w:pPr>
      <w:r>
        <w:rPr>
          <w:u w:val="none"/>
        </w:rPr>
        <w:tab/>
        <w:t>uz nakti 0010. un 0020. slejā;</w:t>
      </w:r>
    </w:p>
    <w:p w14:paraId="20A63704" w14:textId="215042ED" w:rsidR="0019013A" w:rsidRPr="00E37FBE" w:rsidRDefault="00325582" w:rsidP="00927DCB">
      <w:pPr>
        <w:pStyle w:val="InstructionsText2"/>
        <w:numPr>
          <w:ilvl w:val="0"/>
          <w:numId w:val="0"/>
        </w:numPr>
        <w:ind w:left="714"/>
        <w:rPr>
          <w:u w:val="none"/>
        </w:rPr>
      </w:pPr>
      <w:r>
        <w:rPr>
          <w:u w:val="none"/>
        </w:rPr>
        <w:t>b)</w:t>
      </w:r>
      <w:r>
        <w:rPr>
          <w:u w:val="none"/>
        </w:rPr>
        <w:tab/>
        <w:t>ilgāk nekā uz nakti un ne vairāk kā uz 1 nedēļu 0030. un 0040. slejā;</w:t>
      </w:r>
    </w:p>
    <w:p w14:paraId="23995DF6" w14:textId="5ED92FC7" w:rsidR="0019013A" w:rsidRPr="00E37FBE" w:rsidRDefault="00325582" w:rsidP="00927DCB">
      <w:pPr>
        <w:pStyle w:val="InstructionsText2"/>
        <w:numPr>
          <w:ilvl w:val="0"/>
          <w:numId w:val="0"/>
        </w:numPr>
        <w:ind w:left="714"/>
        <w:rPr>
          <w:u w:val="none"/>
        </w:rPr>
      </w:pPr>
      <w:r>
        <w:rPr>
          <w:u w:val="none"/>
        </w:rPr>
        <w:t>c)</w:t>
      </w:r>
      <w:r>
        <w:rPr>
          <w:u w:val="none"/>
        </w:rPr>
        <w:tab/>
        <w:t>ilgāk nekā uz 1 nedēļu un ne vairāk kā uz 1 mēnesi 0050. un 0060. slejā;</w:t>
      </w:r>
    </w:p>
    <w:p w14:paraId="4DB6611C" w14:textId="459C7F5D" w:rsidR="0019013A" w:rsidRPr="00E37FBE" w:rsidRDefault="00325582" w:rsidP="00927DCB">
      <w:pPr>
        <w:pStyle w:val="InstructionsText2"/>
        <w:numPr>
          <w:ilvl w:val="0"/>
          <w:numId w:val="0"/>
        </w:numPr>
        <w:ind w:left="714"/>
        <w:rPr>
          <w:u w:val="none"/>
        </w:rPr>
      </w:pPr>
      <w:r>
        <w:rPr>
          <w:u w:val="none"/>
        </w:rPr>
        <w:t>d)</w:t>
      </w:r>
      <w:r>
        <w:rPr>
          <w:u w:val="none"/>
        </w:rPr>
        <w:tab/>
        <w:t>ilgāk nekā uz 1 mēnesi un ne vairāk kā uz 3 mēnešiem 0070. un 0080. slejā;</w:t>
      </w:r>
    </w:p>
    <w:p w14:paraId="68B85898" w14:textId="7209A964" w:rsidR="0019013A" w:rsidRPr="00E37FBE" w:rsidRDefault="00325582" w:rsidP="00927DCB">
      <w:pPr>
        <w:pStyle w:val="InstructionsText2"/>
        <w:numPr>
          <w:ilvl w:val="0"/>
          <w:numId w:val="0"/>
        </w:numPr>
        <w:ind w:left="714"/>
        <w:rPr>
          <w:u w:val="none"/>
        </w:rPr>
      </w:pPr>
      <w:r>
        <w:rPr>
          <w:u w:val="none"/>
        </w:rPr>
        <w:t>e)</w:t>
      </w:r>
      <w:r>
        <w:rPr>
          <w:u w:val="none"/>
        </w:rPr>
        <w:tab/>
        <w:t>ilgāk nekā uz 3 mēnešiem un ne vairāk kā uz 6 mēnešiem 0090. un 0100. slejā;</w:t>
      </w:r>
    </w:p>
    <w:p w14:paraId="032BAEDE" w14:textId="28ACEB9C" w:rsidR="00172727" w:rsidRPr="00E37FBE" w:rsidRDefault="00325582" w:rsidP="00927DCB">
      <w:pPr>
        <w:pStyle w:val="InstructionsText2"/>
        <w:numPr>
          <w:ilvl w:val="0"/>
          <w:numId w:val="0"/>
        </w:numPr>
        <w:ind w:left="714"/>
        <w:rPr>
          <w:u w:val="none"/>
        </w:rPr>
      </w:pPr>
      <w:r>
        <w:rPr>
          <w:u w:val="none"/>
        </w:rPr>
        <w:t>f)</w:t>
      </w:r>
      <w:r>
        <w:rPr>
          <w:u w:val="none"/>
        </w:rPr>
        <w:tab/>
        <w:t>ilgāk nekā uz 6 mēnešiem un ne vairāk kā uz 1 gadu 0110. un 0120. slejā;</w:t>
      </w:r>
    </w:p>
    <w:p w14:paraId="3DE0207D" w14:textId="4293226F" w:rsidR="0019013A" w:rsidRPr="00E37FBE" w:rsidRDefault="00325582" w:rsidP="00927DCB">
      <w:pPr>
        <w:pStyle w:val="InstructionsText2"/>
        <w:numPr>
          <w:ilvl w:val="0"/>
          <w:numId w:val="0"/>
        </w:numPr>
        <w:ind w:left="714"/>
        <w:rPr>
          <w:u w:val="none"/>
        </w:rPr>
      </w:pPr>
      <w:r>
        <w:rPr>
          <w:u w:val="none"/>
        </w:rPr>
        <w:t>g)</w:t>
      </w:r>
      <w:r>
        <w:rPr>
          <w:u w:val="none"/>
        </w:rPr>
        <w:tab/>
        <w:t>ilgāk nekā uz 1 gadu un ne vairāk kā uz 2 gadiem 0130. un 0140. slejā;</w:t>
      </w:r>
    </w:p>
    <w:p w14:paraId="5A4B2AD6" w14:textId="735BD35C" w:rsidR="0019013A" w:rsidRPr="00E37FBE" w:rsidRDefault="00325582" w:rsidP="00927DCB">
      <w:pPr>
        <w:pStyle w:val="InstructionsText2"/>
        <w:numPr>
          <w:ilvl w:val="0"/>
          <w:numId w:val="0"/>
        </w:numPr>
        <w:ind w:left="714"/>
        <w:rPr>
          <w:u w:val="none"/>
        </w:rPr>
      </w:pPr>
      <w:r>
        <w:rPr>
          <w:u w:val="none"/>
        </w:rPr>
        <w:t>h)</w:t>
      </w:r>
      <w:r>
        <w:rPr>
          <w:u w:val="none"/>
        </w:rPr>
        <w:tab/>
        <w:t>ilgāk nekā uz 2 gadiem un ne vairāk kā uz 5 gadiem 0150. un 0160. slejā;</w:t>
      </w:r>
    </w:p>
    <w:p w14:paraId="10B732E8" w14:textId="28F9DAA4" w:rsidR="0019013A" w:rsidRPr="00E37FBE" w:rsidRDefault="00325582" w:rsidP="00927DCB">
      <w:pPr>
        <w:pStyle w:val="InstructionsText2"/>
        <w:numPr>
          <w:ilvl w:val="0"/>
          <w:numId w:val="0"/>
        </w:numPr>
        <w:ind w:left="714"/>
        <w:rPr>
          <w:u w:val="none"/>
        </w:rPr>
      </w:pPr>
      <w:r>
        <w:rPr>
          <w:u w:val="none"/>
        </w:rPr>
        <w:t>i)</w:t>
      </w:r>
      <w:r>
        <w:rPr>
          <w:u w:val="none"/>
        </w:rPr>
        <w:tab/>
        <w:t>ilgāk nekā uz 5 gadiem un ne vairāk kā uz 10 gadiem 0170. un 0180. slejā.</w:t>
      </w:r>
    </w:p>
    <w:p w14:paraId="6F09AB94" w14:textId="32C85D80" w:rsidR="003B2555" w:rsidRPr="00E37FBE" w:rsidRDefault="003B2555" w:rsidP="00927DCB">
      <w:pPr>
        <w:pStyle w:val="InstructionsText2"/>
        <w:numPr>
          <w:ilvl w:val="0"/>
          <w:numId w:val="0"/>
        </w:numPr>
        <w:ind w:left="714"/>
        <w:rPr>
          <w:u w:val="none"/>
        </w:rPr>
      </w:pPr>
      <w:r>
        <w:rPr>
          <w:u w:val="none"/>
        </w:rPr>
        <w:t>Valūtas pārvērtēšanas gadījumā netiek iegūts jauns finansējums sākotnējā valūtā, un pārskatu sniedzošā iestāde nav samaksājusi neko vairāk par sākotnējo cenu pie līdzekļu sākotnējā noguldījuma. Tādējādi šajā veidnē neuzrāda pozitīvu pieaugumu, ko izraisījusi valūtas pārvērtēšana.</w:t>
      </w:r>
    </w:p>
    <w:p w14:paraId="4BB7D4B6" w14:textId="0E2FDCDB" w:rsidR="00A156BF" w:rsidRPr="00E37FBE" w:rsidRDefault="00A156BF" w:rsidP="00927DCB">
      <w:pPr>
        <w:pStyle w:val="InstructionsText2"/>
        <w:numPr>
          <w:ilvl w:val="0"/>
          <w:numId w:val="0"/>
        </w:numPr>
        <w:ind w:left="714"/>
        <w:rPr>
          <w:u w:val="none"/>
        </w:rPr>
      </w:pPr>
      <w:r>
        <w:rPr>
          <w:u w:val="none"/>
        </w:rPr>
        <w:t>Neuzrāda finansējuma avotus, kuru sākotnējais termiņš pārsniedz 10 gadus.</w:t>
      </w:r>
    </w:p>
    <w:p w14:paraId="5F28959E" w14:textId="0A765413" w:rsidR="0019013A" w:rsidRPr="00E37FBE" w:rsidRDefault="0019013A" w:rsidP="00927DCB">
      <w:pPr>
        <w:pStyle w:val="InstructionsText2"/>
        <w:numPr>
          <w:ilvl w:val="0"/>
          <w:numId w:val="20"/>
        </w:numPr>
        <w:rPr>
          <w:u w:val="none"/>
        </w:rPr>
      </w:pPr>
      <w:r>
        <w:rPr>
          <w:u w:val="none"/>
        </w:rPr>
        <w:lastRenderedPageBreak/>
        <w:t>Nosakot iegūtā finansējuma termiņu, iestādes neņem vērā periodu no tirdzniecības darījuma datuma līdz norēķinu darījuma datumam, piemēram, saistības ar trīs mēnešu termiņu, par ko norēķināsies divu nedēļu laikā, norāda kategorijā “3 mēneši” (0070. un 0080. sleja).</w:t>
      </w:r>
    </w:p>
    <w:p w14:paraId="3300B61A" w14:textId="6083998F" w:rsidR="00A211F3" w:rsidRPr="00E37FBE" w:rsidRDefault="002C154A" w:rsidP="009077D3">
      <w:pPr>
        <w:pStyle w:val="InstructionsText2"/>
        <w:numPr>
          <w:ilvl w:val="0"/>
          <w:numId w:val="20"/>
        </w:numPr>
        <w:rPr>
          <w:u w:val="none"/>
        </w:rPr>
      </w:pPr>
      <w:r>
        <w:rPr>
          <w:u w:val="none"/>
        </w:rPr>
        <w:t>Starpība, kas norādīta katra laika intervāla kreisajā slejā, ir vai nu:</w:t>
      </w:r>
    </w:p>
    <w:p w14:paraId="3D56C5E8" w14:textId="20EB86DD" w:rsidR="0050708F" w:rsidRPr="00E37FBE" w:rsidRDefault="0050708F" w:rsidP="00AE6A00">
      <w:pPr>
        <w:pStyle w:val="InstructionsText2"/>
        <w:numPr>
          <w:ilvl w:val="0"/>
          <w:numId w:val="20"/>
        </w:numPr>
        <w:rPr>
          <w:u w:val="none"/>
        </w:rPr>
      </w:pPr>
      <w:r>
        <w:rPr>
          <w:u w:val="none"/>
        </w:rPr>
        <w:t xml:space="preserve">starpība, ko iestāde maksā par saistībām ar viena gada vai īsāku termiņu, ja vien tās ne vēlāk kā darījuma dienā darījumdarbības beigās nekonvertē attiecīgajā valūtā, izmantojot etalona indeksu uz nakti; </w:t>
      </w:r>
    </w:p>
    <w:p w14:paraId="44F3338B" w14:textId="6511E8C7" w:rsidR="0050708F" w:rsidRPr="00E37FBE" w:rsidRDefault="0050708F" w:rsidP="00AE6A00">
      <w:pPr>
        <w:pStyle w:val="InstructionsText2"/>
        <w:numPr>
          <w:ilvl w:val="0"/>
          <w:numId w:val="20"/>
        </w:numPr>
        <w:rPr>
          <w:u w:val="none"/>
        </w:rPr>
      </w:pPr>
      <w:r>
        <w:rPr>
          <w:u w:val="none"/>
        </w:rPr>
        <w:t>starpība, ko emitēšanas brīdī sabiedrība maksā par saistībām ar sākotnējo termiņu, kas garāks par vienu gadu, ja vien tās ne vēlāk kā darījuma dienā darījumdarbības beigās nekonvertē attiecīgajā valūtā, izmantojot etalona indeksu, kas ir trīs mēnešu EURIBOR attiecībā uz EUR vai līdzīgs indekss attiecībā uz citām valūtām.</w:t>
      </w:r>
    </w:p>
    <w:p w14:paraId="0C9A9801" w14:textId="00966EBC" w:rsidR="006661EC" w:rsidRPr="00E37FBE" w:rsidRDefault="006661EC" w:rsidP="00AE6A00">
      <w:pPr>
        <w:pStyle w:val="InstructionsText2"/>
        <w:numPr>
          <w:ilvl w:val="0"/>
          <w:numId w:val="20"/>
        </w:numPr>
        <w:rPr>
          <w:u w:val="none"/>
        </w:rPr>
      </w:pPr>
      <w:r>
        <w:rPr>
          <w:u w:val="none"/>
        </w:rPr>
        <w:t>Vienīgi nolūkā aprēķināt starpības atbilstīgi a) un b) apakšpunktam, pamatojoties uz vēsturisko pieredzi, iestāde var noteikt sākotnējo termiņu, attiecīgā gadījumā ņemot vai neņemot vērā iespējamību.</w:t>
      </w:r>
    </w:p>
    <w:p w14:paraId="5EBCC42F" w14:textId="5EFA09B4" w:rsidR="00A211F3" w:rsidRPr="00E37FBE" w:rsidRDefault="0019013A" w:rsidP="006000AE">
      <w:pPr>
        <w:pStyle w:val="InstructionsText2"/>
        <w:numPr>
          <w:ilvl w:val="0"/>
          <w:numId w:val="20"/>
        </w:numPr>
        <w:rPr>
          <w:u w:val="none"/>
        </w:rPr>
      </w:pPr>
      <w:r>
        <w:rPr>
          <w:u w:val="none"/>
        </w:rPr>
        <w:t xml:space="preserve">Starpības norāda, izmantojot bāzes punktus ar negatīvu zīmi, ja jaunais finansējums ir lētāks nekā attiecīgā etalona likme. Tās aprēķina, izmantojot vidējos svērtos rādītājus. </w:t>
      </w:r>
    </w:p>
    <w:p w14:paraId="0ABF1B64" w14:textId="48812B4E" w:rsidR="0050708F" w:rsidRPr="00E37FBE" w:rsidRDefault="0050708F" w:rsidP="00927DCB">
      <w:pPr>
        <w:pStyle w:val="InstructionsText2"/>
        <w:numPr>
          <w:ilvl w:val="0"/>
          <w:numId w:val="20"/>
        </w:numPr>
        <w:rPr>
          <w:u w:val="none"/>
        </w:rPr>
      </w:pPr>
      <w:r>
        <w:rPr>
          <w:u w:val="none"/>
        </w:rPr>
        <w:t>Lai iegūtu maksājamo vidējo starpību vairākās emisijās/noguldījumos/aizdevumos, iestādes kopējās izmaksas aprēķina emisijas valūtā; ārvalstu valūtas mijmaiņas neņem vērā, taču ietver visas prēmijas vai diskontus un komisijas naudas un maksas, ko maksā vai saņem, par bāzi ņemot procentu likmes mijmaiņas līgumu faktiskā termiņa atbilstību saistību termiņam. Starpība ir saistības likme, no kuras atņem mijmaiņas likmi.</w:t>
      </w:r>
    </w:p>
    <w:p w14:paraId="608A7669" w14:textId="7761DC23" w:rsidR="00DD5897" w:rsidRPr="00E37FBE" w:rsidRDefault="0019013A" w:rsidP="00927DCB">
      <w:pPr>
        <w:pStyle w:val="InstructionsText2"/>
        <w:numPr>
          <w:ilvl w:val="0"/>
          <w:numId w:val="20"/>
        </w:numPr>
        <w:rPr>
          <w:u w:val="none"/>
        </w:rPr>
      </w:pPr>
      <w:r>
        <w:rPr>
          <w:u w:val="none"/>
        </w:rPr>
        <w:t xml:space="preserve">Finansējuma summa, kas iegūts finansējuma kategorijām, kuras uzskaitītas “Postenis” slejā, norāda piemērojamā laika intervāla slejā “Apjoms”. </w:t>
      </w:r>
    </w:p>
    <w:p w14:paraId="3AED84FE" w14:textId="5EE87A4E" w:rsidR="004B3AC2" w:rsidRPr="00E37FBE" w:rsidRDefault="004B3AC2" w:rsidP="00927DCB">
      <w:pPr>
        <w:pStyle w:val="InstructionsText2"/>
        <w:numPr>
          <w:ilvl w:val="0"/>
          <w:numId w:val="20"/>
        </w:numPr>
        <w:rPr>
          <w:u w:val="none"/>
        </w:rPr>
      </w:pPr>
      <w:r>
        <w:rPr>
          <w:u w:val="none"/>
        </w:rPr>
        <w:t>Slejā “Apjoms” iestādes norāda summas, kas ir jaunā finansējumu uzskaites vērtība, kas iegūta piemērojamā laika intervālā saskaņā ar sākotnējo termiņu.</w:t>
      </w:r>
    </w:p>
    <w:p w14:paraId="4513DEDD" w14:textId="0E5B70C9" w:rsidR="004B3AC2" w:rsidRPr="00E37FBE" w:rsidRDefault="00144FB8" w:rsidP="00927DCB">
      <w:pPr>
        <w:pStyle w:val="InstructionsText2"/>
        <w:numPr>
          <w:ilvl w:val="0"/>
          <w:numId w:val="20"/>
        </w:numPr>
        <w:rPr>
          <w:u w:val="none"/>
        </w:rPr>
      </w:pPr>
      <w:r>
        <w:rPr>
          <w:u w:val="none"/>
        </w:rPr>
        <w:t xml:space="preserve">Attiecībā uz visiem posteņiem, arī attiecībā uz ārpusbilances saistībām, iestādes uzrāda tikai saistītās summas, kas atspoguļotas bilancē. Ārpusbilances saistības, kas sniegtas attiecīgajai iestādei, uzrāda tikai C 69.00 pēc izmantošanas. Izmantošanas gadījumā uzrādāmais apjoms un starpība ir izmantotā summa un piemērojamā starpība pārskata perioda beigās. Ja izmantošanu nevar pagarināt pēc iestādes ieskatiem, uzrāda izmantošanas faktisko termiņu. Ja iestādei jau ir izmantojusi iespēju iepriekšējā pārskata perioda beigās un ja iestāde pēc tam palielina iespējas izmantojumu, uzrāda tikai papildu izmantoto summu. </w:t>
      </w:r>
    </w:p>
    <w:p w14:paraId="26598EEA" w14:textId="2CB5C3FB" w:rsidR="00473407" w:rsidRPr="00E37FBE" w:rsidRDefault="00473407" w:rsidP="00927DCB">
      <w:pPr>
        <w:pStyle w:val="InstructionsText2"/>
        <w:numPr>
          <w:ilvl w:val="0"/>
          <w:numId w:val="20"/>
        </w:numPr>
        <w:rPr>
          <w:u w:val="none"/>
        </w:rPr>
      </w:pPr>
      <w:r>
        <w:rPr>
          <w:u w:val="none"/>
        </w:rPr>
        <w:t>Klientu, kas ir privātpersonas vai MVU, veikti noguldījumi ietver noguldījumus, kuri definēti Deleģētās regulas Nr. 575/2013 411. panta 2. punktā.</w:t>
      </w:r>
    </w:p>
    <w:p w14:paraId="54CC7D8D" w14:textId="0023FC80" w:rsidR="00B96CA8" w:rsidRPr="00E37FBE" w:rsidRDefault="00287BD7" w:rsidP="00927DCB">
      <w:pPr>
        <w:pStyle w:val="InstructionsText2"/>
        <w:numPr>
          <w:ilvl w:val="0"/>
          <w:numId w:val="20"/>
        </w:numPr>
        <w:rPr>
          <w:u w:val="none"/>
        </w:rPr>
      </w:pPr>
      <w:r>
        <w:rPr>
          <w:u w:val="none"/>
        </w:rPr>
        <w:t>Attiecībā uz finansējumu, kas ir pagarināts pārskata perioda laikā un kas vēl ir atlicis pārskata perioda beigās, uzrāda vidējās starpības, kuras tobrīd (t. i., pārskata perioda beigās) tika piemērotas. Attiecībā uz C 69.00 finansējumu, ko pagarina un kas vēl pastāv pārskata perioda beigās, uzskata par jaunu finansējumu.</w:t>
      </w:r>
    </w:p>
    <w:p w14:paraId="43F95C32" w14:textId="71E535F8" w:rsidR="00BB3757" w:rsidRPr="00E37FBE" w:rsidRDefault="00CD20D9" w:rsidP="00927DCB">
      <w:pPr>
        <w:pStyle w:val="InstructionsText2"/>
        <w:numPr>
          <w:ilvl w:val="0"/>
          <w:numId w:val="20"/>
        </w:numPr>
        <w:rPr>
          <w:u w:val="none"/>
        </w:rPr>
      </w:pPr>
      <w:r>
        <w:rPr>
          <w:u w:val="none"/>
        </w:rPr>
        <w:t xml:space="preserve">Atkāpjoties no pārējās 1.4. iedaļas, beztermiņa noguldījumu apjomu un starpību uzrāda tikai tad, ja noguldītājam nebija beztermiņa noguldījuma iepriekšējā pārskata periodā vai ja ir pieaugusi noguldījuma summa salīdzinājumā ar iepriekšējo atsauces datumu, un tādā gadījumā palielinājumu uzskata par jaunu finansējumu. Starpība ir starpība perioda beigās. </w:t>
      </w:r>
    </w:p>
    <w:p w14:paraId="10927EEB" w14:textId="01546635" w:rsidR="00270986" w:rsidRPr="00E37FBE" w:rsidRDefault="00270986" w:rsidP="00927DCB">
      <w:pPr>
        <w:pStyle w:val="InstructionsText2"/>
        <w:numPr>
          <w:ilvl w:val="0"/>
          <w:numId w:val="20"/>
        </w:numPr>
        <w:rPr>
          <w:u w:val="none"/>
        </w:rPr>
      </w:pPr>
      <w:r>
        <w:rPr>
          <w:u w:val="none"/>
        </w:rPr>
        <w:t>Ja nekas nav uzrādāms, ar starpībām saistītās šūnas atstāj neaizpildītas.</w:t>
      </w:r>
    </w:p>
    <w:p w14:paraId="5031E50C" w14:textId="2A8C8C44" w:rsidR="00A156BF" w:rsidRPr="00E37FBE" w:rsidRDefault="00A156BF" w:rsidP="00A156BF">
      <w:pPr>
        <w:pStyle w:val="InstructionsText2"/>
        <w:numPr>
          <w:ilvl w:val="0"/>
          <w:numId w:val="20"/>
        </w:numPr>
        <w:rPr>
          <w:u w:val="none"/>
        </w:rPr>
      </w:pPr>
      <w:r>
        <w:rPr>
          <w:u w:val="none"/>
        </w:rPr>
        <w:t xml:space="preserve">Neizmantoti aizdevumi un avansi korporatīvajiem darījumu partneriem </w:t>
      </w:r>
    </w:p>
    <w:p w14:paraId="5F1BCA9F" w14:textId="77777777" w:rsidR="002C154A" w:rsidRPr="00E37FBE" w:rsidRDefault="002C154A" w:rsidP="00927DCB">
      <w:pPr>
        <w:pStyle w:val="InstructionsText2"/>
        <w:numPr>
          <w:ilvl w:val="0"/>
          <w:numId w:val="20"/>
        </w:numPr>
        <w:rPr>
          <w:u w:val="none"/>
        </w:rPr>
      </w:pPr>
      <w:r>
        <w:rPr>
          <w:u w:val="none"/>
        </w:rPr>
        <w:t>Norādes par konkrētām rindām:</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lastRenderedPageBreak/>
              <w:t>Rinda</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Atsauces uz tiesību aktu noteikumiem un norādījumi</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Kopējais finansējums</w:t>
            </w:r>
          </w:p>
          <w:p w14:paraId="25D6D292" w14:textId="1DE19D27" w:rsidR="002C154A" w:rsidRPr="00E37FBE" w:rsidRDefault="00E42487" w:rsidP="008E1558">
            <w:pPr>
              <w:rPr>
                <w:rFonts w:ascii="Times New Roman" w:hAnsi="Times New Roman"/>
                <w:szCs w:val="20"/>
              </w:rPr>
            </w:pPr>
            <w:r>
              <w:rPr>
                <w:rFonts w:ascii="Times New Roman" w:hAnsi="Times New Roman"/>
              </w:rPr>
              <w:t>Visa finansējuma kopējo apjomu un vidējo svērto starpību iegūst attiecībā uz visiem šādiem laikposmiem saskaņā ar turpmāk minēto:</w:t>
            </w:r>
          </w:p>
          <w:p w14:paraId="3D5903C1" w14:textId="71E515AA" w:rsidR="007778A0" w:rsidRPr="00E37FBE" w:rsidRDefault="00CD20D9" w:rsidP="00CC3091">
            <w:pPr>
              <w:pStyle w:val="InstructionsText2"/>
              <w:numPr>
                <w:ilvl w:val="1"/>
                <w:numId w:val="12"/>
              </w:numPr>
              <w:rPr>
                <w:u w:val="none"/>
              </w:rPr>
            </w:pPr>
            <w:r>
              <w:rPr>
                <w:u w:val="none"/>
              </w:rPr>
              <w:t>uz nakti 0010. un 0020. slejā;</w:t>
            </w:r>
          </w:p>
          <w:p w14:paraId="1AF1DF5A" w14:textId="197B262D" w:rsidR="007778A0" w:rsidRPr="00E37FBE" w:rsidRDefault="00CD20D9" w:rsidP="00927DCB">
            <w:pPr>
              <w:pStyle w:val="InstructionsText2"/>
              <w:numPr>
                <w:ilvl w:val="1"/>
                <w:numId w:val="12"/>
              </w:numPr>
              <w:rPr>
                <w:u w:val="none"/>
              </w:rPr>
            </w:pPr>
            <w:r>
              <w:rPr>
                <w:u w:val="none"/>
              </w:rPr>
              <w:t>ilgāk nekā uz nakti un ne vairāk kā uz 1 nedēļu 0030. un 0040. slejā;</w:t>
            </w:r>
          </w:p>
          <w:p w14:paraId="4C124A2C" w14:textId="40AAE739" w:rsidR="007778A0" w:rsidRPr="00E37FBE" w:rsidRDefault="00CD20D9" w:rsidP="00CC3091">
            <w:pPr>
              <w:pStyle w:val="InstructionsText2"/>
              <w:numPr>
                <w:ilvl w:val="1"/>
                <w:numId w:val="12"/>
              </w:numPr>
              <w:rPr>
                <w:u w:val="none"/>
              </w:rPr>
            </w:pPr>
            <w:r>
              <w:rPr>
                <w:u w:val="none"/>
              </w:rPr>
              <w:t>ilgāk nekā uz 1 nedēļu un ne vairāk kā uz 1 mēnesi 0050. un 0060. slejā;</w:t>
            </w:r>
          </w:p>
          <w:p w14:paraId="74B468F3" w14:textId="3C21BB5E" w:rsidR="007778A0" w:rsidRPr="00E37FBE" w:rsidRDefault="00CD20D9" w:rsidP="00927DCB">
            <w:pPr>
              <w:pStyle w:val="InstructionsText2"/>
              <w:numPr>
                <w:ilvl w:val="1"/>
                <w:numId w:val="12"/>
              </w:numPr>
              <w:rPr>
                <w:u w:val="none"/>
              </w:rPr>
            </w:pPr>
            <w:r>
              <w:rPr>
                <w:u w:val="none"/>
              </w:rPr>
              <w:t>ilgāk nekā uz 1 mēnesi un ne vairāk kā uz 3 mēnešiem 0070. un 0080. slejā;</w:t>
            </w:r>
          </w:p>
          <w:p w14:paraId="482B32DB" w14:textId="0BE23448" w:rsidR="007778A0" w:rsidRPr="00E37FBE" w:rsidRDefault="00CD20D9" w:rsidP="00927DCB">
            <w:pPr>
              <w:pStyle w:val="InstructionsText2"/>
              <w:numPr>
                <w:ilvl w:val="1"/>
                <w:numId w:val="12"/>
              </w:numPr>
              <w:rPr>
                <w:u w:val="none"/>
              </w:rPr>
            </w:pPr>
            <w:r>
              <w:rPr>
                <w:u w:val="none"/>
              </w:rPr>
              <w:t>ilgāk nekā uz 3 mēnešiem un ne vairāk kā uz 6 mēnešiem 0090. un 0100. slejā;</w:t>
            </w:r>
          </w:p>
          <w:p w14:paraId="3C4AC9B6" w14:textId="7E09F360" w:rsidR="007778A0" w:rsidRPr="00E37FBE" w:rsidRDefault="00CD20D9" w:rsidP="00927DCB">
            <w:pPr>
              <w:pStyle w:val="InstructionsText2"/>
              <w:numPr>
                <w:ilvl w:val="1"/>
                <w:numId w:val="12"/>
              </w:numPr>
              <w:rPr>
                <w:u w:val="none"/>
              </w:rPr>
            </w:pPr>
            <w:r>
              <w:rPr>
                <w:u w:val="none"/>
              </w:rPr>
              <w:t>ilgāk nekā uz 6 mēnešiem un ne vairāk kā uz 1 gadu 0110. un 0120. slejā;</w:t>
            </w:r>
          </w:p>
          <w:p w14:paraId="1C290FE7" w14:textId="4E5B0810" w:rsidR="007778A0" w:rsidRPr="00E37FBE" w:rsidRDefault="00CD20D9" w:rsidP="00927DCB">
            <w:pPr>
              <w:pStyle w:val="InstructionsText2"/>
              <w:numPr>
                <w:ilvl w:val="1"/>
                <w:numId w:val="12"/>
              </w:numPr>
              <w:rPr>
                <w:u w:val="none"/>
              </w:rPr>
            </w:pPr>
            <w:r>
              <w:rPr>
                <w:u w:val="none"/>
              </w:rPr>
              <w:t>ilgāk nekā uz 1 gadu un ne vairāk kā uz 2 gadiem 0130. un 0140. slejā;</w:t>
            </w:r>
          </w:p>
          <w:p w14:paraId="6E53E104" w14:textId="03252B84" w:rsidR="007778A0" w:rsidRPr="00E37FBE" w:rsidRDefault="00CD20D9" w:rsidP="00927DCB">
            <w:pPr>
              <w:pStyle w:val="InstructionsText2"/>
              <w:numPr>
                <w:ilvl w:val="1"/>
                <w:numId w:val="12"/>
              </w:numPr>
              <w:rPr>
                <w:u w:val="none"/>
              </w:rPr>
            </w:pPr>
            <w:r>
              <w:rPr>
                <w:u w:val="none"/>
              </w:rPr>
              <w:t>ilgāk nekā uz 2 gadiem un ne vairāk kā uz 5 gadiem 0150. un 0160. slejā;</w:t>
            </w:r>
          </w:p>
          <w:p w14:paraId="22EC36F6" w14:textId="5EE6B232" w:rsidR="00CE333E" w:rsidRPr="00E37FBE" w:rsidRDefault="00CD20D9" w:rsidP="00927DCB">
            <w:pPr>
              <w:pStyle w:val="InstructionsText2"/>
              <w:numPr>
                <w:ilvl w:val="1"/>
                <w:numId w:val="12"/>
              </w:numPr>
            </w:pPr>
            <w:r>
              <w:rPr>
                <w:u w:val="none"/>
              </w:rPr>
              <w:t>ilgāk nekā uz 5 gadiem un ne vairāk kā uz 10 gadiem 0170. un 0180. slejā.</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Privātpersonu vai MVU finansējums</w:t>
            </w:r>
          </w:p>
          <w:p w14:paraId="2F60C8D8" w14:textId="1F37D31E" w:rsidR="002C154A" w:rsidRPr="00E37FBE" w:rsidRDefault="00CE333E" w:rsidP="005E4F4B">
            <w:pPr>
              <w:rPr>
                <w:rFonts w:ascii="Times New Roman" w:hAnsi="Times New Roman"/>
                <w:szCs w:val="20"/>
              </w:rPr>
            </w:pPr>
            <w:r>
              <w:rPr>
                <w:rFonts w:ascii="Times New Roman" w:hAnsi="Times New Roman"/>
              </w:rPr>
              <w:t>Iegūtā privātpersonu vai MVU finansējuma kopējais apjoms un vidējā svērtā starpība no 1. kategorijā norādītā kopējā finansējuma.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Nenodrošināts korporatīvais finansējums</w:t>
            </w:r>
          </w:p>
          <w:p w14:paraId="49C52367" w14:textId="3BAAFA1E" w:rsidR="00AF1439" w:rsidRPr="00E37FBE" w:rsidRDefault="00AF1439" w:rsidP="001C1BA1">
            <w:pPr>
              <w:rPr>
                <w:rFonts w:ascii="Times New Roman" w:hAnsi="Times New Roman"/>
                <w:szCs w:val="20"/>
              </w:rPr>
            </w:pPr>
            <w:r>
              <w:rPr>
                <w:rFonts w:ascii="Times New Roman" w:hAnsi="Times New Roman"/>
              </w:rPr>
              <w:t>Iegūtā nenodrošinātā korporatīvā finansējuma kopējais apjoms un vidējā svērtā starpība no 1. kategorijā norādītā kopējā finansējuma.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tostarp: Augstākās prioritātes nenodrošinātie vērtspapīri</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Iegūto augstākās prioritātes nenodrošinātu vērtspapīru kopējais apjoms un vidējā svērtā starpība no 1.2. postenī norādītā kopējā finansējuma.</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Nodrošinātais finansējums (necentrālā banka)</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Iegūtā nodrošinātā finansējuma kopējais apjoms un vidējā svērtā starpība no 1. postenī norādītā kopējā finansējuma.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tostarp: Riska darījumi segto obligāciju veidā</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Visu emitēto segto obligāciju, kas apgrūtina iestādes pašu aktīvus, kopējais apjoms un vidējā svērtā starpība no 1.3. postenī norādītā kopējā finansējuma.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 xml:space="preserve">1.3.2. tostarp: ar aktīviem nodrošināti vērtspapīri, tostarp </w:t>
            </w:r>
            <w:r>
              <w:rPr>
                <w:rFonts w:ascii="Times New Roman" w:hAnsi="Times New Roman"/>
                <w:b/>
                <w:i/>
                <w:iCs/>
                <w:u w:val="single"/>
              </w:rPr>
              <w:t>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Emitēto ar aktīviem nodrošinātu vērtspapīru, ieskaitot ar aktīviem nodrošinātus komerciālos vērtspapīrus, kopējais apjoms un vidējā svērtā starpība no 1.3. postenī norādītā kopējā finansējuma.</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Cits finansējums</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No kopējā finansējuma, kas uzrādīts 1. postenī, – tā finansējuma kopējais apjoms un vidējā svērtā starpība, kas nav iekļauts 1.1. līdz 1.3. postenī, tostarp nodrošinātais finansējums no centrālajām bankām.</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Finansējuma pagarinājums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Ar šo veidni paredzēts apkopot informāciju par tāda finansējuma apjomu, kam beidzas termiņš, un jauno iegūto finansējumu, proti, “finansējuma pagarinājumu” katru dienu tā mēneša laikā, kas ir pirms pārskata sniegšanas datuma.</w:t>
      </w:r>
    </w:p>
    <w:p w14:paraId="180EF408" w14:textId="4710199E" w:rsidR="00DB3C37" w:rsidRPr="00E37FBE" w:rsidRDefault="00DB3C37" w:rsidP="00927DCB">
      <w:pPr>
        <w:pStyle w:val="InstructionsText2"/>
        <w:numPr>
          <w:ilvl w:val="0"/>
          <w:numId w:val="8"/>
        </w:numPr>
        <w:rPr>
          <w:u w:val="none"/>
        </w:rPr>
      </w:pPr>
      <w:r>
        <w:rPr>
          <w:u w:val="none"/>
        </w:rPr>
        <w:t>Iestādes kalendārās dienās uzrāda finansējumu, kam beidzas termiņš. saskaņā ar šādiem laika intervāliem atbilstoši sākotnējam termiņam:</w:t>
      </w:r>
    </w:p>
    <w:p w14:paraId="10B482AB" w14:textId="35902522" w:rsidR="00DB3C37" w:rsidRPr="00E37FBE" w:rsidRDefault="00237D15" w:rsidP="00927DCB">
      <w:pPr>
        <w:pStyle w:val="InstructionsText2"/>
        <w:numPr>
          <w:ilvl w:val="1"/>
          <w:numId w:val="5"/>
        </w:numPr>
        <w:ind w:left="1276" w:hanging="283"/>
        <w:rPr>
          <w:u w:val="none"/>
        </w:rPr>
      </w:pPr>
      <w:r>
        <w:rPr>
          <w:u w:val="none"/>
        </w:rPr>
        <w:t>uz nakti (0010. līdz 0040. slejā);</w:t>
      </w:r>
    </w:p>
    <w:p w14:paraId="78059097" w14:textId="75ED6B94" w:rsidR="00DB3C37" w:rsidRPr="00E37FBE" w:rsidRDefault="00237D15" w:rsidP="00927DCB">
      <w:pPr>
        <w:pStyle w:val="InstructionsText2"/>
        <w:numPr>
          <w:ilvl w:val="1"/>
          <w:numId w:val="5"/>
        </w:numPr>
        <w:ind w:left="1276" w:hanging="283"/>
        <w:rPr>
          <w:u w:val="none"/>
        </w:rPr>
      </w:pPr>
      <w:r>
        <w:rPr>
          <w:u w:val="none"/>
        </w:rPr>
        <w:t>no 1 dienas līdz 7 dienām (0050. līdz 0080. slejā);</w:t>
      </w:r>
    </w:p>
    <w:p w14:paraId="0888F316" w14:textId="304511FD" w:rsidR="00DB3C37" w:rsidRPr="00E37FBE" w:rsidRDefault="00237D15" w:rsidP="00927DCB">
      <w:pPr>
        <w:pStyle w:val="InstructionsText2"/>
        <w:numPr>
          <w:ilvl w:val="1"/>
          <w:numId w:val="5"/>
        </w:numPr>
        <w:ind w:left="1276" w:hanging="283"/>
        <w:rPr>
          <w:u w:val="none"/>
        </w:rPr>
      </w:pPr>
      <w:r>
        <w:rPr>
          <w:u w:val="none"/>
        </w:rPr>
        <w:t>no 7 dienas līdz 14 dienām (0090. līdz 0120. slejā);</w:t>
      </w:r>
    </w:p>
    <w:p w14:paraId="08E23AA2" w14:textId="64CFEF40" w:rsidR="00DB3C37" w:rsidRPr="00E37FBE" w:rsidRDefault="00237D15" w:rsidP="00927DCB">
      <w:pPr>
        <w:pStyle w:val="InstructionsText2"/>
        <w:numPr>
          <w:ilvl w:val="1"/>
          <w:numId w:val="5"/>
        </w:numPr>
        <w:ind w:left="1276" w:hanging="283"/>
        <w:rPr>
          <w:u w:val="none"/>
        </w:rPr>
      </w:pPr>
      <w:r>
        <w:rPr>
          <w:u w:val="none"/>
        </w:rPr>
        <w:t>no 14 dienām līdz 1 mēnesim (0130. līdz 0160. slejā);</w:t>
      </w:r>
    </w:p>
    <w:p w14:paraId="69F00FB2" w14:textId="181A4A03" w:rsidR="00DB3C37" w:rsidRPr="00E37FBE" w:rsidRDefault="00237D15" w:rsidP="00927DCB">
      <w:pPr>
        <w:pStyle w:val="InstructionsText2"/>
        <w:numPr>
          <w:ilvl w:val="1"/>
          <w:numId w:val="5"/>
        </w:numPr>
        <w:ind w:left="1276" w:hanging="283"/>
        <w:rPr>
          <w:u w:val="none"/>
        </w:rPr>
      </w:pPr>
      <w:r>
        <w:rPr>
          <w:u w:val="none"/>
        </w:rPr>
        <w:t>no 1 mēneša līdz 3 mēnešiem (0170. līdz 0200. slejā);</w:t>
      </w:r>
    </w:p>
    <w:p w14:paraId="39971E5E" w14:textId="43960DD0" w:rsidR="00DB3C37" w:rsidRPr="00E37FBE" w:rsidRDefault="00237D15" w:rsidP="00927DCB">
      <w:pPr>
        <w:pStyle w:val="InstructionsText2"/>
        <w:numPr>
          <w:ilvl w:val="1"/>
          <w:numId w:val="5"/>
        </w:numPr>
        <w:ind w:left="1276" w:hanging="283"/>
        <w:rPr>
          <w:u w:val="none"/>
        </w:rPr>
      </w:pPr>
      <w:r>
        <w:rPr>
          <w:u w:val="none"/>
        </w:rPr>
        <w:t>no 3 mēneša līdz 6 mēnešiem (0210. līdz 0240. slejā);</w:t>
      </w:r>
    </w:p>
    <w:p w14:paraId="7574DBE7" w14:textId="6E9CAB4B" w:rsidR="009A329A" w:rsidRPr="00E37FBE" w:rsidRDefault="00144FB8" w:rsidP="00927DCB">
      <w:pPr>
        <w:pStyle w:val="InstructionsText2"/>
        <w:numPr>
          <w:ilvl w:val="1"/>
          <w:numId w:val="5"/>
        </w:numPr>
        <w:ind w:left="1276" w:hanging="283"/>
        <w:rPr>
          <w:u w:val="none"/>
        </w:rPr>
      </w:pPr>
      <w:r>
        <w:rPr>
          <w:u w:val="none"/>
        </w:rPr>
        <w:t>vairāk par 6 mēnešiem (0250. līdz 0280. slejā).</w:t>
      </w:r>
    </w:p>
    <w:p w14:paraId="1F25325E" w14:textId="62618E1F" w:rsidR="00DB3C37" w:rsidRPr="00E37FBE" w:rsidRDefault="00DB3C37" w:rsidP="00927DCB">
      <w:pPr>
        <w:pStyle w:val="InstructionsText2"/>
        <w:numPr>
          <w:ilvl w:val="0"/>
          <w:numId w:val="8"/>
        </w:numPr>
        <w:rPr>
          <w:u w:val="none"/>
        </w:rPr>
      </w:pPr>
      <w:r>
        <w:rPr>
          <w:u w:val="none"/>
        </w:rPr>
        <w:t>Katram laika intervālam, kas norādīts 2. punktā, summu, kurai beidzas termiņš, norāda kreisajā slejā, finansējuma pagarināto summu norāda “Pagarinājums” slejā, jauno iegūto finansējumu norāda “Jauns finansējums” slejā un neto starpību starp jaunu finansējumu, no vienas puses, un finansējuma pagarinājumu mīnus finansējumu, kam beidzas termiņš, no otras puses, norāda labajā slejā.</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Kopējo neto naudas plūsmu norāda 290. slejā, un tā ir vienāda ar visu “Neto” sleju (t i., 0040., 0080., 0120., 0160., 0200., 0240. un 0280.) summu.</w:t>
      </w:r>
    </w:p>
    <w:p w14:paraId="28B9B16F" w14:textId="7EEE4811" w:rsidR="00BD24C1" w:rsidRPr="00E37FBE" w:rsidRDefault="00DB3C37" w:rsidP="00927DCB">
      <w:pPr>
        <w:pStyle w:val="InstructionsText2"/>
        <w:numPr>
          <w:ilvl w:val="0"/>
          <w:numId w:val="8"/>
        </w:numPr>
        <w:rPr>
          <w:u w:val="none"/>
        </w:rPr>
      </w:pPr>
      <w:r>
        <w:rPr>
          <w:u w:val="none"/>
        </w:rPr>
        <w:t>Tāda finansējuma vidējo termiņu (dienās) termiņfinansējumam, kam beidzas termiņš, norāda 0300. slejā.</w:t>
      </w:r>
    </w:p>
    <w:p w14:paraId="76D8AD49" w14:textId="73AC67C3" w:rsidR="003E371A" w:rsidRPr="00E37FBE" w:rsidRDefault="003E371A" w:rsidP="00927DCB">
      <w:pPr>
        <w:pStyle w:val="InstructionsText2"/>
        <w:numPr>
          <w:ilvl w:val="0"/>
          <w:numId w:val="8"/>
        </w:numPr>
        <w:rPr>
          <w:u w:val="none"/>
        </w:rPr>
      </w:pPr>
      <w:r>
        <w:rPr>
          <w:u w:val="none"/>
        </w:rPr>
        <w:t>Tāda finansējuma vidējo termiņu (dienās) finansējumam, kuru pagarina, norāda 0310. slejā.</w:t>
      </w:r>
    </w:p>
    <w:p w14:paraId="717CD209" w14:textId="41C8DEE3" w:rsidR="00BD24C1" w:rsidRPr="00E37FBE" w:rsidRDefault="00DB3C37" w:rsidP="00927DCB">
      <w:pPr>
        <w:pStyle w:val="InstructionsText2"/>
        <w:numPr>
          <w:ilvl w:val="0"/>
          <w:numId w:val="8"/>
        </w:numPr>
        <w:rPr>
          <w:u w:val="none"/>
        </w:rPr>
      </w:pPr>
      <w:r>
        <w:rPr>
          <w:u w:val="none"/>
        </w:rPr>
        <w:t xml:space="preserve"> Finansējuma vidējo termiņu (dienās) jaunajam termiņfinansējumam norāda 0320. slejā.</w:t>
      </w:r>
    </w:p>
    <w:p w14:paraId="5C92A186" w14:textId="6F4BC0FE" w:rsidR="00A7751A" w:rsidRPr="00E37FBE" w:rsidRDefault="00A7751A" w:rsidP="00927DCB">
      <w:pPr>
        <w:pStyle w:val="InstructionsText2"/>
        <w:numPr>
          <w:ilvl w:val="0"/>
          <w:numId w:val="8"/>
        </w:numPr>
        <w:rPr>
          <w:u w:val="none"/>
        </w:rPr>
      </w:pPr>
      <w:r>
        <w:rPr>
          <w:u w:val="none"/>
        </w:rPr>
        <w:t>“Termiņa iestāšanās” summa ietver visas saistības, kuras finansējuma sniedzējs varēja līgumiski izņemt vai kuras bija maksājamas attiecīgajā pārskata perioda dienā. To vienmēr uzrāda ar plusa zīmi.</w:t>
      </w:r>
    </w:p>
    <w:p w14:paraId="004B6E12" w14:textId="539634DF" w:rsidR="00A7751A" w:rsidRPr="00E37FBE" w:rsidRDefault="00A7751A" w:rsidP="00927DCB">
      <w:pPr>
        <w:pStyle w:val="InstructionsText2"/>
        <w:numPr>
          <w:ilvl w:val="0"/>
          <w:numId w:val="8"/>
        </w:numPr>
        <w:rPr>
          <w:u w:val="none"/>
        </w:rPr>
      </w:pPr>
      <w:r>
        <w:rPr>
          <w:u w:val="none"/>
        </w:rPr>
        <w:t>“Pagarinājuma” summa ietver termiņa iestāšanās summu, kā noteikts 2. un 3. punktā, kas attiecīgajā pārskata perioda dienā joprojām ir iestādei. To vienmēr uzrāda ar plusa zīmi. Ja finansējums termiņu maina sakarā ar pagarinājuma notikumu, “pagarinājuma” summu norāda laika intervālā atbilstoši jaunajam termiņam.</w:t>
      </w:r>
    </w:p>
    <w:p w14:paraId="68CA5A97" w14:textId="694BA31F" w:rsidR="00A7751A" w:rsidRPr="00E37FBE" w:rsidRDefault="00A7751A" w:rsidP="00927DCB">
      <w:pPr>
        <w:pStyle w:val="InstructionsText2"/>
        <w:numPr>
          <w:ilvl w:val="0"/>
          <w:numId w:val="8"/>
        </w:numPr>
        <w:rPr>
          <w:u w:val="none"/>
        </w:rPr>
      </w:pPr>
      <w:r>
        <w:rPr>
          <w:u w:val="none"/>
        </w:rPr>
        <w:t>“Jaunā finansējuma” summas ietver faktiskās finansējuma ienākošās plūsmas attiecīgajā pārskata perioda dienā. To vienmēr uzrāda ar plusa zīmi.</w:t>
      </w:r>
    </w:p>
    <w:p w14:paraId="36023996" w14:textId="11556421" w:rsidR="00A7751A" w:rsidRPr="00E37FBE" w:rsidRDefault="00A7751A" w:rsidP="00927DCB">
      <w:pPr>
        <w:pStyle w:val="InstructionsText2"/>
        <w:numPr>
          <w:ilvl w:val="0"/>
          <w:numId w:val="8"/>
        </w:numPr>
        <w:rPr>
          <w:u w:val="none"/>
        </w:rPr>
      </w:pPr>
      <w:r>
        <w:rPr>
          <w:u w:val="none"/>
        </w:rPr>
        <w:t xml:space="preserve">“Neto” summu uzskata par finansējuma izmaiņu konkrētā sākotnējā termiņa laika joslā attiecīgajā pārskata perioda dienā, un to aprēķina, “neto” slejā pievienojot jauno finansējumu, pieskaitot pagarināto finansējumu un atņemot finansējumu, kam iestājas termiņš.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080"/>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lastRenderedPageBreak/>
              <w:t>Sleja</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Atsauces uz tiesību aktu noteikumiem un norādījumi</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Diennakts</w:t>
            </w:r>
          </w:p>
          <w:p w14:paraId="0D011271" w14:textId="46252F0C" w:rsidR="00B83BF9" w:rsidRPr="00E37FBE" w:rsidRDefault="00ED41A4" w:rsidP="00193B6D">
            <w:pPr>
              <w:rPr>
                <w:rFonts w:ascii="Times New Roman" w:hAnsi="Times New Roman"/>
                <w:szCs w:val="20"/>
              </w:rPr>
            </w:pPr>
            <w:r>
              <w:rPr>
                <w:rFonts w:ascii="Times New Roman" w:hAnsi="Times New Roman"/>
              </w:rPr>
              <w:t>Tāda finansējuma kopsummu, kam termiņš beidzas pārskata perioda attiecīgajā dienā ar sākotnēju termiņu uz nakti, norāda 1.1.–1.31. posteņa 0010. slejā. Mēnešiem, kuros ir mazāk par 31 dienu, kā arī nedēļas nogalēm neatbilstošās rindas atstāj neaizpildītas.</w:t>
            </w:r>
          </w:p>
          <w:p w14:paraId="7D2D26D4" w14:textId="79E1BEFF" w:rsidR="003E371A" w:rsidRPr="00E37FBE" w:rsidRDefault="003E371A" w:rsidP="00193B6D">
            <w:pPr>
              <w:rPr>
                <w:rFonts w:ascii="Times New Roman" w:hAnsi="Times New Roman"/>
                <w:szCs w:val="20"/>
              </w:rPr>
            </w:pPr>
            <w:r>
              <w:rPr>
                <w:rFonts w:ascii="Times New Roman" w:hAnsi="Times New Roman"/>
              </w:rPr>
              <w:t>Tāda finansējuma kopsummu, kuru pagarina pārskata perioda attiecīgajā dienā ar sākotnēju termiņu uz nakti, norāda 1.1.–1.31. posteņa 0020. slejā.</w:t>
            </w:r>
          </w:p>
          <w:p w14:paraId="4837928B" w14:textId="6B449134" w:rsidR="00ED41A4" w:rsidRPr="00E37FBE" w:rsidRDefault="00ED41A4" w:rsidP="00193B6D">
            <w:pPr>
              <w:rPr>
                <w:rFonts w:ascii="Times New Roman" w:hAnsi="Times New Roman"/>
                <w:szCs w:val="20"/>
              </w:rPr>
            </w:pPr>
            <w:r>
              <w:rPr>
                <w:rFonts w:ascii="Times New Roman" w:hAnsi="Times New Roman"/>
              </w:rPr>
              <w:t>Tāda jauna finansējuma kopsummu, kuru iegūst pārskata perioda attiecīgajā dienā ar sākotnēju termiņu uz nakti, norāda 1.1.–1.31. posteņa 0030. slejā.</w:t>
            </w:r>
          </w:p>
          <w:p w14:paraId="16FDBE2F" w14:textId="01510436" w:rsidR="00ED41A4" w:rsidRPr="00E37FBE" w:rsidRDefault="00ED41A4" w:rsidP="00193B6D">
            <w:pPr>
              <w:rPr>
                <w:rFonts w:ascii="Times New Roman" w:hAnsi="Times New Roman"/>
                <w:szCs w:val="20"/>
              </w:rPr>
            </w:pPr>
            <w:r>
              <w:rPr>
                <w:rFonts w:ascii="Times New Roman" w:hAnsi="Times New Roman"/>
              </w:rPr>
              <w:t>Neto starpību starp finansējumu, kam termiņš beidzas katru dienu, no vienas puses, un pagarinājumu plus jauno finansējumu, ko iegūst katru dienu, no otras puses, uzrāda 1.1.–1.31. posteņa 0040. slejā.</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diena ≤ 7 dienas</w:t>
            </w:r>
          </w:p>
          <w:p w14:paraId="456405B1" w14:textId="7B9BDFAD" w:rsidR="00ED41A4" w:rsidRPr="00E37FBE" w:rsidRDefault="00ED41A4" w:rsidP="00193B6D">
            <w:pPr>
              <w:rPr>
                <w:rFonts w:ascii="Times New Roman" w:hAnsi="Times New Roman"/>
                <w:szCs w:val="20"/>
              </w:rPr>
            </w:pPr>
            <w:r>
              <w:rPr>
                <w:rFonts w:ascii="Times New Roman" w:hAnsi="Times New Roman"/>
              </w:rPr>
              <w:t>Tāda finansējuma kopsummu, kam termiņš beidzas pārskata perioda attiecīgajā dienā ar sākotnēju termiņu no vienas dienas līdz vienai nedēļai, norāda 1.1.–1.31. posteņa 0050. slejā. Mēnešiem, kuros ir mazāk par 31 dienu, kā arī nedēļas nogalēm neatbilstošās rindas atstāj neaizpildītas.</w:t>
            </w:r>
          </w:p>
          <w:p w14:paraId="293B2767" w14:textId="378670DE" w:rsidR="003E371A" w:rsidRPr="00E37FBE" w:rsidRDefault="003E371A" w:rsidP="00193B6D">
            <w:pPr>
              <w:rPr>
                <w:rFonts w:ascii="Times New Roman" w:hAnsi="Times New Roman"/>
                <w:szCs w:val="20"/>
              </w:rPr>
            </w:pPr>
            <w:r>
              <w:rPr>
                <w:rFonts w:ascii="Times New Roman" w:hAnsi="Times New Roman"/>
              </w:rPr>
              <w:t>Tāda finansējuma kopsummu, kuru pagarina pārskata perioda attiecīgajā dienā ar sākotnēju termiņu no vienas dienas līdz vienai nedēļai, norāda 1.1.–1.31. posteņa 0060. slejā.</w:t>
            </w:r>
          </w:p>
          <w:p w14:paraId="5D635490" w14:textId="2D826550" w:rsidR="00ED41A4" w:rsidRPr="00E37FBE" w:rsidRDefault="00ED41A4" w:rsidP="00193B6D">
            <w:pPr>
              <w:rPr>
                <w:rFonts w:ascii="Times New Roman" w:hAnsi="Times New Roman"/>
                <w:szCs w:val="20"/>
              </w:rPr>
            </w:pPr>
            <w:r>
              <w:rPr>
                <w:rFonts w:ascii="Times New Roman" w:hAnsi="Times New Roman"/>
              </w:rPr>
              <w:t>Tāda jauna finansējuma kopsummu, kuru iegūst pārskata perioda attiecīgajā dienā ar sākotnēju termiņu no vienas dienas līdz vienai nedēļai, norāda 1.1.–1.31. posteņa 0070. slejā.</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Neto starpību starp finansējumu, kam termiņš beidzas, no vienas puses, un pagarinājumu plus jauno finansējumu, ko iegūst, no otras puses, uzrāda 1.1.–1.31. posteņa 0080. slejā.</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dienas ≤ 14 dienas</w:t>
            </w:r>
          </w:p>
          <w:p w14:paraId="01B280B0" w14:textId="5023F473" w:rsidR="007C6B89" w:rsidRPr="00E37FBE" w:rsidRDefault="007C6B89" w:rsidP="00193B6D">
            <w:pPr>
              <w:rPr>
                <w:rFonts w:ascii="Times New Roman" w:hAnsi="Times New Roman"/>
                <w:szCs w:val="20"/>
              </w:rPr>
            </w:pPr>
            <w:r>
              <w:rPr>
                <w:rFonts w:ascii="Times New Roman" w:hAnsi="Times New Roman"/>
              </w:rPr>
              <w:t>Tāda finansējuma kopsummu, kam termiņš beidzas pārskata perioda attiecīgajā dienā ar sākotnēju termiņu no vienas nedēļas līdz divām nedēļām, norāda 1.1.–1.31. posteņa 0090. slejā. Mēnešiem, kuros ir mazāk par 31 dienu, kā arī nedēļas nogalēm neatbilstošās rindas atstāj neaizpildītas.</w:t>
            </w:r>
          </w:p>
          <w:p w14:paraId="37FF815B" w14:textId="5B38CB82" w:rsidR="003E371A" w:rsidRPr="00E37FBE" w:rsidRDefault="003E371A" w:rsidP="00193B6D">
            <w:pPr>
              <w:rPr>
                <w:rFonts w:ascii="Times New Roman" w:hAnsi="Times New Roman"/>
                <w:szCs w:val="20"/>
              </w:rPr>
            </w:pPr>
            <w:r>
              <w:rPr>
                <w:rFonts w:ascii="Times New Roman" w:hAnsi="Times New Roman"/>
              </w:rPr>
              <w:t>Tāda finansējuma kopsummu, kuru pagarina pārskata perioda attiecīgajā dienā ar sākotnēju termiņu no vienas nedēļas līdz divām nedēļām, norāda 1.1.–1.31. posteņa 0100. slejā.</w:t>
            </w:r>
          </w:p>
          <w:p w14:paraId="60125A59" w14:textId="19085EB9" w:rsidR="007C6B89" w:rsidRPr="00E37FBE" w:rsidRDefault="007C6B89" w:rsidP="00193B6D">
            <w:pPr>
              <w:rPr>
                <w:rFonts w:ascii="Times New Roman" w:hAnsi="Times New Roman"/>
                <w:szCs w:val="20"/>
              </w:rPr>
            </w:pPr>
            <w:r>
              <w:rPr>
                <w:rFonts w:ascii="Times New Roman" w:hAnsi="Times New Roman"/>
              </w:rPr>
              <w:t>Tāda jauna finansējuma kopsummu, kuru iegūst pārskata perioda attiecīgajā dienā ar sākotnēju termiņu no vienas nedēļas līdz divām nedēļām, norāda 1.1.–1.31. posteņa 0110. slejā.</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Neto starpību starp finansējumu, kam termiņš beidzas, no vienas puses, un pagarinājumu plus jauno finansējumu, ko iegūst, no otras puses, uzrāda 1.1.–1.31. posteņa 0120. slejā.</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dienas ≤ 1 mēnesis</w:t>
            </w:r>
          </w:p>
          <w:p w14:paraId="6DFCCE86" w14:textId="3B483DEE" w:rsidR="007C6B89" w:rsidRPr="00E37FBE" w:rsidRDefault="007C6B89" w:rsidP="00193B6D">
            <w:pPr>
              <w:rPr>
                <w:rFonts w:ascii="Times New Roman" w:hAnsi="Times New Roman"/>
                <w:szCs w:val="20"/>
              </w:rPr>
            </w:pPr>
            <w:r>
              <w:rPr>
                <w:rFonts w:ascii="Times New Roman" w:hAnsi="Times New Roman"/>
              </w:rPr>
              <w:t>Tāda finansējuma kopsummu, kam termiņš beidzas pārskata perioda attiecīgajā dienā ar sākotnēju termiņu no divām nedēļām līdz vienam mēnesim, norāda 1.1.–1.31. posteņa 0130. slejā. Mēnešiem, kuros ir mazāk par 31 dienu, kā arī nedēļas nogalēm neatbilstošās rindas atstāj neaizpildītas.</w:t>
            </w:r>
          </w:p>
          <w:p w14:paraId="168BD6CE" w14:textId="7007C9B1" w:rsidR="003E371A" w:rsidRPr="00E37FBE" w:rsidRDefault="003E371A" w:rsidP="00193B6D">
            <w:pPr>
              <w:rPr>
                <w:rFonts w:ascii="Times New Roman" w:hAnsi="Times New Roman"/>
                <w:szCs w:val="20"/>
              </w:rPr>
            </w:pPr>
            <w:r>
              <w:rPr>
                <w:rFonts w:ascii="Times New Roman" w:hAnsi="Times New Roman"/>
              </w:rPr>
              <w:lastRenderedPageBreak/>
              <w:t>Tāda finansējuma kopsummu, kuru pagarina pārskata perioda attiecīgajā dienā ar sākotnēju termiņu no divām nedēļām līdz vienam mēnesim, norāda 1.1.–1.31. posteņa 0140. slejā.</w:t>
            </w:r>
          </w:p>
          <w:p w14:paraId="0DBC5483" w14:textId="6B45A083" w:rsidR="007C6B89" w:rsidRPr="00E37FBE" w:rsidRDefault="007C6B89" w:rsidP="00193B6D">
            <w:pPr>
              <w:rPr>
                <w:rFonts w:ascii="Times New Roman" w:hAnsi="Times New Roman"/>
                <w:szCs w:val="20"/>
              </w:rPr>
            </w:pPr>
            <w:r>
              <w:rPr>
                <w:rFonts w:ascii="Times New Roman" w:hAnsi="Times New Roman"/>
              </w:rPr>
              <w:t>Tāda jauna finansējuma kopsummu, kuru iegūst pārskata perioda attiecīgajā dienā ar sākotnēju termiņu no divām nedēļām līdz vienam mēnesim, norāda 1.1.–1.31. posteņa 0150. slejā.</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Neto starpību starp finansējumu, kam termiņš beidzas, no vienas puses, un pagarinājumu plus jauno finansējumu, ko iegūst, no otras puses, uzrāda 1.1.–1.31. posteņa 0160. slejā.</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mēnesis ≤ 3 mēneši</w:t>
            </w:r>
          </w:p>
          <w:p w14:paraId="1C6BB1D5" w14:textId="757F683B" w:rsidR="007C6B89" w:rsidRPr="00E37FBE" w:rsidRDefault="007C6B89" w:rsidP="00193B6D">
            <w:pPr>
              <w:rPr>
                <w:rFonts w:ascii="Times New Roman" w:hAnsi="Times New Roman"/>
                <w:szCs w:val="20"/>
              </w:rPr>
            </w:pPr>
            <w:r>
              <w:rPr>
                <w:rFonts w:ascii="Times New Roman" w:hAnsi="Times New Roman"/>
              </w:rPr>
              <w:t>Tāda finansējuma kopsummu, kam termiņš beidzas pārskata perioda attiecīgajā dienā ar sākotnēju termiņu no viena mēneša līdz trijiem mēnešiem, norāda 1.1.–1.31. posteņa 0170. slejā. Mēnešiem, kuros ir mazāk par 31 dienu, kā arī nedēļas nogalēm neatbilstošās rindas atstāj neaizpildītas.</w:t>
            </w:r>
          </w:p>
          <w:p w14:paraId="6A91E8B5" w14:textId="5A7B6811" w:rsidR="003E371A" w:rsidRPr="00E37FBE" w:rsidRDefault="003E371A" w:rsidP="00193B6D">
            <w:pPr>
              <w:rPr>
                <w:rFonts w:ascii="Times New Roman" w:hAnsi="Times New Roman"/>
                <w:szCs w:val="20"/>
              </w:rPr>
            </w:pPr>
            <w:r>
              <w:rPr>
                <w:rFonts w:ascii="Times New Roman" w:hAnsi="Times New Roman"/>
              </w:rPr>
              <w:t>Tāda finansējuma kopsummu, kuru pagarina pārskata perioda attiecīgajā dienā ar sākotnēju termiņu no viena mēneša līdz trijiem mēnešiem, norāda 1.1.–1.31. posteņa 0180. slejā.</w:t>
            </w:r>
          </w:p>
          <w:p w14:paraId="7A9947A9" w14:textId="1B33C53B" w:rsidR="007C6B89" w:rsidRPr="00E37FBE" w:rsidRDefault="007C6B89" w:rsidP="00193B6D">
            <w:pPr>
              <w:rPr>
                <w:rFonts w:ascii="Times New Roman" w:hAnsi="Times New Roman"/>
                <w:szCs w:val="20"/>
              </w:rPr>
            </w:pPr>
            <w:r>
              <w:rPr>
                <w:rFonts w:ascii="Times New Roman" w:hAnsi="Times New Roman"/>
              </w:rPr>
              <w:t>Tāda jauna finansējuma kopsummu, kuru iegūst pārskata perioda attiecīgajā dienā ar sākotnēju termiņu no viena mēneša līdz trijiem mēnešiem, norāda 1.1.–1.31. posteņa 0190. slejā.</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Neto starpību starp finansējumu, kam termiņš beidzas, no vienas puses, un pagarinājumu plus jauno finansējumu, ko iegūst, no otras puses, uzrāda 1.1.–1.31. posteņa 0200. slejā.</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&gt;3 mēneši ≤ 6 mēneši</w:t>
            </w:r>
          </w:p>
          <w:p w14:paraId="0260CA5A" w14:textId="01087905" w:rsidR="006044FF" w:rsidRPr="00E37FBE" w:rsidRDefault="005A40BE" w:rsidP="00193B6D">
            <w:pPr>
              <w:rPr>
                <w:rFonts w:ascii="Times New Roman" w:hAnsi="Times New Roman"/>
                <w:szCs w:val="20"/>
              </w:rPr>
            </w:pPr>
            <w:r>
              <w:rPr>
                <w:rFonts w:ascii="Times New Roman" w:hAnsi="Times New Roman"/>
              </w:rPr>
              <w:t>Tāda finansējuma kopsummu, kam termiņš beidzas pārskata perioda attiecīgajā dienā ar sākotnēju termiņu no trijiem mēnešiem līdz sešiem mēnešiem, norāda 1.1.–1.31. posteņa 0210. slejā. Mēnešiem, kuros ir mazāk par 31 dienu, kā arī nedēļas nogalēm neatbilstošās rindas atstāj neaizpildītas.</w:t>
            </w:r>
          </w:p>
          <w:p w14:paraId="563F93F8" w14:textId="263DC9E2" w:rsidR="003E371A" w:rsidRPr="00E37FBE" w:rsidRDefault="003E371A" w:rsidP="00193B6D">
            <w:pPr>
              <w:rPr>
                <w:rFonts w:ascii="Times New Roman" w:hAnsi="Times New Roman"/>
                <w:szCs w:val="20"/>
              </w:rPr>
            </w:pPr>
            <w:r>
              <w:rPr>
                <w:rFonts w:ascii="Times New Roman" w:hAnsi="Times New Roman"/>
              </w:rPr>
              <w:t>Tāda finansējuma kopsummu, kuru pagarina pārskata perioda attiecīgajā dienā ar sākotnēju termiņu no trijiem mēnešiem līdz sešiem mēnešiem, norāda 1.1.–1.31. posteņa 0220. slejā.</w:t>
            </w:r>
          </w:p>
          <w:p w14:paraId="601C708E" w14:textId="48140626" w:rsidR="005A40BE" w:rsidRPr="00E37FBE" w:rsidRDefault="005A40BE" w:rsidP="00193B6D">
            <w:pPr>
              <w:rPr>
                <w:rFonts w:ascii="Times New Roman" w:hAnsi="Times New Roman"/>
                <w:szCs w:val="20"/>
              </w:rPr>
            </w:pPr>
            <w:r>
              <w:rPr>
                <w:rFonts w:ascii="Times New Roman" w:hAnsi="Times New Roman"/>
              </w:rPr>
              <w:t>Tāda jauna finansējuma kopsummu, kuru iegūst pārskata perioda attiecīgajā dienā ar sākotnēju termiņu no trijiem mēnešiem līdz sešiem mēnešiem, norāda 1.1.–1.31. posteņa 0230. slejā.</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Neto starpību starp finansējumu, kam termiņš beidzas, no vienas puses, un pagarinājumu plus jauno finansējumu, ko iegūst, no otras puses, uzrāda 1.1.–1.31. posteņa 0240. slejā.</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mēneši</w:t>
            </w:r>
          </w:p>
          <w:p w14:paraId="3C7C589B" w14:textId="433DBEBB" w:rsidR="007C6B89" w:rsidRPr="00E37FBE" w:rsidRDefault="007C6B89" w:rsidP="00193B6D">
            <w:pPr>
              <w:rPr>
                <w:rFonts w:ascii="Times New Roman" w:hAnsi="Times New Roman"/>
                <w:szCs w:val="20"/>
              </w:rPr>
            </w:pPr>
            <w:r>
              <w:rPr>
                <w:rFonts w:ascii="Times New Roman" w:hAnsi="Times New Roman"/>
              </w:rPr>
              <w:t>Tāda finansējuma kopsummu, kam termiņš beidzas pārskata perioda attiecīgajā dienā ar sākotnēju termiņu virs sešiem mēnešiem, norāda 1.1.–1.31. posteņa 0250. slejā. Mēnešiem, kuros ir mazāk par 31 dienu, kā arī nedēļas nogalēm neatbilstošās rindas atstāj neaizpildītas.</w:t>
            </w:r>
          </w:p>
          <w:p w14:paraId="09601152" w14:textId="25476A9D" w:rsidR="003E371A" w:rsidRPr="00E37FBE" w:rsidRDefault="003E371A" w:rsidP="00193B6D">
            <w:pPr>
              <w:rPr>
                <w:rFonts w:ascii="Times New Roman" w:hAnsi="Times New Roman"/>
                <w:szCs w:val="20"/>
              </w:rPr>
            </w:pPr>
            <w:r>
              <w:rPr>
                <w:rFonts w:ascii="Times New Roman" w:hAnsi="Times New Roman"/>
              </w:rPr>
              <w:t>Tāda finansējuma kopsummu, kuru pagarina pārskata perioda attiecīgajā dienā ar sākotnēju termiņu virs sešiem mēnešiem, norāda 1.1.–1.31. posteņa 0260. slejā.</w:t>
            </w:r>
          </w:p>
          <w:p w14:paraId="4585368E" w14:textId="58DDCB2B" w:rsidR="007C6B89" w:rsidRPr="00E37FBE" w:rsidRDefault="007C6B89" w:rsidP="00193B6D">
            <w:pPr>
              <w:rPr>
                <w:rFonts w:ascii="Times New Roman" w:hAnsi="Times New Roman"/>
                <w:szCs w:val="20"/>
              </w:rPr>
            </w:pPr>
            <w:r>
              <w:rPr>
                <w:rFonts w:ascii="Times New Roman" w:hAnsi="Times New Roman"/>
              </w:rPr>
              <w:t>Tāda jauna finansējuma kopsummu, kuru iegūst pārskata perioda attiecīgajā dienā ar sākotnēju termiņu virs sešiem mēnešiem, norāda 1.1.–1.31. posteņa 0270. slejā.</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Neto starpību starp finansējumu, kam termiņš beidzas, no vienas puses, un pagarinājumu plus jauno finansējumu, ko iegūst, no otras puses, uzrāda 1.1.–1.31. posteņa 0280. slejā.</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Kopējā neto naudas plūsma</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Kopējā neto naudas plūsma Kopējās neto naudas plūsmas norāda 0290. slejā, un tās ir vienādas ar visu “Neto” sleju (0040., 0080., 0120., 0160., 0200., 0240. un 0280.) summu.</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Vidējais termiņš (dienās)</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Visa finansējuma, kam beidzas termiņš, vidējo svērto termiņu (dienās) norāda 0300. slejā. Vidēji svērto termiņu (dienās) visam finansējumam, ko pagarina, norāda 0310. slejā, vidēji svērto termiņu (dienās) visam jaunajam finansējumam norāda 0320. slejā.</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715933202">
    <w:abstractNumId w:val="31"/>
  </w:num>
  <w:num w:numId="2" w16cid:durableId="2075004843">
    <w:abstractNumId w:val="30"/>
  </w:num>
  <w:num w:numId="3" w16cid:durableId="459958277">
    <w:abstractNumId w:val="23"/>
  </w:num>
  <w:num w:numId="4" w16cid:durableId="2048485274">
    <w:abstractNumId w:val="39"/>
  </w:num>
  <w:num w:numId="5" w16cid:durableId="183523691">
    <w:abstractNumId w:val="37"/>
  </w:num>
  <w:num w:numId="6" w16cid:durableId="883952187">
    <w:abstractNumId w:val="26"/>
  </w:num>
  <w:num w:numId="7" w16cid:durableId="2091151127">
    <w:abstractNumId w:val="13"/>
  </w:num>
  <w:num w:numId="8" w16cid:durableId="1425150419">
    <w:abstractNumId w:val="24"/>
  </w:num>
  <w:num w:numId="9" w16cid:durableId="639966180">
    <w:abstractNumId w:val="20"/>
  </w:num>
  <w:num w:numId="10" w16cid:durableId="1277060685">
    <w:abstractNumId w:val="35"/>
  </w:num>
  <w:num w:numId="11" w16cid:durableId="2077124513">
    <w:abstractNumId w:val="27"/>
  </w:num>
  <w:num w:numId="12" w16cid:durableId="1433159138">
    <w:abstractNumId w:val="18"/>
  </w:num>
  <w:num w:numId="13" w16cid:durableId="1563712849">
    <w:abstractNumId w:val="21"/>
  </w:num>
  <w:num w:numId="14" w16cid:durableId="1221407821">
    <w:abstractNumId w:val="34"/>
  </w:num>
  <w:num w:numId="15" w16cid:durableId="654724378">
    <w:abstractNumId w:val="12"/>
  </w:num>
  <w:num w:numId="16" w16cid:durableId="1390037691">
    <w:abstractNumId w:val="17"/>
  </w:num>
  <w:num w:numId="17" w16cid:durableId="1516577499">
    <w:abstractNumId w:val="29"/>
  </w:num>
  <w:num w:numId="18" w16cid:durableId="609944258">
    <w:abstractNumId w:val="36"/>
  </w:num>
  <w:num w:numId="19" w16cid:durableId="259528151">
    <w:abstractNumId w:val="38"/>
  </w:num>
  <w:num w:numId="20" w16cid:durableId="1610430590">
    <w:abstractNumId w:val="32"/>
  </w:num>
  <w:num w:numId="21" w16cid:durableId="1455709787">
    <w:abstractNumId w:val="33"/>
  </w:num>
  <w:num w:numId="22" w16cid:durableId="1554191293">
    <w:abstractNumId w:val="14"/>
  </w:num>
  <w:num w:numId="23" w16cid:durableId="4329062">
    <w:abstractNumId w:val="22"/>
  </w:num>
  <w:num w:numId="24" w16cid:durableId="1451361064">
    <w:abstractNumId w:val="25"/>
  </w:num>
  <w:num w:numId="25" w16cid:durableId="1264923568">
    <w:abstractNumId w:val="23"/>
  </w:num>
  <w:num w:numId="26" w16cid:durableId="921916446">
    <w:abstractNumId w:val="23"/>
  </w:num>
  <w:num w:numId="27" w16cid:durableId="996104654">
    <w:abstractNumId w:val="23"/>
  </w:num>
  <w:num w:numId="28" w16cid:durableId="723256602">
    <w:abstractNumId w:val="19"/>
  </w:num>
  <w:num w:numId="29" w16cid:durableId="252904676">
    <w:abstractNumId w:val="28"/>
  </w:num>
  <w:num w:numId="30" w16cid:durableId="1774204643">
    <w:abstractNumId w:val="23"/>
  </w:num>
  <w:num w:numId="31" w16cid:durableId="861669273">
    <w:abstractNumId w:val="11"/>
  </w:num>
  <w:num w:numId="32" w16cid:durableId="1145585366">
    <w:abstractNumId w:val="10"/>
  </w:num>
  <w:num w:numId="33" w16cid:durableId="160395247">
    <w:abstractNumId w:val="16"/>
  </w:num>
  <w:num w:numId="34" w16cid:durableId="1043404771">
    <w:abstractNumId w:val="15"/>
  </w:num>
  <w:num w:numId="35" w16cid:durableId="5501216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0960468">
    <w:abstractNumId w:val="9"/>
  </w:num>
  <w:num w:numId="37" w16cid:durableId="1098254718">
    <w:abstractNumId w:val="7"/>
  </w:num>
  <w:num w:numId="38" w16cid:durableId="731001956">
    <w:abstractNumId w:val="6"/>
  </w:num>
  <w:num w:numId="39" w16cid:durableId="350303545">
    <w:abstractNumId w:val="5"/>
  </w:num>
  <w:num w:numId="40" w16cid:durableId="990980505">
    <w:abstractNumId w:val="4"/>
  </w:num>
  <w:num w:numId="41" w16cid:durableId="1000499111">
    <w:abstractNumId w:val="8"/>
  </w:num>
  <w:num w:numId="42" w16cid:durableId="1983659328">
    <w:abstractNumId w:val="3"/>
  </w:num>
  <w:num w:numId="43" w16cid:durableId="1967853407">
    <w:abstractNumId w:val="2"/>
  </w:num>
  <w:num w:numId="44" w16cid:durableId="1567451150">
    <w:abstractNumId w:val="1"/>
  </w:num>
  <w:num w:numId="45" w16cid:durableId="1296596532">
    <w:abstractNumId w:val="0"/>
  </w:num>
  <w:num w:numId="46" w16cid:durableId="1829440231">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35790"/>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3489"/>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577E1"/>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v-LV"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v-LV"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v-LV"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en-US" w:bidi="ar-SA"/>
    </w:rPr>
  </w:style>
  <w:style w:type="character" w:customStyle="1" w:styleId="FunoteChar">
    <w:name w:val="Fußnote Char"/>
    <w:aliases w:val=" Char Char Char"/>
    <w:semiHidden/>
    <w:rsid w:val="009D253B"/>
    <w:rPr>
      <w:rFonts w:ascii="Arial" w:hAnsi="Arial"/>
      <w:sz w:val="18"/>
      <w:lang w:val="lv-LV"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v-LV"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v-LV"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lv-LV" w:eastAsia="de-AT"/>
    </w:rPr>
  </w:style>
  <w:style w:type="character" w:customStyle="1" w:styleId="BalloonTextChar">
    <w:name w:val="Balloon Text Char"/>
    <w:link w:val="BalloonText"/>
    <w:semiHidden/>
    <w:rsid w:val="00167536"/>
    <w:rPr>
      <w:rFonts w:ascii="Tahoma" w:hAnsi="Tahoma" w:cs="Tahoma"/>
      <w:sz w:val="16"/>
      <w:szCs w:val="16"/>
      <w:lang w:val="lv-LV" w:eastAsia="en-US"/>
    </w:rPr>
  </w:style>
  <w:style w:type="character" w:customStyle="1" w:styleId="PlainTextChar">
    <w:name w:val="Plain Text Char"/>
    <w:link w:val="PlainText"/>
    <w:semiHidden/>
    <w:rsid w:val="00167536"/>
    <w:rPr>
      <w:rFonts w:ascii="Consolas" w:hAnsi="Consolas"/>
      <w:sz w:val="21"/>
      <w:szCs w:val="21"/>
      <w:lang w:val="lv-LV"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v-LV" w:eastAsia="en-US"/>
    </w:rPr>
  </w:style>
  <w:style w:type="character" w:customStyle="1" w:styleId="FooterCoverPageChar">
    <w:name w:val="Footer Cover Page Char"/>
    <w:link w:val="FooterCoverPage"/>
    <w:rsid w:val="00167536"/>
    <w:rPr>
      <w:color w:val="4F81BD"/>
      <w:sz w:val="24"/>
      <w:szCs w:val="24"/>
      <w:lang w:val="lv-LV"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v-LV"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89115E1D-C38A-41B4-AF3F-ACA7D2C78A13}"/>
</file>

<file path=customXml/itemProps3.xml><?xml version="1.0" encoding="utf-8"?>
<ds:datastoreItem xmlns:ds="http://schemas.openxmlformats.org/officeDocument/2006/customXml" ds:itemID="{ACC34ACC-5557-4872-8013-EE3EFAEFBECF}"/>
</file>

<file path=customXml/itemProps4.xml><?xml version="1.0" encoding="utf-8"?>
<ds:datastoreItem xmlns:ds="http://schemas.openxmlformats.org/officeDocument/2006/customXml" ds:itemID="{2E335659-2EA3-44DA-BF8B-3D7C86290A6B}"/>
</file>

<file path=docProps/app.xml><?xml version="1.0" encoding="utf-8"?>
<Properties xmlns="http://schemas.openxmlformats.org/officeDocument/2006/extended-properties" xmlns:vt="http://schemas.openxmlformats.org/officeDocument/2006/docPropsVTypes">
  <Template>Normal</Template>
  <TotalTime>0</TotalTime>
  <Pages>13</Pages>
  <Words>4522</Words>
  <Characters>27826</Characters>
  <Application>Microsoft Office Word</Application>
  <DocSecurity>0</DocSecurity>
  <Lines>632</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2025-01-27T09:07:00Z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2825e526-109e-426a-b614-20a6049ff4df</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