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F73FB1" w14:textId="77777777" w:rsidR="00FA1E0E" w:rsidRDefault="00FA1E0E" w:rsidP="00FA1E0E">
      <w:pPr>
        <w:jc w:val="center"/>
        <w:rPr>
          <w:rFonts w:ascii="Times New Roman" w:hAnsi="Times New Roman"/>
          <w:sz w:val="24"/>
          <w:szCs w:val="22"/>
        </w:rPr>
      </w:pPr>
      <w:r>
        <w:rPr>
          <w:rFonts w:ascii="Times New Roman" w:hAnsi="Times New Roman"/>
          <w:sz w:val="24"/>
        </w:rPr>
        <w:t>EN</w:t>
      </w:r>
    </w:p>
    <w:p w14:paraId="2A534E61" w14:textId="77777777" w:rsidR="00FA1E0E" w:rsidRDefault="00FA1E0E" w:rsidP="00FA1E0E">
      <w:pPr>
        <w:rPr>
          <w:rFonts w:asciiTheme="minorHAnsi" w:hAnsiTheme="minorHAnsi"/>
          <w:sz w:val="22"/>
        </w:rPr>
      </w:pPr>
    </w:p>
    <w:p w14:paraId="4613AAF8" w14:textId="77777777" w:rsidR="00C61CB8" w:rsidRPr="00037E7B" w:rsidRDefault="00C61CB8" w:rsidP="00C61CB8">
      <w:pPr>
        <w:jc w:val="center"/>
        <w:rPr>
          <w:rFonts w:ascii="Times New Roman" w:hAnsi="Times New Roman"/>
          <w:sz w:val="24"/>
        </w:rPr>
      </w:pPr>
      <w:r w:rsidRPr="00037E7B">
        <w:rPr>
          <w:rFonts w:ascii="Times New Roman" w:hAnsi="Times New Roman"/>
          <w:sz w:val="24"/>
        </w:rPr>
        <w:t>ANNEX II</w:t>
      </w:r>
    </w:p>
    <w:p w14:paraId="7B92C63B" w14:textId="77777777" w:rsidR="00C61CB8" w:rsidRPr="00037E7B" w:rsidRDefault="00C61CB8" w:rsidP="00C61CB8">
      <w:pPr>
        <w:jc w:val="center"/>
        <w:rPr>
          <w:rFonts w:ascii="Times New Roman" w:hAnsi="Times New Roman"/>
          <w:sz w:val="24"/>
        </w:rPr>
      </w:pPr>
      <w:r w:rsidRPr="00037E7B">
        <w:rPr>
          <w:rFonts w:ascii="Times New Roman" w:hAnsi="Times New Roman"/>
          <w:sz w:val="24"/>
        </w:rPr>
        <w:t>‘ANNEX II</w:t>
      </w:r>
    </w:p>
    <w:p w14:paraId="48CBB2FB" w14:textId="77777777" w:rsidR="00C61CB8" w:rsidRPr="00037E7B" w:rsidRDefault="00C61CB8" w:rsidP="00C61CB8">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499E103D" w14:textId="77777777" w:rsidR="00C61CB8" w:rsidRDefault="00C61CB8" w:rsidP="00C61CB8"/>
    <w:p w14:paraId="4FE1D1D2" w14:textId="77777777" w:rsidR="00C61CB8" w:rsidRDefault="00C61CB8" w:rsidP="00C61CB8">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253B4114" w14:textId="77777777" w:rsidR="00C61CB8" w:rsidRDefault="00C61CB8" w:rsidP="00C61CB8">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6D3C634C" w14:textId="77777777" w:rsidR="00C61CB8" w:rsidRPr="00736637" w:rsidRDefault="00C61CB8" w:rsidP="00C61CB8">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1693FB12" w14:textId="77777777" w:rsidR="00C61CB8" w:rsidRDefault="00C61CB8"/>
    <w:p w14:paraId="696BE2F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lang w:val="en-GB"/>
        </w:rPr>
      </w:pPr>
      <w:r w:rsidRPr="002A677E">
        <w:rPr>
          <w:rFonts w:ascii="Times New Roman" w:hAnsi="Times New Roman" w:cs="Times New Roman"/>
          <w:sz w:val="24"/>
          <w:lang w:val="en-GB"/>
        </w:rPr>
        <w:t>GROUP SOLVENCY: INFORMATION ON AFFILIATES (GS)</w:t>
      </w:r>
    </w:p>
    <w:p w14:paraId="6AEF8BD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lang w:val="en-GB"/>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sidRPr="002A677E">
        <w:rPr>
          <w:rFonts w:ascii="Times New Roman" w:hAnsi="Times New Roman" w:cs="Times New Roman"/>
          <w:sz w:val="24"/>
          <w:u w:val="none"/>
          <w:lang w:val="en-GB"/>
        </w:rPr>
        <w:t>2.1.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0"/>
      <w:bookmarkEnd w:id="1"/>
      <w:bookmarkEnd w:id="2"/>
      <w:bookmarkEnd w:id="3"/>
      <w:bookmarkEnd w:id="4"/>
      <w:bookmarkEnd w:id="5"/>
      <w:bookmarkEnd w:id="6"/>
    </w:p>
    <w:p w14:paraId="02D50DC7"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27</w:t>
      </w:r>
      <w:r>
        <w:fldChar w:fldCharType="end"/>
      </w:r>
      <w:r w:rsidRPr="002A677E">
        <w:t>.</w:t>
      </w:r>
      <w:r w:rsidRPr="002A677E">
        <w:tab/>
        <w:t xml:space="preserve">Templates C 06.01 and C 06.02 shall be reported if own funds requirements are calculated on a consolidated basis. Template C 06.02 consists of four parts </w:t>
      </w:r>
      <w:proofErr w:type="gramStart"/>
      <w:r w:rsidRPr="002A677E">
        <w:t>in order to</w:t>
      </w:r>
      <w:proofErr w:type="gramEnd"/>
      <w:r w:rsidRPr="002A677E">
        <w:t xml:space="preserve"> gather different information on all individual entities (including the reporting institution) included in the scope of consolidation.</w:t>
      </w:r>
    </w:p>
    <w:p w14:paraId="427E4E34" w14:textId="77777777" w:rsidR="00173F08" w:rsidRPr="002A677E" w:rsidRDefault="00173F08" w:rsidP="00173F08">
      <w:pPr>
        <w:pStyle w:val="InstructionsText2"/>
        <w:numPr>
          <w:ilvl w:val="0"/>
          <w:numId w:val="0"/>
        </w:numPr>
        <w:ind w:left="993"/>
      </w:pPr>
      <w:r w:rsidRPr="002A677E">
        <w:t>(a)</w:t>
      </w:r>
      <w:r w:rsidRPr="002A677E">
        <w:tab/>
        <w:t xml:space="preserve">Entities within the scope of </w:t>
      </w:r>
      <w:proofErr w:type="gramStart"/>
      <w:r w:rsidRPr="002A677E">
        <w:t>consolidation;</w:t>
      </w:r>
      <w:proofErr w:type="gramEnd"/>
    </w:p>
    <w:p w14:paraId="028B029B" w14:textId="77777777" w:rsidR="00173F08" w:rsidRPr="002A677E" w:rsidRDefault="00173F08" w:rsidP="00173F08">
      <w:pPr>
        <w:pStyle w:val="InstructionsText2"/>
        <w:numPr>
          <w:ilvl w:val="0"/>
          <w:numId w:val="0"/>
        </w:numPr>
        <w:ind w:left="993"/>
      </w:pPr>
      <w:r w:rsidRPr="002A677E">
        <w:t>(b)</w:t>
      </w:r>
      <w:r w:rsidRPr="002A677E">
        <w:tab/>
        <w:t xml:space="preserve">Detailed group solvency </w:t>
      </w:r>
      <w:proofErr w:type="gramStart"/>
      <w:r w:rsidRPr="002A677E">
        <w:t>information;</w:t>
      </w:r>
      <w:proofErr w:type="gramEnd"/>
    </w:p>
    <w:p w14:paraId="29EF9308" w14:textId="77777777" w:rsidR="00173F08" w:rsidRPr="002A677E" w:rsidRDefault="00173F08" w:rsidP="00173F08">
      <w:pPr>
        <w:pStyle w:val="InstructionsText2"/>
        <w:numPr>
          <w:ilvl w:val="0"/>
          <w:numId w:val="0"/>
        </w:numPr>
        <w:ind w:left="993"/>
      </w:pPr>
      <w:r w:rsidRPr="002A677E">
        <w:t>(c)</w:t>
      </w:r>
      <w:r w:rsidRPr="002A677E">
        <w:tab/>
        <w:t xml:space="preserve">Information on the contribution of individual entities to group </w:t>
      </w:r>
      <w:proofErr w:type="gramStart"/>
      <w:r w:rsidRPr="002A677E">
        <w:t>solvency;</w:t>
      </w:r>
      <w:proofErr w:type="gramEnd"/>
    </w:p>
    <w:p w14:paraId="66E85F84" w14:textId="77777777" w:rsidR="00173F08" w:rsidRPr="002A677E" w:rsidRDefault="00173F08" w:rsidP="00173F08">
      <w:pPr>
        <w:pStyle w:val="InstructionsText2"/>
        <w:numPr>
          <w:ilvl w:val="0"/>
          <w:numId w:val="0"/>
        </w:numPr>
        <w:ind w:left="993"/>
      </w:pPr>
      <w:r w:rsidRPr="002A677E">
        <w:t>(d)</w:t>
      </w:r>
      <w:r w:rsidRPr="002A677E">
        <w:tab/>
        <w:t xml:space="preserve">Information on capital </w:t>
      </w:r>
      <w:proofErr w:type="gramStart"/>
      <w:r w:rsidRPr="002A677E">
        <w:t>buffers;</w:t>
      </w:r>
      <w:proofErr w:type="gramEnd"/>
    </w:p>
    <w:p w14:paraId="7BA531FA" w14:textId="701A6BC9"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28</w:t>
      </w:r>
      <w:r>
        <w:fldChar w:fldCharType="end"/>
      </w:r>
      <w:r w:rsidRPr="002A677E">
        <w:t>.</w:t>
      </w:r>
      <w:r w:rsidRPr="002A677E">
        <w:tab/>
        <w:t xml:space="preserve">Institutions that obtained a waiver in accordance with Article 7 </w:t>
      </w:r>
      <w:r w:rsidRPr="001235ED">
        <w:rPr>
          <w:lang w:val="en-US"/>
        </w:rPr>
        <w:t xml:space="preserve">of Regulation (EU) No 575/2013 </w:t>
      </w:r>
      <w:r w:rsidRPr="002A677E">
        <w:t>shall only report the columns 0010 to 006</w:t>
      </w:r>
      <w:r>
        <w:t>5</w:t>
      </w:r>
      <w:r w:rsidRPr="002A677E">
        <w:t xml:space="preserve"> and 0250 to 0400.</w:t>
      </w:r>
    </w:p>
    <w:p w14:paraId="0B7B3AA9"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29</w:t>
      </w:r>
      <w:r>
        <w:fldChar w:fldCharType="end"/>
      </w:r>
      <w:r w:rsidRPr="002A677E">
        <w:t>.</w:t>
      </w:r>
      <w:r w:rsidRPr="002A677E">
        <w:tab/>
        <w:t xml:space="preserve">The figures reported </w:t>
      </w:r>
      <w:proofErr w:type="gramStart"/>
      <w:r w:rsidRPr="002A677E">
        <w:t>take into account</w:t>
      </w:r>
      <w:proofErr w:type="gramEnd"/>
      <w:r w:rsidRPr="002A677E">
        <w:t xml:space="preserve"> all applicable transitional provisions </w:t>
      </w:r>
      <w:r w:rsidRPr="001235ED">
        <w:rPr>
          <w:lang w:val="en-US"/>
        </w:rPr>
        <w:t xml:space="preserve">of Regulation (EU) No 575/2013 </w:t>
      </w:r>
      <w:r w:rsidRPr="002A677E">
        <w:t>which are applicable at the respective reporting date.</w:t>
      </w:r>
    </w:p>
    <w:p w14:paraId="11861C2C" w14:textId="77777777" w:rsidR="00173F08" w:rsidRPr="002A677E" w:rsidRDefault="00173F08" w:rsidP="00173F08">
      <w:pPr>
        <w:pStyle w:val="Instructionsberschrift2"/>
        <w:numPr>
          <w:ilvl w:val="0"/>
          <w:numId w:val="0"/>
        </w:numPr>
        <w:rPr>
          <w:rFonts w:ascii="Times New Roman" w:hAnsi="Times New Roman" w:cs="Times New Roman"/>
          <w:sz w:val="24"/>
          <w:lang w:val="en-GB"/>
        </w:rPr>
      </w:pPr>
      <w:bookmarkStart w:id="7" w:name="_Toc360188341"/>
      <w:bookmarkStart w:id="8" w:name="_Toc473560889"/>
      <w:bookmarkStart w:id="9" w:name="_Toc151714377"/>
      <w:r w:rsidRPr="002A677E">
        <w:rPr>
          <w:rFonts w:ascii="Times New Roman" w:hAnsi="Times New Roman" w:cs="Times New Roman"/>
          <w:sz w:val="24"/>
          <w:u w:val="none"/>
          <w:lang w:val="en-GB"/>
        </w:rPr>
        <w:t>2.2.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Detailed group solvency information</w:t>
      </w:r>
      <w:bookmarkEnd w:id="7"/>
      <w:bookmarkEnd w:id="8"/>
      <w:bookmarkEnd w:id="9"/>
    </w:p>
    <w:p w14:paraId="60F36EFE" w14:textId="40A5EBCA"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30</w:t>
      </w:r>
      <w:r>
        <w:fldChar w:fldCharType="end"/>
      </w:r>
      <w:r w:rsidRPr="002A677E">
        <w:t>.</w:t>
      </w:r>
      <w:r w:rsidRPr="002A677E">
        <w:tab/>
        <w:t>The second part of template C 06.02 (detailed group solvency information) in columns 0070 to 02</w:t>
      </w:r>
      <w:r>
        <w:t>40</w:t>
      </w:r>
      <w:r w:rsidRPr="002A677E">
        <w:t xml:space="preserve"> is designed to gather information on credit and other regulated financial institutions which are effectively subject to </w:t>
      </w:r>
      <w:proofErr w:type="gramStart"/>
      <w:r w:rsidRPr="002A677E">
        <w:t>particular solvency</w:t>
      </w:r>
      <w:proofErr w:type="gramEnd"/>
      <w:r w:rsidRPr="002A677E">
        <w:t xml:space="preserve"> requirements on individual basis. It provides, for each of those entities within the scope of the reporting, the own funds requirements for each risk category and the own funds for solvency purposes. </w:t>
      </w:r>
    </w:p>
    <w:p w14:paraId="75F5EA26"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31</w:t>
      </w:r>
      <w:r>
        <w:fldChar w:fldCharType="end"/>
      </w:r>
      <w:r w:rsidRPr="002A677E">
        <w:t>.</w:t>
      </w:r>
      <w:r w:rsidRPr="002A677E">
        <w:tab/>
        <w:t>In the case of proportional consolidation of participations, the figures related to own funds requirements and own funds shall reflect the respective proportional amounts.</w:t>
      </w:r>
    </w:p>
    <w:p w14:paraId="7624B8E0" w14:textId="77777777" w:rsidR="00173F08" w:rsidRPr="002A677E" w:rsidRDefault="00173F08" w:rsidP="00173F08">
      <w:pPr>
        <w:pStyle w:val="Instructionsberschrift2"/>
        <w:numPr>
          <w:ilvl w:val="0"/>
          <w:numId w:val="0"/>
        </w:numPr>
        <w:rPr>
          <w:rFonts w:ascii="Times New Roman" w:hAnsi="Times New Roman" w:cs="Times New Roman"/>
          <w:sz w:val="24"/>
          <w:lang w:val="en-GB"/>
        </w:rPr>
      </w:pPr>
      <w:bookmarkStart w:id="10" w:name="_Toc360188342"/>
      <w:bookmarkStart w:id="11" w:name="_Toc473560890"/>
      <w:bookmarkStart w:id="12" w:name="_Toc151714378"/>
      <w:r w:rsidRPr="002A677E">
        <w:rPr>
          <w:rFonts w:ascii="Times New Roman" w:hAnsi="Times New Roman" w:cs="Times New Roman"/>
          <w:sz w:val="24"/>
          <w:u w:val="none"/>
          <w:lang w:val="en-GB"/>
        </w:rPr>
        <w:lastRenderedPageBreak/>
        <w:t>2.3.</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Information on the contributions of individual entities to group solvency</w:t>
      </w:r>
      <w:bookmarkEnd w:id="10"/>
      <w:bookmarkEnd w:id="11"/>
      <w:bookmarkEnd w:id="12"/>
    </w:p>
    <w:p w14:paraId="79D559F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32</w:t>
      </w:r>
      <w:r>
        <w:fldChar w:fldCharType="end"/>
      </w:r>
      <w:r w:rsidRPr="002A677E">
        <w:t>.</w:t>
      </w:r>
      <w:r w:rsidRPr="002A677E">
        <w:tab/>
        <w:t xml:space="preserve">The objective of the third part of template C 06.02 and template C 06.01 (information on the contributions of all entities within </w:t>
      </w:r>
      <w:r w:rsidRPr="001235ED">
        <w:rPr>
          <w:lang w:val="en-US"/>
        </w:rPr>
        <w:t>Regulation (EU) No 575/2013</w:t>
      </w:r>
      <w:r>
        <w:rPr>
          <w:lang w:val="en-US"/>
        </w:rPr>
        <w:t xml:space="preserve"> </w:t>
      </w:r>
      <w:r w:rsidRPr="002A677E">
        <w:t xml:space="preserve">scope of consolidation to group solvency), including those that are not subject to particular solvency requirements on an individual basis, in columns 0250 to 0400,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14:paraId="08EA3F6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33</w:t>
      </w:r>
      <w:r>
        <w:fldChar w:fldCharType="end"/>
      </w:r>
      <w:r w:rsidRPr="002A677E">
        <w:t>.</w:t>
      </w:r>
      <w:r w:rsidRPr="002A677E">
        <w:tab/>
        <w:t>The third part also includes the amounts of minority interests, qualifying AT1, and qualifying T2 eligible in the consolidated own funds.</w:t>
      </w:r>
    </w:p>
    <w:p w14:paraId="1D8F8CC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34</w:t>
      </w:r>
      <w:r>
        <w:fldChar w:fldCharType="end"/>
      </w:r>
      <w:r w:rsidRPr="002A677E">
        <w:t>.</w:t>
      </w:r>
      <w:r w:rsidRPr="002A677E">
        <w:tab/>
        <w:t>As this third part of the template refers to “contributions”, the figures to be reported herein shall defer, when applicable, from the figures reported in the columns referring to detailed group solvency information.</w:t>
      </w:r>
    </w:p>
    <w:p w14:paraId="27180B1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35</w:t>
      </w:r>
      <w:r>
        <w:fldChar w:fldCharType="end"/>
      </w:r>
      <w:r w:rsidRPr="002A677E">
        <w:t>.</w:t>
      </w:r>
      <w:r w:rsidRPr="002A677E">
        <w:tab/>
        <w:t xml:space="preserve">The principle is to delete the cross-exposures within the same groups in a homogeneous way both in terms of risks or own funds, in order to cover the amounts reported in the group’s consolidated CA template by adding the amounts reported for each entity </w:t>
      </w:r>
      <w:proofErr w:type="gramStart"/>
      <w:r w:rsidRPr="002A677E">
        <w:t>in ”Group</w:t>
      </w:r>
      <w:proofErr w:type="gramEnd"/>
      <w:r w:rsidRPr="002A677E">
        <w:t xml:space="preserve"> Solvency” template. A direct link to the CA template is not possible where the 1 % threshold is not exceeded.</w:t>
      </w:r>
    </w:p>
    <w:p w14:paraId="606DC9DE"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36</w:t>
      </w:r>
      <w:r>
        <w:fldChar w:fldCharType="end"/>
      </w:r>
      <w:r w:rsidRPr="002A677E">
        <w:t>.</w:t>
      </w:r>
      <w:r w:rsidRPr="002A677E">
        <w:tab/>
        <w:t xml:space="preserve">The institutions shall define the most appropriate breakdown method between the entities to </w:t>
      </w:r>
      <w:proofErr w:type="gramStart"/>
      <w:r w:rsidRPr="002A677E">
        <w:t>take into account</w:t>
      </w:r>
      <w:proofErr w:type="gramEnd"/>
      <w:r w:rsidRPr="002A677E">
        <w:t xml:space="preserve"> the possible diversification effects for market risk and operational risk.</w:t>
      </w:r>
    </w:p>
    <w:p w14:paraId="6EE62E0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37</w:t>
      </w:r>
      <w:r>
        <w:fldChar w:fldCharType="end"/>
      </w:r>
      <w:r w:rsidRPr="002A677E">
        <w:t>.</w:t>
      </w:r>
      <w:r w:rsidRPr="002A677E">
        <w:tab/>
        <w:t xml:space="preserve">It is possible for one consolidated group to be included within another consolidated group. That means that the entities within a subgroup shall be reported entity-by-entity in the GS of the entire group, even if the sub-group itself is subject to reporting requirements. A subgroup that is subject to reporting requirements shall also report the GS template on an entity-by-entity basis, although those details are included in the GS template of a higher consolidated group. </w:t>
      </w:r>
    </w:p>
    <w:p w14:paraId="0F8191D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rPr>
          <w:noProof/>
        </w:rPr>
        <w:t>38</w:t>
      </w:r>
      <w:r>
        <w:fldChar w:fldCharType="end"/>
      </w:r>
      <w:r w:rsidRPr="002A677E">
        <w:t>.</w:t>
      </w:r>
      <w:r w:rsidRPr="002A677E">
        <w:tab/>
        <w:t>An institution shall report data of the contribution of an entity when its contribution to the total risk exposure amount exceeds 1 % of the total risk exposure amount of the group or when its contribution to the total own funds exceeds 1</w:t>
      </w:r>
      <w:r>
        <w:t xml:space="preserve"> </w:t>
      </w:r>
      <w:r w:rsidRPr="002A677E">
        <w:t>% of the total own funds of the group. That threshold does not apply in the case of subsidiaries or subgroups that provide own funds (in the form of minority interests or qualifying AT1 or T2 instruments included in own funds) to the group.</w:t>
      </w:r>
    </w:p>
    <w:p w14:paraId="78C505AC"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lang w:val="en-GB"/>
        </w:rPr>
      </w:pPr>
      <w:bookmarkStart w:id="13" w:name="_Toc473560891"/>
      <w:bookmarkStart w:id="14" w:name="_Toc151714379"/>
      <w:r w:rsidRPr="002A677E">
        <w:rPr>
          <w:rFonts w:ascii="Times New Roman" w:hAnsi="Times New Roman" w:cs="Times New Roman"/>
          <w:sz w:val="24"/>
          <w:u w:val="none"/>
          <w:lang w:val="en-GB"/>
        </w:rPr>
        <w:t>2.4.</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06.01 – GROUP SOLVENCY: INFORMATION ON AFFILIATES – Total (GS Total)</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4A15857B" w14:textId="77777777" w:rsidTr="00822842">
        <w:tc>
          <w:tcPr>
            <w:tcW w:w="1188" w:type="dxa"/>
            <w:shd w:val="clear" w:color="auto" w:fill="CCCCCC"/>
          </w:tcPr>
          <w:p w14:paraId="3977A181" w14:textId="77777777" w:rsidR="00173F08" w:rsidRPr="001235ED"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Columns</w:t>
            </w:r>
          </w:p>
        </w:tc>
        <w:tc>
          <w:tcPr>
            <w:tcW w:w="8640" w:type="dxa"/>
            <w:shd w:val="clear" w:color="auto" w:fill="CCCCCC"/>
          </w:tcPr>
          <w:p w14:paraId="3D7B9BD1"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173F08" w:rsidRPr="002A677E" w14:paraId="0E9AB27C" w14:textId="77777777" w:rsidTr="00822842">
        <w:tc>
          <w:tcPr>
            <w:tcW w:w="1188" w:type="dxa"/>
          </w:tcPr>
          <w:p w14:paraId="36AE9062"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0250-0400</w:t>
            </w:r>
          </w:p>
        </w:tc>
        <w:tc>
          <w:tcPr>
            <w:tcW w:w="8640" w:type="dxa"/>
          </w:tcPr>
          <w:p w14:paraId="61E5CB21"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ENTITIES WITHIN SCOPE OF CONSOLIDATION</w:t>
            </w:r>
          </w:p>
          <w:p w14:paraId="47AE8E6C" w14:textId="77777777" w:rsidR="00173F08" w:rsidRPr="002A677E" w:rsidRDefault="00173F08" w:rsidP="00822842">
            <w:pPr>
              <w:rPr>
                <w:rStyle w:val="InstructionsTabelleberschrift"/>
                <w:rFonts w:ascii="Times New Roman" w:hAnsi="Times New Roman"/>
                <w:b w:val="0"/>
                <w:bCs w:val="0"/>
                <w:sz w:val="24"/>
              </w:rPr>
            </w:pPr>
            <w:r w:rsidRPr="002A677E">
              <w:rPr>
                <w:rStyle w:val="InstructionsTabelleText"/>
                <w:rFonts w:ascii="Times New Roman" w:hAnsi="Times New Roman"/>
                <w:sz w:val="24"/>
              </w:rPr>
              <w:t>See instructions for C 06.02</w:t>
            </w:r>
          </w:p>
        </w:tc>
      </w:tr>
      <w:tr w:rsidR="00173F08" w:rsidRPr="002A677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CAPITAL BUFFERS</w:t>
            </w:r>
          </w:p>
          <w:p w14:paraId="4257537D"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See instructions for C 06.02</w:t>
            </w:r>
          </w:p>
        </w:tc>
      </w:tr>
    </w:tbl>
    <w:p w14:paraId="20B2DE5D" w14:textId="77777777" w:rsidR="00173F08" w:rsidRPr="002A677E"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54185503" w14:textId="77777777" w:rsidTr="00822842">
        <w:tc>
          <w:tcPr>
            <w:tcW w:w="1188" w:type="dxa"/>
            <w:shd w:val="clear" w:color="auto" w:fill="CCCCCC"/>
          </w:tcPr>
          <w:p w14:paraId="0909691C" w14:textId="77777777" w:rsidR="00173F08" w:rsidRPr="001235ED"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Rows</w:t>
            </w:r>
          </w:p>
        </w:tc>
        <w:tc>
          <w:tcPr>
            <w:tcW w:w="8640" w:type="dxa"/>
            <w:shd w:val="clear" w:color="auto" w:fill="CCCCCC"/>
          </w:tcPr>
          <w:p w14:paraId="49120A0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173F08" w:rsidRPr="002A677E" w14:paraId="6283A16E" w14:textId="77777777" w:rsidTr="00822842">
        <w:tc>
          <w:tcPr>
            <w:tcW w:w="1188" w:type="dxa"/>
          </w:tcPr>
          <w:p w14:paraId="4482281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640" w:type="dxa"/>
          </w:tcPr>
          <w:p w14:paraId="50489F38"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0D110F46" w14:textId="77777777" w:rsidR="00173F08" w:rsidRPr="002A677E" w:rsidRDefault="00173F08" w:rsidP="00822842">
            <w:pPr>
              <w:rPr>
                <w:rStyle w:val="InstructionsTabelleberschrift"/>
                <w:rFonts w:ascii="Times New Roman" w:hAnsi="Times New Roman"/>
                <w:b w:val="0"/>
                <w:bCs w:val="0"/>
                <w:sz w:val="24"/>
              </w:rPr>
            </w:pPr>
            <w:r w:rsidRPr="002A677E">
              <w:rPr>
                <w:rStyle w:val="InstructionsTabelleText"/>
                <w:rFonts w:ascii="Times New Roman" w:hAnsi="Times New Roman"/>
                <w:sz w:val="24"/>
              </w:rPr>
              <w:t>The Total shall represent the sum of the values reported in all rows of template C 06.02.</w:t>
            </w:r>
          </w:p>
        </w:tc>
      </w:tr>
    </w:tbl>
    <w:p w14:paraId="6ED4F138" w14:textId="77777777" w:rsidR="00173F08" w:rsidRPr="002A677E" w:rsidRDefault="00173F08" w:rsidP="00173F08">
      <w:pPr>
        <w:pStyle w:val="InstructionsText"/>
      </w:pPr>
    </w:p>
    <w:p w14:paraId="7A36DFA3"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lang w:val="en-GB"/>
        </w:rPr>
      </w:pPr>
      <w:bookmarkStart w:id="15" w:name="_Toc473560892"/>
      <w:bookmarkStart w:id="16" w:name="_Toc151714380"/>
      <w:r w:rsidRPr="002A677E">
        <w:rPr>
          <w:rFonts w:ascii="Times New Roman" w:hAnsi="Times New Roman" w:cs="Times New Roman"/>
          <w:sz w:val="24"/>
          <w:u w:val="none"/>
          <w:lang w:val="en-GB"/>
        </w:rPr>
        <w:t>2.5.</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06.02 – GROUP SOLVENCY: INFORMATION ON AFFILIATES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381D52BF" w14:textId="77777777" w:rsidTr="00822842">
        <w:tc>
          <w:tcPr>
            <w:tcW w:w="1188" w:type="dxa"/>
            <w:shd w:val="clear" w:color="auto" w:fill="CCCCCC"/>
          </w:tcPr>
          <w:p w14:paraId="262E5871" w14:textId="77777777" w:rsidR="00173F08" w:rsidRPr="001235ED"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Columns</w:t>
            </w:r>
          </w:p>
        </w:tc>
        <w:tc>
          <w:tcPr>
            <w:tcW w:w="8640" w:type="dxa"/>
            <w:shd w:val="clear" w:color="auto" w:fill="CCCCCC"/>
          </w:tcPr>
          <w:p w14:paraId="5B03B400"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173F08" w:rsidRPr="002A677E" w14:paraId="3BC0042D" w14:textId="77777777" w:rsidTr="00822842">
        <w:tc>
          <w:tcPr>
            <w:tcW w:w="1188" w:type="dxa"/>
          </w:tcPr>
          <w:p w14:paraId="57FC2EB2"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001</w:t>
            </w:r>
            <w:r>
              <w:rPr>
                <w:rStyle w:val="InstructionsTabelleText"/>
                <w:rFonts w:ascii="Times New Roman" w:hAnsi="Times New Roman"/>
                <w:sz w:val="24"/>
              </w:rPr>
              <w:t>1</w:t>
            </w:r>
            <w:r w:rsidRPr="002A677E">
              <w:rPr>
                <w:rStyle w:val="InstructionsTabelleText"/>
                <w:rFonts w:ascii="Times New Roman" w:hAnsi="Times New Roman"/>
                <w:sz w:val="24"/>
              </w:rPr>
              <w:t>-0060</w:t>
            </w:r>
          </w:p>
        </w:tc>
        <w:tc>
          <w:tcPr>
            <w:tcW w:w="8640" w:type="dxa"/>
          </w:tcPr>
          <w:p w14:paraId="00983D2E"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ENTITIES WITHIN SCOPE OF CONSOLIDATION</w:t>
            </w:r>
          </w:p>
          <w:p w14:paraId="6B6FD15E" w14:textId="77777777" w:rsidR="00173F08" w:rsidRPr="002A677E" w:rsidRDefault="00173F08" w:rsidP="00822842">
            <w:pPr>
              <w:rPr>
                <w:rStyle w:val="InstructionsTabelleberschrift"/>
                <w:rFonts w:ascii="Times New Roman" w:hAnsi="Times New Roman"/>
                <w:b w:val="0"/>
                <w:bCs w:val="0"/>
                <w:sz w:val="24"/>
              </w:rPr>
            </w:pPr>
            <w:r w:rsidRPr="002A677E">
              <w:rPr>
                <w:rStyle w:val="InstructionsTabelleText"/>
                <w:rFonts w:ascii="Times New Roman" w:hAnsi="Times New Roman"/>
                <w:sz w:val="24"/>
              </w:rPr>
              <w:t xml:space="preserve">This template is designed to gather information on all entities on an entity-by-entity-basis within the scope of consolidation in accordance with </w:t>
            </w:r>
            <w:r w:rsidRPr="002A677E">
              <w:rPr>
                <w:rFonts w:ascii="Times New Roman" w:hAnsi="Times New Roman"/>
                <w:sz w:val="24"/>
              </w:rPr>
              <w:t xml:space="preserve">Part One, Title II, Chapter 2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r w:rsidR="00173F08" w:rsidRPr="002A677E" w14:paraId="7681C175" w14:textId="77777777" w:rsidTr="00822842">
        <w:tc>
          <w:tcPr>
            <w:tcW w:w="1188" w:type="dxa"/>
          </w:tcPr>
          <w:p w14:paraId="506D0F7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0011</w:t>
            </w:r>
          </w:p>
        </w:tc>
        <w:tc>
          <w:tcPr>
            <w:tcW w:w="8640" w:type="dxa"/>
          </w:tcPr>
          <w:p w14:paraId="02F7D96C"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NAME</w:t>
            </w:r>
          </w:p>
          <w:p w14:paraId="795CC1BF"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Name of the entity within the scope of consolidation.</w:t>
            </w:r>
          </w:p>
        </w:tc>
      </w:tr>
      <w:tr w:rsidR="00173F08" w:rsidRPr="002A677E" w14:paraId="2E707E2D" w14:textId="77777777" w:rsidTr="00822842">
        <w:tc>
          <w:tcPr>
            <w:tcW w:w="1188" w:type="dxa"/>
          </w:tcPr>
          <w:p w14:paraId="6AE7AD32"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0021</w:t>
            </w:r>
          </w:p>
        </w:tc>
        <w:tc>
          <w:tcPr>
            <w:tcW w:w="8640" w:type="dxa"/>
          </w:tcPr>
          <w:p w14:paraId="54EC5591"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099B8601" w14:textId="77777777" w:rsidR="00173F08" w:rsidRPr="002A677E" w:rsidRDefault="00173F08" w:rsidP="00822842">
            <w:pPr>
              <w:pStyle w:val="InstructionsText"/>
              <w:rPr>
                <w:rStyle w:val="InstructionsTabelleText"/>
                <w:lang w:eastAsia="en-US"/>
              </w:rPr>
            </w:pPr>
            <w:r w:rsidRPr="002A677E">
              <w:rPr>
                <w:rStyle w:val="InstructionsTabelleText"/>
              </w:rPr>
              <w:t>The code as part of a row identifier must be unique for each reported entity. For institutions and insurance undertakings the code shall be the LEI code. For other entities the code shall be the LEI code, or if not available, a national code. The code shall be unique and used consistently across the templates and across time. The code shall always have a value.</w:t>
            </w:r>
          </w:p>
        </w:tc>
      </w:tr>
      <w:tr w:rsidR="00173F08" w:rsidRPr="002A677E" w14:paraId="082E2FA1" w14:textId="77777777" w:rsidTr="00822842">
        <w:tc>
          <w:tcPr>
            <w:tcW w:w="1188" w:type="dxa"/>
          </w:tcPr>
          <w:p w14:paraId="2CA5457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0026</w:t>
            </w:r>
          </w:p>
        </w:tc>
        <w:tc>
          <w:tcPr>
            <w:tcW w:w="8640" w:type="dxa"/>
          </w:tcPr>
          <w:p w14:paraId="5B6693C9"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TYPE OF CODE</w:t>
            </w:r>
          </w:p>
          <w:p w14:paraId="094070A5"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 xml:space="preserve">The institutions shall identify the type of code reported in </w:t>
            </w:r>
            <w:r w:rsidRPr="002A677E">
              <w:rPr>
                <w:rStyle w:val="FormatvorlageInstructionsTabelleText"/>
                <w:rFonts w:ascii="Times New Roman" w:hAnsi="Times New Roman"/>
                <w:sz w:val="24"/>
                <w:lang w:eastAsia="de-DE"/>
              </w:rPr>
              <w:t>column 0021 as a ‘LEI code’ or ‘</w:t>
            </w:r>
            <w:proofErr w:type="gramStart"/>
            <w:r w:rsidRPr="002A677E">
              <w:rPr>
                <w:rStyle w:val="FormatvorlageInstructionsTabelleText"/>
                <w:rFonts w:ascii="Times New Roman" w:hAnsi="Times New Roman"/>
                <w:sz w:val="24"/>
                <w:lang w:eastAsia="de-DE"/>
              </w:rPr>
              <w:t>Non-LEI</w:t>
            </w:r>
            <w:proofErr w:type="gramEnd"/>
            <w:r w:rsidRPr="002A677E">
              <w:rPr>
                <w:rStyle w:val="FormatvorlageInstructionsTabelleText"/>
                <w:rFonts w:ascii="Times New Roman" w:hAnsi="Times New Roman"/>
                <w:sz w:val="24"/>
                <w:lang w:eastAsia="de-DE"/>
              </w:rPr>
              <w:t xml:space="preserve"> code’. The type of code shall always be reported.</w:t>
            </w:r>
          </w:p>
        </w:tc>
      </w:tr>
      <w:tr w:rsidR="00173F08" w:rsidRPr="002A677E" w14:paraId="115CCEB9" w14:textId="77777777" w:rsidTr="00822842">
        <w:tc>
          <w:tcPr>
            <w:tcW w:w="1188" w:type="dxa"/>
          </w:tcPr>
          <w:p w14:paraId="6EE5E41D" w14:textId="77777777" w:rsidR="00173F08" w:rsidRPr="002A677E" w:rsidDel="00BF0637"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0027</w:t>
            </w:r>
          </w:p>
        </w:tc>
        <w:tc>
          <w:tcPr>
            <w:tcW w:w="8640" w:type="dxa"/>
          </w:tcPr>
          <w:p w14:paraId="046D2852"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NATIONAL CODE</w:t>
            </w:r>
          </w:p>
          <w:p w14:paraId="6AB087F6" w14:textId="77777777" w:rsidR="00173F08" w:rsidRPr="002A677E" w:rsidDel="00BF0637" w:rsidRDefault="00173F08" w:rsidP="00822842">
            <w:pPr>
              <w:rPr>
                <w:rStyle w:val="InstructionsTabelleberschrift"/>
                <w:rFonts w:ascii="Times New Roman" w:hAnsi="Times New Roman"/>
                <w:sz w:val="24"/>
              </w:rPr>
            </w:pPr>
            <w:r w:rsidRPr="001235ED">
              <w:rPr>
                <w:rFonts w:ascii="Times New Roman" w:hAnsi="Times New Roman"/>
                <w:sz w:val="24"/>
              </w:rPr>
              <w:t>Institutions may additionally report the national code when they report LEI code as identifier in the ‘Code’ column.</w:t>
            </w:r>
          </w:p>
        </w:tc>
      </w:tr>
      <w:tr w:rsidR="00173F08" w:rsidRPr="002A677E" w14:paraId="6D220418" w14:textId="77777777" w:rsidTr="00822842">
        <w:tc>
          <w:tcPr>
            <w:tcW w:w="1188" w:type="dxa"/>
          </w:tcPr>
          <w:p w14:paraId="30734754"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0030</w:t>
            </w:r>
          </w:p>
        </w:tc>
        <w:tc>
          <w:tcPr>
            <w:tcW w:w="8640" w:type="dxa"/>
          </w:tcPr>
          <w:p w14:paraId="51843D3A"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INSTITUTION OR EQUIVALENT (YES / NO)</w:t>
            </w:r>
          </w:p>
          <w:p w14:paraId="592DC07F"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"YES" shall be reported where the entity is subject to own funds requirements pursuant to </w:t>
            </w:r>
            <w:r w:rsidRPr="001235ED">
              <w:rPr>
                <w:rFonts w:ascii="Times New Roman" w:hAnsi="Times New Roman"/>
                <w:sz w:val="24"/>
                <w:lang w:val="en-US"/>
              </w:rPr>
              <w:t>Regulation (EU) No 575/2013</w:t>
            </w:r>
            <w:r>
              <w:rPr>
                <w:rFonts w:ascii="Times New Roman" w:hAnsi="Times New Roman"/>
                <w:sz w:val="24"/>
                <w:lang w:val="en-US"/>
              </w:rPr>
              <w:t xml:space="preserve"> </w:t>
            </w:r>
            <w:r w:rsidRPr="002A677E">
              <w:rPr>
                <w:rStyle w:val="InstructionsTabelleText"/>
                <w:rFonts w:ascii="Times New Roman" w:hAnsi="Times New Roman"/>
                <w:sz w:val="24"/>
              </w:rPr>
              <w:t>and</w:t>
            </w:r>
            <w:r w:rsidRPr="002A677E">
              <w:rPr>
                <w:rFonts w:ascii="Times New Roman" w:hAnsi="Times New Roman"/>
                <w:sz w:val="24"/>
              </w:rPr>
              <w:t xml:space="preserve"> Directive 2013/36/EU</w:t>
            </w:r>
            <w:r w:rsidRPr="002A677E">
              <w:rPr>
                <w:rStyle w:val="InstructionsTabelleText"/>
                <w:rFonts w:ascii="Times New Roman" w:hAnsi="Times New Roman"/>
                <w:sz w:val="24"/>
              </w:rPr>
              <w:t xml:space="preserve"> or provisions at least equivalent to Basel provisions.</w:t>
            </w:r>
          </w:p>
          <w:p w14:paraId="4B3EAD97"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”NO” shall be reported otherwise.</w:t>
            </w:r>
          </w:p>
          <w:p w14:paraId="3E965172" w14:textId="77777777" w:rsidR="00173F08" w:rsidRPr="002A677E" w:rsidRDefault="00173F08" w:rsidP="00822842">
            <w:pPr>
              <w:rPr>
                <w:rStyle w:val="InstructionsTabelleText"/>
                <w:rFonts w:ascii="Times New Roman" w:hAnsi="Times New Roman"/>
                <w:sz w:val="24"/>
              </w:rPr>
            </w:pPr>
          </w:p>
          <w:p w14:paraId="27BF6938" w14:textId="77777777" w:rsidR="00173F08" w:rsidRPr="002A677E" w:rsidRDefault="00173F08" w:rsidP="00822842">
            <w:pPr>
              <w:ind w:left="372" w:hanging="360"/>
              <w:contextualSpacing/>
              <w:rPr>
                <w:rStyle w:val="InstructionsTabelleText"/>
                <w:rFonts w:ascii="Times New Roman" w:hAnsi="Times New Roman"/>
                <w:sz w:val="24"/>
              </w:rPr>
            </w:pPr>
            <w:r w:rsidRPr="002A677E">
              <w:rPr>
                <w:rStyle w:val="InstructionsTabelleText"/>
                <w:rFonts w:ascii="Wingdings" w:hAnsi="Wingdings"/>
                <w:sz w:val="24"/>
              </w:rPr>
              <w:t></w:t>
            </w:r>
            <w:r w:rsidRPr="002A677E">
              <w:rPr>
                <w:rStyle w:val="InstructionsTabelleText"/>
                <w:rFonts w:ascii="Wingdings" w:hAnsi="Wingdings"/>
                <w:sz w:val="24"/>
              </w:rPr>
              <w:tab/>
            </w:r>
            <w:r w:rsidRPr="002A677E">
              <w:rPr>
                <w:rStyle w:val="InstructionsTabelleText"/>
                <w:rFonts w:ascii="Times New Roman" w:hAnsi="Times New Roman"/>
                <w:sz w:val="24"/>
              </w:rPr>
              <w:t>Minority interests:</w:t>
            </w:r>
          </w:p>
          <w:p w14:paraId="753444E9"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lastRenderedPageBreak/>
              <w:t xml:space="preserve"> Article 81(1)</w:t>
            </w:r>
            <w:r>
              <w:rPr>
                <w:rFonts w:ascii="Times New Roman" w:hAnsi="Times New Roman"/>
                <w:sz w:val="24"/>
              </w:rPr>
              <w:t>, p</w:t>
            </w:r>
            <w:r w:rsidRPr="002A677E">
              <w:rPr>
                <w:rFonts w:ascii="Times New Roman" w:hAnsi="Times New Roman"/>
                <w:sz w:val="24"/>
              </w:rPr>
              <w:t>oint (a)(ii) and Article 82(1)</w:t>
            </w:r>
            <w:r>
              <w:rPr>
                <w:rFonts w:ascii="Times New Roman" w:hAnsi="Times New Roman"/>
                <w:sz w:val="24"/>
              </w:rPr>
              <w:t>, p</w:t>
            </w:r>
            <w:r w:rsidRPr="002A677E">
              <w:rPr>
                <w:rFonts w:ascii="Times New Roman" w:hAnsi="Times New Roman"/>
                <w:sz w:val="24"/>
              </w:rPr>
              <w:t xml:space="preserve">oint (a)(ii) </w:t>
            </w:r>
            <w:r w:rsidRPr="001235ED">
              <w:rPr>
                <w:rFonts w:ascii="Times New Roman" w:hAnsi="Times New Roman"/>
                <w:sz w:val="24"/>
                <w:lang w:val="en-US"/>
              </w:rPr>
              <w:t>of Regulation (EU) No 575/2013</w:t>
            </w:r>
          </w:p>
          <w:p w14:paraId="714487FE"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t xml:space="preserve">To the effects of minority interests and AT1 and T2 instruments issued by subsidiaries, the subsidiaries whose instruments can be eligible shall be institutions or undertakings subject to the requirements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Fonts w:ascii="Times New Roman" w:hAnsi="Times New Roman"/>
                <w:sz w:val="24"/>
              </w:rPr>
              <w:t>by virtue of applicable national law.</w:t>
            </w:r>
          </w:p>
        </w:tc>
      </w:tr>
      <w:tr w:rsidR="00173F08" w:rsidRPr="002A677E" w14:paraId="7BBFE780" w14:textId="77777777" w:rsidTr="00822842">
        <w:tc>
          <w:tcPr>
            <w:tcW w:w="1188" w:type="dxa"/>
          </w:tcPr>
          <w:p w14:paraId="4D04116B"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0035</w:t>
            </w:r>
          </w:p>
        </w:tc>
        <w:tc>
          <w:tcPr>
            <w:tcW w:w="8640" w:type="dxa"/>
          </w:tcPr>
          <w:p w14:paraId="301D03B9"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TYPE OF ENTITY</w:t>
            </w:r>
          </w:p>
          <w:p w14:paraId="64249F7B" w14:textId="77777777" w:rsidR="00173F08" w:rsidRPr="002A677E" w:rsidRDefault="00173F08" w:rsidP="00822842">
            <w:pPr>
              <w:rPr>
                <w:rStyle w:val="InstructionsTabelleText"/>
                <w:rFonts w:ascii="Times New Roman" w:hAnsi="Times New Roman"/>
                <w:bCs/>
                <w:sz w:val="24"/>
              </w:rPr>
            </w:pPr>
            <w:r w:rsidRPr="002A677E">
              <w:rPr>
                <w:rStyle w:val="InstructionsTabelleText"/>
                <w:rFonts w:ascii="Times New Roman" w:hAnsi="Times New Roman"/>
                <w:bCs/>
                <w:sz w:val="24"/>
              </w:rPr>
              <w:t>The type of entity shall be reported based on the following categories:</w:t>
            </w:r>
          </w:p>
          <w:p w14:paraId="6C071244" w14:textId="77777777" w:rsidR="00173F08" w:rsidRPr="002A677E" w:rsidRDefault="00173F08" w:rsidP="00822842">
            <w:pPr>
              <w:tabs>
                <w:tab w:val="left" w:pos="372"/>
              </w:tabs>
              <w:rPr>
                <w:rStyle w:val="InstructionsTabelleText"/>
                <w:rFonts w:ascii="Times New Roman" w:hAnsi="Times New Roman"/>
                <w:sz w:val="24"/>
              </w:rPr>
            </w:pPr>
            <w:r w:rsidRPr="002A677E">
              <w:rPr>
                <w:rStyle w:val="InstructionsTabelleText"/>
                <w:rFonts w:ascii="Times New Roman" w:hAnsi="Times New Roman"/>
                <w:sz w:val="24"/>
              </w:rPr>
              <w:t>(a)</w:t>
            </w:r>
            <w:r w:rsidRPr="002A677E">
              <w:rPr>
                <w:rStyle w:val="InstructionsTabelleText"/>
                <w:rFonts w:ascii="Times New Roman" w:hAnsi="Times New Roman"/>
                <w:sz w:val="24"/>
              </w:rPr>
              <w:tab/>
              <w:t>credit institution</w:t>
            </w:r>
          </w:p>
          <w:p w14:paraId="665499B6" w14:textId="77777777" w:rsidR="00173F08" w:rsidRPr="002A677E" w:rsidRDefault="00173F08" w:rsidP="00822842">
            <w:pPr>
              <w:tabs>
                <w:tab w:val="left" w:pos="372"/>
              </w:tabs>
              <w:rPr>
                <w:rStyle w:val="InstructionsTabelleText"/>
                <w:rFonts w:ascii="Times New Roman" w:hAnsi="Times New Roman"/>
                <w:sz w:val="24"/>
              </w:rPr>
            </w:pPr>
            <w:r w:rsidRPr="002A677E">
              <w:rPr>
                <w:rStyle w:val="InstructionsTabelleText"/>
                <w:rFonts w:ascii="Times New Roman" w:hAnsi="Times New Roman"/>
                <w:sz w:val="24"/>
              </w:rPr>
              <w:tab/>
              <w:t>Article 4(1)</w:t>
            </w:r>
            <w:r>
              <w:rPr>
                <w:rStyle w:val="InstructionsTabelleText"/>
                <w:rFonts w:ascii="Times New Roman" w:hAnsi="Times New Roman"/>
                <w:sz w:val="24"/>
              </w:rPr>
              <w:t>, p</w:t>
            </w:r>
            <w:r w:rsidRPr="002A677E">
              <w:rPr>
                <w:rStyle w:val="InstructionsTabelleText"/>
                <w:rFonts w:ascii="Times New Roman" w:hAnsi="Times New Roman"/>
                <w:sz w:val="24"/>
              </w:rPr>
              <w:t>oint (1)</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sz w:val="24"/>
                <w:lang w:val="en-US"/>
              </w:rPr>
              <w:t xml:space="preserve">of Regulation (EU) No </w:t>
            </w:r>
            <w:proofErr w:type="gramStart"/>
            <w:r w:rsidRPr="001235ED">
              <w:rPr>
                <w:rFonts w:ascii="Times New Roman" w:hAnsi="Times New Roman"/>
                <w:sz w:val="24"/>
                <w:lang w:val="en-US"/>
              </w:rPr>
              <w:t>575/2013</w:t>
            </w:r>
            <w:r w:rsidRPr="002A677E">
              <w:rPr>
                <w:rStyle w:val="InstructionsTabelleText"/>
                <w:rFonts w:ascii="Times New Roman" w:hAnsi="Times New Roman"/>
                <w:sz w:val="24"/>
              </w:rPr>
              <w:t>;</w:t>
            </w:r>
            <w:proofErr w:type="gramEnd"/>
          </w:p>
          <w:p w14:paraId="5699C13E"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(b)</w:t>
            </w:r>
            <w:r w:rsidRPr="002A677E">
              <w:rPr>
                <w:rStyle w:val="InstructionsTabelleText"/>
                <w:rFonts w:ascii="Times New Roman" w:hAnsi="Times New Roman"/>
                <w:bCs/>
                <w:sz w:val="24"/>
              </w:rPr>
              <w:tab/>
            </w:r>
            <w:r w:rsidRPr="002A677E">
              <w:rPr>
                <w:rStyle w:val="InstructionsTabelleText"/>
                <w:rFonts w:ascii="Times New Roman" w:hAnsi="Times New Roman"/>
                <w:sz w:val="24"/>
              </w:rPr>
              <w:t>investment firm</w:t>
            </w:r>
          </w:p>
          <w:p w14:paraId="63975777"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Pr>
                <w:rStyle w:val="InstructionsTabelleText"/>
                <w:rFonts w:ascii="Times New Roman" w:hAnsi="Times New Roman"/>
                <w:bCs/>
                <w:sz w:val="24"/>
              </w:rPr>
              <w:t>, p</w:t>
            </w:r>
            <w:r w:rsidRPr="002A677E">
              <w:rPr>
                <w:rStyle w:val="InstructionsTabelleText"/>
                <w:rFonts w:ascii="Times New Roman" w:hAnsi="Times New Roman"/>
                <w:bCs/>
                <w:sz w:val="24"/>
              </w:rPr>
              <w:t>oint (2)</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rFonts w:ascii="Times New Roman" w:hAnsi="Times New Roman"/>
                <w:sz w:val="24"/>
                <w:lang w:val="en-US"/>
              </w:rPr>
              <w:t xml:space="preserve">of Regulation (EU) No </w:t>
            </w:r>
            <w:proofErr w:type="gramStart"/>
            <w:r w:rsidRPr="001235ED">
              <w:rPr>
                <w:rFonts w:ascii="Times New Roman" w:hAnsi="Times New Roman"/>
                <w:sz w:val="24"/>
                <w:lang w:val="en-US"/>
              </w:rPr>
              <w:t>575/2013</w:t>
            </w:r>
            <w:r w:rsidRPr="002A677E">
              <w:rPr>
                <w:rStyle w:val="InstructionsTabelleText"/>
                <w:rFonts w:ascii="Times New Roman" w:hAnsi="Times New Roman"/>
                <w:bCs/>
                <w:sz w:val="24"/>
              </w:rPr>
              <w:t>;</w:t>
            </w:r>
            <w:proofErr w:type="gramEnd"/>
          </w:p>
          <w:p w14:paraId="4003584E"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(c)</w:t>
            </w:r>
            <w:r w:rsidRPr="002A677E">
              <w:rPr>
                <w:rStyle w:val="InstructionsTabelleText"/>
                <w:rFonts w:ascii="Times New Roman" w:hAnsi="Times New Roman"/>
                <w:bCs/>
                <w:sz w:val="24"/>
              </w:rPr>
              <w:tab/>
            </w:r>
            <w:r w:rsidRPr="002A677E">
              <w:rPr>
                <w:rStyle w:val="InstructionsTabelleText"/>
                <w:rFonts w:ascii="Times New Roman" w:hAnsi="Times New Roman"/>
                <w:sz w:val="24"/>
              </w:rPr>
              <w:t>financial institution (other)</w:t>
            </w:r>
          </w:p>
          <w:p w14:paraId="5B5F8DA3"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 points (20), (21) and (26)</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rFonts w:ascii="Times New Roman" w:hAnsi="Times New Roman"/>
                <w:sz w:val="24"/>
                <w:lang w:val="en-US"/>
              </w:rPr>
              <w:t>of Regulation (EU) No 575/2013</w:t>
            </w:r>
          </w:p>
          <w:p w14:paraId="7BC9963B" w14:textId="76B95B64" w:rsidR="00173F08" w:rsidRPr="002A677E" w:rsidRDefault="00173F08" w:rsidP="00822842">
            <w:pPr>
              <w:tabs>
                <w:tab w:val="left" w:pos="372"/>
              </w:tabs>
              <w:ind w:left="399" w:hanging="399"/>
              <w:rPr>
                <w:rStyle w:val="InstructionsTabelleText"/>
                <w:rFonts w:ascii="Times New Roman" w:hAnsi="Times New Roman"/>
                <w:bCs/>
                <w:sz w:val="24"/>
              </w:rPr>
            </w:pPr>
            <w:r w:rsidRPr="002A677E">
              <w:rPr>
                <w:rStyle w:val="InstructionsTabelleText"/>
                <w:rFonts w:ascii="Times New Roman" w:hAnsi="Times New Roman"/>
                <w:bCs/>
                <w:sz w:val="24"/>
              </w:rPr>
              <w:tab/>
              <w:t>Financial institutions within the meaning of Article 4(1)</w:t>
            </w:r>
            <w:r>
              <w:rPr>
                <w:rStyle w:val="InstructionsTabelleText"/>
                <w:rFonts w:ascii="Times New Roman" w:hAnsi="Times New Roman"/>
                <w:bCs/>
                <w:sz w:val="24"/>
              </w:rPr>
              <w:t>, p</w:t>
            </w:r>
            <w:r w:rsidRPr="002A677E">
              <w:rPr>
                <w:rStyle w:val="InstructionsTabelleText"/>
                <w:rFonts w:ascii="Times New Roman" w:hAnsi="Times New Roman"/>
                <w:bCs/>
                <w:sz w:val="24"/>
              </w:rPr>
              <w:t>oint (26)</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Text"/>
                <w:rFonts w:ascii="Times New Roman" w:hAnsi="Times New Roman"/>
                <w:bCs/>
                <w:sz w:val="24"/>
              </w:rPr>
              <w:t>which are not included in any of the categories (d)</w:t>
            </w:r>
            <w:r>
              <w:rPr>
                <w:rStyle w:val="InstructionsTabelleText"/>
                <w:rFonts w:ascii="Times New Roman" w:hAnsi="Times New Roman"/>
                <w:bCs/>
                <w:sz w:val="24"/>
              </w:rPr>
              <w:t>, (e)</w:t>
            </w:r>
            <w:r w:rsidRPr="002A677E">
              <w:rPr>
                <w:rStyle w:val="InstructionsTabelleText"/>
                <w:rFonts w:ascii="Times New Roman" w:hAnsi="Times New Roman"/>
                <w:bCs/>
                <w:sz w:val="24"/>
              </w:rPr>
              <w:t xml:space="preserve"> or (g</w:t>
            </w:r>
            <w:proofErr w:type="gramStart"/>
            <w:r w:rsidRPr="002A677E">
              <w:rPr>
                <w:rStyle w:val="InstructionsTabelleText"/>
                <w:rFonts w:ascii="Times New Roman" w:hAnsi="Times New Roman"/>
                <w:bCs/>
                <w:sz w:val="24"/>
              </w:rPr>
              <w:t>);</w:t>
            </w:r>
            <w:proofErr w:type="gramEnd"/>
          </w:p>
          <w:p w14:paraId="7F954479"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(d)</w:t>
            </w:r>
            <w:r w:rsidRPr="002A677E">
              <w:rPr>
                <w:rStyle w:val="InstructionsTabelleText"/>
                <w:rFonts w:ascii="Times New Roman" w:hAnsi="Times New Roman"/>
                <w:bCs/>
                <w:sz w:val="24"/>
              </w:rPr>
              <w:tab/>
            </w:r>
            <w:r w:rsidRPr="002A677E">
              <w:rPr>
                <w:rStyle w:val="InstructionsTabelleText"/>
                <w:rFonts w:ascii="Times New Roman" w:hAnsi="Times New Roman"/>
                <w:sz w:val="24"/>
              </w:rPr>
              <w:t>(mixed) financial holding company</w:t>
            </w:r>
          </w:p>
          <w:p w14:paraId="1C70DDA8"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Pr>
                <w:rStyle w:val="InstructionsTabelleText"/>
                <w:rFonts w:ascii="Times New Roman" w:hAnsi="Times New Roman"/>
                <w:bCs/>
                <w:sz w:val="24"/>
              </w:rPr>
              <w:t>, p</w:t>
            </w:r>
            <w:r w:rsidRPr="002A677E">
              <w:rPr>
                <w:rStyle w:val="InstructionsTabelleText"/>
                <w:rFonts w:ascii="Times New Roman" w:hAnsi="Times New Roman"/>
                <w:bCs/>
                <w:sz w:val="24"/>
              </w:rPr>
              <w:t>oints (20) and (21)</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rFonts w:ascii="Times New Roman" w:hAnsi="Times New Roman"/>
                <w:sz w:val="24"/>
                <w:lang w:val="en-US"/>
              </w:rPr>
              <w:t xml:space="preserve">of Regulation (EU) No </w:t>
            </w:r>
            <w:proofErr w:type="gramStart"/>
            <w:r w:rsidRPr="001235ED">
              <w:rPr>
                <w:rFonts w:ascii="Times New Roman" w:hAnsi="Times New Roman"/>
                <w:sz w:val="24"/>
                <w:lang w:val="en-US"/>
              </w:rPr>
              <w:t>575/2013</w:t>
            </w:r>
            <w:r w:rsidRPr="002A677E">
              <w:rPr>
                <w:rStyle w:val="InstructionsTabelleText"/>
                <w:rFonts w:ascii="Times New Roman" w:hAnsi="Times New Roman"/>
                <w:bCs/>
                <w:sz w:val="24"/>
              </w:rPr>
              <w:t>;</w:t>
            </w:r>
            <w:proofErr w:type="gramEnd"/>
          </w:p>
          <w:p w14:paraId="30F427B6"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(e)</w:t>
            </w:r>
            <w:r w:rsidRPr="002A677E">
              <w:rPr>
                <w:rStyle w:val="InstructionsTabelleText"/>
                <w:rFonts w:ascii="Times New Roman" w:hAnsi="Times New Roman"/>
                <w:bCs/>
                <w:sz w:val="24"/>
              </w:rPr>
              <w:tab/>
            </w:r>
            <w:r w:rsidRPr="002A677E">
              <w:rPr>
                <w:rStyle w:val="InstructionsTabelleText"/>
                <w:rFonts w:ascii="Times New Roman" w:hAnsi="Times New Roman"/>
                <w:sz w:val="24"/>
              </w:rPr>
              <w:t>ancillary services undertaking</w:t>
            </w:r>
          </w:p>
          <w:p w14:paraId="21A43501"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Pr>
                <w:rStyle w:val="InstructionsTabelleText"/>
                <w:rFonts w:ascii="Times New Roman" w:hAnsi="Times New Roman"/>
                <w:bCs/>
                <w:sz w:val="24"/>
              </w:rPr>
              <w:t>, p</w:t>
            </w:r>
            <w:r w:rsidRPr="002A677E">
              <w:rPr>
                <w:rStyle w:val="InstructionsTabelleText"/>
                <w:rFonts w:ascii="Times New Roman" w:hAnsi="Times New Roman"/>
                <w:bCs/>
                <w:sz w:val="24"/>
              </w:rPr>
              <w:t>oint (18)</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rFonts w:ascii="Times New Roman" w:hAnsi="Times New Roman"/>
                <w:sz w:val="24"/>
                <w:lang w:val="en-US"/>
              </w:rPr>
              <w:t xml:space="preserve">of Regulation (EU) No </w:t>
            </w:r>
            <w:proofErr w:type="gramStart"/>
            <w:r w:rsidRPr="001235ED">
              <w:rPr>
                <w:rFonts w:ascii="Times New Roman" w:hAnsi="Times New Roman"/>
                <w:sz w:val="24"/>
                <w:lang w:val="en-US"/>
              </w:rPr>
              <w:t>575/2013</w:t>
            </w:r>
            <w:r w:rsidRPr="002A677E">
              <w:rPr>
                <w:rStyle w:val="InstructionsTabelleText"/>
                <w:rFonts w:ascii="Times New Roman" w:hAnsi="Times New Roman"/>
                <w:bCs/>
                <w:sz w:val="24"/>
              </w:rPr>
              <w:t>;</w:t>
            </w:r>
            <w:proofErr w:type="gramEnd"/>
          </w:p>
          <w:p w14:paraId="33923092"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(f)</w:t>
            </w:r>
            <w:r w:rsidRPr="002A677E">
              <w:rPr>
                <w:rStyle w:val="InstructionsTabelleText"/>
                <w:rFonts w:ascii="Times New Roman" w:hAnsi="Times New Roman"/>
                <w:bCs/>
                <w:sz w:val="24"/>
              </w:rPr>
              <w:tab/>
              <w:t>securitisation special purpose entity (SSPE)</w:t>
            </w:r>
            <w:r w:rsidRPr="002A677E">
              <w:rPr>
                <w:rStyle w:val="InstructionsTabelleText"/>
                <w:rFonts w:ascii="Times New Roman" w:hAnsi="Times New Roman"/>
                <w:sz w:val="24"/>
              </w:rPr>
              <w:t>,</w:t>
            </w:r>
          </w:p>
          <w:p w14:paraId="0A5E1647"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t>Article 4(1)</w:t>
            </w:r>
            <w:r>
              <w:rPr>
                <w:rStyle w:val="InstructionsTabelleText"/>
                <w:rFonts w:ascii="Times New Roman" w:hAnsi="Times New Roman"/>
                <w:bCs/>
                <w:sz w:val="24"/>
              </w:rPr>
              <w:t>, p</w:t>
            </w:r>
            <w:r w:rsidRPr="002A677E">
              <w:rPr>
                <w:rStyle w:val="InstructionsTabelleText"/>
                <w:rFonts w:ascii="Times New Roman" w:hAnsi="Times New Roman"/>
                <w:bCs/>
                <w:sz w:val="24"/>
              </w:rPr>
              <w:t>oint (66)</w:t>
            </w:r>
            <w:r>
              <w:rPr>
                <w:rStyle w:val="InstructionsTabelleText"/>
                <w:rFonts w:ascii="Times New Roman" w:hAnsi="Times New Roman"/>
                <w:bCs/>
                <w:sz w:val="24"/>
              </w:rPr>
              <w:t>,</w:t>
            </w:r>
            <w:r w:rsidRPr="002A677E">
              <w:rPr>
                <w:rStyle w:val="InstructionsTabelleText"/>
                <w:rFonts w:ascii="Times New Roman" w:hAnsi="Times New Roman"/>
                <w:bCs/>
                <w:sz w:val="24"/>
              </w:rPr>
              <w:t xml:space="preserve"> </w:t>
            </w:r>
            <w:r w:rsidRPr="001235ED">
              <w:rPr>
                <w:rFonts w:ascii="Times New Roman" w:hAnsi="Times New Roman"/>
                <w:sz w:val="24"/>
                <w:lang w:val="en-US"/>
              </w:rPr>
              <w:t xml:space="preserve">of Regulation (EU) No </w:t>
            </w:r>
            <w:proofErr w:type="gramStart"/>
            <w:r w:rsidRPr="001235ED">
              <w:rPr>
                <w:rFonts w:ascii="Times New Roman" w:hAnsi="Times New Roman"/>
                <w:sz w:val="24"/>
                <w:lang w:val="en-US"/>
              </w:rPr>
              <w:t>575/2013</w:t>
            </w:r>
            <w:r w:rsidRPr="002A677E">
              <w:rPr>
                <w:rStyle w:val="InstructionsTabelleText"/>
                <w:rFonts w:ascii="Times New Roman" w:hAnsi="Times New Roman"/>
                <w:bCs/>
                <w:sz w:val="24"/>
              </w:rPr>
              <w:t>;</w:t>
            </w:r>
            <w:proofErr w:type="gramEnd"/>
          </w:p>
          <w:p w14:paraId="56894EF9" w14:textId="77777777" w:rsidR="00173F08" w:rsidRPr="002A677E" w:rsidRDefault="00173F08" w:rsidP="00822842">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(g)</w:t>
            </w:r>
            <w:r w:rsidRPr="002A677E">
              <w:rPr>
                <w:rStyle w:val="InstructionsTabelleText"/>
                <w:rFonts w:ascii="Times New Roman" w:hAnsi="Times New Roman"/>
                <w:bCs/>
                <w:sz w:val="24"/>
              </w:rPr>
              <w:tab/>
            </w:r>
            <w:r w:rsidRPr="002A677E">
              <w:rPr>
                <w:rStyle w:val="InstructionsTabelleText"/>
                <w:rFonts w:ascii="Times New Roman" w:hAnsi="Times New Roman"/>
                <w:sz w:val="24"/>
              </w:rPr>
              <w:t>covered bond company</w:t>
            </w:r>
          </w:p>
          <w:p w14:paraId="6CA79499" w14:textId="77777777" w:rsidR="00173F08" w:rsidRPr="002A677E" w:rsidRDefault="00173F08" w:rsidP="00822842">
            <w:pPr>
              <w:tabs>
                <w:tab w:val="left" w:pos="372"/>
              </w:tabs>
              <w:ind w:left="372"/>
              <w:rPr>
                <w:rStyle w:val="InstructionsTabelleText"/>
                <w:rFonts w:ascii="Times New Roman" w:hAnsi="Times New Roman"/>
                <w:bCs/>
                <w:sz w:val="24"/>
              </w:rPr>
            </w:pPr>
            <w:r w:rsidRPr="002A677E">
              <w:rPr>
                <w:rStyle w:val="InstructionsTabelleText"/>
                <w:rFonts w:ascii="Times New Roman" w:hAnsi="Times New Roman"/>
                <w:bCs/>
                <w:sz w:val="24"/>
              </w:rPr>
              <w:t xml:space="preserve">Entity set up to issue covered bonds or to hold the collateral securing a covered bond, if not included in any of the categories (a), (b) or (d) to (f) </w:t>
            </w:r>
            <w:proofErr w:type="gramStart"/>
            <w:r w:rsidRPr="002A677E">
              <w:rPr>
                <w:rStyle w:val="InstructionsTabelleText"/>
                <w:rFonts w:ascii="Times New Roman" w:hAnsi="Times New Roman"/>
                <w:bCs/>
                <w:sz w:val="24"/>
              </w:rPr>
              <w:t>above;</w:t>
            </w:r>
            <w:proofErr w:type="gramEnd"/>
          </w:p>
          <w:p w14:paraId="73FCB23B" w14:textId="77777777" w:rsidR="00173F08" w:rsidRPr="002A677E" w:rsidRDefault="00173F08" w:rsidP="00822842">
            <w:pPr>
              <w:tabs>
                <w:tab w:val="left" w:pos="372"/>
              </w:tabs>
              <w:rPr>
                <w:rStyle w:val="InstructionsTabelleText"/>
                <w:rFonts w:ascii="Times New Roman" w:hAnsi="Times New Roman"/>
                <w:sz w:val="24"/>
              </w:rPr>
            </w:pPr>
            <w:r w:rsidRPr="002A677E">
              <w:rPr>
                <w:rStyle w:val="InstructionsTabelleText"/>
                <w:rFonts w:ascii="Times New Roman" w:hAnsi="Times New Roman"/>
                <w:bCs/>
                <w:sz w:val="24"/>
              </w:rPr>
              <w:t>(h)</w:t>
            </w:r>
            <w:r w:rsidRPr="002A677E">
              <w:rPr>
                <w:rStyle w:val="InstructionsTabelleText"/>
                <w:rFonts w:ascii="Times New Roman" w:hAnsi="Times New Roman"/>
                <w:bCs/>
                <w:sz w:val="24"/>
              </w:rPr>
              <w:tab/>
            </w:r>
            <w:r w:rsidRPr="002A677E">
              <w:rPr>
                <w:rStyle w:val="InstructionsTabelleText"/>
                <w:rFonts w:ascii="Times New Roman" w:hAnsi="Times New Roman"/>
                <w:sz w:val="24"/>
              </w:rPr>
              <w:t>other type of entity</w:t>
            </w:r>
          </w:p>
          <w:p w14:paraId="404E7CFE" w14:textId="77777777" w:rsidR="00173F08" w:rsidRPr="002A677E" w:rsidRDefault="00173F08" w:rsidP="00822842">
            <w:pPr>
              <w:tabs>
                <w:tab w:val="left" w:pos="372"/>
              </w:tabs>
              <w:ind w:left="372"/>
              <w:rPr>
                <w:rStyle w:val="InstructionsTabelleberschrift"/>
                <w:rFonts w:ascii="Times New Roman" w:hAnsi="Times New Roman"/>
                <w:b w:val="0"/>
                <w:sz w:val="24"/>
              </w:rPr>
            </w:pPr>
            <w:r w:rsidRPr="002A677E">
              <w:rPr>
                <w:rStyle w:val="InstructionsTabelleberschrift"/>
                <w:rFonts w:ascii="Times New Roman" w:hAnsi="Times New Roman"/>
                <w:sz w:val="24"/>
              </w:rPr>
              <w:t>Entity other than those referred to in points (a) to (g).</w:t>
            </w:r>
          </w:p>
          <w:p w14:paraId="1E1DE3FB" w14:textId="77777777" w:rsidR="00173F08" w:rsidRPr="002A677E" w:rsidRDefault="00173F08" w:rsidP="00822842">
            <w:pPr>
              <w:tabs>
                <w:tab w:val="left" w:pos="372"/>
              </w:tabs>
              <w:rPr>
                <w:rStyle w:val="InstructionsTabelleberschrift"/>
                <w:rFonts w:ascii="Times New Roman" w:hAnsi="Times New Roman"/>
                <w:b w:val="0"/>
                <w:sz w:val="24"/>
              </w:rPr>
            </w:pPr>
            <w:r w:rsidRPr="002A677E">
              <w:rPr>
                <w:rStyle w:val="InstructionsTabelleberschrift"/>
                <w:rFonts w:ascii="Times New Roman" w:hAnsi="Times New Roman"/>
                <w:sz w:val="24"/>
              </w:rPr>
              <w:t xml:space="preserve">Where an entity is not subject to </w:t>
            </w:r>
            <w:r w:rsidRPr="001235ED">
              <w:rPr>
                <w:rFonts w:ascii="Times New Roman" w:hAnsi="Times New Roman"/>
                <w:sz w:val="24"/>
                <w:lang w:val="en-US"/>
              </w:rPr>
              <w:t xml:space="preserve">Regulation (EU) No 575/2013 </w:t>
            </w:r>
            <w:r w:rsidRPr="002A677E">
              <w:rPr>
                <w:rStyle w:val="InstructionsTabelleberschrift"/>
                <w:rFonts w:ascii="Times New Roman" w:hAnsi="Times New Roman"/>
                <w:sz w:val="24"/>
              </w:rPr>
              <w:t xml:space="preserve">and </w:t>
            </w:r>
            <w:r w:rsidRPr="002A677E">
              <w:rPr>
                <w:rFonts w:ascii="Times New Roman" w:hAnsi="Times New Roman"/>
                <w:sz w:val="24"/>
              </w:rPr>
              <w:t>Directive 2013/36/EU</w:t>
            </w:r>
            <w:r w:rsidRPr="002A677E">
              <w:rPr>
                <w:rStyle w:val="InstructionsTabelleberschrift"/>
                <w:rFonts w:ascii="Times New Roman" w:hAnsi="Times New Roman"/>
                <w:sz w:val="24"/>
              </w:rPr>
              <w:t>, but subject to provisions at least equivalent to Basel provisions, the relevant category shall be determined on a best effort basis.</w:t>
            </w:r>
          </w:p>
        </w:tc>
      </w:tr>
      <w:tr w:rsidR="00173F08" w:rsidRPr="002A677E" w14:paraId="177D0BA5" w14:textId="77777777" w:rsidTr="00822842">
        <w:tc>
          <w:tcPr>
            <w:tcW w:w="1188" w:type="dxa"/>
          </w:tcPr>
          <w:p w14:paraId="0C21191B"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0040</w:t>
            </w:r>
          </w:p>
        </w:tc>
        <w:tc>
          <w:tcPr>
            <w:tcW w:w="8640" w:type="dxa"/>
          </w:tcPr>
          <w:p w14:paraId="6CCCE12B" w14:textId="77777777" w:rsidR="00173F08" w:rsidRPr="002A677E" w:rsidRDefault="00173F08" w:rsidP="00822842">
            <w:pPr>
              <w:rPr>
                <w:rFonts w:ascii="Times New Roman" w:hAnsi="Times New Roman"/>
                <w:b/>
                <w:sz w:val="24"/>
                <w:u w:val="single"/>
              </w:rPr>
            </w:pPr>
            <w:r w:rsidRPr="002A677E">
              <w:rPr>
                <w:rFonts w:ascii="Times New Roman" w:hAnsi="Times New Roman"/>
                <w:b/>
                <w:sz w:val="24"/>
                <w:u w:val="single"/>
              </w:rPr>
              <w:t xml:space="preserve">SCOPE OF DATA: </w:t>
            </w:r>
            <w:r w:rsidRPr="002A677E">
              <w:rPr>
                <w:rFonts w:ascii="Times New Roman" w:hAnsi="Times New Roman"/>
                <w:b/>
                <w:caps/>
                <w:sz w:val="24"/>
                <w:u w:val="single"/>
              </w:rPr>
              <w:t>solo fully consolidated (SF) OR solo partially consolidated (SP)</w:t>
            </w:r>
          </w:p>
          <w:p w14:paraId="0AE72FF3" w14:textId="77777777" w:rsidR="00173F08" w:rsidRPr="002A677E" w:rsidRDefault="00173F08" w:rsidP="00822842">
            <w:pPr>
              <w:rPr>
                <w:rStyle w:val="Heading1Char"/>
                <w:rFonts w:ascii="Times New Roman" w:hAnsi="Times New Roman"/>
                <w:sz w:val="24"/>
              </w:rPr>
            </w:pPr>
            <w:r w:rsidRPr="002A677E">
              <w:rPr>
                <w:rStyle w:val="InstructionsTabelleText"/>
                <w:rFonts w:ascii="Times New Roman" w:hAnsi="Times New Roman"/>
                <w:sz w:val="24"/>
              </w:rPr>
              <w:t xml:space="preserve">“SF” </w:t>
            </w:r>
            <w:r w:rsidRPr="002A677E">
              <w:rPr>
                <w:rFonts w:ascii="Times New Roman" w:hAnsi="Times New Roman"/>
                <w:sz w:val="24"/>
              </w:rPr>
              <w:t>shall be reported for individual subsidiaries fully consolidated.</w:t>
            </w:r>
            <w:r w:rsidRPr="002A677E">
              <w:rPr>
                <w:rStyle w:val="Heading1Char"/>
                <w:rFonts w:ascii="Times New Roman" w:hAnsi="Times New Roman"/>
                <w:sz w:val="24"/>
              </w:rPr>
              <w:t xml:space="preserve"> </w:t>
            </w:r>
          </w:p>
          <w:p w14:paraId="62274488" w14:textId="77777777" w:rsidR="00173F08" w:rsidRPr="002A677E" w:rsidRDefault="00173F08" w:rsidP="00822842">
            <w:pPr>
              <w:rPr>
                <w:rStyle w:val="InstructionsTabelleText"/>
                <w:rFonts w:ascii="Times New Roman" w:hAnsi="Times New Roman"/>
                <w:smallCaps/>
                <w:sz w:val="24"/>
              </w:rPr>
            </w:pPr>
            <w:r w:rsidRPr="002A677E">
              <w:rPr>
                <w:rStyle w:val="InstructionsTabelleText"/>
                <w:rFonts w:ascii="Times New Roman" w:hAnsi="Times New Roman"/>
                <w:sz w:val="24"/>
              </w:rPr>
              <w:t xml:space="preserve">“SP” </w:t>
            </w:r>
            <w:r w:rsidRPr="002A677E">
              <w:rPr>
                <w:rFonts w:ascii="Times New Roman" w:hAnsi="Times New Roman"/>
                <w:sz w:val="24"/>
              </w:rPr>
              <w:t>shall be reported for individual subsidiaries partially consolidated.</w:t>
            </w:r>
            <w:r w:rsidRPr="002A677E">
              <w:rPr>
                <w:rStyle w:val="InstructionsTabelleText"/>
                <w:rFonts w:ascii="Times New Roman" w:hAnsi="Times New Roman"/>
                <w:i/>
                <w:sz w:val="24"/>
              </w:rPr>
              <w:t xml:space="preserve"> </w:t>
            </w:r>
          </w:p>
        </w:tc>
      </w:tr>
      <w:tr w:rsidR="00173F08" w:rsidRPr="002A677E" w14:paraId="5114D2FB" w14:textId="77777777" w:rsidTr="00822842">
        <w:tc>
          <w:tcPr>
            <w:tcW w:w="1188" w:type="dxa"/>
          </w:tcPr>
          <w:p w14:paraId="3334848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0050</w:t>
            </w:r>
          </w:p>
        </w:tc>
        <w:tc>
          <w:tcPr>
            <w:tcW w:w="8640" w:type="dxa"/>
          </w:tcPr>
          <w:p w14:paraId="00CDACE7" w14:textId="77777777" w:rsidR="00173F08" w:rsidRPr="002A677E" w:rsidRDefault="00173F08" w:rsidP="00822842">
            <w:pPr>
              <w:rPr>
                <w:rFonts w:ascii="Times New Roman" w:hAnsi="Times New Roman"/>
                <w:b/>
                <w:sz w:val="24"/>
                <w:u w:val="single"/>
              </w:rPr>
            </w:pPr>
            <w:r w:rsidRPr="002A677E">
              <w:rPr>
                <w:rFonts w:ascii="Times New Roman" w:hAnsi="Times New Roman"/>
                <w:b/>
                <w:sz w:val="24"/>
                <w:u w:val="single"/>
              </w:rPr>
              <w:t xml:space="preserve">COUNTRY CODE </w:t>
            </w:r>
          </w:p>
          <w:p w14:paraId="6D6EDCAD" w14:textId="3FF412B9"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Institutions shall report the two-letter country code referred to in ISO 3166-</w:t>
            </w:r>
            <w:r w:rsidR="00780E9B">
              <w:rPr>
                <w:rStyle w:val="InstructionsTabelleText"/>
                <w:rFonts w:ascii="Times New Roman" w:hAnsi="Times New Roman"/>
                <w:sz w:val="24"/>
              </w:rPr>
              <w:t>1 alpha-2</w:t>
            </w:r>
            <w:r w:rsidRPr="002A677E">
              <w:rPr>
                <w:rStyle w:val="InstructionsTabelleText"/>
                <w:rFonts w:ascii="Times New Roman" w:hAnsi="Times New Roman"/>
                <w:sz w:val="24"/>
              </w:rPr>
              <w:t xml:space="preserve">. </w:t>
            </w:r>
          </w:p>
        </w:tc>
      </w:tr>
      <w:tr w:rsidR="00173F08" w:rsidRPr="002A677E" w14:paraId="78D1D7A5" w14:textId="77777777" w:rsidTr="00822842">
        <w:tc>
          <w:tcPr>
            <w:tcW w:w="1188" w:type="dxa"/>
          </w:tcPr>
          <w:p w14:paraId="26EECF69"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0060</w:t>
            </w:r>
          </w:p>
        </w:tc>
        <w:tc>
          <w:tcPr>
            <w:tcW w:w="8640" w:type="dxa"/>
          </w:tcPr>
          <w:p w14:paraId="3297BC06"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SHARE OF HOLDING (%)</w:t>
            </w:r>
          </w:p>
          <w:p w14:paraId="0214F399"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This percentage refers to the actual share of capital the parent undertaking holds in subsidiaries. In case of full consolidation of a direct subsidiary, the actual share is e.g. 70 %. In accordance with</w:t>
            </w:r>
            <w:r>
              <w:rPr>
                <w:rStyle w:val="InstructionsTabelleText"/>
                <w:rFonts w:ascii="Times New Roman" w:hAnsi="Times New Roman"/>
                <w:sz w:val="24"/>
              </w:rPr>
              <w:t xml:space="preserve"> </w:t>
            </w:r>
            <w:r w:rsidRPr="002A677E">
              <w:rPr>
                <w:rStyle w:val="InstructionsTabelleText"/>
                <w:rFonts w:ascii="Times New Roman" w:hAnsi="Times New Roman"/>
                <w:sz w:val="24"/>
              </w:rPr>
              <w:t>Article 4(1)</w:t>
            </w:r>
            <w:r>
              <w:rPr>
                <w:rStyle w:val="InstructionsTabelleText"/>
                <w:rFonts w:ascii="Times New Roman" w:hAnsi="Times New Roman"/>
                <w:sz w:val="24"/>
              </w:rPr>
              <w:t>, p</w:t>
            </w:r>
            <w:r w:rsidRPr="002A677E">
              <w:rPr>
                <w:rStyle w:val="InstructionsTabelleText"/>
                <w:rFonts w:ascii="Times New Roman" w:hAnsi="Times New Roman"/>
                <w:sz w:val="24"/>
              </w:rPr>
              <w:t>oint (16)</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the share of holding of a subsidiary to be reported results from a multiplication of the shares between the subsidiaries concerned.</w:t>
            </w:r>
          </w:p>
        </w:tc>
      </w:tr>
      <w:tr w:rsidR="00173F08" w:rsidRPr="002A677E" w14:paraId="55A34781" w14:textId="77777777" w:rsidTr="00822842">
        <w:tc>
          <w:tcPr>
            <w:tcW w:w="1188" w:type="dxa"/>
          </w:tcPr>
          <w:p w14:paraId="254AD57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0065</w:t>
            </w:r>
          </w:p>
        </w:tc>
        <w:tc>
          <w:tcPr>
            <w:tcW w:w="8640" w:type="dxa"/>
          </w:tcPr>
          <w:p w14:paraId="42EB5499"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OFFSETTING GROUP</w:t>
            </w:r>
          </w:p>
          <w:p w14:paraId="591957C8"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‘O</w:t>
            </w:r>
            <w:r w:rsidRPr="000F4F88">
              <w:rPr>
                <w:rStyle w:val="InstructionsTabelleText"/>
                <w:rFonts w:ascii="Times New Roman" w:hAnsi="Times New Roman"/>
                <w:sz w:val="24"/>
              </w:rPr>
              <w:t xml:space="preserve">ffsetting group’ shall mean </w:t>
            </w:r>
            <w:r>
              <w:rPr>
                <w:rStyle w:val="InstructionsTabelleText"/>
                <w:rFonts w:ascii="Times New Roman" w:hAnsi="Times New Roman"/>
                <w:sz w:val="24"/>
              </w:rPr>
              <w:t>any of the following:</w:t>
            </w:r>
          </w:p>
          <w:p w14:paraId="3C498A91" w14:textId="77777777" w:rsidR="00173F08" w:rsidRPr="000F4F88" w:rsidRDefault="00173F08" w:rsidP="00173F08">
            <w:pPr>
              <w:pStyle w:val="ListParagraph"/>
              <w:numPr>
                <w:ilvl w:val="0"/>
                <w:numId w:val="3"/>
              </w:numPr>
              <w:rPr>
                <w:rStyle w:val="InstructionsTabelleText"/>
                <w:rFonts w:ascii="Times New Roman" w:hAnsi="Times New Roman"/>
                <w:sz w:val="24"/>
              </w:rPr>
            </w:pPr>
            <w:r w:rsidRPr="000F4F88">
              <w:rPr>
                <w:rStyle w:val="InstructionsTabelleText"/>
                <w:rFonts w:ascii="Times New Roman" w:hAnsi="Times New Roman"/>
                <w:sz w:val="24"/>
              </w:rPr>
              <w:t xml:space="preserve">a group of entities, for which the competent authority has granted the permission to use positions in one institution or undertaking of that group to offset positions in another institution or undertaking of that group in accordance with Article 325b of Regulation (EU) No </w:t>
            </w:r>
            <w:proofErr w:type="gramStart"/>
            <w:r w:rsidRPr="000F4F88">
              <w:rPr>
                <w:rStyle w:val="InstructionsTabelleText"/>
                <w:rFonts w:ascii="Times New Roman" w:hAnsi="Times New Roman"/>
                <w:sz w:val="24"/>
              </w:rPr>
              <w:t>575/2013</w:t>
            </w:r>
            <w:r>
              <w:rPr>
                <w:rStyle w:val="InstructionsTabelleText"/>
                <w:rFonts w:ascii="Times New Roman" w:hAnsi="Times New Roman"/>
                <w:sz w:val="24"/>
              </w:rPr>
              <w:t>;</w:t>
            </w:r>
            <w:proofErr w:type="gramEnd"/>
          </w:p>
          <w:p w14:paraId="6C55C0A1" w14:textId="77777777" w:rsidR="00173F08" w:rsidRPr="000059B8" w:rsidRDefault="00173F08" w:rsidP="00173F08">
            <w:pPr>
              <w:pStyle w:val="ListParagraph"/>
              <w:numPr>
                <w:ilvl w:val="0"/>
                <w:numId w:val="3"/>
              </w:numPr>
              <w:rPr>
                <w:rStyle w:val="InstructionsTabelleText"/>
                <w:rFonts w:ascii="Times New Roman" w:hAnsi="Times New Roman"/>
                <w:b/>
                <w:bCs/>
                <w:sz w:val="24"/>
                <w:u w:val="single"/>
              </w:rPr>
            </w:pPr>
            <w:r w:rsidRPr="000F4F88">
              <w:rPr>
                <w:rStyle w:val="InstructionsTabelleText"/>
                <w:rFonts w:ascii="Times New Roman" w:hAnsi="Times New Roman"/>
                <w:sz w:val="24"/>
              </w:rPr>
              <w:t xml:space="preserve">any individual entity whose positions cannot be offset against the positions of any other entity of the same group subject to consolidated supervision in accordance with Directive 2013/36/EU, because the competent authority has not granted the permission in accordance with Article 325b of </w:t>
            </w:r>
            <w:r>
              <w:rPr>
                <w:rStyle w:val="InstructionsTabelleText"/>
                <w:rFonts w:ascii="Times New Roman" w:hAnsi="Times New Roman"/>
                <w:sz w:val="24"/>
              </w:rPr>
              <w:t xml:space="preserve">that </w:t>
            </w:r>
            <w:r w:rsidRPr="000F4F88">
              <w:rPr>
                <w:rStyle w:val="InstructionsTabelleText"/>
                <w:rFonts w:ascii="Times New Roman" w:hAnsi="Times New Roman"/>
                <w:sz w:val="24"/>
              </w:rPr>
              <w:t>Regulation.</w:t>
            </w:r>
          </w:p>
          <w:p w14:paraId="30CBC62B" w14:textId="77777777" w:rsidR="00173F08" w:rsidRPr="000059B8" w:rsidRDefault="00173F08" w:rsidP="00822842">
            <w:pPr>
              <w:rPr>
                <w:rStyle w:val="InstructionsTabelleText"/>
                <w:rFonts w:ascii="Times New Roman" w:hAnsi="Times New Roman"/>
                <w:sz w:val="24"/>
              </w:rPr>
            </w:pPr>
            <w:r w:rsidRPr="000059B8">
              <w:rPr>
                <w:rStyle w:val="InstructionsTabelleText"/>
                <w:rFonts w:ascii="Times New Roman" w:hAnsi="Times New Roman"/>
                <w:sz w:val="24"/>
              </w:rPr>
              <w:t xml:space="preserve">Institutions shall </w:t>
            </w:r>
            <w:r>
              <w:rPr>
                <w:rStyle w:val="InstructionsTabelleText"/>
                <w:rFonts w:ascii="Times New Roman" w:hAnsi="Times New Roman"/>
                <w:sz w:val="24"/>
              </w:rPr>
              <w:t>indicate the offsetting group that each entity listed in the template belongs to</w:t>
            </w:r>
            <w:r w:rsidRPr="000059B8">
              <w:rPr>
                <w:rStyle w:val="InstructionsTabelleText"/>
                <w:rFonts w:ascii="Times New Roman" w:hAnsi="Times New Roman"/>
                <w:sz w:val="24"/>
              </w:rPr>
              <w:t>, if they meet the following two conditions:</w:t>
            </w:r>
          </w:p>
          <w:p w14:paraId="147E25D5" w14:textId="77777777" w:rsidR="00173F08" w:rsidRPr="000059B8" w:rsidRDefault="00173F08" w:rsidP="00822842">
            <w:pPr>
              <w:rPr>
                <w:rStyle w:val="InstructionsTabelleText"/>
                <w:rFonts w:ascii="Times New Roman" w:hAnsi="Times New Roman"/>
                <w:sz w:val="24"/>
              </w:rPr>
            </w:pPr>
            <w:r w:rsidRPr="000059B8">
              <w:rPr>
                <w:rStyle w:val="InstructionsTabelleText"/>
                <w:rFonts w:ascii="Times New Roman" w:hAnsi="Times New Roman"/>
                <w:sz w:val="24"/>
              </w:rPr>
              <w:t xml:space="preserve">(a) They calculate the own funds requirements for their business subject to market risk in accordance with Part Three, Title IV, Chapter 1a or Chapter 1b, or both, of Regulation (EU) No 575/2013, or are subject to the obligation to report information on those own funds requirements in accordance with Article 430(2a) or (2b) of that </w:t>
            </w:r>
            <w:proofErr w:type="gramStart"/>
            <w:r w:rsidRPr="000059B8">
              <w:rPr>
                <w:rStyle w:val="InstructionsTabelleText"/>
                <w:rFonts w:ascii="Times New Roman" w:hAnsi="Times New Roman"/>
                <w:sz w:val="24"/>
              </w:rPr>
              <w:t>Regulation;</w:t>
            </w:r>
            <w:proofErr w:type="gramEnd"/>
          </w:p>
          <w:p w14:paraId="467E176C" w14:textId="77777777" w:rsidR="00173F08" w:rsidRDefault="00173F08" w:rsidP="00822842">
            <w:pPr>
              <w:rPr>
                <w:rStyle w:val="InstructionsTabelleText"/>
                <w:rFonts w:ascii="Times New Roman" w:hAnsi="Times New Roman"/>
                <w:sz w:val="24"/>
              </w:rPr>
            </w:pPr>
            <w:r w:rsidRPr="000059B8">
              <w:rPr>
                <w:rStyle w:val="InstructionsTabelleText"/>
                <w:rFonts w:ascii="Times New Roman" w:hAnsi="Times New Roman"/>
                <w:sz w:val="24"/>
              </w:rPr>
              <w:t xml:space="preserve">(b) The group subject to consolidation supervision </w:t>
            </w:r>
            <w:r w:rsidRPr="000F4F88">
              <w:rPr>
                <w:rStyle w:val="InstructionsTabelleText"/>
                <w:rFonts w:ascii="Times New Roman" w:hAnsi="Times New Roman"/>
                <w:sz w:val="24"/>
              </w:rPr>
              <w:t>in accordance with Directive 2013/36/EU</w:t>
            </w:r>
            <w:r>
              <w:rPr>
                <w:rStyle w:val="InstructionsTabelleText"/>
                <w:rFonts w:ascii="Times New Roman" w:hAnsi="Times New Roman"/>
                <w:sz w:val="24"/>
              </w:rPr>
              <w:t xml:space="preserve"> includes at least two offsetting groups.</w:t>
            </w:r>
          </w:p>
          <w:p w14:paraId="6E55692B" w14:textId="77777777" w:rsidR="00173F08" w:rsidRDefault="00173F08" w:rsidP="00822842">
            <w:pPr>
              <w:rPr>
                <w:rStyle w:val="InstructionsTabelleText"/>
                <w:rFonts w:ascii="Times New Roman" w:hAnsi="Times New Roman"/>
                <w:sz w:val="24"/>
              </w:rPr>
            </w:pPr>
            <w:r w:rsidRPr="000059B8">
              <w:rPr>
                <w:rStyle w:val="InstructionsTabelleText"/>
                <w:rFonts w:ascii="Times New Roman" w:hAnsi="Times New Roman"/>
                <w:sz w:val="24"/>
              </w:rPr>
              <w:t xml:space="preserve">The values reported in this column shall be </w:t>
            </w:r>
            <w:r>
              <w:rPr>
                <w:rStyle w:val="InstructionsTabelleText"/>
                <w:rFonts w:ascii="Times New Roman" w:hAnsi="Times New Roman"/>
                <w:sz w:val="24"/>
              </w:rPr>
              <w:t>‘</w:t>
            </w:r>
            <w:r w:rsidRPr="000059B8">
              <w:rPr>
                <w:rStyle w:val="InstructionsTabelleText"/>
                <w:rFonts w:ascii="Times New Roman" w:hAnsi="Times New Roman"/>
                <w:sz w:val="24"/>
              </w:rPr>
              <w:t>Offsetting group 1’, ‘Offsetting group 2’</w:t>
            </w:r>
            <w:r>
              <w:rPr>
                <w:rStyle w:val="InstructionsTabelleText"/>
                <w:rFonts w:ascii="Times New Roman" w:hAnsi="Times New Roman"/>
                <w:sz w:val="24"/>
              </w:rPr>
              <w:t xml:space="preserve">, etc. The mapping provided between the legal entities and the offsetting groups shall be consistent over time, </w:t>
            </w:r>
            <w:proofErr w:type="spellStart"/>
            <w:r>
              <w:rPr>
                <w:rStyle w:val="InstructionsTabelleText"/>
                <w:rFonts w:ascii="Times New Roman" w:hAnsi="Times New Roman"/>
                <w:sz w:val="24"/>
              </w:rPr>
              <w:t>consisten</w:t>
            </w:r>
            <w:proofErr w:type="spellEnd"/>
            <w:r>
              <w:rPr>
                <w:rStyle w:val="InstructionsTabelleText"/>
                <w:rFonts w:ascii="Times New Roman" w:hAnsi="Times New Roman"/>
                <w:sz w:val="24"/>
              </w:rPr>
              <w:t xml:space="preserve"> across reports of the same group subject to consolidated supervision and consistent with the identification of the offsetting groups in the templates included in </w:t>
            </w:r>
            <w:r w:rsidRPr="000059B8">
              <w:rPr>
                <w:rStyle w:val="InstructionsTabelleText"/>
                <w:rFonts w:ascii="Times New Roman" w:hAnsi="Times New Roman"/>
                <w:sz w:val="24"/>
                <w:highlight w:val="yellow"/>
              </w:rPr>
              <w:t xml:space="preserve">[Annex I to </w:t>
            </w:r>
            <w:proofErr w:type="spellStart"/>
            <w:r w:rsidRPr="000059B8">
              <w:rPr>
                <w:rStyle w:val="InstructionsTabelleText"/>
                <w:rFonts w:ascii="Times New Roman" w:hAnsi="Times New Roman"/>
                <w:sz w:val="24"/>
                <w:highlight w:val="yellow"/>
              </w:rPr>
              <w:t>Regulatoin</w:t>
            </w:r>
            <w:proofErr w:type="spellEnd"/>
            <w:r w:rsidRPr="000059B8">
              <w:rPr>
                <w:rStyle w:val="InstructionsTabelleText"/>
                <w:rFonts w:ascii="Times New Roman" w:hAnsi="Times New Roman"/>
                <w:sz w:val="24"/>
                <w:highlight w:val="yellow"/>
              </w:rPr>
              <w:t xml:space="preserve"> (EU) 2021/453]</w:t>
            </w:r>
            <w:r>
              <w:rPr>
                <w:rStyle w:val="InstructionsTabelleText"/>
                <w:rFonts w:ascii="Times New Roman" w:hAnsi="Times New Roman"/>
                <w:sz w:val="24"/>
              </w:rPr>
              <w:t>.</w:t>
            </w:r>
          </w:p>
          <w:p w14:paraId="5DB075C7" w14:textId="77777777" w:rsidR="00173F08" w:rsidRPr="002A677E" w:rsidRDefault="00173F08" w:rsidP="00822842">
            <w:pPr>
              <w:rPr>
                <w:rStyle w:val="InstructionsTabelleberschrift"/>
                <w:rFonts w:ascii="Times New Roman" w:hAnsi="Times New Roman"/>
                <w:sz w:val="24"/>
              </w:rPr>
            </w:pPr>
            <w:r w:rsidRPr="000059B8">
              <w:rPr>
                <w:rStyle w:val="InstructionsTabelleText"/>
                <w:rFonts w:ascii="Times New Roman" w:hAnsi="Times New Roman"/>
                <w:sz w:val="24"/>
              </w:rPr>
              <w:t>Where the</w:t>
            </w:r>
            <w:r>
              <w:rPr>
                <w:rStyle w:val="InstructionsTabelleText"/>
                <w:rFonts w:ascii="Times New Roman" w:hAnsi="Times New Roman"/>
                <w:sz w:val="24"/>
              </w:rPr>
              <w:t xml:space="preserve"> institution meets condition (a) specified above, but t</w:t>
            </w:r>
            <w:r w:rsidRPr="00C21289">
              <w:rPr>
                <w:rStyle w:val="InstructionsTabelleText"/>
                <w:rFonts w:ascii="Times New Roman" w:hAnsi="Times New Roman"/>
                <w:sz w:val="24"/>
              </w:rPr>
              <w:t xml:space="preserve">he group subject to consolidation supervision </w:t>
            </w:r>
            <w:r w:rsidRPr="000F4F88">
              <w:rPr>
                <w:rStyle w:val="InstructionsTabelleText"/>
                <w:rFonts w:ascii="Times New Roman" w:hAnsi="Times New Roman"/>
                <w:sz w:val="24"/>
              </w:rPr>
              <w:t>in accordance with Directive 2013/36/EU</w:t>
            </w:r>
            <w:r>
              <w:rPr>
                <w:rStyle w:val="InstructionsTabelleText"/>
                <w:rFonts w:ascii="Times New Roman" w:hAnsi="Times New Roman"/>
                <w:sz w:val="24"/>
              </w:rPr>
              <w:t xml:space="preserve"> includes only one single offsetting group, institutions shall indicate ‘Single offsetting group’ in the row corresponding to the parent of the group reported in this template.</w:t>
            </w:r>
          </w:p>
        </w:tc>
      </w:tr>
      <w:tr w:rsidR="00173F08" w:rsidRPr="002A677E" w14:paraId="79BDBC0E" w14:textId="77777777" w:rsidTr="00822842">
        <w:tc>
          <w:tcPr>
            <w:tcW w:w="1188" w:type="dxa"/>
          </w:tcPr>
          <w:p w14:paraId="73FB157F"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0070-0240</w:t>
            </w:r>
          </w:p>
        </w:tc>
        <w:tc>
          <w:tcPr>
            <w:tcW w:w="8640" w:type="dxa"/>
          </w:tcPr>
          <w:p w14:paraId="0274B016"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INFORMATION ON ENTITIES SUBJECT TO OWN FUNDS REQUIREMENT</w:t>
            </w:r>
          </w:p>
          <w:p w14:paraId="5193F4B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section of detailed information (i.e. columns 0070 to 0240) shall gather information only on those entities and subgroups which, being within the scope of consolidation (</w:t>
            </w:r>
            <w:r w:rsidRPr="002A677E">
              <w:rPr>
                <w:rFonts w:ascii="Times New Roman" w:hAnsi="Times New Roman"/>
                <w:sz w:val="24"/>
              </w:rPr>
              <w:t xml:space="preserve">Part One, Title II, Chapter 2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are effectively subject to solvency requirements laid down in </w:t>
            </w:r>
            <w:r w:rsidRPr="001235ED">
              <w:rPr>
                <w:rFonts w:ascii="Times New Roman" w:hAnsi="Times New Roman"/>
                <w:sz w:val="24"/>
                <w:lang w:val="en-US"/>
              </w:rPr>
              <w:t>Regulation (EU) No 575/2013</w:t>
            </w:r>
            <w:r>
              <w:rPr>
                <w:rFonts w:ascii="Times New Roman" w:hAnsi="Times New Roman"/>
                <w:sz w:val="24"/>
                <w:lang w:val="en-US"/>
              </w:rPr>
              <w:t xml:space="preserve"> </w:t>
            </w:r>
            <w:r w:rsidRPr="002A677E">
              <w:rPr>
                <w:rStyle w:val="InstructionsTabelleText"/>
                <w:rFonts w:ascii="Times New Roman" w:hAnsi="Times New Roman"/>
                <w:sz w:val="24"/>
              </w:rPr>
              <w:t>or provisions at least equivalent to Basel provisions (</w:t>
            </w:r>
            <w:proofErr w:type="spellStart"/>
            <w:r w:rsidRPr="002A677E">
              <w:rPr>
                <w:rStyle w:val="InstructionsTabelleText"/>
                <w:rFonts w:ascii="Times New Roman" w:hAnsi="Times New Roman"/>
                <w:sz w:val="24"/>
              </w:rPr>
              <w:t>i.e</w:t>
            </w:r>
            <w:proofErr w:type="spellEnd"/>
            <w:r w:rsidRPr="002A677E">
              <w:rPr>
                <w:rStyle w:val="InstructionsTabelleText"/>
                <w:rFonts w:ascii="Times New Roman" w:hAnsi="Times New Roman"/>
                <w:sz w:val="24"/>
              </w:rPr>
              <w:t xml:space="preserve">, reported yes in column 0030). </w:t>
            </w:r>
          </w:p>
          <w:p w14:paraId="341FD737" w14:textId="77777777" w:rsidR="00173F08" w:rsidRPr="002A677E" w:rsidRDefault="00173F08" w:rsidP="00822842">
            <w:pPr>
              <w:rPr>
                <w:rFonts w:ascii="Times New Roman" w:hAnsi="Times New Roman"/>
                <w:sz w:val="24"/>
                <w:lang w:eastAsia="de-DE"/>
              </w:rPr>
            </w:pPr>
            <w:r w:rsidRPr="002A677E">
              <w:rPr>
                <w:rFonts w:ascii="Times New Roman" w:hAnsi="Times New Roman"/>
                <w:sz w:val="24"/>
                <w:lang w:eastAsia="de-DE"/>
              </w:rPr>
              <w:t xml:space="preserve">Information shall be included about all individual institutions of a consolidated group that are subject to own funds requirements, </w:t>
            </w:r>
            <w:proofErr w:type="gramStart"/>
            <w:r w:rsidRPr="002A677E">
              <w:rPr>
                <w:rFonts w:ascii="Times New Roman" w:hAnsi="Times New Roman"/>
                <w:sz w:val="24"/>
                <w:lang w:eastAsia="de-DE"/>
              </w:rPr>
              <w:t>regardless</w:t>
            </w:r>
            <w:proofErr w:type="gramEnd"/>
            <w:r w:rsidRPr="002A677E">
              <w:rPr>
                <w:rFonts w:ascii="Times New Roman" w:hAnsi="Times New Roman"/>
                <w:sz w:val="24"/>
                <w:lang w:eastAsia="de-DE"/>
              </w:rPr>
              <w:t xml:space="preserve"> where they are located. </w:t>
            </w:r>
          </w:p>
          <w:p w14:paraId="44903571" w14:textId="77777777" w:rsidR="00173F08" w:rsidRPr="002A677E" w:rsidRDefault="00173F08" w:rsidP="00822842">
            <w:pPr>
              <w:rPr>
                <w:rFonts w:ascii="Times New Roman" w:hAnsi="Times New Roman"/>
                <w:sz w:val="24"/>
                <w:lang w:eastAsia="de-DE"/>
              </w:rPr>
            </w:pPr>
            <w:r w:rsidRPr="002A677E">
              <w:rPr>
                <w:rFonts w:ascii="Times New Roman" w:hAnsi="Times New Roman"/>
                <w:sz w:val="24"/>
                <w:lang w:eastAsia="de-DE"/>
              </w:rPr>
              <w:t xml:space="preserve">The information reported in this part shall reflect the </w:t>
            </w:r>
            <w:r w:rsidRPr="002A677E">
              <w:rPr>
                <w:rFonts w:ascii="Times New Roman" w:hAnsi="Times New Roman"/>
                <w:bCs/>
                <w:sz w:val="24"/>
                <w:lang w:eastAsia="de-DE"/>
              </w:rPr>
              <w:t>local solvency rules</w:t>
            </w:r>
            <w:r w:rsidRPr="002A677E">
              <w:rPr>
                <w:rFonts w:ascii="Times New Roman" w:hAnsi="Times New Roman"/>
                <w:b/>
                <w:bCs/>
                <w:sz w:val="24"/>
                <w:lang w:eastAsia="de-DE"/>
              </w:rPr>
              <w:t xml:space="preserve"> </w:t>
            </w:r>
            <w:r w:rsidRPr="002A677E">
              <w:rPr>
                <w:rFonts w:ascii="Times New Roman" w:hAnsi="Times New Roman"/>
                <w:bCs/>
                <w:sz w:val="24"/>
                <w:lang w:eastAsia="de-DE"/>
              </w:rPr>
              <w:t>of the jurisdiction</w:t>
            </w:r>
            <w:r w:rsidRPr="002A677E">
              <w:rPr>
                <w:rFonts w:ascii="Times New Roman" w:hAnsi="Times New Roman"/>
                <w:b/>
                <w:bCs/>
                <w:sz w:val="24"/>
                <w:lang w:eastAsia="de-DE"/>
              </w:rPr>
              <w:t xml:space="preserve"> </w:t>
            </w:r>
            <w:r w:rsidRPr="002A677E">
              <w:rPr>
                <w:rFonts w:ascii="Times New Roman" w:hAnsi="Times New Roman"/>
                <w:bCs/>
                <w:sz w:val="24"/>
                <w:lang w:eastAsia="de-DE"/>
              </w:rPr>
              <w:t xml:space="preserve">in which </w:t>
            </w:r>
            <w:r w:rsidRPr="002A677E">
              <w:rPr>
                <w:rFonts w:ascii="Times New Roman" w:hAnsi="Times New Roman"/>
                <w:sz w:val="24"/>
                <w:lang w:eastAsia="de-DE"/>
              </w:rPr>
              <w:t xml:space="preserve">the institution is operating (therefore, for this template, it is not </w:t>
            </w:r>
            <w:r w:rsidRPr="002A677E">
              <w:rPr>
                <w:rFonts w:ascii="Times New Roman" w:hAnsi="Times New Roman"/>
                <w:sz w:val="24"/>
                <w:lang w:eastAsia="de-DE"/>
              </w:rPr>
              <w:lastRenderedPageBreak/>
              <w:t xml:space="preserve">necessary to do a double calculation on an individual basis </w:t>
            </w:r>
            <w:proofErr w:type="gramStart"/>
            <w:r w:rsidRPr="002A677E">
              <w:rPr>
                <w:rFonts w:ascii="Times New Roman" w:hAnsi="Times New Roman"/>
                <w:sz w:val="24"/>
                <w:lang w:eastAsia="de-DE"/>
              </w:rPr>
              <w:t>on the basis of</w:t>
            </w:r>
            <w:proofErr w:type="gramEnd"/>
            <w:r w:rsidRPr="002A677E">
              <w:rPr>
                <w:rFonts w:ascii="Times New Roman" w:hAnsi="Times New Roman"/>
                <w:sz w:val="24"/>
                <w:lang w:eastAsia="de-DE"/>
              </w:rPr>
              <w:t xml:space="preserve"> the parent institution’s rules). When local solvency rules differ from </w:t>
            </w:r>
            <w:r w:rsidRPr="001235ED">
              <w:rPr>
                <w:rFonts w:ascii="Times New Roman" w:hAnsi="Times New Roman"/>
                <w:sz w:val="24"/>
                <w:lang w:val="en-US"/>
              </w:rPr>
              <w:t>Regulation (EU) No 575/2013</w:t>
            </w:r>
            <w:r>
              <w:rPr>
                <w:rFonts w:ascii="Times New Roman" w:hAnsi="Times New Roman"/>
                <w:sz w:val="24"/>
                <w:lang w:val="en-US"/>
              </w:rPr>
              <w:t xml:space="preserve"> </w:t>
            </w:r>
            <w:r w:rsidRPr="002A677E">
              <w:rPr>
                <w:rFonts w:ascii="Times New Roman" w:hAnsi="Times New Roman"/>
                <w:sz w:val="24"/>
                <w:lang w:eastAsia="de-DE"/>
              </w:rPr>
              <w:t>and a comparable breakdown is not given, the information shall be completed where data are available in the respective granularity. Therefore, this part is a factual template that summarises the calculations that the individual institutions of a group shall carry out, bearing in mind that some of those institutions may be subject to different solvency rules.</w:t>
            </w:r>
          </w:p>
          <w:p w14:paraId="6B5F0F6F" w14:textId="77777777" w:rsidR="00173F08" w:rsidRPr="002A677E" w:rsidRDefault="00173F08" w:rsidP="00822842">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Reporting of fixed overheads of investment firms:</w:t>
            </w:r>
          </w:p>
          <w:p w14:paraId="38DFF7EE"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sidRPr="002A677E">
              <w:rPr>
                <w:rStyle w:val="InstructionsTabelleText"/>
                <w:rFonts w:ascii="Times New Roman" w:hAnsi="Times New Roman"/>
                <w:sz w:val="24"/>
              </w:rPr>
              <w:t xml:space="preserve">Investment firms shall include own funds requirements related to fixed overheads in their calculation of capital ratio pursuant to Articles 95, 96, 97 and 98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033740CD"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sidRPr="002A677E">
              <w:rPr>
                <w:rStyle w:val="InstructionsTabelleText"/>
                <w:rFonts w:ascii="Times New Roman" w:hAnsi="Times New Roman"/>
                <w:sz w:val="24"/>
              </w:rPr>
              <w:t xml:space="preserve">The part of the total risk exposure amount related to fixed overheads shall be reported in column 0100 of this template. </w:t>
            </w:r>
          </w:p>
        </w:tc>
      </w:tr>
      <w:tr w:rsidR="00173F08" w:rsidRPr="002A677E" w14:paraId="63C531B9" w14:textId="77777777" w:rsidTr="00822842">
        <w:tc>
          <w:tcPr>
            <w:tcW w:w="1188" w:type="dxa"/>
          </w:tcPr>
          <w:p w14:paraId="7EE45F25"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0070</w:t>
            </w:r>
          </w:p>
        </w:tc>
        <w:tc>
          <w:tcPr>
            <w:tcW w:w="8640" w:type="dxa"/>
          </w:tcPr>
          <w:p w14:paraId="1A22FB2A"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RISK EXPOSURE AMOUNT </w:t>
            </w:r>
          </w:p>
          <w:p w14:paraId="4B0A4350"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sum of the columns 0080 to 0110 shall be reported.</w:t>
            </w:r>
          </w:p>
        </w:tc>
      </w:tr>
      <w:tr w:rsidR="00173F08" w:rsidRPr="002A677E" w14:paraId="1431A12F" w14:textId="77777777" w:rsidTr="00822842">
        <w:tc>
          <w:tcPr>
            <w:tcW w:w="1188" w:type="dxa"/>
          </w:tcPr>
          <w:p w14:paraId="1F1161F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0075</w:t>
            </w:r>
          </w:p>
        </w:tc>
        <w:tc>
          <w:tcPr>
            <w:tcW w:w="8640" w:type="dxa"/>
          </w:tcPr>
          <w:p w14:paraId="78E93AAA" w14:textId="77777777" w:rsidR="00173F08"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OF WHICH: FLOOR ADJUSTMENT (OUTPUT FLOOR TREA)</w:t>
            </w:r>
          </w:p>
          <w:p w14:paraId="267C9374" w14:textId="77777777" w:rsidR="00173F08" w:rsidRPr="00601EA3" w:rsidRDefault="00173F08" w:rsidP="00822842">
            <w:pPr>
              <w:rPr>
                <w:rStyle w:val="InstructionsTabelleberschrift"/>
                <w:rFonts w:ascii="Times New Roman" w:hAnsi="Times New Roman"/>
                <w:b w:val="0"/>
                <w:bCs w:val="0"/>
                <w:sz w:val="24"/>
              </w:rPr>
            </w:pPr>
            <w:r w:rsidRPr="00601EA3">
              <w:rPr>
                <w:rStyle w:val="InstructionsTabelleberschrift"/>
                <w:rFonts w:ascii="Times New Roman" w:hAnsi="Times New Roman"/>
                <w:b w:val="0"/>
                <w:bCs w:val="0"/>
                <w:sz w:val="24"/>
              </w:rPr>
              <w:t>Entities shall report the floor adjustment calculated on an individual basis.</w:t>
            </w:r>
          </w:p>
        </w:tc>
      </w:tr>
      <w:tr w:rsidR="00173F08" w:rsidRPr="002A677E" w14:paraId="5B3929C2" w14:textId="77777777" w:rsidTr="00822842">
        <w:tc>
          <w:tcPr>
            <w:tcW w:w="1188" w:type="dxa"/>
          </w:tcPr>
          <w:p w14:paraId="4F014BF5"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0080</w:t>
            </w:r>
          </w:p>
        </w:tc>
        <w:tc>
          <w:tcPr>
            <w:tcW w:w="8640" w:type="dxa"/>
          </w:tcPr>
          <w:p w14:paraId="7FCBE592"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CREDIT; COUNTERPARTY CREDIT; DILUTION RISKS, FREE DELIVERIES AND SETTLEMENT/DELIVERY RISK</w:t>
            </w:r>
          </w:p>
          <w:p w14:paraId="4C32FDA3"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in this column shall correspond to the sum of risk weighted exposure amounts that are equal or equivalent to the ones that must be reported in row 0040 “</w:t>
            </w:r>
            <w:r w:rsidRPr="002A677E">
              <w:rPr>
                <w:rStyle w:val="InstructionsTabelleberschrift"/>
                <w:rFonts w:ascii="Times New Roman" w:hAnsi="Times New Roman"/>
                <w:sz w:val="24"/>
              </w:rPr>
              <w:t>RISK WEIGHTED EXPOSURE AMOUNTS</w:t>
            </w:r>
            <w:r w:rsidRPr="002A677E">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0490 “TOTAL RISK EXPOSURE AMOUNT FOR SETTLEMENT/DELIVERY RISKS” of template CA2.</w:t>
            </w:r>
          </w:p>
        </w:tc>
      </w:tr>
      <w:tr w:rsidR="00173F08" w:rsidRPr="002A677E" w14:paraId="48538122" w14:textId="77777777" w:rsidTr="00822842">
        <w:tc>
          <w:tcPr>
            <w:tcW w:w="1188" w:type="dxa"/>
          </w:tcPr>
          <w:p w14:paraId="3B03E59F"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0090</w:t>
            </w:r>
          </w:p>
        </w:tc>
        <w:tc>
          <w:tcPr>
            <w:tcW w:w="8640" w:type="dxa"/>
          </w:tcPr>
          <w:p w14:paraId="1F8CDF0D" w14:textId="117F25BE"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MARKET RISKS</w:t>
            </w:r>
          </w:p>
          <w:p w14:paraId="7A55CAD7" w14:textId="55D7980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amount of own funds requirements that are equal or equivalent to the ones that must be reported in row 0520 “TOTAL RISK EXPOSURE AMOUNT FOR </w:t>
            </w:r>
            <w:r>
              <w:rPr>
                <w:rStyle w:val="InstructionsTabelleText"/>
                <w:rFonts w:ascii="Times New Roman" w:hAnsi="Times New Roman"/>
                <w:sz w:val="24"/>
              </w:rPr>
              <w:t>THE BUSINESS SUBJECT TO MARKET RISK</w:t>
            </w:r>
            <w:r w:rsidRPr="002A677E">
              <w:rPr>
                <w:rStyle w:val="InstructionsTabelleText"/>
                <w:rFonts w:ascii="Times New Roman" w:hAnsi="Times New Roman"/>
                <w:sz w:val="24"/>
              </w:rPr>
              <w:t>” of template CA2.</w:t>
            </w:r>
          </w:p>
        </w:tc>
      </w:tr>
      <w:tr w:rsidR="00173F08" w:rsidRPr="002A677E" w14:paraId="292EDAF3" w14:textId="77777777" w:rsidTr="00822842">
        <w:tc>
          <w:tcPr>
            <w:tcW w:w="1188" w:type="dxa"/>
          </w:tcPr>
          <w:p w14:paraId="468DC5E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0100</w:t>
            </w:r>
          </w:p>
        </w:tc>
        <w:tc>
          <w:tcPr>
            <w:tcW w:w="8640" w:type="dxa"/>
          </w:tcPr>
          <w:p w14:paraId="47EDEC82"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0D971CE8"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in this column shall correspond to the risk exposure amount that is equal or equivalent to the one that shall be reported in row 0590 “TOTAL RISK EXPOSURE AMOUNT FOR OPERATIONAL RISKS (</w:t>
            </w:r>
            <w:proofErr w:type="spellStart"/>
            <w:r w:rsidRPr="002A677E">
              <w:rPr>
                <w:rStyle w:val="InstructionsTabelleText"/>
                <w:rFonts w:ascii="Times New Roman" w:hAnsi="Times New Roman"/>
                <w:sz w:val="24"/>
              </w:rPr>
              <w:t>OpR</w:t>
            </w:r>
            <w:proofErr w:type="spellEnd"/>
            <w:r w:rsidRPr="002A677E">
              <w:rPr>
                <w:rStyle w:val="InstructionsTabelleText"/>
                <w:rFonts w:ascii="Times New Roman" w:hAnsi="Times New Roman"/>
                <w:sz w:val="24"/>
              </w:rPr>
              <w:t>)” of the template CA2.</w:t>
            </w:r>
          </w:p>
          <w:p w14:paraId="793CB669"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Fixed overheads shall be included in this column including the row 0630 “ADDITIONAL RISK EXPOSURE AMOUNT DUE TO FIXED OVERHEADS” of template CA2.</w:t>
            </w:r>
          </w:p>
        </w:tc>
      </w:tr>
      <w:tr w:rsidR="00173F08" w:rsidRPr="002A677E" w14:paraId="21616B84" w14:textId="77777777" w:rsidTr="00822842">
        <w:tc>
          <w:tcPr>
            <w:tcW w:w="1188" w:type="dxa"/>
          </w:tcPr>
          <w:p w14:paraId="0592590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0110</w:t>
            </w:r>
          </w:p>
        </w:tc>
        <w:tc>
          <w:tcPr>
            <w:tcW w:w="8640" w:type="dxa"/>
          </w:tcPr>
          <w:p w14:paraId="5A6EE0BF"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OTHER RISK EXPOSURE AMOUNTS</w:t>
            </w:r>
          </w:p>
          <w:p w14:paraId="6AB0F2D9"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The amount to be reported in this column shall correspond to the risk exposure amount not especially listed above. It shall be the sum of the amounts of rows 0640, 0680 and 0690 of template CA2.</w:t>
            </w:r>
          </w:p>
        </w:tc>
      </w:tr>
      <w:tr w:rsidR="00173F08" w:rsidRPr="002A677E" w14:paraId="1AA509B5" w14:textId="77777777" w:rsidTr="00822842">
        <w:tc>
          <w:tcPr>
            <w:tcW w:w="1188" w:type="dxa"/>
          </w:tcPr>
          <w:p w14:paraId="31666405"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0120-0240</w:t>
            </w:r>
          </w:p>
        </w:tc>
        <w:tc>
          <w:tcPr>
            <w:tcW w:w="8640" w:type="dxa"/>
          </w:tcPr>
          <w:p w14:paraId="4017EF14"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DETAILED INFORMATION ON GROUP SOLVENCY OWN FUNDS</w:t>
            </w:r>
          </w:p>
          <w:p w14:paraId="713BB53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information reported in the following columns shall reflect the local solvency rules of the Member State in which the entity or subgroup is operating.</w:t>
            </w:r>
          </w:p>
        </w:tc>
      </w:tr>
      <w:tr w:rsidR="00173F08" w:rsidRPr="002A677E" w14:paraId="5A140096" w14:textId="77777777" w:rsidTr="00822842">
        <w:tc>
          <w:tcPr>
            <w:tcW w:w="1188" w:type="dxa"/>
          </w:tcPr>
          <w:p w14:paraId="487213B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0120</w:t>
            </w:r>
          </w:p>
        </w:tc>
        <w:tc>
          <w:tcPr>
            <w:tcW w:w="8640" w:type="dxa"/>
          </w:tcPr>
          <w:p w14:paraId="5B6BE8DD"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OWN FUNDS</w:t>
            </w:r>
          </w:p>
          <w:p w14:paraId="55D150C2"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in this column corresponds to the amount of own funds that are equal or equivalent to the ones that must be reported in row 0010 “OWN FUNDS” of the template CA1.</w:t>
            </w:r>
          </w:p>
        </w:tc>
      </w:tr>
      <w:tr w:rsidR="00173F08" w:rsidRPr="002A677E" w14:paraId="40713F8A" w14:textId="77777777" w:rsidTr="00822842">
        <w:tc>
          <w:tcPr>
            <w:tcW w:w="1188" w:type="dxa"/>
          </w:tcPr>
          <w:p w14:paraId="4C6759BA"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0130</w:t>
            </w:r>
          </w:p>
        </w:tc>
        <w:tc>
          <w:tcPr>
            <w:tcW w:w="8640" w:type="dxa"/>
          </w:tcPr>
          <w:p w14:paraId="33EA093E"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QUALIFYING OWN FUNDS </w:t>
            </w:r>
          </w:p>
          <w:p w14:paraId="34714CB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82 </w:t>
            </w:r>
            <w:r w:rsidRPr="001235ED">
              <w:rPr>
                <w:rFonts w:ascii="Times New Roman" w:hAnsi="Times New Roman"/>
                <w:sz w:val="24"/>
                <w:lang w:val="en-US"/>
              </w:rPr>
              <w:t>of Regulation (EU) No 575/2013</w:t>
            </w:r>
            <w:r>
              <w:rPr>
                <w:rFonts w:ascii="Times New Roman" w:hAnsi="Times New Roman"/>
                <w:sz w:val="24"/>
                <w:lang w:val="en-US"/>
              </w:rPr>
              <w:t xml:space="preserve"> </w:t>
            </w:r>
          </w:p>
          <w:p w14:paraId="7999D7DB"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reported on an individual basis that are fully consolidated and that are institutions. </w:t>
            </w:r>
          </w:p>
          <w:p w14:paraId="1DFAEDAA"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Qualifying holdings are, for the subsidiaries specified above, the instruments (plus related retained earnings, share premium accounts and other reserves) owned by persons other than the undertakings and included in the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3E7C4509"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173F08" w:rsidRPr="002A677E" w14:paraId="6C60DC0C" w14:textId="77777777" w:rsidTr="00822842">
        <w:tc>
          <w:tcPr>
            <w:tcW w:w="1188" w:type="dxa"/>
          </w:tcPr>
          <w:p w14:paraId="539F5FBB"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0140</w:t>
            </w:r>
          </w:p>
        </w:tc>
        <w:tc>
          <w:tcPr>
            <w:tcW w:w="8640" w:type="dxa"/>
          </w:tcPr>
          <w:p w14:paraId="24287788"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OWN FUNDS INSTRUMENTS, RELATED RETAINED EARNINGS, SHARE PREMIUM ACCOUNTS AND OTHER RESERVES</w:t>
            </w:r>
          </w:p>
          <w:p w14:paraId="3F7E53C7"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Article 87(1)</w:t>
            </w:r>
            <w:r>
              <w:rPr>
                <w:rStyle w:val="InstructionsTabelleberschrift"/>
                <w:rFonts w:ascii="Times New Roman" w:hAnsi="Times New Roman"/>
                <w:sz w:val="24"/>
              </w:rPr>
              <w:t>, p</w:t>
            </w:r>
            <w:r w:rsidRPr="002A677E">
              <w:rPr>
                <w:rStyle w:val="InstructionsTabelleberschrift"/>
                <w:rFonts w:ascii="Times New Roman" w:hAnsi="Times New Roman"/>
                <w:sz w:val="24"/>
              </w:rPr>
              <w:t>oint (b)</w:t>
            </w:r>
            <w:r>
              <w:rPr>
                <w:rStyle w:val="InstructionsTabelleberschrift"/>
                <w:rFonts w:ascii="Times New Roman" w:hAnsi="Times New Roman"/>
                <w:sz w:val="24"/>
              </w:rPr>
              <w:t>,</w:t>
            </w:r>
            <w:r w:rsidRPr="002A677E">
              <w:rPr>
                <w:rStyle w:val="InstructionsTabelleberschrift"/>
                <w:rFonts w:ascii="Times New Roman" w:hAnsi="Times New Roman"/>
                <w:sz w:val="24"/>
              </w:rPr>
              <w:t xml:space="preserve"> </w:t>
            </w:r>
            <w:r w:rsidRPr="001235ED">
              <w:rPr>
                <w:rFonts w:ascii="Times New Roman" w:hAnsi="Times New Roman"/>
                <w:sz w:val="24"/>
                <w:lang w:val="en-US"/>
              </w:rPr>
              <w:t>of Regulation (EU) No 575/2013</w:t>
            </w:r>
          </w:p>
        </w:tc>
      </w:tr>
      <w:tr w:rsidR="00173F08" w:rsidRPr="002A677E" w14:paraId="389DE242" w14:textId="77777777" w:rsidTr="00822842">
        <w:tc>
          <w:tcPr>
            <w:tcW w:w="1188" w:type="dxa"/>
          </w:tcPr>
          <w:p w14:paraId="5AE6A1A2"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0150</w:t>
            </w:r>
          </w:p>
        </w:tc>
        <w:tc>
          <w:tcPr>
            <w:tcW w:w="8640" w:type="dxa"/>
          </w:tcPr>
          <w:p w14:paraId="5CD3A5A2" w14:textId="77777777" w:rsidR="00173F08" w:rsidRPr="001235ED" w:rsidRDefault="00173F08" w:rsidP="00822842">
            <w:pPr>
              <w:rPr>
                <w:rStyle w:val="InstructionsTabelleberschrift"/>
                <w:rFonts w:ascii="Times New Roman" w:hAnsi="Times New Roman"/>
                <w:sz w:val="24"/>
              </w:rPr>
            </w:pPr>
            <w:r w:rsidRPr="001235ED">
              <w:rPr>
                <w:rStyle w:val="InstructionsTabelleberschrift"/>
                <w:rFonts w:ascii="Times New Roman" w:hAnsi="Times New Roman"/>
                <w:sz w:val="24"/>
              </w:rPr>
              <w:t>TOTAL TIER 1 CAPITAL</w:t>
            </w:r>
          </w:p>
          <w:p w14:paraId="3E861344" w14:textId="77777777" w:rsidR="00173F08" w:rsidRPr="001235ED" w:rsidRDefault="00173F08" w:rsidP="00822842">
            <w:pPr>
              <w:rPr>
                <w:rStyle w:val="InstructionsTabelleberschrift"/>
                <w:rFonts w:ascii="Times New Roman" w:hAnsi="Times New Roman"/>
                <w:sz w:val="24"/>
              </w:rPr>
            </w:pPr>
            <w:r w:rsidRPr="001235ED">
              <w:rPr>
                <w:rStyle w:val="InstructionsTabelleText"/>
                <w:rFonts w:ascii="Times New Roman" w:hAnsi="Times New Roman"/>
                <w:sz w:val="24"/>
              </w:rPr>
              <w:t xml:space="preserve">Article 25 </w:t>
            </w:r>
            <w:r w:rsidRPr="001235ED">
              <w:rPr>
                <w:rFonts w:ascii="Times New Roman" w:hAnsi="Times New Roman"/>
                <w:sz w:val="24"/>
                <w:lang w:val="en-US"/>
              </w:rPr>
              <w:t>of Regulation (EU) No 575/2013</w:t>
            </w:r>
          </w:p>
        </w:tc>
      </w:tr>
      <w:tr w:rsidR="00173F08" w:rsidRPr="002A677E" w14:paraId="7471167E" w14:textId="77777777" w:rsidTr="00822842">
        <w:tc>
          <w:tcPr>
            <w:tcW w:w="1188" w:type="dxa"/>
          </w:tcPr>
          <w:p w14:paraId="1BFDCD8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0160</w:t>
            </w:r>
          </w:p>
        </w:tc>
        <w:tc>
          <w:tcPr>
            <w:tcW w:w="8640" w:type="dxa"/>
          </w:tcPr>
          <w:p w14:paraId="72C37050"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TIER 1 CAPITAL</w:t>
            </w:r>
          </w:p>
          <w:p w14:paraId="4EB8A1F3"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82 </w:t>
            </w:r>
            <w:r w:rsidRPr="001235ED">
              <w:rPr>
                <w:rFonts w:ascii="Times New Roman" w:hAnsi="Times New Roman"/>
                <w:sz w:val="24"/>
                <w:lang w:val="en-US"/>
              </w:rPr>
              <w:t>of Regulation (EU) No 575/2013</w:t>
            </w:r>
          </w:p>
          <w:p w14:paraId="1C29CEE8"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This column shall only be provided for the subsidiaries reported on an individual basis that are fully consolidated and that are institutions.</w:t>
            </w:r>
          </w:p>
          <w:p w14:paraId="0AF355C7"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Qualifying holdings are, for the subsidiaries specified above, the instruments (plus related retained earnings and share premium accounts) owned by persons other than the undertakings included in the </w:t>
            </w:r>
            <w:r w:rsidRPr="001235ED">
              <w:rPr>
                <w:rFonts w:ascii="Times New Roman" w:hAnsi="Times New Roman"/>
                <w:sz w:val="24"/>
                <w:lang w:val="en-US"/>
              </w:rPr>
              <w:t xml:space="preserve">Regulation (EU) No 575/2013 </w:t>
            </w:r>
            <w:r w:rsidRPr="002A677E">
              <w:rPr>
                <w:rStyle w:val="InstructionsTabelleText"/>
                <w:rFonts w:ascii="Times New Roman" w:hAnsi="Times New Roman"/>
                <w:sz w:val="24"/>
              </w:rPr>
              <w:t>consolidation.</w:t>
            </w:r>
          </w:p>
          <w:p w14:paraId="342E6F50"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 It shall be the eligible amount on the date of reporting.</w:t>
            </w:r>
          </w:p>
        </w:tc>
      </w:tr>
      <w:tr w:rsidR="00173F08" w:rsidRPr="002A677E" w14:paraId="4A7FFA9C" w14:textId="77777777" w:rsidTr="00822842">
        <w:tc>
          <w:tcPr>
            <w:tcW w:w="1188" w:type="dxa"/>
          </w:tcPr>
          <w:p w14:paraId="3178D61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0170</w:t>
            </w:r>
          </w:p>
        </w:tc>
        <w:tc>
          <w:tcPr>
            <w:tcW w:w="8640" w:type="dxa"/>
          </w:tcPr>
          <w:p w14:paraId="03B9DCA4"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T1 INSTRUMENTS, RELATED RETAINED EARNINGS AND SHARE PREMIUM ACCOUNTS</w:t>
            </w:r>
          </w:p>
          <w:p w14:paraId="0C524078"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Article 85(1)</w:t>
            </w:r>
            <w:r>
              <w:rPr>
                <w:rStyle w:val="InstructionsTabelleberschrift"/>
                <w:rFonts w:ascii="Times New Roman" w:hAnsi="Times New Roman"/>
                <w:sz w:val="24"/>
              </w:rPr>
              <w:t>, p</w:t>
            </w:r>
            <w:r w:rsidRPr="002A677E">
              <w:rPr>
                <w:rStyle w:val="InstructionsTabelleberschrift"/>
                <w:rFonts w:ascii="Times New Roman" w:hAnsi="Times New Roman"/>
                <w:sz w:val="24"/>
              </w:rPr>
              <w:t>oint (b)</w:t>
            </w:r>
            <w:r>
              <w:rPr>
                <w:rStyle w:val="InstructionsTabelleberschrift"/>
                <w:rFonts w:ascii="Times New Roman" w:hAnsi="Times New Roman"/>
                <w:sz w:val="24"/>
              </w:rPr>
              <w:t>,</w:t>
            </w:r>
            <w:r w:rsidRPr="002A677E">
              <w:rPr>
                <w:rStyle w:val="InstructionsTabelleberschrift"/>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p>
        </w:tc>
      </w:tr>
      <w:tr w:rsidR="00173F08" w:rsidRPr="002A677E" w14:paraId="03F84939" w14:textId="77777777" w:rsidTr="00822842">
        <w:tc>
          <w:tcPr>
            <w:tcW w:w="1188" w:type="dxa"/>
          </w:tcPr>
          <w:p w14:paraId="2ABE034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0180</w:t>
            </w:r>
          </w:p>
        </w:tc>
        <w:tc>
          <w:tcPr>
            <w:tcW w:w="8640" w:type="dxa"/>
          </w:tcPr>
          <w:p w14:paraId="56913F2B"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COMMON EQUITY TIER 1 CAPITAL</w:t>
            </w:r>
          </w:p>
          <w:p w14:paraId="1D31362E"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 xml:space="preserve">Article 50 </w:t>
            </w:r>
            <w:r w:rsidRPr="001235ED">
              <w:rPr>
                <w:rFonts w:ascii="Times New Roman" w:hAnsi="Times New Roman"/>
                <w:sz w:val="24"/>
                <w:lang w:val="en-US"/>
              </w:rPr>
              <w:t>of Regulation (EU) No 575/2013</w:t>
            </w:r>
          </w:p>
        </w:tc>
      </w:tr>
      <w:tr w:rsidR="00173F08" w:rsidRPr="002A677E" w14:paraId="0E2BA238" w14:textId="77777777" w:rsidTr="00822842">
        <w:tc>
          <w:tcPr>
            <w:tcW w:w="1188" w:type="dxa"/>
          </w:tcPr>
          <w:p w14:paraId="671DC042"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0190</w:t>
            </w:r>
          </w:p>
        </w:tc>
        <w:tc>
          <w:tcPr>
            <w:tcW w:w="8640" w:type="dxa"/>
          </w:tcPr>
          <w:p w14:paraId="7B6598C9"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MINORITY INTERESTS</w:t>
            </w:r>
          </w:p>
          <w:p w14:paraId="03A35E0B"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81 </w:t>
            </w:r>
            <w:r w:rsidRPr="001235ED">
              <w:rPr>
                <w:rFonts w:ascii="Times New Roman" w:hAnsi="Times New Roman"/>
                <w:sz w:val="24"/>
                <w:lang w:val="en-US"/>
              </w:rPr>
              <w:t>of Regulation (EU) No 575/2013</w:t>
            </w:r>
          </w:p>
          <w:p w14:paraId="2D5B8BC3"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reported for subsidiaries that are fully consolidated and that are institutions, except for the subsidiaries referred to in Article 84(3)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all the calculations required by Article 84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where relevant, in accordance with Article 84(2), otherwise on a solo basis.</w:t>
            </w:r>
          </w:p>
          <w:p w14:paraId="2C0D816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CET1 instruments (plus related retained earnings and share premium accounts) owned by persons other than the undertakings included in the </w:t>
            </w:r>
            <w:r w:rsidRPr="001235ED">
              <w:rPr>
                <w:rFonts w:ascii="Times New Roman" w:hAnsi="Times New Roman"/>
                <w:sz w:val="24"/>
                <w:lang w:val="en-US"/>
              </w:rPr>
              <w:t>Regulation (EU) No 575/2013</w:t>
            </w:r>
            <w:r>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1D2ACDF3"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173F08" w:rsidRPr="002A677E" w14:paraId="0252C0BA" w14:textId="77777777" w:rsidTr="00822842">
        <w:tc>
          <w:tcPr>
            <w:tcW w:w="1188" w:type="dxa"/>
          </w:tcPr>
          <w:p w14:paraId="3AFB0800"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0200</w:t>
            </w:r>
          </w:p>
        </w:tc>
        <w:tc>
          <w:tcPr>
            <w:tcW w:w="8640" w:type="dxa"/>
          </w:tcPr>
          <w:p w14:paraId="4B6EB0AE"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OWN FUNDS INSTRUMENTS, RELATED RETAINED EARNINGS, SHARE PREMIUM ACCOUNTS AND OTHER RESERVES</w:t>
            </w:r>
          </w:p>
          <w:p w14:paraId="707CE464"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Article 84(1)</w:t>
            </w:r>
            <w:r>
              <w:rPr>
                <w:rStyle w:val="InstructionsTabelleberschrift"/>
                <w:rFonts w:ascii="Times New Roman" w:hAnsi="Times New Roman"/>
                <w:sz w:val="24"/>
              </w:rPr>
              <w:t>, p</w:t>
            </w:r>
            <w:r w:rsidRPr="002A677E">
              <w:rPr>
                <w:rStyle w:val="InstructionsTabelleberschrift"/>
                <w:rFonts w:ascii="Times New Roman" w:hAnsi="Times New Roman"/>
                <w:sz w:val="24"/>
              </w:rPr>
              <w:t>oint (b)</w:t>
            </w:r>
            <w:r>
              <w:rPr>
                <w:rStyle w:val="InstructionsTabelleberschrift"/>
                <w:rFonts w:ascii="Times New Roman" w:hAnsi="Times New Roman"/>
                <w:sz w:val="24"/>
              </w:rPr>
              <w:t>,</w:t>
            </w:r>
            <w:r w:rsidRPr="002A677E">
              <w:rPr>
                <w:rStyle w:val="InstructionsTabelleberschrift"/>
                <w:rFonts w:ascii="Times New Roman" w:hAnsi="Times New Roman"/>
                <w:sz w:val="24"/>
              </w:rPr>
              <w:t xml:space="preserve"> </w:t>
            </w:r>
            <w:r w:rsidRPr="001235ED">
              <w:rPr>
                <w:rFonts w:ascii="Times New Roman" w:hAnsi="Times New Roman"/>
                <w:sz w:val="24"/>
                <w:lang w:val="en-US"/>
              </w:rPr>
              <w:t>of Regulation (EU) No 575/2013</w:t>
            </w:r>
          </w:p>
        </w:tc>
      </w:tr>
      <w:tr w:rsidR="00173F08" w:rsidRPr="002A677E" w14:paraId="79B83B2A" w14:textId="77777777" w:rsidTr="00822842">
        <w:tc>
          <w:tcPr>
            <w:tcW w:w="1188" w:type="dxa"/>
          </w:tcPr>
          <w:p w14:paraId="3BB83E5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0210</w:t>
            </w:r>
          </w:p>
        </w:tc>
        <w:tc>
          <w:tcPr>
            <w:tcW w:w="8640" w:type="dxa"/>
          </w:tcPr>
          <w:p w14:paraId="263D68BB"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ADDITIONAL TIER 1 CAPITAL</w:t>
            </w:r>
          </w:p>
          <w:p w14:paraId="1CE78A7A"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 xml:space="preserve">Article 61 </w:t>
            </w:r>
            <w:r w:rsidRPr="001235ED">
              <w:rPr>
                <w:rFonts w:ascii="Times New Roman" w:hAnsi="Times New Roman"/>
                <w:sz w:val="24"/>
                <w:lang w:val="en-US"/>
              </w:rPr>
              <w:t>of Regulation (EU) No 575/2013</w:t>
            </w:r>
          </w:p>
        </w:tc>
      </w:tr>
      <w:tr w:rsidR="00173F08" w:rsidRPr="002A677E" w14:paraId="3A09E2CF" w14:textId="77777777" w:rsidTr="00822842">
        <w:tc>
          <w:tcPr>
            <w:tcW w:w="1188" w:type="dxa"/>
          </w:tcPr>
          <w:p w14:paraId="2BC2BA1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0220</w:t>
            </w:r>
          </w:p>
        </w:tc>
        <w:tc>
          <w:tcPr>
            <w:tcW w:w="8640" w:type="dxa"/>
          </w:tcPr>
          <w:p w14:paraId="6869B355"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ADDITIONAL TIER 1 CAPITAL</w:t>
            </w:r>
          </w:p>
          <w:p w14:paraId="3A11BFD0"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Articles 82 and 83 </w:t>
            </w:r>
            <w:r w:rsidRPr="001235ED">
              <w:rPr>
                <w:rFonts w:ascii="Times New Roman" w:hAnsi="Times New Roman"/>
                <w:sz w:val="24"/>
                <w:lang w:val="en-US"/>
              </w:rPr>
              <w:t>of Regulation (EU) No 575/2013</w:t>
            </w:r>
          </w:p>
          <w:p w14:paraId="55F852A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that are fully consolidated and that are institutions, except for the subsidiaries referred to in Article 85(2)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all the calculations required in Article 85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where relevant, in accordance with Article 85(2), otherwise on a solo basis.</w:t>
            </w:r>
          </w:p>
          <w:p w14:paraId="32886E98"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AT1 instruments (plus related retained earnings and share premium accounts) owned by persons other than the undertakings included in the </w:t>
            </w:r>
            <w:r w:rsidRPr="001235ED">
              <w:rPr>
                <w:rFonts w:ascii="Times New Roman" w:hAnsi="Times New Roman"/>
                <w:sz w:val="24"/>
                <w:lang w:val="en-US"/>
              </w:rPr>
              <w:t>Regulation (EU) No 575/2013</w:t>
            </w:r>
            <w:r>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37079C74"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173F08" w:rsidRPr="002A677E" w14:paraId="3A46A33B" w14:textId="77777777" w:rsidTr="00822842">
        <w:tc>
          <w:tcPr>
            <w:tcW w:w="1188" w:type="dxa"/>
          </w:tcPr>
          <w:p w14:paraId="284F02C8"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0230</w:t>
            </w:r>
          </w:p>
        </w:tc>
        <w:tc>
          <w:tcPr>
            <w:tcW w:w="8640" w:type="dxa"/>
          </w:tcPr>
          <w:p w14:paraId="7A2A757D"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TIER 2 CAPITAL</w:t>
            </w:r>
          </w:p>
          <w:p w14:paraId="49EA3D83"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bCs/>
                <w:sz w:val="24"/>
              </w:rPr>
              <w:t xml:space="preserve">Article 71 </w:t>
            </w:r>
            <w:r w:rsidRPr="001235ED">
              <w:rPr>
                <w:rFonts w:ascii="Times New Roman" w:hAnsi="Times New Roman"/>
                <w:sz w:val="24"/>
                <w:lang w:val="en-US"/>
              </w:rPr>
              <w:t>of Regulation (EU) No 575/2013</w:t>
            </w:r>
          </w:p>
        </w:tc>
      </w:tr>
      <w:tr w:rsidR="00173F08" w:rsidRPr="002A677E" w14:paraId="127ECDAA" w14:textId="77777777" w:rsidTr="00822842">
        <w:tc>
          <w:tcPr>
            <w:tcW w:w="1188" w:type="dxa"/>
          </w:tcPr>
          <w:p w14:paraId="42F0E3B4"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0240</w:t>
            </w:r>
          </w:p>
        </w:tc>
        <w:tc>
          <w:tcPr>
            <w:tcW w:w="8640" w:type="dxa"/>
          </w:tcPr>
          <w:p w14:paraId="2E5C3EFE"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TIER 2 CAPITAL</w:t>
            </w:r>
          </w:p>
          <w:p w14:paraId="23E95E82"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Articles 82 and 83 </w:t>
            </w:r>
            <w:r w:rsidRPr="001235ED">
              <w:rPr>
                <w:rFonts w:ascii="Times New Roman" w:hAnsi="Times New Roman"/>
                <w:sz w:val="24"/>
                <w:lang w:val="en-US"/>
              </w:rPr>
              <w:t>of Regulation (EU) No 575/2013</w:t>
            </w:r>
          </w:p>
          <w:p w14:paraId="4ADB5899"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that are fully consolidated and that are institutions, except for subsidiaries referred to in Article 87(2)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Each subsidiary shall be considered on a sub-consolidated basis for </w:t>
            </w:r>
            <w:r w:rsidRPr="002A677E">
              <w:rPr>
                <w:rStyle w:val="InstructionsTabelleText"/>
                <w:rFonts w:ascii="Times New Roman" w:hAnsi="Times New Roman"/>
                <w:sz w:val="24"/>
              </w:rPr>
              <w:lastRenderedPageBreak/>
              <w:t xml:space="preserve">the purpose of all the calculations required in Article 87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if relevant, in accordance with Article 87(2) </w:t>
            </w:r>
            <w:r w:rsidRPr="001235ED">
              <w:rPr>
                <w:rFonts w:ascii="Times New Roman" w:hAnsi="Times New Roman"/>
                <w:sz w:val="24"/>
                <w:lang w:val="en-US"/>
              </w:rPr>
              <w:t xml:space="preserve">of that </w:t>
            </w:r>
            <w:proofErr w:type="gramStart"/>
            <w:r w:rsidRPr="001235ED">
              <w:rPr>
                <w:rFonts w:ascii="Times New Roman" w:hAnsi="Times New Roman"/>
                <w:sz w:val="24"/>
                <w:lang w:val="en-US"/>
              </w:rPr>
              <w:t xml:space="preserve">Regulation </w:t>
            </w:r>
            <w:r w:rsidRPr="002A677E">
              <w:rPr>
                <w:rStyle w:val="InstructionsTabelleText"/>
                <w:rFonts w:ascii="Times New Roman" w:hAnsi="Times New Roman"/>
                <w:sz w:val="24"/>
              </w:rPr>
              <w:t>,</w:t>
            </w:r>
            <w:proofErr w:type="gramEnd"/>
            <w:r w:rsidRPr="002A677E">
              <w:rPr>
                <w:rStyle w:val="InstructionsTabelleText"/>
                <w:rFonts w:ascii="Times New Roman" w:hAnsi="Times New Roman"/>
                <w:sz w:val="24"/>
              </w:rPr>
              <w:t xml:space="preserve"> otherwise on a solo basis. </w:t>
            </w:r>
          </w:p>
          <w:p w14:paraId="5BE2C85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T2 instruments (plus related retained earnings and share premium accounts) owned by persons other than the undertakings included in the </w:t>
            </w:r>
            <w:r w:rsidRPr="001235ED">
              <w:rPr>
                <w:rFonts w:ascii="Times New Roman" w:hAnsi="Times New Roman"/>
                <w:sz w:val="24"/>
                <w:lang w:val="en-US"/>
              </w:rPr>
              <w:t>Regulation (EU) No 575/2013</w:t>
            </w:r>
            <w:r>
              <w:rPr>
                <w:rFonts w:ascii="Times New Roman" w:hAnsi="Times New Roman"/>
                <w:sz w:val="24"/>
                <w:lang w:val="en-US"/>
              </w:rPr>
              <w:t xml:space="preserve"> </w:t>
            </w:r>
            <w:r w:rsidRPr="002A677E">
              <w:rPr>
                <w:rStyle w:val="InstructionsTabelleText"/>
                <w:rFonts w:ascii="Times New Roman" w:hAnsi="Times New Roman"/>
                <w:sz w:val="24"/>
              </w:rPr>
              <w:t>consolidation.</w:t>
            </w:r>
          </w:p>
          <w:p w14:paraId="262C7485"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reference date.</w:t>
            </w:r>
          </w:p>
        </w:tc>
      </w:tr>
      <w:tr w:rsidR="00173F08" w:rsidRPr="002A677E" w14:paraId="21CB95DC" w14:textId="77777777" w:rsidTr="00822842">
        <w:tc>
          <w:tcPr>
            <w:tcW w:w="1188" w:type="dxa"/>
          </w:tcPr>
          <w:p w14:paraId="25A4A0D7"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0250-0400</w:t>
            </w:r>
          </w:p>
        </w:tc>
        <w:tc>
          <w:tcPr>
            <w:tcW w:w="8640" w:type="dxa"/>
          </w:tcPr>
          <w:p w14:paraId="37BB26C8"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INFORMATION ON THE CONTRIBUTION OF ENTITIES TO SOLVENCY OF THE GROUP</w:t>
            </w:r>
          </w:p>
        </w:tc>
      </w:tr>
      <w:tr w:rsidR="00173F08" w:rsidRPr="002A677E" w14:paraId="2F4DF8FC" w14:textId="77777777" w:rsidTr="00822842">
        <w:tc>
          <w:tcPr>
            <w:tcW w:w="1188" w:type="dxa"/>
          </w:tcPr>
          <w:p w14:paraId="1A40CC2D"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0250-0290</w:t>
            </w:r>
          </w:p>
        </w:tc>
        <w:tc>
          <w:tcPr>
            <w:tcW w:w="8640" w:type="dxa"/>
          </w:tcPr>
          <w:p w14:paraId="42E5971D"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CONTRIBUTION TO RISKS</w:t>
            </w:r>
          </w:p>
          <w:p w14:paraId="7CE31949" w14:textId="77777777" w:rsidR="00173F08" w:rsidRPr="002A677E" w:rsidRDefault="00173F08" w:rsidP="00822842">
            <w:pPr>
              <w:rPr>
                <w:rStyle w:val="InstructionsTabelleberschrift"/>
                <w:rFonts w:ascii="Times New Roman" w:hAnsi="Times New Roman"/>
                <w:sz w:val="24"/>
              </w:rPr>
            </w:pPr>
            <w:r w:rsidRPr="001235ED">
              <w:rPr>
                <w:rFonts w:ascii="Times New Roman" w:hAnsi="Times New Roman"/>
                <w:sz w:val="24"/>
                <w:lang w:eastAsia="de-DE"/>
              </w:rPr>
              <w:t xml:space="preserve">The information reported in the following columns shall be in accordance with the </w:t>
            </w:r>
            <w:r w:rsidRPr="002A677E">
              <w:rPr>
                <w:rFonts w:ascii="Times New Roman" w:hAnsi="Times New Roman"/>
                <w:bCs/>
                <w:sz w:val="24"/>
                <w:lang w:eastAsia="de-DE"/>
              </w:rPr>
              <w:t>solvency rules applicable to the reporting institution.</w:t>
            </w:r>
          </w:p>
        </w:tc>
      </w:tr>
      <w:tr w:rsidR="00173F08" w:rsidRPr="002A677E" w14:paraId="2B71B535" w14:textId="77777777" w:rsidTr="00822842">
        <w:tc>
          <w:tcPr>
            <w:tcW w:w="1188" w:type="dxa"/>
          </w:tcPr>
          <w:p w14:paraId="5D55B1F0"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0250</w:t>
            </w:r>
          </w:p>
        </w:tc>
        <w:tc>
          <w:tcPr>
            <w:tcW w:w="8640" w:type="dxa"/>
          </w:tcPr>
          <w:p w14:paraId="3B982E96"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TOTAL RISK EXPOSURE AMOUNT</w:t>
            </w:r>
          </w:p>
          <w:p w14:paraId="584007A2"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sum of the columns 0260 to 0290 shall be reported.</w:t>
            </w:r>
          </w:p>
        </w:tc>
      </w:tr>
      <w:tr w:rsidR="00173F08" w:rsidRPr="002A677E" w14:paraId="04A08911" w14:textId="77777777" w:rsidTr="00822842">
        <w:tc>
          <w:tcPr>
            <w:tcW w:w="1188" w:type="dxa"/>
          </w:tcPr>
          <w:p w14:paraId="4441868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0260</w:t>
            </w:r>
          </w:p>
        </w:tc>
        <w:tc>
          <w:tcPr>
            <w:tcW w:w="8640" w:type="dxa"/>
          </w:tcPr>
          <w:p w14:paraId="20D38FF7"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CREDIT; COUNTERPARTY CREDIT; DILUTION RISKS, FREE DELIVERIES AND SETTLEMENT/DELIVERY RISK</w:t>
            </w:r>
          </w:p>
          <w:p w14:paraId="6F46A7C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shall be the risk weighted exposure amounts for credit risk and own funds requirements of settlement/delivery risk in accordance with </w:t>
            </w:r>
            <w:r w:rsidRPr="001235ED">
              <w:rPr>
                <w:rFonts w:ascii="Times New Roman" w:hAnsi="Times New Roman"/>
                <w:sz w:val="24"/>
                <w:lang w:val="en-US"/>
              </w:rPr>
              <w:t>Regulation (EU) No 575/2013</w:t>
            </w:r>
            <w:r w:rsidRPr="002A677E">
              <w:rPr>
                <w:rStyle w:val="InstructionsTabelleText"/>
                <w:rFonts w:ascii="Times New Roman" w:hAnsi="Times New Roman"/>
                <w:sz w:val="24"/>
              </w:rPr>
              <w:t>, excluding any amount related to transactions with other entities included in the group consolidated solvency ratio computation.</w:t>
            </w:r>
          </w:p>
        </w:tc>
      </w:tr>
      <w:tr w:rsidR="00173F08" w:rsidRPr="002A677E" w14:paraId="659CB778" w14:textId="77777777" w:rsidTr="00822842">
        <w:tc>
          <w:tcPr>
            <w:tcW w:w="1188" w:type="dxa"/>
          </w:tcPr>
          <w:p w14:paraId="1DB71523"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0270</w:t>
            </w:r>
          </w:p>
        </w:tc>
        <w:tc>
          <w:tcPr>
            <w:tcW w:w="8640" w:type="dxa"/>
          </w:tcPr>
          <w:p w14:paraId="13B2AFE4" w14:textId="4AF0329D"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MARKET</w:t>
            </w:r>
            <w:r w:rsidRPr="002A677E">
              <w:rPr>
                <w:rStyle w:val="InstructionsTabelleberschrift"/>
                <w:rFonts w:ascii="Times New Roman" w:hAnsi="Times New Roman"/>
                <w:sz w:val="24"/>
              </w:rPr>
              <w:t xml:space="preserve"> RISKS</w:t>
            </w:r>
          </w:p>
          <w:p w14:paraId="49127EF1" w14:textId="157C9035" w:rsidR="00173F08" w:rsidRPr="001235ED"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Risk exposure amounts for market risks are to be computed at each entity level in accordance with </w:t>
            </w:r>
            <w:r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Entities shall report the contribution to the total risk exposure amounts for </w:t>
            </w:r>
            <w:r>
              <w:rPr>
                <w:rStyle w:val="InstructionsTabelleText"/>
                <w:rFonts w:ascii="Times New Roman" w:hAnsi="Times New Roman"/>
                <w:sz w:val="24"/>
              </w:rPr>
              <w:t>market risk</w:t>
            </w:r>
            <w:r w:rsidRPr="002A677E">
              <w:rPr>
                <w:rStyle w:val="InstructionsTabelleText"/>
                <w:rFonts w:ascii="Times New Roman" w:hAnsi="Times New Roman"/>
                <w:sz w:val="24"/>
              </w:rPr>
              <w:t xml:space="preserve"> of the group. The sum of amounts reported here shall correspond to the amount reported in row 0520 “TOTAL RISK EXPOSURE AMOUNT FOR </w:t>
            </w:r>
            <w:r>
              <w:rPr>
                <w:rStyle w:val="InstructionsTabelleText"/>
                <w:rFonts w:ascii="Times New Roman" w:hAnsi="Times New Roman"/>
                <w:sz w:val="24"/>
              </w:rPr>
              <w:t xml:space="preserve">THE BUSINESS SUBJECT TO MARKET </w:t>
            </w:r>
            <w:r w:rsidRPr="002A677E">
              <w:rPr>
                <w:rStyle w:val="InstructionsTabelleText"/>
                <w:rFonts w:ascii="Times New Roman" w:hAnsi="Times New Roman"/>
                <w:sz w:val="24"/>
              </w:rPr>
              <w:t xml:space="preserve">RISK” of the </w:t>
            </w:r>
            <w:r w:rsidRPr="00D768D3">
              <w:t>consolidated</w:t>
            </w:r>
            <w:r w:rsidRPr="002A677E">
              <w:rPr>
                <w:rStyle w:val="InstructionsTabelleText"/>
                <w:rFonts w:ascii="Times New Roman" w:hAnsi="Times New Roman"/>
                <w:sz w:val="24"/>
              </w:rPr>
              <w:t xml:space="preserve"> report.</w:t>
            </w:r>
          </w:p>
        </w:tc>
      </w:tr>
      <w:tr w:rsidR="00173F08" w:rsidRPr="002A677E" w14:paraId="50F614F9" w14:textId="77777777" w:rsidTr="00822842">
        <w:tc>
          <w:tcPr>
            <w:tcW w:w="1188" w:type="dxa"/>
          </w:tcPr>
          <w:p w14:paraId="48376137"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0280</w:t>
            </w:r>
          </w:p>
        </w:tc>
        <w:tc>
          <w:tcPr>
            <w:tcW w:w="8640" w:type="dxa"/>
          </w:tcPr>
          <w:p w14:paraId="0F996708"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58C1AE53" w14:textId="2055313A" w:rsidR="00702B2E" w:rsidRPr="00702B2E" w:rsidRDefault="00702B2E" w:rsidP="00822842">
            <w:pPr>
              <w:rPr>
                <w:rFonts w:ascii="Times New Roman" w:hAnsi="Times New Roman"/>
                <w:sz w:val="24"/>
              </w:rPr>
            </w:pPr>
            <w:r w:rsidRPr="00702B2E">
              <w:rPr>
                <w:rFonts w:ascii="Times New Roman" w:hAnsi="Times New Roman"/>
                <w:sz w:val="24"/>
              </w:rPr>
              <w:t>The amount to be reported in this column shall correspond to the risk exposure amount for operational risk.</w:t>
            </w:r>
          </w:p>
          <w:p w14:paraId="585BB330" w14:textId="03A1297F" w:rsidR="00173F08" w:rsidRPr="002A677E" w:rsidRDefault="00173F08" w:rsidP="00822842">
            <w:pPr>
              <w:rPr>
                <w:rStyle w:val="InstructionsTabelleText"/>
                <w:rFonts w:ascii="Times New Roman" w:hAnsi="Times New Roman"/>
                <w:sz w:val="24"/>
              </w:rPr>
            </w:pPr>
            <w:r w:rsidRPr="002A677E">
              <w:rPr>
                <w:rFonts w:ascii="Times New Roman" w:hAnsi="Times New Roman"/>
                <w:caps/>
                <w:sz w:val="24"/>
              </w:rPr>
              <w:t>F</w:t>
            </w:r>
            <w:r w:rsidRPr="002A677E">
              <w:rPr>
                <w:rFonts w:ascii="Times New Roman" w:hAnsi="Times New Roman"/>
                <w:sz w:val="24"/>
              </w:rPr>
              <w:t>ixed overheads shall be included in this column.</w:t>
            </w:r>
          </w:p>
        </w:tc>
      </w:tr>
      <w:tr w:rsidR="00173F08" w:rsidRPr="002A677E" w14:paraId="3D9214F2" w14:textId="77777777" w:rsidTr="00822842">
        <w:tc>
          <w:tcPr>
            <w:tcW w:w="1188" w:type="dxa"/>
          </w:tcPr>
          <w:p w14:paraId="0B8F7AD0"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0290</w:t>
            </w:r>
          </w:p>
        </w:tc>
        <w:tc>
          <w:tcPr>
            <w:tcW w:w="8640" w:type="dxa"/>
          </w:tcPr>
          <w:p w14:paraId="1A6735B0"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OTHER RISK EXPOSURE AMOUNTS</w:t>
            </w:r>
          </w:p>
          <w:p w14:paraId="0483564A"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risk exposure amount for risks other than </w:t>
            </w:r>
            <w:r>
              <w:rPr>
                <w:rStyle w:val="InstructionsTabelleText"/>
                <w:rFonts w:ascii="Times New Roman" w:hAnsi="Times New Roman"/>
                <w:sz w:val="24"/>
              </w:rPr>
              <w:t xml:space="preserve">those </w:t>
            </w:r>
            <w:r w:rsidRPr="002A677E">
              <w:rPr>
                <w:rStyle w:val="InstructionsTabelleText"/>
                <w:rFonts w:ascii="Times New Roman" w:hAnsi="Times New Roman"/>
                <w:sz w:val="24"/>
              </w:rPr>
              <w:t>listed above.</w:t>
            </w:r>
          </w:p>
        </w:tc>
      </w:tr>
      <w:tr w:rsidR="00173F08" w:rsidRPr="002A677E" w14:paraId="120F25EE" w14:textId="77777777" w:rsidTr="00822842">
        <w:tc>
          <w:tcPr>
            <w:tcW w:w="1188" w:type="dxa"/>
          </w:tcPr>
          <w:p w14:paraId="283A6D5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0300-0400</w:t>
            </w:r>
          </w:p>
        </w:tc>
        <w:tc>
          <w:tcPr>
            <w:tcW w:w="8640" w:type="dxa"/>
          </w:tcPr>
          <w:p w14:paraId="648286BD"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CONTRIBUTION TO OWN FUNDS</w:t>
            </w:r>
          </w:p>
          <w:p w14:paraId="7E77E775" w14:textId="77777777" w:rsidR="00173F08" w:rsidRPr="001235ED" w:rsidRDefault="00173F08" w:rsidP="00822842">
            <w:pPr>
              <w:pStyle w:val="Texte2"/>
              <w:ind w:left="0"/>
              <w:rPr>
                <w:rStyle w:val="InstructionsTabelleText"/>
                <w:rFonts w:ascii="Times New Roman" w:hAnsi="Times New Roman"/>
                <w:sz w:val="24"/>
                <w:szCs w:val="24"/>
              </w:rPr>
            </w:pPr>
            <w:r w:rsidRPr="002A677E">
              <w:rPr>
                <w:rStyle w:val="InstructionsTabelleText"/>
                <w:rFonts w:ascii="Times New Roman" w:hAnsi="Times New Roman"/>
                <w:sz w:val="24"/>
                <w:szCs w:val="24"/>
              </w:rPr>
              <w:t xml:space="preserve">This part of the template is not intended to impose on institutions a full computation of the total capital ratio at the level of each entity. </w:t>
            </w:r>
          </w:p>
          <w:p w14:paraId="58F77BCC" w14:textId="77777777" w:rsidR="00173F08" w:rsidRPr="002A677E" w:rsidRDefault="00173F08" w:rsidP="00822842">
            <w:pPr>
              <w:pStyle w:val="Texte2"/>
              <w:ind w:left="0"/>
              <w:rPr>
                <w:rStyle w:val="InstructionsTabelleText"/>
                <w:rFonts w:ascii="Times New Roman" w:hAnsi="Times New Roman"/>
                <w:sz w:val="24"/>
                <w:szCs w:val="24"/>
              </w:rPr>
            </w:pPr>
            <w:r w:rsidRPr="002A677E">
              <w:rPr>
                <w:rFonts w:ascii="Times New Roman" w:hAnsi="Times New Roman"/>
                <w:sz w:val="24"/>
                <w:szCs w:val="24"/>
                <w:lang w:eastAsia="de-DE"/>
              </w:rPr>
              <w:lastRenderedPageBreak/>
              <w:t>Columns 0300 to 0350 shall be reported for those consolidated entities which contribute to own funds by minority interest,</w:t>
            </w:r>
            <w:r w:rsidRPr="002A677E">
              <w:t xml:space="preserve"> </w:t>
            </w:r>
            <w:r w:rsidRPr="002A677E">
              <w:rPr>
                <w:rFonts w:ascii="Times New Roman" w:hAnsi="Times New Roman"/>
                <w:sz w:val="24"/>
                <w:szCs w:val="24"/>
                <w:lang w:eastAsia="de-DE"/>
              </w:rPr>
              <w:t>qualifying Tier 1 capital or qualifying own funds. Subject to the threshold referred to in the last paragraph of chapter 2.3 of Part II above, columns 0360 to 0400 shall be reported for all consolidated entities which contribute to the consolidated own funds.</w:t>
            </w:r>
          </w:p>
          <w:p w14:paraId="29552A89" w14:textId="77777777" w:rsidR="00173F08" w:rsidRPr="002A677E" w:rsidRDefault="00173F08" w:rsidP="00822842">
            <w:pPr>
              <w:pStyle w:val="Texte2"/>
              <w:ind w:left="0"/>
              <w:rPr>
                <w:rStyle w:val="InstructionsTabelleText"/>
                <w:rFonts w:ascii="Times New Roman" w:hAnsi="Times New Roman"/>
                <w:sz w:val="24"/>
                <w:szCs w:val="24"/>
              </w:rPr>
            </w:pPr>
            <w:r w:rsidRPr="002A677E">
              <w:rPr>
                <w:rStyle w:val="InstructionsTabelleText"/>
                <w:rFonts w:ascii="Times New Roman" w:hAnsi="Times New Roman"/>
                <w:sz w:val="24"/>
                <w:szCs w:val="24"/>
              </w:rPr>
              <w:t xml:space="preserve">Own funds brought to an entity by the rest of entities included within the scope of the reporting entity shall not to be </w:t>
            </w:r>
            <w:proofErr w:type="gramStart"/>
            <w:r w:rsidRPr="002A677E">
              <w:rPr>
                <w:rStyle w:val="InstructionsTabelleText"/>
                <w:rFonts w:ascii="Times New Roman" w:hAnsi="Times New Roman"/>
                <w:sz w:val="24"/>
                <w:szCs w:val="24"/>
              </w:rPr>
              <w:t>taken into account</w:t>
            </w:r>
            <w:proofErr w:type="gramEnd"/>
            <w:r w:rsidRPr="002A677E">
              <w:rPr>
                <w:rStyle w:val="InstructionsTabelleText"/>
                <w:rFonts w:ascii="Times New Roman" w:hAnsi="Times New Roman"/>
                <w:sz w:val="24"/>
                <w:szCs w:val="24"/>
              </w:rPr>
              <w:t xml:space="preserve">, only the net contribution to the group own funds shall be reported in this column (mainly the own funds raised from third parties and accumulated reserves). </w:t>
            </w:r>
          </w:p>
          <w:p w14:paraId="434D930D" w14:textId="77777777" w:rsidR="00173F08" w:rsidRPr="002A677E" w:rsidRDefault="00173F08" w:rsidP="00822842">
            <w:pPr>
              <w:pStyle w:val="Texte2"/>
              <w:spacing w:after="120"/>
              <w:ind w:left="0"/>
              <w:rPr>
                <w:rStyle w:val="InstructionsTabelleberschrift"/>
                <w:rFonts w:ascii="Times New Roman" w:hAnsi="Times New Roman"/>
                <w:b w:val="0"/>
                <w:bCs w:val="0"/>
                <w:sz w:val="24"/>
                <w:szCs w:val="24"/>
              </w:rPr>
            </w:pPr>
            <w:r w:rsidRPr="002A677E">
              <w:rPr>
                <w:rStyle w:val="InstructionsTabelleText"/>
                <w:rFonts w:ascii="Times New Roman" w:hAnsi="Times New Roman"/>
                <w:sz w:val="24"/>
              </w:rPr>
              <w:t>The information reported in the following columns shall be in accordance with the solvency rules applicable to the reporting institution.</w:t>
            </w:r>
          </w:p>
        </w:tc>
      </w:tr>
      <w:tr w:rsidR="00173F08" w:rsidRPr="002A677E" w14:paraId="00233A1B" w14:textId="77777777" w:rsidTr="00822842">
        <w:tc>
          <w:tcPr>
            <w:tcW w:w="1188" w:type="dxa"/>
          </w:tcPr>
          <w:p w14:paraId="6A2EC485"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0300-0350</w:t>
            </w:r>
          </w:p>
        </w:tc>
        <w:tc>
          <w:tcPr>
            <w:tcW w:w="8640" w:type="dxa"/>
          </w:tcPr>
          <w:p w14:paraId="1F3610D7"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INCLUDED IN CONSOLIDATED OWN FUNDS</w:t>
            </w:r>
          </w:p>
          <w:p w14:paraId="7830B882"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 xml:space="preserve">The amount to be reported as “QUALIFYING OWN FUNDS INCLUDED IN CONSOLIDATED OWN FUNDS” shall be the amount as derived from Part Two, Title II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excluding any fund brought in by other group entities.</w:t>
            </w:r>
          </w:p>
        </w:tc>
      </w:tr>
      <w:tr w:rsidR="00173F08" w:rsidRPr="002A677E" w14:paraId="2D948A28" w14:textId="77777777" w:rsidTr="00822842">
        <w:tc>
          <w:tcPr>
            <w:tcW w:w="1188" w:type="dxa"/>
          </w:tcPr>
          <w:p w14:paraId="6278E06B"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t>0300</w:t>
            </w:r>
          </w:p>
        </w:tc>
        <w:tc>
          <w:tcPr>
            <w:tcW w:w="8640" w:type="dxa"/>
          </w:tcPr>
          <w:p w14:paraId="52465511"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INCLUDED IN CONSOLIDATED OWN FUNDS</w:t>
            </w:r>
          </w:p>
          <w:p w14:paraId="6F3A607D"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87 </w:t>
            </w:r>
            <w:r w:rsidRPr="001235ED">
              <w:rPr>
                <w:rFonts w:ascii="Times New Roman" w:hAnsi="Times New Roman"/>
                <w:sz w:val="24"/>
                <w:lang w:val="en-US"/>
              </w:rPr>
              <w:t>of Regulation (EU) No 575/2013</w:t>
            </w:r>
          </w:p>
        </w:tc>
      </w:tr>
      <w:tr w:rsidR="00173F08" w:rsidRPr="002A677E" w14:paraId="1998204E" w14:textId="77777777" w:rsidTr="00822842">
        <w:tc>
          <w:tcPr>
            <w:tcW w:w="1188" w:type="dxa"/>
          </w:tcPr>
          <w:p w14:paraId="3684E5FE"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t>0310</w:t>
            </w:r>
          </w:p>
        </w:tc>
        <w:tc>
          <w:tcPr>
            <w:tcW w:w="8640" w:type="dxa"/>
          </w:tcPr>
          <w:p w14:paraId="2378035D"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QUALIFYING TIER 1 INSTRUMENTS INCLUDED IN CONSOLIDATED TIER 1 CAPITAL</w:t>
            </w:r>
          </w:p>
          <w:p w14:paraId="4E25C234"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85 </w:t>
            </w:r>
            <w:r w:rsidRPr="001235ED">
              <w:rPr>
                <w:rFonts w:ascii="Times New Roman" w:hAnsi="Times New Roman"/>
                <w:sz w:val="24"/>
                <w:lang w:val="en-US"/>
              </w:rPr>
              <w:t>of Regulation (EU) No 575/2013</w:t>
            </w:r>
          </w:p>
        </w:tc>
      </w:tr>
      <w:tr w:rsidR="00173F08" w:rsidRPr="002A677E" w14:paraId="70CC0CF1" w14:textId="77777777" w:rsidTr="00822842">
        <w:tc>
          <w:tcPr>
            <w:tcW w:w="1188" w:type="dxa"/>
          </w:tcPr>
          <w:p w14:paraId="7C1C1AE3"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t>0320</w:t>
            </w:r>
          </w:p>
        </w:tc>
        <w:tc>
          <w:tcPr>
            <w:tcW w:w="8640" w:type="dxa"/>
          </w:tcPr>
          <w:p w14:paraId="5D406C67" w14:textId="77777777" w:rsidR="00173F08" w:rsidRPr="002A677E" w:rsidRDefault="00173F08" w:rsidP="00822842">
            <w:pPr>
              <w:rPr>
                <w:rStyle w:val="InstructionsTabelleText"/>
                <w:rFonts w:ascii="Times New Roman" w:hAnsi="Times New Roman"/>
                <w:sz w:val="24"/>
              </w:rPr>
            </w:pPr>
            <w:r w:rsidRPr="002A677E">
              <w:rPr>
                <w:rStyle w:val="InstructionsTabelleberschrift"/>
                <w:rFonts w:ascii="Times New Roman" w:hAnsi="Times New Roman"/>
                <w:sz w:val="24"/>
              </w:rPr>
              <w:t>MINORITY INTERESTS INCLUDED IN CONSOLIDATED COMMON</w:t>
            </w:r>
            <w:r w:rsidRPr="002A677E">
              <w:rPr>
                <w:rStyle w:val="InstructionsTabelleberschrift"/>
                <w:rFonts w:ascii="Times New Roman" w:hAnsi="Times New Roman"/>
                <w:sz w:val="24"/>
              </w:rPr>
              <w:br/>
              <w:t>EQUITY TIER 1 CAPITAL</w:t>
            </w:r>
          </w:p>
          <w:p w14:paraId="0B8B81AA"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84 </w:t>
            </w:r>
            <w:r w:rsidRPr="001235ED">
              <w:rPr>
                <w:rFonts w:ascii="Times New Roman" w:hAnsi="Times New Roman"/>
                <w:sz w:val="24"/>
                <w:lang w:val="en-US"/>
              </w:rPr>
              <w:t>of Regulation (EU) No 575/2013</w:t>
            </w:r>
          </w:p>
          <w:p w14:paraId="01FA0CDC"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minority interests of a subsidiary that is included in consolidated CET1 in accordance with the</w:t>
            </w:r>
            <w:r w:rsidRPr="001235ED">
              <w:rPr>
                <w:rFonts w:ascii="Times New Roman" w:hAnsi="Times New Roman"/>
                <w:sz w:val="24"/>
                <w:lang w:val="en-US"/>
              </w:rPr>
              <w:t xml:space="preserve"> Regulation (EU) No 575/2013</w:t>
            </w:r>
            <w:r w:rsidRPr="002A677E">
              <w:rPr>
                <w:rStyle w:val="InstructionsTabelleText"/>
                <w:rFonts w:ascii="Times New Roman" w:hAnsi="Times New Roman"/>
                <w:sz w:val="24"/>
              </w:rPr>
              <w:t xml:space="preserve">. </w:t>
            </w:r>
          </w:p>
        </w:tc>
      </w:tr>
      <w:tr w:rsidR="00173F08" w:rsidRPr="002A677E" w14:paraId="72674BB4" w14:textId="77777777" w:rsidTr="00822842">
        <w:tc>
          <w:tcPr>
            <w:tcW w:w="1188" w:type="dxa"/>
          </w:tcPr>
          <w:p w14:paraId="5F195C28"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t>0330</w:t>
            </w:r>
          </w:p>
        </w:tc>
        <w:tc>
          <w:tcPr>
            <w:tcW w:w="8640" w:type="dxa"/>
          </w:tcPr>
          <w:p w14:paraId="6AF15CF2" w14:textId="77777777" w:rsidR="00173F08" w:rsidRPr="002A677E" w:rsidRDefault="00173F08" w:rsidP="00822842">
            <w:pPr>
              <w:rPr>
                <w:rStyle w:val="InstructionsTabelleText"/>
                <w:rFonts w:ascii="Times New Roman" w:hAnsi="Times New Roman"/>
                <w:sz w:val="24"/>
              </w:rPr>
            </w:pPr>
            <w:r w:rsidRPr="002A677E">
              <w:rPr>
                <w:rStyle w:val="InstructionsTabelleberschrift"/>
                <w:rFonts w:ascii="Times New Roman" w:hAnsi="Times New Roman"/>
                <w:sz w:val="24"/>
              </w:rPr>
              <w:t>QUALIFYING TIER 1 INSTRUMENTS INCLUDED IN CONSOLIDATED ADDITIONAL TIER 1 CAPITAL</w:t>
            </w:r>
          </w:p>
          <w:p w14:paraId="488797C4"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86 </w:t>
            </w:r>
            <w:r w:rsidRPr="001235ED">
              <w:rPr>
                <w:rFonts w:ascii="Times New Roman" w:hAnsi="Times New Roman"/>
                <w:sz w:val="24"/>
                <w:lang w:val="en-US"/>
              </w:rPr>
              <w:t>of Regulation (EU) No 575/2013</w:t>
            </w:r>
          </w:p>
          <w:p w14:paraId="14D60AC1"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qualifying T1 capital</w:t>
            </w:r>
            <w:r w:rsidRPr="002A677E" w:rsidDel="001409D9">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of a subsidiary that is included in consolidated AT1 in accordance with the </w:t>
            </w:r>
            <w:r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w:t>
            </w:r>
          </w:p>
        </w:tc>
      </w:tr>
      <w:tr w:rsidR="00173F08" w:rsidRPr="002A677E" w14:paraId="26437422" w14:textId="77777777" w:rsidTr="00822842">
        <w:tc>
          <w:tcPr>
            <w:tcW w:w="1188" w:type="dxa"/>
          </w:tcPr>
          <w:p w14:paraId="7FD01E11" w14:textId="77777777" w:rsidR="00173F08" w:rsidRPr="002A677E" w:rsidRDefault="00173F08" w:rsidP="00822842">
            <w:pPr>
              <w:rPr>
                <w:rStyle w:val="InstructionsTabelleText"/>
                <w:rFonts w:ascii="Times New Roman" w:hAnsi="Times New Roman"/>
                <w:sz w:val="24"/>
              </w:rPr>
            </w:pPr>
            <w:r w:rsidRPr="002A677E">
              <w:rPr>
                <w:rFonts w:ascii="Times New Roman" w:hAnsi="Times New Roman"/>
                <w:sz w:val="24"/>
              </w:rPr>
              <w:t>0340</w:t>
            </w:r>
          </w:p>
        </w:tc>
        <w:tc>
          <w:tcPr>
            <w:tcW w:w="8640" w:type="dxa"/>
          </w:tcPr>
          <w:p w14:paraId="6E1E5EBF"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INSTRUMENTS INCLUDED IN</w:t>
            </w:r>
            <w:r w:rsidRPr="002A677E">
              <w:rPr>
                <w:rStyle w:val="InstructionsTabelleberschrift"/>
                <w:rFonts w:ascii="Times New Roman" w:hAnsi="Times New Roman"/>
                <w:sz w:val="24"/>
              </w:rPr>
              <w:br/>
              <w:t>CONSOLIDATED TIER 2 CAPITAL</w:t>
            </w:r>
          </w:p>
          <w:p w14:paraId="1E25A6DF"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88 </w:t>
            </w:r>
            <w:r w:rsidRPr="001235ED">
              <w:rPr>
                <w:rFonts w:ascii="Times New Roman" w:hAnsi="Times New Roman"/>
                <w:sz w:val="24"/>
                <w:lang w:val="en-US"/>
              </w:rPr>
              <w:t>of Regulation (EU) No 575/2013</w:t>
            </w:r>
          </w:p>
          <w:p w14:paraId="257F78A1"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qualifying own funds</w:t>
            </w:r>
            <w:r w:rsidRPr="002A677E" w:rsidDel="001409D9">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of a subsidiary that is included in consolidated T2 in accordance with the </w:t>
            </w:r>
            <w:r w:rsidRPr="001235ED">
              <w:rPr>
                <w:rFonts w:ascii="Times New Roman" w:hAnsi="Times New Roman"/>
                <w:sz w:val="24"/>
                <w:lang w:val="en-US"/>
              </w:rPr>
              <w:t>Regulation (EU) No 575/2013</w:t>
            </w:r>
            <w:r w:rsidRPr="002A677E">
              <w:rPr>
                <w:rStyle w:val="InstructionsTabelleText"/>
                <w:rFonts w:ascii="Times New Roman" w:hAnsi="Times New Roman"/>
                <w:sz w:val="24"/>
              </w:rPr>
              <w:t xml:space="preserve">. </w:t>
            </w:r>
          </w:p>
        </w:tc>
      </w:tr>
      <w:tr w:rsidR="00173F08" w:rsidRPr="002A677E" w14:paraId="39EA7587" w14:textId="77777777" w:rsidTr="00822842">
        <w:tc>
          <w:tcPr>
            <w:tcW w:w="1188" w:type="dxa"/>
          </w:tcPr>
          <w:p w14:paraId="04CB064F" w14:textId="77777777" w:rsidR="00173F08" w:rsidRPr="002A677E" w:rsidRDefault="00173F08" w:rsidP="00822842">
            <w:pPr>
              <w:rPr>
                <w:rFonts w:ascii="Times New Roman" w:hAnsi="Times New Roman"/>
                <w:sz w:val="24"/>
              </w:rPr>
            </w:pPr>
            <w:r w:rsidRPr="002A677E">
              <w:rPr>
                <w:rFonts w:ascii="Times New Roman" w:hAnsi="Times New Roman"/>
                <w:sz w:val="24"/>
              </w:rPr>
              <w:t>0350</w:t>
            </w:r>
          </w:p>
        </w:tc>
        <w:tc>
          <w:tcPr>
            <w:tcW w:w="8640" w:type="dxa"/>
          </w:tcPr>
          <w:p w14:paraId="7BBDC2E3"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MEMORANDUM ITEM: GOODWILL (-) / (+) NEGATIVE GOODWILL</w:t>
            </w:r>
          </w:p>
        </w:tc>
      </w:tr>
      <w:tr w:rsidR="00173F08" w:rsidRPr="002A677E" w14:paraId="3997C23F" w14:textId="77777777" w:rsidTr="00822842">
        <w:tc>
          <w:tcPr>
            <w:tcW w:w="1188" w:type="dxa"/>
          </w:tcPr>
          <w:p w14:paraId="72AB87A5" w14:textId="77777777" w:rsidR="00173F08" w:rsidRPr="002A677E" w:rsidRDefault="00173F08" w:rsidP="00822842">
            <w:pPr>
              <w:rPr>
                <w:rFonts w:ascii="Times New Roman" w:hAnsi="Times New Roman"/>
                <w:sz w:val="24"/>
              </w:rPr>
            </w:pPr>
            <w:r w:rsidRPr="002A677E">
              <w:rPr>
                <w:rFonts w:ascii="Times New Roman" w:hAnsi="Times New Roman"/>
                <w:sz w:val="24"/>
              </w:rPr>
              <w:lastRenderedPageBreak/>
              <w:t>0360-0400</w:t>
            </w:r>
          </w:p>
        </w:tc>
        <w:tc>
          <w:tcPr>
            <w:tcW w:w="8640" w:type="dxa"/>
          </w:tcPr>
          <w:p w14:paraId="397FA959"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CONSOLIDATED OWN FUNDS</w:t>
            </w:r>
          </w:p>
          <w:p w14:paraId="71907E17"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Article 18 </w:t>
            </w:r>
            <w:r w:rsidRPr="001235ED">
              <w:rPr>
                <w:rFonts w:ascii="Times New Roman" w:hAnsi="Times New Roman"/>
                <w:sz w:val="24"/>
                <w:lang w:val="en-US"/>
              </w:rPr>
              <w:t>of Regulation (EU) No 575/2013</w:t>
            </w:r>
          </w:p>
          <w:p w14:paraId="4F42327D"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The amount to be reported as “CONSOLIDATED OWN FUNDS” shall be the amount as derived from the balance sheet, excluding any fund brought in by other group entities.</w:t>
            </w:r>
          </w:p>
        </w:tc>
      </w:tr>
      <w:tr w:rsidR="00173F08" w:rsidRPr="002A677E" w14:paraId="293A7FF6" w14:textId="77777777" w:rsidTr="00822842">
        <w:tc>
          <w:tcPr>
            <w:tcW w:w="1188" w:type="dxa"/>
          </w:tcPr>
          <w:p w14:paraId="0E03C6C1" w14:textId="77777777" w:rsidR="00173F08" w:rsidRPr="002A677E" w:rsidRDefault="00173F08" w:rsidP="00822842">
            <w:pPr>
              <w:rPr>
                <w:rFonts w:ascii="Times New Roman" w:hAnsi="Times New Roman"/>
                <w:sz w:val="24"/>
              </w:rPr>
            </w:pPr>
            <w:r w:rsidRPr="002A677E">
              <w:rPr>
                <w:rFonts w:ascii="Times New Roman" w:hAnsi="Times New Roman"/>
                <w:sz w:val="24"/>
              </w:rPr>
              <w:t>0360</w:t>
            </w:r>
          </w:p>
        </w:tc>
        <w:tc>
          <w:tcPr>
            <w:tcW w:w="8640" w:type="dxa"/>
          </w:tcPr>
          <w:p w14:paraId="41EC81C0"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CONSOLIDATED OWN FUNDS</w:t>
            </w:r>
          </w:p>
        </w:tc>
      </w:tr>
      <w:tr w:rsidR="00173F08" w:rsidRPr="002A677E" w14:paraId="2E86BBAD" w14:textId="77777777" w:rsidTr="00822842">
        <w:tc>
          <w:tcPr>
            <w:tcW w:w="1188" w:type="dxa"/>
          </w:tcPr>
          <w:p w14:paraId="444BD8B5" w14:textId="77777777" w:rsidR="00173F08" w:rsidRPr="002A677E" w:rsidRDefault="00173F08" w:rsidP="00822842">
            <w:pPr>
              <w:rPr>
                <w:rFonts w:ascii="Times New Roman" w:hAnsi="Times New Roman"/>
                <w:sz w:val="24"/>
              </w:rPr>
            </w:pPr>
            <w:r w:rsidRPr="002A677E">
              <w:rPr>
                <w:rFonts w:ascii="Times New Roman" w:hAnsi="Times New Roman"/>
                <w:sz w:val="24"/>
              </w:rPr>
              <w:t>0370</w:t>
            </w:r>
          </w:p>
        </w:tc>
        <w:tc>
          <w:tcPr>
            <w:tcW w:w="8640" w:type="dxa"/>
          </w:tcPr>
          <w:p w14:paraId="2CC57784"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COMMON EQUITY TIER 1</w:t>
            </w:r>
          </w:p>
        </w:tc>
      </w:tr>
      <w:tr w:rsidR="00173F08" w:rsidRPr="002A677E" w14:paraId="68DCA9F1" w14:textId="77777777" w:rsidTr="00822842">
        <w:tc>
          <w:tcPr>
            <w:tcW w:w="1188" w:type="dxa"/>
          </w:tcPr>
          <w:p w14:paraId="01DAA296" w14:textId="77777777" w:rsidR="00173F08" w:rsidRPr="002A677E" w:rsidDel="0081176B" w:rsidRDefault="00173F08" w:rsidP="00822842">
            <w:pPr>
              <w:rPr>
                <w:rFonts w:ascii="Times New Roman" w:hAnsi="Times New Roman"/>
                <w:sz w:val="24"/>
              </w:rPr>
            </w:pPr>
            <w:r w:rsidRPr="002A677E">
              <w:rPr>
                <w:rFonts w:ascii="Times New Roman" w:hAnsi="Times New Roman"/>
                <w:sz w:val="24"/>
              </w:rPr>
              <w:t>0380</w:t>
            </w:r>
          </w:p>
        </w:tc>
        <w:tc>
          <w:tcPr>
            <w:tcW w:w="8640" w:type="dxa"/>
          </w:tcPr>
          <w:p w14:paraId="3B9BF397" w14:textId="77777777" w:rsidR="00173F08" w:rsidRPr="002A677E" w:rsidDel="0081176B"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ADDITIONAL TIER 1</w:t>
            </w:r>
          </w:p>
        </w:tc>
      </w:tr>
      <w:tr w:rsidR="00173F08" w:rsidRPr="002A677E" w14:paraId="0D196D2B" w14:textId="77777777" w:rsidTr="00822842">
        <w:tc>
          <w:tcPr>
            <w:tcW w:w="1188" w:type="dxa"/>
          </w:tcPr>
          <w:p w14:paraId="74707B55" w14:textId="77777777" w:rsidR="00173F08" w:rsidRPr="002A677E" w:rsidRDefault="00173F08" w:rsidP="00822842">
            <w:pPr>
              <w:rPr>
                <w:rFonts w:ascii="Times New Roman" w:hAnsi="Times New Roman"/>
                <w:sz w:val="24"/>
              </w:rPr>
            </w:pPr>
            <w:r w:rsidRPr="002A677E">
              <w:rPr>
                <w:rFonts w:ascii="Times New Roman" w:hAnsi="Times New Roman"/>
                <w:sz w:val="24"/>
              </w:rPr>
              <w:t>0390</w:t>
            </w:r>
          </w:p>
        </w:tc>
        <w:tc>
          <w:tcPr>
            <w:tcW w:w="8640" w:type="dxa"/>
          </w:tcPr>
          <w:p w14:paraId="1A386497" w14:textId="77777777" w:rsidR="00173F08" w:rsidRPr="002A677E" w:rsidRDefault="00173F08" w:rsidP="00822842">
            <w:pPr>
              <w:rPr>
                <w:rStyle w:val="InstructionsTabelleText"/>
                <w:rFonts w:ascii="Times New Roman" w:hAnsi="Times New Roman"/>
                <w:sz w:val="24"/>
              </w:rPr>
            </w:pPr>
            <w:r w:rsidRPr="002A677E">
              <w:rPr>
                <w:rStyle w:val="InstructionsTabelleberschrift"/>
                <w:rFonts w:ascii="Times New Roman" w:hAnsi="Times New Roman"/>
                <w:sz w:val="24"/>
              </w:rPr>
              <w:t>OF WHICH: CONRIBUTIONS TO CONSOLIDATED RESULT</w:t>
            </w:r>
          </w:p>
          <w:p w14:paraId="0077C050"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The contribution of each entity to the consolidated result (profit or loss (-)) shall be reported. That includes the results attributable to minority interests.</w:t>
            </w:r>
          </w:p>
        </w:tc>
      </w:tr>
      <w:tr w:rsidR="00173F08" w:rsidRPr="002A677E" w14:paraId="499357F9" w14:textId="77777777" w:rsidTr="00822842">
        <w:tc>
          <w:tcPr>
            <w:tcW w:w="1188" w:type="dxa"/>
          </w:tcPr>
          <w:p w14:paraId="237DD5A1" w14:textId="77777777" w:rsidR="00173F08" w:rsidRPr="002A677E" w:rsidRDefault="00173F08" w:rsidP="00822842">
            <w:pPr>
              <w:rPr>
                <w:rFonts w:ascii="Times New Roman" w:hAnsi="Times New Roman"/>
                <w:sz w:val="24"/>
              </w:rPr>
            </w:pPr>
            <w:r w:rsidRPr="002A677E">
              <w:rPr>
                <w:rFonts w:ascii="Times New Roman" w:hAnsi="Times New Roman"/>
                <w:sz w:val="24"/>
              </w:rPr>
              <w:t>0400</w:t>
            </w:r>
          </w:p>
        </w:tc>
        <w:tc>
          <w:tcPr>
            <w:tcW w:w="8640" w:type="dxa"/>
          </w:tcPr>
          <w:p w14:paraId="2D7939A6"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OF WHICH: (-) GOODWILL / (+) NEGATIVE GOODWILL</w:t>
            </w:r>
          </w:p>
          <w:p w14:paraId="1EA56152" w14:textId="77777777" w:rsidR="00173F08" w:rsidRPr="002A677E" w:rsidRDefault="00173F08" w:rsidP="00822842">
            <w:pPr>
              <w:rPr>
                <w:rStyle w:val="InstructionsTabelleberschrift"/>
                <w:rFonts w:ascii="Times New Roman" w:hAnsi="Times New Roman"/>
                <w:sz w:val="24"/>
              </w:rPr>
            </w:pPr>
            <w:r w:rsidRPr="002A677E">
              <w:rPr>
                <w:rStyle w:val="InstructionsTabelleText"/>
                <w:rFonts w:ascii="Times New Roman" w:hAnsi="Times New Roman"/>
                <w:sz w:val="24"/>
              </w:rPr>
              <w:t>G</w:t>
            </w:r>
            <w:r w:rsidRPr="002A677E" w:rsidDel="0081176B">
              <w:rPr>
                <w:rStyle w:val="InstructionsTabelleText"/>
                <w:rFonts w:ascii="Times New Roman" w:hAnsi="Times New Roman"/>
                <w:sz w:val="24"/>
              </w:rPr>
              <w:t xml:space="preserve">oodwill or negative goodwill of the reporting entity on the subsidiary </w:t>
            </w:r>
            <w:r w:rsidRPr="002A677E">
              <w:rPr>
                <w:rStyle w:val="InstructionsTabelleText"/>
                <w:rFonts w:ascii="Times New Roman" w:hAnsi="Times New Roman"/>
                <w:sz w:val="24"/>
              </w:rPr>
              <w:t>shall be</w:t>
            </w:r>
            <w:r w:rsidRPr="002A677E" w:rsidDel="0081176B">
              <w:rPr>
                <w:rStyle w:val="InstructionsTabelleText"/>
                <w:rFonts w:ascii="Times New Roman" w:hAnsi="Times New Roman"/>
                <w:sz w:val="24"/>
              </w:rPr>
              <w:t xml:space="preserve"> reported here.</w:t>
            </w:r>
          </w:p>
        </w:tc>
      </w:tr>
      <w:tr w:rsidR="00173F08" w:rsidRPr="002A677E" w14:paraId="33B902F7" w14:textId="77777777" w:rsidTr="00822842">
        <w:tc>
          <w:tcPr>
            <w:tcW w:w="1188" w:type="dxa"/>
          </w:tcPr>
          <w:p w14:paraId="34A2D119"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0410-0480</w:t>
            </w:r>
          </w:p>
        </w:tc>
        <w:tc>
          <w:tcPr>
            <w:tcW w:w="8640" w:type="dxa"/>
          </w:tcPr>
          <w:p w14:paraId="653C81F3"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CAPITAL BUFFERS</w:t>
            </w:r>
          </w:p>
          <w:p w14:paraId="5D522742"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t xml:space="preserve">The structure of the reporting of capital buffers for the GS template shall follow the general structure of the template CA4, using the same reporting concepts. When reporting the capital buffers for the GS template, the relevant amounts shall be reported in accordance with the provisions applicable to determine the buffer requirement for the consolidated situation of a group. Therefore, the reported amounts of capital buffers shall represent the contributions of each entity to group capital buffers. The amounts reported shall be based on the national provisions transposing </w:t>
            </w:r>
            <w:r w:rsidRPr="002A677E">
              <w:rPr>
                <w:rFonts w:ascii="Times New Roman" w:hAnsi="Times New Roman"/>
                <w:sz w:val="24"/>
              </w:rPr>
              <w:t>Directive 2013/36/EU</w:t>
            </w:r>
            <w:r w:rsidRPr="002A677E">
              <w:rPr>
                <w:rStyle w:val="InstructionsTabelleberschrift"/>
                <w:rFonts w:ascii="Times New Roman" w:hAnsi="Times New Roman"/>
                <w:sz w:val="24"/>
              </w:rPr>
              <w:t xml:space="preserve"> and on</w:t>
            </w:r>
            <w:r w:rsidRPr="001235ED">
              <w:rPr>
                <w:rFonts w:ascii="Times New Roman" w:hAnsi="Times New Roman"/>
                <w:sz w:val="24"/>
                <w:lang w:val="en-US"/>
              </w:rPr>
              <w:t xml:space="preserve"> Regulation (EU) No 575/2013</w:t>
            </w:r>
            <w:r w:rsidRPr="002A677E">
              <w:rPr>
                <w:rStyle w:val="InstructionsTabelleberschrift"/>
                <w:rFonts w:ascii="Times New Roman" w:hAnsi="Times New Roman"/>
                <w:sz w:val="24"/>
              </w:rPr>
              <w:t>, including any transitional provisions provided for therein.</w:t>
            </w:r>
          </w:p>
        </w:tc>
      </w:tr>
      <w:tr w:rsidR="00173F08" w:rsidRPr="002A677E" w14:paraId="63DC141B" w14:textId="77777777" w:rsidTr="00822842">
        <w:tc>
          <w:tcPr>
            <w:tcW w:w="1188" w:type="dxa"/>
          </w:tcPr>
          <w:p w14:paraId="5BB39E7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0410</w:t>
            </w:r>
          </w:p>
        </w:tc>
        <w:tc>
          <w:tcPr>
            <w:tcW w:w="8640" w:type="dxa"/>
          </w:tcPr>
          <w:p w14:paraId="14D301D1"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COMBINED BUFFER REQUIREMENT</w:t>
            </w:r>
          </w:p>
          <w:p w14:paraId="7DF96672" w14:textId="77777777" w:rsidR="00173F08" w:rsidRPr="002A677E" w:rsidRDefault="00173F08" w:rsidP="00822842">
            <w:pPr>
              <w:tabs>
                <w:tab w:val="left" w:pos="3510"/>
              </w:tabs>
              <w:rPr>
                <w:rStyle w:val="InstructionsTabelleberschrift"/>
                <w:rFonts w:ascii="Times New Roman" w:hAnsi="Times New Roman"/>
                <w:sz w:val="24"/>
              </w:rPr>
            </w:pPr>
            <w:r w:rsidRPr="002A677E">
              <w:rPr>
                <w:rStyle w:val="InstructionsTabelleText"/>
                <w:rFonts w:ascii="Times New Roman" w:hAnsi="Times New Roman"/>
                <w:sz w:val="24"/>
              </w:rPr>
              <w:t>Article 128</w:t>
            </w:r>
            <w:r>
              <w:rPr>
                <w:rStyle w:val="InstructionsTabelleText"/>
                <w:rFonts w:ascii="Times New Roman" w:hAnsi="Times New Roman"/>
                <w:sz w:val="24"/>
              </w:rPr>
              <w:t>, p</w:t>
            </w:r>
            <w:r w:rsidRPr="002A677E">
              <w:rPr>
                <w:rStyle w:val="InstructionsTabelleText"/>
                <w:rFonts w:ascii="Times New Roman" w:hAnsi="Times New Roman"/>
                <w:sz w:val="24"/>
              </w:rPr>
              <w:t xml:space="preserve">oint (6) </w:t>
            </w:r>
            <w:r w:rsidRPr="002A677E">
              <w:rPr>
                <w:rFonts w:ascii="Times New Roman" w:hAnsi="Times New Roman"/>
                <w:sz w:val="24"/>
              </w:rPr>
              <w:t>of Directive 2013/36/EU</w:t>
            </w:r>
          </w:p>
        </w:tc>
      </w:tr>
      <w:tr w:rsidR="00173F08" w:rsidRPr="002A677E" w14:paraId="4304DCA5" w14:textId="77777777" w:rsidTr="00822842">
        <w:tc>
          <w:tcPr>
            <w:tcW w:w="1188" w:type="dxa"/>
          </w:tcPr>
          <w:p w14:paraId="0CFC30D8"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0420</w:t>
            </w:r>
          </w:p>
        </w:tc>
        <w:tc>
          <w:tcPr>
            <w:tcW w:w="8640" w:type="dxa"/>
          </w:tcPr>
          <w:p w14:paraId="41EA8A90"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CAPITAL CONSERVATION BUFFER</w:t>
            </w:r>
          </w:p>
          <w:p w14:paraId="5DD283B6"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Article 128</w:t>
            </w:r>
            <w:r>
              <w:rPr>
                <w:rStyle w:val="InstructionsTabelleText"/>
                <w:rFonts w:ascii="Times New Roman" w:hAnsi="Times New Roman"/>
                <w:sz w:val="24"/>
              </w:rPr>
              <w:t>, p</w:t>
            </w:r>
            <w:r w:rsidRPr="002A677E">
              <w:rPr>
                <w:rStyle w:val="InstructionsTabelleText"/>
                <w:rFonts w:ascii="Times New Roman" w:hAnsi="Times New Roman"/>
                <w:sz w:val="24"/>
              </w:rPr>
              <w:t xml:space="preserve">oint (1) and Article 129 </w:t>
            </w:r>
            <w:r w:rsidRPr="002A677E">
              <w:rPr>
                <w:rFonts w:ascii="Times New Roman" w:hAnsi="Times New Roman"/>
                <w:sz w:val="24"/>
              </w:rPr>
              <w:t>of Directive 2013/36/EU</w:t>
            </w:r>
          </w:p>
          <w:p w14:paraId="7013CF4E" w14:textId="77777777" w:rsidR="00173F08" w:rsidRPr="002A677E" w:rsidRDefault="00173F08" w:rsidP="00822842">
            <w:pPr>
              <w:pStyle w:val="InstructionsText"/>
              <w:rPr>
                <w:rStyle w:val="InstructionsTabelleText"/>
                <w:lang w:eastAsia="en-US"/>
              </w:rPr>
            </w:pPr>
            <w:r w:rsidRPr="001235ED">
              <w:t xml:space="preserve">In accordance with Article 129(1) </w:t>
            </w:r>
            <w:r w:rsidRPr="002A677E">
              <w:t xml:space="preserve">of Directive 2013/36/EU, the capital conservation buffer is an additional amount of Common Equity Tier 1 capital. </w:t>
            </w:r>
            <w:proofErr w:type="gramStart"/>
            <w:r w:rsidRPr="002A677E">
              <w:t>Due to the fact that</w:t>
            </w:r>
            <w:proofErr w:type="gramEnd"/>
            <w:r w:rsidRPr="002A677E">
              <w:t xml:space="preserve"> the capital conservation buffer rate of 2.5</w:t>
            </w:r>
            <w:r>
              <w:t xml:space="preserve"> </w:t>
            </w:r>
            <w:r w:rsidRPr="002A677E">
              <w:t>% is stable, an amount shall be reported in this cell.</w:t>
            </w:r>
          </w:p>
        </w:tc>
      </w:tr>
      <w:tr w:rsidR="00173F08" w:rsidRPr="002A677E" w14:paraId="33A8BFBD" w14:textId="77777777" w:rsidTr="00822842">
        <w:tc>
          <w:tcPr>
            <w:tcW w:w="1188" w:type="dxa"/>
          </w:tcPr>
          <w:p w14:paraId="2C9182C7"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0430</w:t>
            </w:r>
          </w:p>
        </w:tc>
        <w:tc>
          <w:tcPr>
            <w:tcW w:w="8640" w:type="dxa"/>
          </w:tcPr>
          <w:p w14:paraId="6552E827"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INSTITUTION SPECIFIC COUNTERCYCLICAL CAPITAL BUFFER</w:t>
            </w:r>
          </w:p>
          <w:p w14:paraId="38A11488"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Article 128</w:t>
            </w:r>
            <w:r>
              <w:rPr>
                <w:rStyle w:val="InstructionsTabelleText"/>
                <w:rFonts w:ascii="Times New Roman" w:hAnsi="Times New Roman"/>
                <w:sz w:val="24"/>
              </w:rPr>
              <w:t>, p</w:t>
            </w:r>
            <w:r w:rsidRPr="002A677E">
              <w:rPr>
                <w:rStyle w:val="InstructionsTabelleText"/>
                <w:rFonts w:ascii="Times New Roman" w:hAnsi="Times New Roman"/>
                <w:sz w:val="24"/>
              </w:rPr>
              <w:t xml:space="preserve">oint (2), Article 130 and Articles 135 to 140 </w:t>
            </w:r>
            <w:r w:rsidRPr="002A677E">
              <w:rPr>
                <w:rFonts w:ascii="Times New Roman" w:hAnsi="Times New Roman"/>
                <w:sz w:val="24"/>
              </w:rPr>
              <w:t>of Directive 2013/36/EU</w:t>
            </w:r>
          </w:p>
          <w:p w14:paraId="169D829F" w14:textId="77777777" w:rsidR="00173F08" w:rsidRPr="002A677E" w:rsidRDefault="00173F08" w:rsidP="00822842">
            <w:pPr>
              <w:pStyle w:val="InstructionsText"/>
              <w:rPr>
                <w:rStyle w:val="InstructionsTabelleText"/>
                <w:lang w:eastAsia="en-US"/>
              </w:rPr>
            </w:pPr>
            <w:r w:rsidRPr="001235ED">
              <w:t>T</w:t>
            </w:r>
            <w:r w:rsidRPr="002A677E">
              <w:t>he concrete amount of the countercyclical buffer shall be reported in this cell.</w:t>
            </w:r>
          </w:p>
        </w:tc>
      </w:tr>
      <w:tr w:rsidR="00173F08" w:rsidRPr="002A677E" w14:paraId="393ED63D" w14:textId="77777777" w:rsidTr="00822842">
        <w:tc>
          <w:tcPr>
            <w:tcW w:w="1188" w:type="dxa"/>
          </w:tcPr>
          <w:p w14:paraId="6BD0956B" w14:textId="77777777" w:rsidR="00173F08" w:rsidRPr="002A677E" w:rsidDel="00D70027"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0440</w:t>
            </w:r>
          </w:p>
        </w:tc>
        <w:tc>
          <w:tcPr>
            <w:tcW w:w="8640" w:type="dxa"/>
          </w:tcPr>
          <w:p w14:paraId="3C0108F5"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CONSERVATION BUFFER DUE TO MACRO-PRUDENTIAL OR SYSTEMIC RISK IDENTIFIED AT THE LEVEL OF A MEMBER STATE</w:t>
            </w:r>
          </w:p>
          <w:p w14:paraId="0EC165D1" w14:textId="77777777" w:rsidR="00173F08" w:rsidRPr="002A677E" w:rsidRDefault="00173F08" w:rsidP="00822842">
            <w:pPr>
              <w:rPr>
                <w:rStyle w:val="InstructionsTabelleberschrift"/>
                <w:rFonts w:ascii="Times New Roman" w:hAnsi="Times New Roman"/>
                <w:b w:val="0"/>
                <w:sz w:val="24"/>
              </w:rPr>
            </w:pPr>
            <w:r w:rsidRPr="002A677E">
              <w:rPr>
                <w:rStyle w:val="InstructionsTabelleberschrift"/>
                <w:rFonts w:ascii="Times New Roman" w:hAnsi="Times New Roman"/>
                <w:sz w:val="24"/>
              </w:rPr>
              <w:lastRenderedPageBreak/>
              <w:t>Article 458(2</w:t>
            </w:r>
            <w:proofErr w:type="gramStart"/>
            <w:r w:rsidRPr="002A677E">
              <w:rPr>
                <w:rStyle w:val="InstructionsTabelleberschrift"/>
                <w:rFonts w:ascii="Times New Roman" w:hAnsi="Times New Roman"/>
                <w:sz w:val="24"/>
              </w:rPr>
              <w:t>),point</w:t>
            </w:r>
            <w:proofErr w:type="gramEnd"/>
            <w:r w:rsidRPr="002A677E">
              <w:rPr>
                <w:rStyle w:val="InstructionsTabelleberschrift"/>
                <w:rFonts w:ascii="Times New Roman" w:hAnsi="Times New Roman"/>
                <w:sz w:val="24"/>
              </w:rPr>
              <w:t xml:space="preserve"> (d)(iv) </w:t>
            </w:r>
            <w:r w:rsidRPr="001235ED">
              <w:rPr>
                <w:rFonts w:ascii="Times New Roman" w:hAnsi="Times New Roman"/>
                <w:sz w:val="24"/>
                <w:lang w:val="en-US"/>
              </w:rPr>
              <w:t>of Regulation (EU) No 575/2013</w:t>
            </w:r>
          </w:p>
          <w:p w14:paraId="2C6BA8FE" w14:textId="77777777" w:rsidR="00173F08" w:rsidRPr="002A677E" w:rsidRDefault="00173F08" w:rsidP="00822842">
            <w:pPr>
              <w:pStyle w:val="InstructionsText"/>
              <w:rPr>
                <w:rStyle w:val="InstructionsTabelleberschrift"/>
                <w:lang w:eastAsia="en-US"/>
              </w:rPr>
            </w:pPr>
            <w:r w:rsidRPr="001235ED">
              <w:t>T</w:t>
            </w:r>
            <w:r w:rsidRPr="002A677E">
              <w:t xml:space="preserve">he amount of the conservation buffer due to macro-prudential or systemic risk identified at the level of a Member State, which can be requested in accordance with Article 458 </w:t>
            </w:r>
            <w:r w:rsidRPr="001235ED">
              <w:rPr>
                <w:lang w:val="en-US"/>
              </w:rPr>
              <w:t>of Regulation (EU) No 575/2013</w:t>
            </w:r>
            <w:r>
              <w:rPr>
                <w:lang w:val="en-US"/>
              </w:rPr>
              <w:t xml:space="preserve"> </w:t>
            </w:r>
            <w:r w:rsidRPr="002A677E">
              <w:t>in addition to the capital conservation buffer, shall be reported in this cell.</w:t>
            </w:r>
          </w:p>
        </w:tc>
      </w:tr>
      <w:tr w:rsidR="00173F08" w:rsidRPr="002A677E" w14:paraId="4E8C2CA8" w14:textId="77777777" w:rsidTr="00822842">
        <w:tc>
          <w:tcPr>
            <w:tcW w:w="1188" w:type="dxa"/>
          </w:tcPr>
          <w:p w14:paraId="3AADC451"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lastRenderedPageBreak/>
              <w:t>0450</w:t>
            </w:r>
          </w:p>
        </w:tc>
        <w:tc>
          <w:tcPr>
            <w:tcW w:w="8640" w:type="dxa"/>
          </w:tcPr>
          <w:p w14:paraId="37512F51" w14:textId="77777777" w:rsidR="00173F08" w:rsidRPr="002A677E" w:rsidRDefault="00173F08" w:rsidP="00822842">
            <w:pPr>
              <w:rPr>
                <w:rStyle w:val="InstructionsTabelleberschrift"/>
                <w:rFonts w:ascii="Times New Roman" w:hAnsi="Times New Roman"/>
                <w:sz w:val="24"/>
              </w:rPr>
            </w:pPr>
            <w:r w:rsidRPr="002A677E">
              <w:rPr>
                <w:rStyle w:val="InstructionsTabelleberschrift"/>
                <w:rFonts w:ascii="Times New Roman" w:hAnsi="Times New Roman"/>
                <w:sz w:val="24"/>
              </w:rPr>
              <w:t>SYSTEMIC RISK BUFFER</w:t>
            </w:r>
          </w:p>
          <w:p w14:paraId="409112BD" w14:textId="77777777" w:rsidR="00173F08" w:rsidRPr="002A677E" w:rsidRDefault="00173F08" w:rsidP="00822842">
            <w:pPr>
              <w:pStyle w:val="InstructionsText"/>
            </w:pPr>
            <w:r w:rsidRPr="002A677E">
              <w:t>Article 128</w:t>
            </w:r>
            <w:r>
              <w:t>, p</w:t>
            </w:r>
            <w:r w:rsidRPr="002A677E">
              <w:t xml:space="preserve">oint (5), Articles 133 and 134 of Directive 2013/36/EU </w:t>
            </w:r>
          </w:p>
          <w:p w14:paraId="1888AE1C" w14:textId="77777777" w:rsidR="00173F08" w:rsidRPr="001235ED" w:rsidRDefault="00173F08" w:rsidP="00822842">
            <w:pPr>
              <w:rPr>
                <w:rStyle w:val="InstructionsTabelleberschrift"/>
                <w:rFonts w:ascii="Times New Roman" w:hAnsi="Times New Roman"/>
                <w:sz w:val="24"/>
              </w:rPr>
            </w:pPr>
            <w:r w:rsidRPr="001235ED">
              <w:rPr>
                <w:rFonts w:ascii="Times New Roman" w:hAnsi="Times New Roman"/>
                <w:sz w:val="24"/>
              </w:rPr>
              <w:t>T</w:t>
            </w:r>
            <w:r w:rsidRPr="002A677E">
              <w:rPr>
                <w:rFonts w:ascii="Times New Roman" w:hAnsi="Times New Roman"/>
                <w:sz w:val="24"/>
              </w:rPr>
              <w:t>he amount of the systemic risk buffer shall be reported in this cell.</w:t>
            </w:r>
          </w:p>
        </w:tc>
      </w:tr>
      <w:tr w:rsidR="00173F08" w:rsidRPr="002A677E" w14:paraId="1CE0C973" w14:textId="77777777" w:rsidTr="00822842">
        <w:tc>
          <w:tcPr>
            <w:tcW w:w="1188" w:type="dxa"/>
          </w:tcPr>
          <w:p w14:paraId="729A039E"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0470</w:t>
            </w:r>
          </w:p>
        </w:tc>
        <w:tc>
          <w:tcPr>
            <w:tcW w:w="8640" w:type="dxa"/>
          </w:tcPr>
          <w:p w14:paraId="1989B565" w14:textId="77777777" w:rsidR="00173F08" w:rsidRPr="002A677E" w:rsidRDefault="00173F08" w:rsidP="00822842">
            <w:pPr>
              <w:tabs>
                <w:tab w:val="left" w:pos="6660"/>
              </w:tabs>
              <w:rPr>
                <w:rStyle w:val="InstructionsTabelleberschrift"/>
                <w:rFonts w:ascii="Times New Roman" w:hAnsi="Times New Roman"/>
                <w:sz w:val="24"/>
              </w:rPr>
            </w:pPr>
            <w:r w:rsidRPr="002A677E">
              <w:rPr>
                <w:rStyle w:val="InstructionsTabelleberschrift"/>
                <w:rFonts w:ascii="Times New Roman" w:hAnsi="Times New Roman"/>
                <w:sz w:val="24"/>
              </w:rPr>
              <w:t>GLOBAL SYSTEMICALLY IMPORTANT INSTITUTION BUFFER</w:t>
            </w:r>
            <w:r w:rsidRPr="002A677E">
              <w:rPr>
                <w:rStyle w:val="InstructionsTabelleberschrift"/>
                <w:rFonts w:ascii="Times New Roman" w:hAnsi="Times New Roman"/>
                <w:sz w:val="24"/>
              </w:rPr>
              <w:tab/>
            </w:r>
          </w:p>
          <w:p w14:paraId="530093DF" w14:textId="77777777" w:rsidR="00173F08" w:rsidRPr="002A677E" w:rsidRDefault="00173F08" w:rsidP="00822842">
            <w:pPr>
              <w:pStyle w:val="InstructionsText"/>
              <w:rPr>
                <w:rStyle w:val="InstructionsTabelleberschrift"/>
                <w:b w:val="0"/>
                <w:lang w:eastAsia="en-US"/>
              </w:rPr>
            </w:pPr>
            <w:r w:rsidRPr="002A677E">
              <w:rPr>
                <w:rStyle w:val="InstructionsTabelleberschrift"/>
              </w:rPr>
              <w:t>Article 128</w:t>
            </w:r>
            <w:r>
              <w:rPr>
                <w:rStyle w:val="InstructionsTabelleberschrift"/>
              </w:rPr>
              <w:t>, p</w:t>
            </w:r>
            <w:r w:rsidRPr="002A677E">
              <w:rPr>
                <w:rStyle w:val="InstructionsTabelleberschrift"/>
              </w:rPr>
              <w:t xml:space="preserve">oint (3) and Article 131 </w:t>
            </w:r>
            <w:r w:rsidRPr="002A677E">
              <w:t>of Directive 2013/36/EU</w:t>
            </w:r>
          </w:p>
          <w:p w14:paraId="5835A3FB" w14:textId="77777777" w:rsidR="00173F08" w:rsidRPr="002A677E" w:rsidRDefault="00173F08" w:rsidP="00822842">
            <w:pPr>
              <w:pStyle w:val="InstructionsText"/>
              <w:rPr>
                <w:rStyle w:val="InstructionsTabelleberschrift"/>
                <w:lang w:eastAsia="en-US"/>
              </w:rPr>
            </w:pPr>
            <w:r w:rsidRPr="001235ED">
              <w:t>T</w:t>
            </w:r>
            <w:r w:rsidRPr="002A677E">
              <w:t>he amount of the Global Systemically Important Institution buffer shall be reported in this cell.</w:t>
            </w:r>
          </w:p>
        </w:tc>
      </w:tr>
      <w:tr w:rsidR="00173F08" w:rsidRPr="002A677E" w14:paraId="57BA6A14" w14:textId="77777777" w:rsidTr="00822842">
        <w:tc>
          <w:tcPr>
            <w:tcW w:w="1188" w:type="dxa"/>
          </w:tcPr>
          <w:p w14:paraId="769CFE84" w14:textId="77777777" w:rsidR="00173F08" w:rsidRPr="002A677E" w:rsidRDefault="00173F08" w:rsidP="00822842">
            <w:pPr>
              <w:rPr>
                <w:rStyle w:val="InstructionsTabelleText"/>
                <w:rFonts w:ascii="Times New Roman" w:hAnsi="Times New Roman"/>
                <w:sz w:val="24"/>
              </w:rPr>
            </w:pPr>
            <w:r w:rsidRPr="002A677E">
              <w:rPr>
                <w:rStyle w:val="InstructionsTabelleText"/>
                <w:rFonts w:ascii="Times New Roman" w:hAnsi="Times New Roman"/>
                <w:sz w:val="24"/>
              </w:rPr>
              <w:t>0480</w:t>
            </w:r>
          </w:p>
        </w:tc>
        <w:tc>
          <w:tcPr>
            <w:tcW w:w="8640" w:type="dxa"/>
          </w:tcPr>
          <w:p w14:paraId="7FDD0190" w14:textId="77777777" w:rsidR="00173F08" w:rsidRPr="002A677E" w:rsidRDefault="00173F08" w:rsidP="00822842">
            <w:pPr>
              <w:tabs>
                <w:tab w:val="left" w:pos="6315"/>
              </w:tabs>
              <w:rPr>
                <w:rStyle w:val="InstructionsTabelleberschrift"/>
                <w:rFonts w:ascii="Times New Roman" w:hAnsi="Times New Roman"/>
                <w:sz w:val="24"/>
              </w:rPr>
            </w:pPr>
            <w:r w:rsidRPr="002A677E">
              <w:rPr>
                <w:rStyle w:val="InstructionsTabelleberschrift"/>
                <w:rFonts w:ascii="Times New Roman" w:hAnsi="Times New Roman"/>
                <w:sz w:val="24"/>
              </w:rPr>
              <w:t>OTHER SYSTEMICALLY IMPORTANT INSTITUTION BUFFER</w:t>
            </w:r>
            <w:r w:rsidRPr="002A677E">
              <w:rPr>
                <w:rStyle w:val="InstructionsTabelleberschrift"/>
                <w:rFonts w:ascii="Times New Roman" w:hAnsi="Times New Roman"/>
                <w:sz w:val="24"/>
              </w:rPr>
              <w:tab/>
            </w:r>
          </w:p>
          <w:p w14:paraId="5C91FC01" w14:textId="77777777" w:rsidR="00173F08" w:rsidRPr="002A677E" w:rsidRDefault="00173F08" w:rsidP="00822842">
            <w:pPr>
              <w:pStyle w:val="InstructionsText"/>
            </w:pPr>
            <w:r w:rsidRPr="002A677E">
              <w:t>Article 128</w:t>
            </w:r>
            <w:r>
              <w:t>, p</w:t>
            </w:r>
            <w:r w:rsidRPr="002A677E">
              <w:t>oint (4) and Article 131 of Directive 2013/36/EU</w:t>
            </w:r>
          </w:p>
          <w:p w14:paraId="677D9498" w14:textId="77777777" w:rsidR="00173F08" w:rsidRPr="002A677E" w:rsidRDefault="00173F08" w:rsidP="00822842">
            <w:pPr>
              <w:pStyle w:val="InstructionsText"/>
              <w:rPr>
                <w:rStyle w:val="InstructionsTabelleberschrift"/>
              </w:rPr>
            </w:pPr>
            <w:r w:rsidRPr="001235ED">
              <w:t>T</w:t>
            </w:r>
            <w:r w:rsidRPr="002A677E">
              <w:t>he amount of the Other Systemically Important Institution buffer shall be reported in this cell.</w:t>
            </w:r>
          </w:p>
        </w:tc>
      </w:tr>
    </w:tbl>
    <w:p w14:paraId="25845975" w14:textId="77777777" w:rsidR="00173F08" w:rsidRPr="002A677E" w:rsidRDefault="00173F08" w:rsidP="00173F08">
      <w:pPr>
        <w:pStyle w:val="InstructionsText"/>
      </w:pPr>
    </w:p>
    <w:p w14:paraId="1EA0AB00" w14:textId="77777777" w:rsidR="00BF2D9E" w:rsidRDefault="00BF2D9E"/>
    <w:p w14:paraId="12D86B4B" w14:textId="77777777" w:rsidR="00BF2D9E" w:rsidRDefault="00BF2D9E"/>
    <w:sectPr w:rsidR="00BF2D9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7DA1E" w14:textId="77777777" w:rsidR="009871DF" w:rsidRDefault="009871DF" w:rsidP="00E26A90">
      <w:pPr>
        <w:spacing w:after="0"/>
      </w:pPr>
      <w:r>
        <w:separator/>
      </w:r>
    </w:p>
  </w:endnote>
  <w:endnote w:type="continuationSeparator" w:id="0">
    <w:p w14:paraId="6BF50B3E"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EE35E" w14:textId="77777777" w:rsidR="009871DF" w:rsidRDefault="009871DF" w:rsidP="00E26A90">
      <w:pPr>
        <w:spacing w:after="0"/>
      </w:pPr>
      <w:r>
        <w:separator/>
      </w:r>
    </w:p>
  </w:footnote>
  <w:footnote w:type="continuationSeparator" w:id="0">
    <w:p w14:paraId="42005157"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601EA3"/>
    <w:rsid w:val="00631623"/>
    <w:rsid w:val="00694862"/>
    <w:rsid w:val="00702B2E"/>
    <w:rsid w:val="00780E9B"/>
    <w:rsid w:val="009871DF"/>
    <w:rsid w:val="00A6002C"/>
    <w:rsid w:val="00A70706"/>
    <w:rsid w:val="00B44A0E"/>
    <w:rsid w:val="00B71F25"/>
    <w:rsid w:val="00BF2D9E"/>
    <w:rsid w:val="00C61CB8"/>
    <w:rsid w:val="00E26A90"/>
    <w:rsid w:val="00EF07A1"/>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val="en-US"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6D153E-F9E6-4317-A1C7-0F295A1FD103}"/>
</file>

<file path=customXml/itemProps2.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3D1A1E76-5781-4102-A68F-1ECF8D7CB282}">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3970</Words>
  <Characters>22635</Characters>
  <Application>Microsoft Office Word</Application>
  <DocSecurity>0</DocSecurity>
  <Lines>188</Lines>
  <Paragraphs>53</Paragraphs>
  <ScaleCrop>false</ScaleCrop>
  <Company/>
  <LinksUpToDate>false</LinksUpToDate>
  <CharactersWithSpaces>26552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2024-07-05T07:53:00Z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ies>
</file>