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LT</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II PRIEDAS</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„II PRIEDAS</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tab/>
      </w:r>
      <w:r>
        <w:rPr>
          <w:rFonts w:ascii="Times New Roman" w:hAnsi="Times New Roman"/>
          <w:sz w:val="24"/>
        </w:rPr>
        <w:t>C 33.00. Valdžios sektoriaus pozicijos (GOV)</w:t>
      </w:r>
      <w:bookmarkEnd w:id="0"/>
      <w:bookmarkEnd w:id="1"/>
    </w:p>
    <w:p w14:paraId="47ECBF7E" w14:textId="1B3EB64A"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sidR="00994CA2" w:rsidRPr="00994CA2">
        <w:rPr>
          <w:rFonts w:ascii="Times New Roman" w:hAnsi="Times New Roman" w:cs="Times New Roman"/>
          <w:sz w:val="24"/>
          <w:u w:val="none"/>
        </w:rPr>
        <w:t xml:space="preserve"> </w:t>
      </w:r>
      <w:r w:rsidR="00994CA2" w:rsidRPr="00994CA2">
        <w:rPr>
          <w:rFonts w:ascii="Times New Roman" w:hAnsi="Times New Roman" w:cs="Times New Roman"/>
          <w:sz w:val="24"/>
          <w:u w:val="none"/>
        </w:rPr>
        <w:tab/>
      </w:r>
      <w:r>
        <w:rPr>
          <w:rFonts w:ascii="Times New Roman" w:hAnsi="Times New Roman"/>
          <w:sz w:val="24"/>
        </w:rPr>
        <w:t>Bendrosios pastabos</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C 33.00 formoje teikiama informacija turi apimti visas valdžios sektoriaus pozicijas, kaip apibrėžta šio įgyvendinimo reglamento V priedo 42 punkto b papunktyje.</w:t>
      </w:r>
    </w:p>
    <w:p w14:paraId="6DDF43E1" w14:textId="777647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Kai valdžios sektoriaus pozicijoms taikomi nuosavų lėšų reikalavimai pagal Reglamento (ES) Nr. 575/2013 trečios dalies II antraštinę dalį, valdžios sektoriaus pozicijos pagal to reglamento 112 ir 147 straipsnius yra įtrauktos į įvairias pozicijų klases, kaip nurodyta C 07.00, C 08.01 ir C 08.02 formų pildymo nurodymuose. </w:t>
      </w:r>
    </w:p>
    <w:p w14:paraId="293BF385" w14:textId="0FB1F10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Į 2 lentelę („Standartizuotas metodas“) ir 3 lentelę („IRB metodas“), įtrauktas į šio įgyvendinimo reglamento V priedo 3 dalį, atsižvelgiama susiejant pozicijų klases, naudojamas pagal Reglamento (ES) Nr. 575/2013 apskaičiuojant kapitalo reikalavimus, su sandorio šalies sektoriumi „Valdžios sektorius“. </w:t>
      </w:r>
    </w:p>
    <w:p w14:paraId="7BF9F4A1" w14:textId="3878F1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xml:space="preserve">. Pateikiamos bendros agreguotos pozicijos (t. y. visų šalių, kuriose bankas turi valstybės skolos vertybinių popierių pozicijų, suma) ir tiesioginio skolininko pagrindu atsirandančios pozicijos pagal kiekvieną šalį priklausomai nuo sandorio šalies įsisteigimo vietos. </w:t>
      </w:r>
    </w:p>
    <w:p w14:paraId="3F2AB0FC" w14:textId="12D22EC0"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Pozicijų priskyrimas prie pozicijų klasių arba jurisdikcijų atliekamas neatsižvelgiant į kredito rizikos mažinimo metodus ir, visų pirma, neatsižvelgiant į pozicijos pakeitimo poveikį. Tačiau apskaičiuojant kiekvienos pozicijų klasės ir kiekvienos jurisdikcijos pozicijų vertes ir pagal riziką įvertintų pozicijų sumas, į kredito rizikos mažinimo metodus, įskaitant pozicijos pakeitimo poveikį, atsižvelgiama. </w:t>
      </w:r>
    </w:p>
    <w:p w14:paraId="63D48DFC" w14:textId="24583A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196</w:t>
      </w:r>
      <w:r>
        <w:fldChar w:fldCharType="end"/>
      </w:r>
      <w:r>
        <w:t>.</w:t>
      </w:r>
      <w:r>
        <w:tab/>
        <w:t xml:space="preserve"> Pateikiant informaciją apie valdžios sektoriaus pozicijas pagal tiesioginės sandorio šalies įsisteigimo jurisdikciją, išskyrus informaciją teikiančios įstaigos buveinės jurisdikciją, laikomasi šio įgyvendinimo reglamento 6 straipsnio 3 dalyje nustatytų ribų.</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tab/>
      </w:r>
      <w:r>
        <w:rPr>
          <w:rFonts w:ascii="Times New Roman" w:hAnsi="Times New Roman"/>
          <w:sz w:val="24"/>
        </w:rPr>
        <w:t>Valdžios sektoriaus pozicijų</w:t>
      </w:r>
      <w:bookmarkEnd w:id="5"/>
      <w:r>
        <w:rPr>
          <w:rFonts w:ascii="Times New Roman" w:hAnsi="Times New Roman"/>
          <w:sz w:val="24"/>
        </w:rPr>
        <w:t xml:space="preserve"> formos turinys</w:t>
      </w:r>
      <w:bookmarkEnd w:id="6"/>
      <w:bookmarkEnd w:id="7"/>
    </w:p>
    <w:p w14:paraId="0229F5BC" w14:textId="67D9019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GOV forma apima balansines, nebalansines ir išvestines tiesiogines valdžios sektoriaus pozicijas bankinėje ir prekybos knygoje. Taip pat prašoma pateikti papildomą straipsnį dėl netiesioginių pozicijų, turimų kredito išvestinių priemonių, susijusių su valdžios sektoriaus pozicijomis, forma.</w:t>
      </w:r>
    </w:p>
    <w:p w14:paraId="1EC4D83C" w14:textId="376B0B1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Pozicija yra tiesioginė pozicija, kai tiesioginė sandorio šalis yra subjektas, priklausantis valdžios sektoriui, kaip nurodyta šio įgyvendinimo reglamento V priedo 42 punkto b papunktyje. </w:t>
      </w:r>
    </w:p>
    <w:p w14:paraId="00A82C5A" w14:textId="7F0E5E4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Forma yra padalyta į dvi dalis. Pirmojoje pozicijos suskirstomos pagal riziką, priežiūros metodą ir pozicijų klases, o antrojoje pozicijos suskirstomos pagal likutinį terminą.</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tab/>
      </w:r>
      <w:r>
        <w:rPr>
          <w:rFonts w:ascii="Times New Roman" w:hAnsi="Times New Roman"/>
          <w:sz w:val="24"/>
        </w:rPr>
        <w:t>Nurodymai dėl konkrečių pozicijų</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Skiltys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Nurodymai</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TIESIOGINĖS POZICIJOS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BALANSINĖS POZICIJOS</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Bendra neišvestinio finansinio turto bendroji balansinė vertė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Agreguota neišvestinio finansinio turto, susijusio su valdžios sektoriumi, bendroji balansinė vertė, nustatyta pagal šio įgyvendinimo reglamento V priedo 1 dalies 34 punktą, apimanti visus apskaitos portfelius pagal TFAS arba Tarybos direktyva 86/635/EEB pagrįstus nacionalinius BAP, apibrėžtus šio įgyvendinimo reglamento V priedo 1 dalies 15–22 punktuose ir išvardytus 0030–0120 skiltyse.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Atliekant rizikos ribojimo principais pagrįsto vertinimo koregavimus, prekybos ir ne prekybos pozicijų, įvertintų tikrąja verte, bendroji balansinė vertė nesumažinama.</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Bendra neišvestinio finansinio turto balansinė vertė (atėmus trumpąsias pozicijas)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Agreguota neišvestinio finansinio turto, susijusio su valdžios sektoriumi, balansinė vertė, nurodyta šio įgyvendinimo reglamento V priedo 1 dalies 27 punkte, apimanti visus apskaitos portfelius pagal TFAS arba Tarybos direktyva 86/635/EEB pagrįstus nacionalinius BAP, apibrėžtus šio įgyvendinimo reglamento V priedo 1 dalies 15–22 punktuose ir išvardytus 0030–0120 skiltyse, atėmus trumpąsias pozicijas.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Jei įstaiga turi to paties likutinio termino trumpąją poziciją tos pačios tiesioginės sandorio šalies atžvilgiu, denominuotą ta pačia valiuta, tos trumposios pozicijos balansinė vertė atimama iš tiesioginės pozicijos balansinės vertės. Kai ta grynoji suma yra neigiama, laikoma, kad ji lygi nuliui. Kai įstaiga turi trumpąją poziciją be suderintos tiesioginės pozicijos, trumposios pozicijos suma šioje skiltyje laikoma lygia nuliui.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NEIŠVESTINIS FINANSINIS TURTAS PAGAL APSKAITOS PORTFELIUS</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Neišvestinio finansinio turto valdžios sektoriaus atžvilgiu agreguota balansinė vertė, apibrėžta pirmesnėje šios lentelės eilutėje, suskirstyta pagal apskaitos portfelius, laikantis galiojančios apskaitos sistemos.</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Prekybai laikomas finansinis turtas</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7-ojo TFAS 8 straipsnio a punkto ii papunktis; 9-ojo TFAS A priedas.</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Prekybinis finansinis turtas</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Tarybos direktyvos 86/635/EEB 32 ir 33 straipsniai; šio įgyvendinimo reglamento V priedo 1 dalies 16 punktas; Direktyvos 2013/34/ES 8 straipsnio 1 dalies a punktas.</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Neprekybinis finansinis turtas, privalomai vertinamas tikrąja verte, kurios pokyčiai pripažįstami pelno (nuostolių) ataskaitoje</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7-ojo TFAS 8 straipsnio a punkto ii papunktis; 9-ojo TFAS 4.1.4 straipsnis.</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Finansinis turtas, priskiriamas prie vertinamo tikrąja verte, kurios pokyčiai pripažįstami pelno (nuostolių) ataskaitoje</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7-ojo TFAS 8 straipsnio a punkto i papunktis; 9-ojo TFAS 4.1.5 straipsnis ir Direktyvos 2013/34/ES 8 straipsnio 1 dalies a punktas ir 8 straipsnio 6 dalis.</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pokyčiai pripažįstami pelno (nuostolių) ataskaitoje</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Tarybos direktyvos 86/635/EEB 36 straipsnio 2 dalis; Direktyvos 2013/34/ES 8 straipsnio 1 dalies a punktas.</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Finansinis turtas, vertinamas tikrąja verte, kurios pokyčiai pripažįstami kitomis bendrosiomis pajamomis</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7-ojo TFAS 8 straipsnio d punktas; 9-ojo TFAS 4.1.2A straipsnis.</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tikrąja verte, kurios pokyčiai pripažįstami nuosavybėje</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Direktyvos 2013/34/ES 8 straipsnio 1 dalies a punktas ir 8 straipsnio 8 dalis.</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Amortizuota savikaina vertinamas finansinis turtas</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7-ojo TFAS 8 straipsnio f punktas; 9-ojo TFAS 4.1.2 straipsnis; šio įgyvendinimo reglamento V priedo 1 dalies 15 punktas.</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Neprekybinis neišvestinis finansinis turtas, vertinamas taikant savikainos metodą</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Tarybos direktyvos 86/635/EEB 35 straipsnis; Direktyvos 2013/34/ES 6 straipsnio 1 dalies i punktas ir 8 straipsnio 2 dalis; šio įgyvendinimo reglamento V priedo 1 dalies 16 punktas.</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Kitas neprekybinis neišvestinis finansinis turtas</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Tarybos direktyvos 86/635/EEB 37 straipsnis; Direktyvos 2013/34/ES 12 straipsnio 7 dalis; šio įgyvendinimo reglamento V priedo 1 dalies 16 punktas.</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Įstaigos vertes nurodo tik pagal nacionalinius bendruosius apskaitos principus (BAP).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Trumposios pozicijos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punkte, kai tiesioginė sandorio šalis yra valdžios sektorius, kaip apibrėžta šio priedo 155–160 dalyse.</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Trumposios pozicijos atsiranda, jei įstaiga parduoda vertybinius popierius, įsigytus atvirkštinio atpirkimo paskolos būdu arba pasiskolintus vertybinių popierių skolinimo sandorio būdu.</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Balansinė vertė yra trumpųjų pozicijų tikroji vertė.</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Trumposios pozicijos nurodomos pagal likutinio termino intervalą, kaip išvardyta 0170–0230 eilutėse, ir pagal tiesioginę sandorio šalį.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Šioje skiltyje nurodytos trumposios pozicijos gali būti tarpusavyje užskaitomos su to paties likutinio termino ir tiesioginės sandorio šalies pozicijomis ir išreikštos ta pačia valiuta, kaip ir tos, kurios nurodytos 0030–0120 skiltyse, siekiant apskaičiuoti 0020 skiltyje nurodytą grynąją poziciją.</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Dalis, kurią atitinka: trumposios atvirkštinio atpirkimo paskolų pozicijos, priskiriamos laikomam prekybai arba prekybiniam finansiniam turtui</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Trumpųjų pozicijų balansinė vertė, kaip apibrėžta 9-ojo TFAS BA.7 straipsnio b punkte, kai trumposios pozicijos atsiranda įstaigai pardavus vertybinius popierius, įsigytus atvirkštinio atpirkimo paskolos būdu, jei tų vertybinių popierių tiesioginė sandorio šalis yra valdžios sektorius, ir kai trumposios pozicijos priskiriamos laikomo prekybai arba prekybinio finansinio turto apskaitos portfeliams (0030 ar 0040 skiltis).</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Į šią skiltį neįtraukiamos trumposios pozicijos, atsirandančios, kai parduoti vertybiniai popieriai buvo pasiskolinti vertybinių popierių skolinimo sandorio būdu.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Sukauptas vertės sumažėjimas</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Agreguotas sukauptas vertės sumažėjimas, susijęs su neišvestiniu finansiniu turtu, nurodytu 0080–0120 skiltyse (šio įgyvendinimo reglamento V priedo 2 dalies 70 ir 71 punktai).</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Sukauptas vertės sumažėjimas. Dalis, kurią atitinka: iš finansinio turto, vertinamo tikrąja verte, kurios pokyčiai pripažįstami kitomis bendrosiomis pajamomis, arba neprekybinio neišvestinio finansinio turto, vertinamo tikrąja verte, kurios pokyčiai pripažįstami nuosavybėje</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Agreguotas sukauptas vertės sumažėjimas, susijęs su neišvestiniu finansiniu turtu, nurodytu 0080 ir 0090 skiltyse.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 0060, 0070, 0080 ir 0090 skiltyse nurodytų pozicijų agreguoti sukaupti tikrosios vertės neigiami pokyčiai dėl kredito rizikos (šio įgyvendinimo reglamento V priedo 2 dalies 69 punktas).</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Dalis, kurią atitinka: iš neprekybinio finansinio turto, privalomai vertinamo tikrąja verte, kurios pokyčiai pripažįstami pelno (nuostolių) ataskaitoje, finansinio turto, priskiriamo prie vertinamo tikrąja verte, kurios pokyčiai pripažįstami pelno (nuostolių) ataskaitoje arba neprekybinio finansinio turto, vertinamo tikrąja verte, kurios pokyčiai pripažįstami pelno (nuostolių) ataskaitoje</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 0060 ir 0070 skiltyse nurodytų pozicijų agreguoti sukaupti tikrosios vertės neigiami pokyčiai dėl kredito rizikos.</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Sukaupti tikrosios vertės neigiami pokyčiai dėl kredito rizikos. Dalis, kurią atitinka: iš finansinio turto, vertinamo tikrąja verte, kurios pokyčiai pripažįstami kitomis bendrosiomis pajamomis, arba neprekybinio neišvestinio finansinio turto, vertinamo tikrąja verte, kurios pokyčiai pripažįstami nuosavybėje</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 ir 0090 skiltyse nurodytų pozicijų agreguoti sukaupti tikrosios vertės neigiami pokyčiai dėl kredito rizikos.</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Tiesioginės išvestinių finansinių priemonių pozicijos nurodomos 0200–0230 skiltyse.</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Nurodymai dėl išvestinių finansinių priemonių, kurioms taikomi tiek sandorio šalies kredito rizikos, tiek rinkos rizikos kapitalo poreikio koeficientai, pranešimo pateikiami prie atskirų eilučių.</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Visos išvestinės finansinės priemonės, kurių sandorio šalis yra valdžios sektorius ir kurių vertė įstaigai ataskaitinę datą yra teigiama, nepaisant to, ar tos priemonės naudojamos tinkamumo kriterijus atitinkančiuose apsidraudimo sandoriuose, yra </w:t>
            </w:r>
            <w:r>
              <w:rPr>
                <w:rFonts w:ascii="Times New Roman" w:hAnsi="Times New Roman"/>
                <w:sz w:val="24"/>
              </w:rPr>
              <w:lastRenderedPageBreak/>
              <w:t xml:space="preserve">laikomos prekybai arba įtraukiamos į prekybos portfelį pagal TFAS ir Tarybos direktyva 86/635/EEB pagrįstus nacionalinius BAP.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teigiama tikrąja verte. Balansinė vertė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Išvestinių finansinių priemonių, kurios ataskaitinę datą įtraukiamos į apskaitą kaip finansinis turtas, balansinė vertė.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Pagal Tarybos direktyva 86/635/EEB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Tariamoji suma</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Pagal TFAS ir Tarybos direktyva 86/635/EEB pagrįstus nacionalinius BAP visų išvestinių finansinių priemonių sandorių, sudarytų ir dar neapmokėtų ataskaitinę datą, kurių sandorio šalis yra valdžios sektorius, kaip apibrėžta šio priedo 191–196 punktuose, kai išvestinės finansinės priemonės tikroji vertė įstaigai ataskaitinę datą yra teigiama, tariamoji suma, kaip apibrėžta šio įgyvendinimo reglamento V priedo 2 dalies 133–135 punktuose.</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Visos išvestinės finansinės priemonės, kurių sandorio šalis yra valdžios sektorius ir kurių vertė įstaigai ataskaitinę datą yra neigiama, nepaisant to, ar tos priemonės naudojamos tinkamumo kriterijus atitinkančiuose apsidraudimo sandoriuose, ar yra laikomos prekybai arba įtraukiamos į prekybos portfelį pagal TFAS ir Tarybos direktyva 86/635/EEB pagrįstus nacionalinius BAP.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Išvestinės finansinės priemonės su neigiama tikrąja verte. Balansinė vertė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Išvestinių finansinių priemonių, kurios ataskaitinę datą įtraukiamos į apskaitą kaip finansiniai įsipareigojimai, balansinė vertė.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Pagal Tarybos direktyva 86/635/EEB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Išvestinės finansinės priemonės su neigiama tikrąja verte. Tariamoji suma</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Pagal TFAS ir Tarybos direktyva 86/635/EEB pagrįstus nacionalinius BAP visų išvestinių finansinių priemonių sandorių, sudarytų ir dar neapmokėtų ataskaitinę datą, kurių sandorio šalis yra valdžios sektorius, kaip apibrėžta šio priedo 191–196 punktuose, kai išvestinės finansinės priemonės tikroji vertė įstaigai ataskaitinę datą yra neigiama, tariamoji suma, kaip apibrėžta šio įgyvendinimo reglamento V priedo 2 dalies 133–135 punktuose.</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NEBALANSINĖS POZICIJOS</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Nominalioji suma</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Jei nebalansinio straipsnio tiesioginė sandorio šalis yra valdžios sektorius, kaip apibrėžta šio priedo 155–160 punktuose, įsipareigojimų ir finansinių garantijų, kurie pagal TFAS ir Tarybos direktyva 86/635/EEB pagrįstus nacionalinius BAP nelaikomi išvestine finansine priemone (šio įgyvendinimo reglamento V priedo 2 dalies 102–119 punktai), nominalioji suma.</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Pagal šio įgyvendinimo reglamento V priedo 2 dalies 43 ir 44 punktus valdžios sektorius yra tiesioginė sandorio šalis: a) suteiktos finansinės garantijos atveju, kai ji yra tiesioginė garantuojamos skolos priemonės sandorio šalis, ir b) suteiktų kreditavimo ir kitų įsipareigojimų atveju, kai ji yra sandorio šalis, kurios kredito riziką prisiima informaciją teikianti įstaiga.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Atidėjiniai</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Tarybos direktyva 86/635/EEB 4 straipsnio „Įsipareigojimai“ 6 punkto c papunktis ir dalis „Nebalansiniai straipsniai“, 27 straipsnio 11 punktas, 28 straipsnio 8 punktas ir 33 straipsnis; 9-ojo TFAS 4.2.1 straipsnio c punkto ii papunktis ir d punkto ii papunktis, 5.5.20 straipsnis; 37-asis TAS, 4-asis TFAS, šio įgyvendinimo reglamento V priedo 2 dalies 11 punktas.</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Visų nebalansinių pozicijų atidėjiniai, nepriklausomai nuo jų vertinimo metodo, išskyrus atidėjinius, pagal 9-ąjį TFAS vertinamus tikrąja verte, kurios pokyčiai pripažįstami pelno (nuostolių) ataskaitoje.</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Pagal TFAS suteikto kreditavimo įsipareigojimo vertės sumažėjimas nurodomas 150 skiltyje, jei įstaiga negali atskirai nurodyti tikėtinų kredito nuostolių, susijusių su panaudota ir nepanaudota skolos priemonės suma. Jeigu bendri tikėtini tos finansinės priemonės kredito nuostoliai viršija priemonės kreditavimo komponento bendrąją balansinę vertę, likusi tikėtinų kredito nuostolių suma nurodoma 0250 skiltyje kaip atidėjinys.</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Sukaupti tikrosios vertės neigiami pokyčiai dėl kredito rizikos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Nebalansinių straipsnių, pagal 9-ąjį TFAS vertinamų tikrąja verte, kurios pokyčiai pripažįstami pelno (nuostolių) ataskaitoje, sukaupti tikrosios vertės neigiami pokyčiai dėl kredito rizikos (šio įgyvendinimo reglamento V priedo 2 dalies 110 punktas).</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Papildomas straipsnis. Kredito išvestinės finansinės priemonės, susijusios su valdžios sektoriaus pozicijomis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Nurodomos kredito išvestinės finansinės priemonės, neatitinkančios finansinių garantijų apibrėžties V priedo 2 dalies 58 punkte, kurias informaciją teikianti įstaiga pasirašė su kitomis nei valdžios sektorius sandorio šalimis ir kurių pagrindinė pozicija yra valdžios sektoriaus atžvilgiu.</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Šiose skiltyse nenurodomos pozicijos, suskirstytos pagal riziką, priežiūros metodą ir pozicijų klasę (0020–0160 eilutės).</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 su teigiama tikrąja verte. Balansinė vertė</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pozicijomis, kurių tikroji vertė įstaigai ataskaitinę datą yra teigiama, agreguota balansinė vertė, neatsižvelgiant į rizikos ribojimo principais pagrįsto vertinimo koregavimus.</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taikomas TFAS, suma yra išvestinių finansinių priemonių, kurios ataskaitinę datą yra finansinis turtas, balansinė vertė.</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Šioje skiltyje nurodytina išvestinių finansinių priemonių, kurioms taikomi Tarybos direktyva 86/635/EEB pagrįsti nacionaliniai BAP, suma yra išvestinių finansinių priemonių, kurių tikroji vertė ataskaitinę datą yra teigiama, tikroji vertė, nepriklausomai nuo jų įtraukimo į apskaitą metodo.</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Išvestinės finansinės priemonės su neigiama tikrąja verte. Balansinė vertė</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Nurodytų parduotų kredito išvestinių priemonių, susijusių su valdžios sektoriaus pozicijomis, kurių tikroji vertė įstaigai ataskaitinę datą yra neigiama, agreguota balansinė vertė, neatsižvelgiant į rizikos ribojimo principais pagrįsto vertinimo koregavimus.</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Šioje skiltyje nurodytina išvestinių finansinių priemonių, kurioms taikomas TFAS, suma yra išvestinių finansinių priemonių, kurios ataskaitinę datą yra finansiniai įsipareigojimai, balansinė vertė.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Šioje skiltyje nurodytina išvestinių finansinių priemonių, kurioms taikomi Tarybos direktyva 86/635/EEB pagrįsti nacionaliniai BAP, suma yra išvestinių finansinių priemonių, kurių tikroji vertė ataskaitinę datą yra neigiama, tikroji vertė, nepriklausomai nuo jų įtraukimo į apskaitą metodo.</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Pozicijos vertė</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Pozicijų, kurioms taikoma kredito rizikos sistema, vertė.</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Dėl pozicijų, kurioms taikomas standartizuotas metodas, žr. Reglamento (ES) Nr. 575/2013 111 straipsnį. Dėl pozicijų, kurioms taikomas IRB metodas, žr. Reglamento (ES) Nr. 575/2013 166 straipsnį, 230 straipsnio 1 dalies antrą sakinį.</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Nurodymai dėl išvestinių finansinių priemonių, kurioms taikomi tiek sandorio šalies kredito rizikos, tiek rinkos rizikos kapitalo poreikio koeficientai, pranešimo pateikiami prie atskirų eilučių.</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Šioje skiltyje neatsižvelgiama į 0270 ir 0280 skiltyse nurodytas pozicijas, nes šioje skiltyje nurodyta vertė grindžiama tik tiesioginėmis pozicijomis.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Pagal riziką įvertintų pozicijų suma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Pozicijų, kurioms taikoma kredito rizikos sistema, pagal riziką įvertintų pozicijų suma.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Dėl pozicijų, kurioms taikomas standartizuotas metodas, žr. Reglamento (ES) Nr. 575/2013 113 straipsnio 1–5 dalis. Dėl pozicijų, kurioms taikomas IRB metodas, žr. Reglamento (ES) Nr. 575/2013 153 straipsnio 1 ir 3 dalis.</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Dėl teiktinos informacijos apie tiesiogines pozicijas, patenkančias į Reglamento (ES) Nr. 575/2013 271 straipsnio taikymo sritį, kurioms taikomi nuosavų lėšų reikalavimai tiek sandorio šalies kredito rizikai, tiek rinkos rizikai padengti, žr. nurodymus dėl suskirstymo pagal eilutes.</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Šioje skiltyje neatsižvelgiama į 0270 ir 0280 skiltyse nurodytas pozicijas, nes šioje skiltyje nurodyta vertė grindžiama tik tiesioginėmis pozicijomis.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Eilutės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Nurodymai</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POZICIJŲ SUSKIRSTYMAS PAGAL PRIEŽIŪROS METODĄ</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Bendra pozicijų suma</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pozicijų, apibrėžtų šio priedo 191–196 punktuose, suma.</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Pozicijos pagal kredito rizikos sistemą</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Valdžios sektoriaus pozicijų, kurios pagal Reglamento (ES) Nr. 575/2013 trečios dalies II antraštinę dalį turi būti apskaičiuotos įvertinant pagal riziką, suma. Pozicijos, kurioms taikoma kredito rizikos sistema, apima tiek ne prekybos knygos, tiek prekybos knygos pozicijas, kurioms taikomas kapitalo poreikio koeficientas sandorio šalies kredito rizikai padengti.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Tiesioginės pozicijos, patenkančios į Reglamento (ES) Nr. 575/2013 271 straipsnio taikymo sritį, kurioms taikomi nuosavų lėšų reikalavimai tiek sandorio šalies kredito rizikai, tiek rinkos rizikai padengti, nurodomos tiek kredito rizikos eilutėse (0020–0155), tiek rinkos rizikos eilutėje (0160): sandorio šalies kredito rizikos pozicijos pateikiamos kredito rizikos eilutėse, o rinkos rizikos pozicijos pateikiamos rinkos rizikos eilutėje.</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Standartizuotas metodas</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Pagal Reglamento (ES) Nr. 575/2013 trečios dalies II antraštinės dalies 2 skyrių pagal riziką įvertintos valdžios sektoriaus pozicijos, įskaitant pozicijas iš ne prekybos knygos, kurias vertinant pagal riziką remiantis tuo skyriumi vertinama pagal sandorio šalies kredito riziką.</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centrinės valdžios, pozicijos. Šios pozicijos pagal Reglamento (ES) Nr. 575/2013 112 ir 114 straipsnius priskiriamos prie pozicijų klasės „centrinės valdžios arba centrinių bankų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Šios pozicijos pagal Reglamento (ES) Nr. 575/2013 112 ir 115 straipsnius priskiriamos prie pozicijų klasės „regioninės arba vietos valdžios institucijos“,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Viešojo sektoriaus subjektų pozicijos</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viešojo sektoriaus subjektų, pozicijos. Šios pozicijos pagal Reglamento (ES) Nr. 575/2013 112 ir 116 straipsnius priskiriamos prie pozicijų klasės „viešojo sektoriaus subjektai“,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Tarptautinių organizacijų pozicijos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tarptautinių organizacijų, pozicijos. Šios pozicijos pagal Reglamento (ES) Nr. 575/2013 112 ir 118 straipsnius priskiriamos prie pozicijų klasės „tarptautinės organizacijos“,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standartizuotas metodas</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pozicijos, išskyrus nurodytąsias 0040–0070 eilutėse pirmiau, priskirtos prie SA pozicijų klasių pagal Reglamento (ES) Nr. 575/2013 112 straipsnį nuosavų lėšų reikalavimų apskaičiavimo tikslais.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IRB metodas</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Pagal Reglamento (ES) Nr. 575/2013 trečios dalies II antraštinės dalies 3 skyrių pagal riziką įvertintos valdžios sektoriaus pozicijos, įskaitant pozicijas iš ne prekybos knygos, kurias vertinant pagal riziką remiantis tuo skyriumi vertinama pagal sandorio šalies kredito riziką.</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Centrinės valdžios pozicijos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centrinės valdžios, pozicijos, kurios pagal Reglamento (ES) Nr. 575/2013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Regioninės arba vietos valdžios institucijų pozicijos [Centrinės valdžios ir centrinių bankų pozicijos]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regioninės arba vietos valdžios institucijų, pozicijos, kurios pagal Reglamento (ES) Nr. 575/2013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Regioninės arba vietos valdžios institucijų pozicijos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Regioninės arba vietos valdžios institucijų pozicijos, kurios pagal Reglamento (ES) Nr. 575/2013 147 straipsnio 2 dalies a1 punkto i papunktį priskiriamos prie pozicijų klasės „regioninės arba vietos valdžios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Viešojo sektoriaus subjektų pozicijos [Centrinės valdžios ir centrinių bankų pozicijos]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viešojo sektoriaus subjektų, pozicijos pagal Reglamento (ES) Nr. 575/2013 4 straipsnio 8 punktą, kurios pagal to reglamento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Viešojo sektoriaus subjektų pozicijos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Viešojo sektoriaus subjektų pozicijos pagal Reglamento (ES) Nr. 575/2013 4 straipsnio 8 punktą, kurios pagal to reglamento 147 straipsnio 2 dalies a1 punkto ii papunktį priskiriamos prie pozicijų klasės „viešojo sektoriaus subjektų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Tarptautinių organizacijų pozicijos [Centrinės valdžios ir centrinių bankų pozicijos]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konkrečiai centrinės valdžios, pozicijos, kurios pagal Reglamento (ES) Nr. 575/2013 147 straipsnio 3 dalies c punktą priskiriamos prie pozicijų klasės „tarptautinės organizacijos“,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Kitos valdžios sektoriaus pozicijos, kurioms taikomas IRB metodas</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pozicijos, išskyrus nurodytąsias 0090–0140 eilutėse pirmiau, priskirtos prie IRB pozicijų klasių pagal Reglamento (ES) Nr. 575/2013 147 straipsnį nuosavų lėšų reikalavimų apskaičiavimo tikslais.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Pozicijos, susijusios su rinkos rizika</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Į šią eilutę įtraukiamos pozicijos, kurioms skaičiuojamas vienas iš šių Reglamento (ES) Nr. 575/2013 trečios dalies IV antraštinės dalies nuosavų lėšų reikalavimų:</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nuosavų lėšų reikalavimas pozicijų rizikai padengti pagal Reglamento (ES) Nr. 575/2013 326 straipsnį;</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nuosavų lėšų reikalavimas specifinei ir bendrajai rizikai padengti pagal to reglamento trečios dalies IV antraštinės dalies 5 skyrių;</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nuosavų lėšų reikalavimas kredito maržos rizikai arba įsipareigojimų neįvykdymo rizikai padengti pagal to reglamento trečios dalies IV antraštinės dalies 1a skyrių;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nuosavų lėšų reikalavimas, apskaičiuotas pagal to reglamento trečios dalies IV antraštinės dalies 1a skyrių, kai pozicijai poveikį daro pagrindinės rizikos veiksnių kategorijos kredito maržų rizikos veiksniai arba kai pozicija yra įtraukta į įstaigos įsipareigojimų neįvykdymo rizikos nustatymo vidaus modelį.</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Tiesioginės pozicijos, patenkančios į Reglamento (ES) Nr. 575/2013 271 straipsnio taikymo sritį, kurioms taikomi nuosavų lėšų reikalavimai tiek sandorio šalies kredito rizikai, tiek rinkos rizikai padengti, nurodomos tiek kredito rizikos eilutėse (0020–0155), tiek rinkos rizikos eilutėje (0160): sandorio šalies kredito rizikos pozicija pateikiama kredito rizikos eilutėse, o rinkos rizikos pozicija pateikiama rinkos rizikos eilutėje.</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POZICIJŲ SUSKIRSTYMAS PAGAL LIKUTINĮ TERMINĄ</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Likutinis terminas apskaičiuojamas dienomis nuo visų pozicijų sutartinės termino datos iki ataskaitinės datos.</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Valdžios sektoriaus pozicijos suskirstomos pagal likutinį terminą ir priskiriamos tokiems intervalams:</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[0–3 mėn.]</w:t>
            </w:r>
            <w:r>
              <w:rPr>
                <w:rFonts w:ascii="Times New Roman" w:hAnsi="Times New Roman"/>
                <w:sz w:val="24"/>
              </w:rPr>
              <w:t>: mažiau nei 90 dienų;</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[3 mėn.–1 m.]</w:t>
            </w:r>
            <w:r>
              <w:rPr>
                <w:rFonts w:ascii="Times New Roman" w:hAnsi="Times New Roman"/>
                <w:sz w:val="24"/>
              </w:rPr>
              <w:t>: 90 dienų arba daugiau, bet mažiau nei 365 dienos;</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lastRenderedPageBreak/>
              <w:t></w:t>
            </w:r>
            <w:r>
              <w:tab/>
            </w:r>
            <w:r>
              <w:rPr>
                <w:rFonts w:ascii="Times New Roman" w:hAnsi="Times New Roman"/>
                <w:b/>
                <w:sz w:val="24"/>
              </w:rPr>
              <w:t xml:space="preserve"> [1–2 m.]</w:t>
            </w:r>
            <w:r>
              <w:rPr>
                <w:rFonts w:ascii="Times New Roman" w:hAnsi="Times New Roman"/>
                <w:sz w:val="24"/>
              </w:rPr>
              <w:t>: 365 dienos arba daugiau, bet mažiau nei 730 dienų;</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[2–3 m.]</w:t>
            </w:r>
            <w:r>
              <w:rPr>
                <w:rFonts w:ascii="Times New Roman" w:hAnsi="Times New Roman"/>
                <w:sz w:val="24"/>
              </w:rPr>
              <w:t>: 730 dienų arba daugiau, bet mažiau nei 1 095 dienos;</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 [3–5 m.]</w:t>
            </w:r>
            <w:r>
              <w:rPr>
                <w:rFonts w:ascii="Times New Roman" w:hAnsi="Times New Roman"/>
                <w:sz w:val="24"/>
              </w:rPr>
              <w:t>: 1 095 dienos arba daugiau, bet mažiau nei 1 825 dienos;</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 [5–10 m.]</w:t>
            </w:r>
            <w:r>
              <w:rPr>
                <w:rFonts w:ascii="Times New Roman" w:hAnsi="Times New Roman"/>
                <w:sz w:val="24"/>
              </w:rPr>
              <w:t>: 1 825 dienos arba daugiau, bet mažiau nei 3 650 dienų;</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 m. ir daugiau]</w:t>
            </w:r>
            <w:r>
              <w:rPr>
                <w:rFonts w:ascii="Times New Roman" w:hAnsi="Times New Roman"/>
                <w:sz w:val="24"/>
              </w:rPr>
              <w:t>: 3 650 dienų arba daugiau.</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Jeigu sutartyje nustatyta termino data yra ankstesnė už ataskaitinę datą (t. y. skirtumas tarp ataskaitinės datos ir termino datos yra neigiama vertė), pozicija priskiriama [0–3 mėn.] intervalui.</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Pozicijos, kurių likutinis terminas nenustatytas, priskiriamos likutinių terminų intervalui remiantis jų įspėjimo laikotarpiu arba kitais sutartiniais nurodymais dėl termino. Jeigu iš anksto nenustatytas įspėjimo laikotarpis ir nėra kitų sutartinių nurodymų dėl termino, pozicijos priskiriamos likutinio termino [10 metų ir daugiau] intervalui.</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07F5" w14:textId="77777777" w:rsidR="00CF3729" w:rsidRDefault="00CF3729" w:rsidP="00BD16F2">
      <w:pPr>
        <w:spacing w:before="0" w:after="0"/>
      </w:pPr>
      <w:r>
        <w:separator/>
      </w:r>
    </w:p>
  </w:endnote>
  <w:endnote w:type="continuationSeparator" w:id="0">
    <w:p w14:paraId="778E6BD4" w14:textId="77777777" w:rsidR="00CF3729" w:rsidRDefault="00CF3729"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A0496" w14:textId="77777777" w:rsidR="00CF3729" w:rsidRDefault="00CF3729" w:rsidP="00BD16F2">
      <w:pPr>
        <w:spacing w:before="0" w:after="0"/>
      </w:pPr>
      <w:r>
        <w:separator/>
      </w:r>
    </w:p>
  </w:footnote>
  <w:footnote w:type="continuationSeparator" w:id="0">
    <w:p w14:paraId="70A08FB2" w14:textId="77777777" w:rsidR="00CF3729" w:rsidRDefault="00CF3729"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641E7E"/>
    <w:rsid w:val="00701E4C"/>
    <w:rsid w:val="00776BD0"/>
    <w:rsid w:val="00786988"/>
    <w:rsid w:val="00816CE5"/>
    <w:rsid w:val="00855551"/>
    <w:rsid w:val="00994CA2"/>
    <w:rsid w:val="00A6002C"/>
    <w:rsid w:val="00B71F25"/>
    <w:rsid w:val="00BD16F2"/>
    <w:rsid w:val="00CF3729"/>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lt-LT"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lt-LT"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lt-LT"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2.xml><?xml version="1.0" encoding="utf-8"?>
<ds:datastoreItem xmlns:ds="http://schemas.openxmlformats.org/officeDocument/2006/customXml" ds:itemID="{14461D87-0C8B-48BD-ADBC-ED84F87D1FF3}"/>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4822</Words>
  <Characters>26378</Characters>
  <Application>Microsoft Office Word</Application>
  <DocSecurity>0</DocSecurity>
  <Lines>694</Lines>
  <Paragraphs>294</Paragraphs>
  <ScaleCrop>false</ScaleCrop>
  <Company/>
  <LinksUpToDate>false</LinksUpToDate>
  <CharactersWithSpaces>30906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2025-01-23T14:28:04Z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efc14e88-03be-4ef1-a06a-b952b8c76fce</vt:lpwstr>
  </property>
  <property fmtid="{D5CDD505-2E9C-101B-9397-08002B2CF9AE}" pid="9" name="MSIP_Label_6bd9ddd1-4d20-43f6-abfa-fc3c07406f94_ContentBits">
    <vt:lpwstr>0</vt:lpwstr>
  </property>
</Properties>
</file>