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HU</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XII. MELLÉKLET</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„XXVII. MELLÉKLET</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ÚMUTATÓ A GLOBÁLISAN RENDSZERSZINTEN JELENTŐS INTÉZMÉNYEK AZONOSÍTÁSÁVAL ÉS A RÁJUK VONATKOZÓ PUFFERRÁTÁK HOZZÁRENDELÉSÉVEL KAPCSOLATOS ADATSZOLGÁLTATÁSHOZ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Tartalomjegyzék</w:t>
      </w:r>
    </w:p>
    <w:p w14:paraId="37C34438" w14:textId="73CAC440" w:rsidR="004966A8"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88708855" w:history="1">
        <w:r w:rsidR="004966A8" w:rsidRPr="00C05969">
          <w:rPr>
            <w:rStyle w:val="Hyperlink"/>
          </w:rPr>
          <w:t>I. RÉSZ: ÁLTALÁNOS ÚTMUTATÓ</w:t>
        </w:r>
        <w:r w:rsidR="004966A8">
          <w:rPr>
            <w:webHidden/>
          </w:rPr>
          <w:tab/>
        </w:r>
        <w:r w:rsidR="004966A8">
          <w:rPr>
            <w:webHidden/>
          </w:rPr>
          <w:fldChar w:fldCharType="begin"/>
        </w:r>
        <w:r w:rsidR="004966A8">
          <w:rPr>
            <w:webHidden/>
          </w:rPr>
          <w:instrText xml:space="preserve"> PAGEREF _Toc188708855 \h </w:instrText>
        </w:r>
        <w:r w:rsidR="004966A8">
          <w:rPr>
            <w:webHidden/>
          </w:rPr>
        </w:r>
        <w:r w:rsidR="004966A8">
          <w:rPr>
            <w:webHidden/>
          </w:rPr>
          <w:fldChar w:fldCharType="separate"/>
        </w:r>
        <w:r w:rsidR="004966A8">
          <w:rPr>
            <w:webHidden/>
          </w:rPr>
          <w:t>2</w:t>
        </w:r>
        <w:r w:rsidR="004966A8">
          <w:rPr>
            <w:webHidden/>
          </w:rPr>
          <w:fldChar w:fldCharType="end"/>
        </w:r>
      </w:hyperlink>
    </w:p>
    <w:p w14:paraId="591CDB67" w14:textId="488F4597" w:rsidR="004966A8" w:rsidRDefault="004966A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8856" w:history="1">
        <w:r w:rsidRPr="00C0596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C05969">
          <w:rPr>
            <w:rStyle w:val="Hyperlink"/>
          </w:rPr>
          <w:t>Felépítés és szabályok</w:t>
        </w:r>
        <w:r>
          <w:rPr>
            <w:webHidden/>
          </w:rPr>
          <w:tab/>
        </w:r>
        <w:r>
          <w:rPr>
            <w:webHidden/>
          </w:rPr>
          <w:fldChar w:fldCharType="begin"/>
        </w:r>
        <w:r>
          <w:rPr>
            <w:webHidden/>
          </w:rPr>
          <w:instrText xml:space="preserve"> PAGEREF _Toc188708856 \h </w:instrText>
        </w:r>
        <w:r>
          <w:rPr>
            <w:webHidden/>
          </w:rPr>
        </w:r>
        <w:r>
          <w:rPr>
            <w:webHidden/>
          </w:rPr>
          <w:fldChar w:fldCharType="separate"/>
        </w:r>
        <w:r>
          <w:rPr>
            <w:webHidden/>
          </w:rPr>
          <w:t>2</w:t>
        </w:r>
        <w:r>
          <w:rPr>
            <w:webHidden/>
          </w:rPr>
          <w:fldChar w:fldCharType="end"/>
        </w:r>
      </w:hyperlink>
    </w:p>
    <w:p w14:paraId="4319EE10" w14:textId="66FE3A84" w:rsidR="004966A8" w:rsidRDefault="004966A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8857" w:history="1">
        <w:r w:rsidRPr="00C05969">
          <w:rPr>
            <w:rStyle w:val="Hyperlink"/>
          </w:rPr>
          <w:t>1.1.</w:t>
        </w:r>
        <w:r>
          <w:rPr>
            <w:rFonts w:asciiTheme="minorHAnsi" w:eastAsiaTheme="minorEastAsia" w:hAnsiTheme="minorHAnsi" w:cstheme="minorBidi"/>
            <w:b w:val="0"/>
            <w:smallCaps w:val="0"/>
            <w:kern w:val="2"/>
            <w:sz w:val="24"/>
            <w:szCs w:val="24"/>
            <w:lang w:val="en-IE" w:eastAsia="en-IE"/>
            <w14:ligatures w14:val="standardContextual"/>
          </w:rPr>
          <w:tab/>
        </w:r>
        <w:r w:rsidRPr="00C05969">
          <w:rPr>
            <w:rStyle w:val="Hyperlink"/>
          </w:rPr>
          <w:t>Felépítés</w:t>
        </w:r>
        <w:r>
          <w:rPr>
            <w:webHidden/>
          </w:rPr>
          <w:tab/>
        </w:r>
        <w:r>
          <w:rPr>
            <w:webHidden/>
          </w:rPr>
          <w:fldChar w:fldCharType="begin"/>
        </w:r>
        <w:r>
          <w:rPr>
            <w:webHidden/>
          </w:rPr>
          <w:instrText xml:space="preserve"> PAGEREF _Toc188708857 \h </w:instrText>
        </w:r>
        <w:r>
          <w:rPr>
            <w:webHidden/>
          </w:rPr>
        </w:r>
        <w:r>
          <w:rPr>
            <w:webHidden/>
          </w:rPr>
          <w:fldChar w:fldCharType="separate"/>
        </w:r>
        <w:r>
          <w:rPr>
            <w:webHidden/>
          </w:rPr>
          <w:t>2</w:t>
        </w:r>
        <w:r>
          <w:rPr>
            <w:webHidden/>
          </w:rPr>
          <w:fldChar w:fldCharType="end"/>
        </w:r>
      </w:hyperlink>
    </w:p>
    <w:p w14:paraId="54CEA803" w14:textId="0AB03B7C" w:rsidR="004966A8" w:rsidRDefault="004966A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8858" w:history="1">
        <w:r w:rsidRPr="00C05969">
          <w:rPr>
            <w:rStyle w:val="Hyperlink"/>
          </w:rPr>
          <w:t>1.2.</w:t>
        </w:r>
        <w:r>
          <w:rPr>
            <w:rFonts w:asciiTheme="minorHAnsi" w:eastAsiaTheme="minorEastAsia" w:hAnsiTheme="minorHAnsi" w:cstheme="minorBidi"/>
            <w:b w:val="0"/>
            <w:smallCaps w:val="0"/>
            <w:kern w:val="2"/>
            <w:sz w:val="24"/>
            <w:szCs w:val="24"/>
            <w:lang w:val="en-IE" w:eastAsia="en-IE"/>
            <w14:ligatures w14:val="standardContextual"/>
          </w:rPr>
          <w:tab/>
        </w:r>
        <w:r w:rsidRPr="00C05969">
          <w:rPr>
            <w:rStyle w:val="Hyperlink"/>
          </w:rPr>
          <w:t>Számozási szabályok</w:t>
        </w:r>
        <w:r>
          <w:rPr>
            <w:webHidden/>
          </w:rPr>
          <w:tab/>
        </w:r>
        <w:r>
          <w:rPr>
            <w:webHidden/>
          </w:rPr>
          <w:fldChar w:fldCharType="begin"/>
        </w:r>
        <w:r>
          <w:rPr>
            <w:webHidden/>
          </w:rPr>
          <w:instrText xml:space="preserve"> PAGEREF _Toc188708858 \h </w:instrText>
        </w:r>
        <w:r>
          <w:rPr>
            <w:webHidden/>
          </w:rPr>
        </w:r>
        <w:r>
          <w:rPr>
            <w:webHidden/>
          </w:rPr>
          <w:fldChar w:fldCharType="separate"/>
        </w:r>
        <w:r>
          <w:rPr>
            <w:webHidden/>
          </w:rPr>
          <w:t>2</w:t>
        </w:r>
        <w:r>
          <w:rPr>
            <w:webHidden/>
          </w:rPr>
          <w:fldChar w:fldCharType="end"/>
        </w:r>
      </w:hyperlink>
    </w:p>
    <w:p w14:paraId="171070E1" w14:textId="3D14B023" w:rsidR="004966A8" w:rsidRDefault="004966A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8859" w:history="1">
        <w:r w:rsidRPr="00C05969">
          <w:rPr>
            <w:rStyle w:val="Hyperlink"/>
          </w:rPr>
          <w:t>1.3.</w:t>
        </w:r>
        <w:r>
          <w:rPr>
            <w:rFonts w:asciiTheme="minorHAnsi" w:eastAsiaTheme="minorEastAsia" w:hAnsiTheme="minorHAnsi" w:cstheme="minorBidi"/>
            <w:b w:val="0"/>
            <w:smallCaps w:val="0"/>
            <w:kern w:val="2"/>
            <w:sz w:val="24"/>
            <w:szCs w:val="24"/>
            <w:lang w:val="en-IE" w:eastAsia="en-IE"/>
            <w14:ligatures w14:val="standardContextual"/>
          </w:rPr>
          <w:tab/>
        </w:r>
        <w:r w:rsidRPr="00C05969">
          <w:rPr>
            <w:rStyle w:val="Hyperlink"/>
          </w:rPr>
          <w:t>Előjelre vonatkozó szabályok</w:t>
        </w:r>
        <w:r>
          <w:rPr>
            <w:webHidden/>
          </w:rPr>
          <w:tab/>
        </w:r>
        <w:r>
          <w:rPr>
            <w:webHidden/>
          </w:rPr>
          <w:fldChar w:fldCharType="begin"/>
        </w:r>
        <w:r>
          <w:rPr>
            <w:webHidden/>
          </w:rPr>
          <w:instrText xml:space="preserve"> PAGEREF _Toc188708859 \h </w:instrText>
        </w:r>
        <w:r>
          <w:rPr>
            <w:webHidden/>
          </w:rPr>
        </w:r>
        <w:r>
          <w:rPr>
            <w:webHidden/>
          </w:rPr>
          <w:fldChar w:fldCharType="separate"/>
        </w:r>
        <w:r>
          <w:rPr>
            <w:webHidden/>
          </w:rPr>
          <w:t>2</w:t>
        </w:r>
        <w:r>
          <w:rPr>
            <w:webHidden/>
          </w:rPr>
          <w:fldChar w:fldCharType="end"/>
        </w:r>
      </w:hyperlink>
    </w:p>
    <w:p w14:paraId="6CC72FE4" w14:textId="7BB8C68E" w:rsidR="004966A8" w:rsidRDefault="004966A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8860" w:history="1">
        <w:r w:rsidRPr="00C05969">
          <w:rPr>
            <w:rStyle w:val="Hyperlink"/>
          </w:rPr>
          <w:t>II. RÉSZ: TÁBLASPECIFIKUS ÚTMUTATÓ</w:t>
        </w:r>
        <w:r>
          <w:rPr>
            <w:webHidden/>
          </w:rPr>
          <w:tab/>
        </w:r>
        <w:r>
          <w:rPr>
            <w:webHidden/>
          </w:rPr>
          <w:fldChar w:fldCharType="begin"/>
        </w:r>
        <w:r>
          <w:rPr>
            <w:webHidden/>
          </w:rPr>
          <w:instrText xml:space="preserve"> PAGEREF _Toc188708860 \h </w:instrText>
        </w:r>
        <w:r>
          <w:rPr>
            <w:webHidden/>
          </w:rPr>
        </w:r>
        <w:r>
          <w:rPr>
            <w:webHidden/>
          </w:rPr>
          <w:fldChar w:fldCharType="separate"/>
        </w:r>
        <w:r>
          <w:rPr>
            <w:webHidden/>
          </w:rPr>
          <w:t>3</w:t>
        </w:r>
        <w:r>
          <w:rPr>
            <w:webHidden/>
          </w:rPr>
          <w:fldChar w:fldCharType="end"/>
        </w:r>
      </w:hyperlink>
    </w:p>
    <w:p w14:paraId="30853AF6" w14:textId="36D26270" w:rsidR="004966A8" w:rsidRDefault="004966A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8861" w:history="1">
        <w:r w:rsidRPr="00C05969">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C05969">
          <w:rPr>
            <w:rStyle w:val="Hyperlink"/>
          </w:rPr>
          <w:t>Általános megjegyzések</w:t>
        </w:r>
        <w:r>
          <w:rPr>
            <w:webHidden/>
          </w:rPr>
          <w:tab/>
        </w:r>
        <w:r>
          <w:rPr>
            <w:webHidden/>
          </w:rPr>
          <w:fldChar w:fldCharType="begin"/>
        </w:r>
        <w:r>
          <w:rPr>
            <w:webHidden/>
          </w:rPr>
          <w:instrText xml:space="preserve"> PAGEREF _Toc188708861 \h </w:instrText>
        </w:r>
        <w:r>
          <w:rPr>
            <w:webHidden/>
          </w:rPr>
        </w:r>
        <w:r>
          <w:rPr>
            <w:webHidden/>
          </w:rPr>
          <w:fldChar w:fldCharType="separate"/>
        </w:r>
        <w:r>
          <w:rPr>
            <w:webHidden/>
          </w:rPr>
          <w:t>3</w:t>
        </w:r>
        <w:r>
          <w:rPr>
            <w:webHidden/>
          </w:rPr>
          <w:fldChar w:fldCharType="end"/>
        </w:r>
      </w:hyperlink>
    </w:p>
    <w:p w14:paraId="0233B009" w14:textId="6A993818" w:rsidR="004966A8" w:rsidRDefault="004966A8">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8862" w:history="1">
        <w:r w:rsidRPr="00C05969">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C05969">
          <w:rPr>
            <w:rStyle w:val="Hyperlink"/>
          </w:rPr>
          <w:t>A tábla egyes részeire egyes vonatkozó útmutató</w:t>
        </w:r>
        <w:r>
          <w:rPr>
            <w:webHidden/>
          </w:rPr>
          <w:tab/>
        </w:r>
        <w:r>
          <w:rPr>
            <w:webHidden/>
          </w:rPr>
          <w:fldChar w:fldCharType="begin"/>
        </w:r>
        <w:r>
          <w:rPr>
            <w:webHidden/>
          </w:rPr>
          <w:instrText xml:space="preserve"> PAGEREF _Toc188708862 \h </w:instrText>
        </w:r>
        <w:r>
          <w:rPr>
            <w:webHidden/>
          </w:rPr>
        </w:r>
        <w:r>
          <w:rPr>
            <w:webHidden/>
          </w:rPr>
          <w:fldChar w:fldCharType="separate"/>
        </w:r>
        <w:r>
          <w:rPr>
            <w:webHidden/>
          </w:rPr>
          <w:t>3</w:t>
        </w:r>
        <w:r>
          <w:rPr>
            <w:webHidden/>
          </w:rPr>
          <w:fldChar w:fldCharType="end"/>
        </w:r>
      </w:hyperlink>
    </w:p>
    <w:p w14:paraId="7AC7042C" w14:textId="13F4F362"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708855"/>
      <w:r>
        <w:lastRenderedPageBreak/>
        <w:t>I. RÉSZ:</w:t>
      </w:r>
      <w:bookmarkEnd w:id="2"/>
      <w:r>
        <w:t xml:space="preserve"> ÁLTALÁNOS ÚTMUTATÓ</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708856"/>
      <w:r>
        <w:rPr>
          <w:sz w:val="24"/>
        </w:rPr>
        <w:t>1.</w:t>
      </w:r>
      <w:r>
        <w:rPr>
          <w:sz w:val="24"/>
        </w:rPr>
        <w:tab/>
        <w:t>Felépítés és szabályok</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708857"/>
      <w:r>
        <w:rPr>
          <w:sz w:val="24"/>
        </w:rPr>
        <w:t>1.1.</w:t>
      </w:r>
      <w:r>
        <w:rPr>
          <w:sz w:val="24"/>
        </w:rPr>
        <w:tab/>
        <w:t>Felépítés</w:t>
      </w:r>
      <w:bookmarkEnd w:id="9"/>
      <w:bookmarkEnd w:id="10"/>
      <w:bookmarkEnd w:id="13"/>
    </w:p>
    <w:p w14:paraId="6C67B776" w14:textId="4E28F620" w:rsidR="005643EA" w:rsidRPr="00B74E74" w:rsidRDefault="00125707" w:rsidP="00B26332">
      <w:pPr>
        <w:pStyle w:val="InstructionsText2"/>
        <w:ind w:left="993"/>
      </w:pPr>
      <w:r>
        <w:t>1.</w:t>
      </w:r>
      <w:r>
        <w:tab/>
        <w:t>Ez az adatszolgáltatási követelmény, amelynek célja a globálisan rendszerszinten jelentős intézmények azonosításának támogatása és a rájuk vonatkozó pufferráták hozzárendelése, egyetlen táblát tartalmaz, amelyben a globális rendszerszintű jelentőségre vonatkozó mutatókkal és egyedi tételekkel kapcsolatos azon információkat kell feltüntetni, amelyek a globálisan rendszerszinten jelentős intézmények azonosítására és a rájuk vonatkozó megfelelő pufferráta hozzárendelésére szolgáló uniós módszertan alkalmazásához szükségesek.</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708858"/>
      <w:r>
        <w:rPr>
          <w:sz w:val="24"/>
        </w:rPr>
        <w:t>1.2.</w:t>
      </w:r>
      <w:r>
        <w:rPr>
          <w:sz w:val="24"/>
        </w:rPr>
        <w:tab/>
        <w:t>Számozási szabályok</w:t>
      </w:r>
      <w:bookmarkEnd w:id="14"/>
      <w:bookmarkEnd w:id="15"/>
      <w:bookmarkEnd w:id="16"/>
    </w:p>
    <w:p w14:paraId="3C0F0268" w14:textId="5212C39C" w:rsidR="002648B0" w:rsidRPr="00B74E74" w:rsidRDefault="006137FD" w:rsidP="00AB7C07">
      <w:pPr>
        <w:pStyle w:val="InstructionsText2"/>
        <w:ind w:left="993"/>
      </w:pPr>
      <w:r>
        <w:t>2.</w:t>
      </w:r>
      <w:r>
        <w:tab/>
        <w:t>A táblák oszlopaira, soraira és celláira való hivatkozáskor a dokumentum a 3–5. pontban meghatározott jelölési szabályokat követi. A numerikus kódokat kimerítően használják a validálási szabályok.</w:t>
      </w:r>
    </w:p>
    <w:p w14:paraId="26DC2799" w14:textId="2C43513E" w:rsidR="005643EA" w:rsidRPr="00B74E74" w:rsidRDefault="006137FD" w:rsidP="00AB7C07">
      <w:pPr>
        <w:pStyle w:val="InstructionsText2"/>
        <w:ind w:left="993"/>
      </w:pPr>
      <w:r>
        <w:t>3.</w:t>
      </w:r>
      <w:r>
        <w:tab/>
        <w:t>Az útmutató a következő általános jelölést követi: {Tábla; Sor; Oszlop}.</w:t>
      </w:r>
    </w:p>
    <w:p w14:paraId="6A9F72AA" w14:textId="632C824C" w:rsidR="005643EA" w:rsidRPr="00B74E74" w:rsidRDefault="006137FD" w:rsidP="00AB7C07">
      <w:pPr>
        <w:pStyle w:val="InstructionsText2"/>
        <w:ind w:left="993"/>
      </w:pPr>
      <w:r>
        <w:t>4.</w:t>
      </w:r>
      <w:r>
        <w:tab/>
        <w:t>Táblán belüli hivatkozás esetén a jelölés a táblát nem, csak az érintett adatpontokat tartalmazza: {Sor; Oszlop}. Egyoszlopos táblák esetében a jelölés csak a sorokra hivatkozik: {Tábla; Sor}.</w:t>
      </w:r>
    </w:p>
    <w:p w14:paraId="01FECE3C" w14:textId="482B71E1" w:rsidR="002648B0" w:rsidRPr="00B74E74" w:rsidRDefault="006137FD" w:rsidP="00AB7C07">
      <w:pPr>
        <w:pStyle w:val="InstructionsText2"/>
        <w:ind w:left="993"/>
      </w:pPr>
      <w:r>
        <w:t>5.</w:t>
      </w:r>
      <w:r>
        <w:tab/>
        <w:t>Csillag jelöli, hogy a hivatkozás korábban meghatározott sorra vagy oszlopra vonatkozik.</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708859"/>
      <w:r>
        <w:rPr>
          <w:sz w:val="24"/>
        </w:rPr>
        <w:t>1.3.</w:t>
      </w:r>
      <w:r>
        <w:rPr>
          <w:sz w:val="24"/>
        </w:rPr>
        <w:tab/>
        <w:t>Előjelre vonatkozó szabályok</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A mutató, az eszközök, a kötelezettségek vagy a kitettségek értékét növelő bármely összeget pozitív számként, az azokat csökkentő bármely összeget pedig negatív számként kell feltüntetni. Ha egy tétel megnevezése előtt mínuszjel (–) található, akkor az adott tételről nem szolgáltatható pozitív adat.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708860"/>
      <w:r>
        <w:lastRenderedPageBreak/>
        <w:t>II. RÉSZ: TÁBLASPECIFIKUS ÚTMUTATÓ</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708861"/>
      <w:r>
        <w:rPr>
          <w:sz w:val="24"/>
        </w:rPr>
        <w:t>1.</w:t>
      </w:r>
      <w:r>
        <w:rPr>
          <w:sz w:val="24"/>
        </w:rPr>
        <w:tab/>
      </w:r>
      <w:bookmarkStart w:id="27" w:name="_Toc308175819"/>
      <w:bookmarkStart w:id="28" w:name="_Toc360188324"/>
      <w:bookmarkStart w:id="29" w:name="_Toc473560872"/>
      <w:bookmarkEnd w:id="24"/>
      <w:bookmarkEnd w:id="25"/>
      <w:r>
        <w:rPr>
          <w:sz w:val="24"/>
        </w:rPr>
        <w:t>Általános megjegyzések</w:t>
      </w:r>
      <w:bookmarkEnd w:id="26"/>
      <w:bookmarkEnd w:id="27"/>
      <w:bookmarkEnd w:id="28"/>
      <w:bookmarkEnd w:id="29"/>
    </w:p>
    <w:p w14:paraId="410557ED" w14:textId="58FCFFD9" w:rsidR="006137FD" w:rsidRPr="00B74E74" w:rsidRDefault="00004542" w:rsidP="00AB7C07">
      <w:pPr>
        <w:pStyle w:val="InstructionsText2"/>
        <w:ind w:left="993"/>
      </w:pPr>
      <w:r>
        <w:t>8.</w:t>
      </w:r>
      <w:r>
        <w:tab/>
        <w:t>A tábla két részből áll. A globálisan rendszerszinten jelentős intézményekkel kapcsolatos mutatókra vonatkozó felső rész tartalmazza a Bázeli Bankfelügyeleti Bizottság által kidolgozott módszertan szerinti, a globálisan rendszerszinten jelentős intézmények azonosítására szolgáló mutatókat. Az alsó rész olyan tételeket tartalmaz, amelyekre a releváns mutatóknak a 2013/36/EU irányelv</w:t>
      </w:r>
      <w:r w:rsidR="00FE1150" w:rsidRPr="00B74E74">
        <w:rPr>
          <w:rStyle w:val="FootnoteReference"/>
          <w:rFonts w:ascii="Times New Roman" w:hAnsi="Times New Roman"/>
          <w:sz w:val="24"/>
          <w:szCs w:val="24"/>
          <w:vertAlign w:val="superscript"/>
        </w:rPr>
        <w:footnoteReference w:id="2"/>
      </w:r>
      <w:r>
        <w:t xml:space="preserve"> 131. cikkének (18) bekezdése alapján meghatározott módszertan szerinti kiszámításához van szükség. </w:t>
      </w:r>
    </w:p>
    <w:p w14:paraId="285BFC5F" w14:textId="4372324A" w:rsidR="005643EA" w:rsidRPr="00B74E74" w:rsidRDefault="00004542" w:rsidP="00AB7C07">
      <w:pPr>
        <w:pStyle w:val="InstructionsText2"/>
        <w:ind w:left="993"/>
      </w:pPr>
      <w:r>
        <w:t>9.</w:t>
      </w:r>
      <w:r>
        <w:tab/>
        <w:t>Adott esetben az e táblában feltüntetett adatoknak meg kell egyezniük az érintett hatóságok számára benyújtott azon adatokkal, amelyekre e hatóságoknak a mutatóértékekkel kapcsolatos, az 1222/2014/EU felhatalmazáson alapuló bizottsági rendelet</w:t>
      </w:r>
      <w:r w:rsidR="00FE1150" w:rsidRPr="00B74E74">
        <w:rPr>
          <w:rStyle w:val="FootnoteReference"/>
          <w:rFonts w:ascii="Times New Roman" w:hAnsi="Times New Roman"/>
          <w:sz w:val="24"/>
          <w:szCs w:val="24"/>
          <w:vertAlign w:val="superscript"/>
        </w:rPr>
        <w:footnoteReference w:id="3"/>
      </w:r>
      <w:r>
        <w:t xml:space="preserve"> 3. cikkének (2) bekezdése szerinti adatgyűjtéshez szükségük van.</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10414968"/>
      <w:bookmarkStart w:id="31" w:name="_Toc308175821"/>
      <w:bookmarkStart w:id="32" w:name="_Toc360188326"/>
      <w:bookmarkStart w:id="33" w:name="_Toc473560874"/>
      <w:bookmarkStart w:id="34" w:name="_Toc188708862"/>
      <w:r>
        <w:rPr>
          <w:sz w:val="24"/>
        </w:rPr>
        <w:t>2.</w:t>
      </w:r>
      <w:r>
        <w:rPr>
          <w:sz w:val="24"/>
        </w:rPr>
        <w:tab/>
      </w:r>
      <w:r>
        <w:t>A tábla egyes részeire egyes vonatkozó útmutató</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mutatók</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 mutatók fogalommeghatározása megegyezik az 1222/2014/EU felhatalmazáson alapuló bizottsági rendelet mellékletében felsorolt információk meghatározása céljából alkalmazott fogalommeghatározással.</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Az említett módszertan fogalommeghatározásainak módosulása esetén a pénzügyi év végi mutatóértékek meghatározására alkalmazandó módszertan („az év végi módszertan”) fogalommeghatározásait kell használni az ugyanazon pénzügyi év első, második és harmadik negyedévének végére vonatkozó adatszolgáltatás céljából is. Amennyiben a XXVI. melléklet táblája az adott pénzügyi évben módosul, a módosító rendelet hatálybalépését követő első alkalmazandó adatszolgáltatási vonatkozási időponttól kezdve az év végi módszertant kell alkalmazni.</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A folyamatmutatókat adott esetben a naptári év vagy pénzügyi év kezdetétől számítva kumulatív alapon kell megadni.</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 beleértve a biztosítási leányvállalatokat</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Pénzügyi rendszeren belüli eszközök, beleértve a biztosítási leányvállalatokat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Pénzügyi rendszeren belüli kötelezettségek, beleértve a biztosítási leányvállalatokat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Forgalomban lévő értékpapírok, beleértve a biztosítási leányvállalatok által kibocsátott értékpapírokat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Pénzforgalmi tevékenység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Letétbe helyezett eszközök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Jegyzési garanciával biztosított ügyletek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volumen – rögzített hozam</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volumen – részvények és más értékpapírok</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 tőzsdén kívüli (OTC) származtatott ügyletek névleges összege, beleértve a biztosítási leányvállalatokat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Kereskedési célú és értékesíthető értékpapírok</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3. szintű eszközök, beleértve a biztosítási leányvállalatokat</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Több joghatóságot érintő követelések</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Több joghatóságot érintő kötelezettségek</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Bankuniós szinten összesített tételek</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Az alábbi tételek meghatározása céljából az alkalmazott fogalommeghatározásokat – amennyiben a következő utasítások nem részletesek – a lehető legnagyobb mértékben össze kell hangolni a BIS nemzetközi bankstatisztikával kapcsolatos adatszolgáltatásra vonatkozó iránymutatásában szereplő fogalommeghatározásokkal.</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Pr>
              <w:t>Ettől eltérve, az adatszolgáltató szervezetek által a 806/2014/EU európai parlamenti és tanácsi rendelet</w:t>
            </w:r>
            <w:r w:rsidRPr="00B74E74">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4. cikkében említett részt vevő tagállamokban folytatott tevékenységeket nem lehet figyelembe venni ennél a tételnél, vagyis a részt vevő tagállamokat egy egységes joghatóságnak kell tekinteni.</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 külföldi követelés a végső kockázatviselés elve alapján</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összes külföldi követelés a külföldi leányvállalatok határokon átnyúló követeléseinek és helyi vagy külföldi pénznemben fennálló helyi követeléseinek összege. A származtatott ügyletekben lévő pozíciókból eredő követeléseket nem lehet itt feltüntetni. A „követelések”, „határokon átnyúló követelések”, „külföldi leányvállalatok külföldi és helyi pénznemben fennálló helyi követelései” fogalmak jelentése megegyezik a BIS nemzetközi bankstatisztikával kapcsolatos adatszolgáltatásra vonatkozó iránymutatásában meghatározottakkal.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„végső kockázatviselés elve alapján” azt jelenti, hogy annak meghatározása céljából, hogy egy követelés határokon átnyúló vagy helyi követelés-e, a pozíciót ahhoz a harmadik félhez kell rendelni – ha van ilyen –, amely szerződés alapján átvállalja az elsődleges szerződő fél adósságait vagy kötelezettségeit, </w:t>
            </w:r>
            <w:r>
              <w:rPr>
                <w:rStyle w:val="FormatvorlageInstructionsTabelleText"/>
                <w:rFonts w:ascii="Times New Roman" w:hAnsi="Times New Roman"/>
                <w:sz w:val="24"/>
              </w:rPr>
              <w:lastRenderedPageBreak/>
              <w:t>amennyiben az nem teljesít. Ezt a hozzárendelést a BIS nemzetközi bankstatisztikával kapcsolatos adatszolgáltatásra vonatkozó iránymutatásának kockázatátruházási rendelkezéseivel összhangban kell elvégezni.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ügyletekkel kapcsolatos külföldi követelések a végső kockázatviselés elve alapján</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összes olyan, származtatott ügylettel kapcsolatos követelés pozitív valós értéke, amely határokon átnyúló követelés, vagy külföldi leányvállalatok helyi vagy külföldi pénznemben denominált helyi követelése.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származtatott ügyletek közé tartoznak a tőzsdén kívüli határidős ügyletek, a swapügyletek és a devizaárfolyamhoz, kamatlábhoz, részvényhez, áruhoz és hiteleszközökhöz kapcsolódó opciók. Idetartoznak az eladott hitelkockázati fedezet fedezését vagy nettósítását szolgáló vagy kereskedési célból tartott vásárolt hitelderivatívák is.</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 vásárolt hitelderivatívák esetében az érték nem korlátozható annak a közvetlen követelésnek az értékére, amellyel összefüggésben vásárolták.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ügyletek pozitív valós értéke csak akkor nettósítható negatív valós értékkel szemben, ha a pozíciók ugyanazzal a partnerrel szemben állnak fenn, jogilag érvényesíthető nettósítási megállapodás keretében. Ebben a tételben csak pozitív értékű nettósítási halmazok tüntethetők fel.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ügylettel kapcsolatos követeléseket a pénzbeli biztosítékkal együtt kell megadni.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végső kockázatviseléshez kapcsolódó információk feltüntetésére a következők alkalmazandók:</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ha a végső kockázatot a partner viseli, a származtatott ügylet akkor minősül külföldinek, ha a partner nem az adatszolgáltató szervezet székhelye szerinti joghatóságban van.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ha a végső kockázatot a garantőr viseli, a származtatott ügylet akkor minősül külföldinek, ha a garantőr nem az adatszolgáltató szervezet székhelye szerinti joghatóságban van.</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Külföldi kötelezettségek a közvetlen kockázatviselés elve alapján, beleértve a származtatott ügyleteket</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külföldi kötelezettségekbe, beleértve a származtatott ügyleteket is, a külföldi kötelezettségeket és a származtatott ügyletekkel kapcsolatos külföldi kötelezettségeket kell beszámítani. Ebben a tételben nem szabad feltüntetni azokat az értékpapír-kötelezettségeket, amelyek az adatszolgáltató intézmény által kibocsátott forgalomképes pénzügyi eszközök.</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származtatott ügyletek fogalommeghatározása megegyezik a 0150-es sorra vonatkozó fogalommeghatározással.</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származtatott ügyletek negatív valós értéke csak akkor nettósítható pozitív valós értékkel, ha a pozíciókat ugyanazzal a partnerrel hajtották végre, jogilag érvényesíthető nettósítási megállapodás keretében. A származtatott ügyletekkel kapcsolatos kötelezettségeket a (pénzbeli és nem pénzbeli) biztosítékokkal együtt kell feltüntetni.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„közvetlen kockázatviselés elve” azt jelenti, hogy annak meghatározása céljából, hogy egy követelés határokon átnyúló vagy helyi követelés-e, a pozíciót az ügyletben közvetlenül részt vevő partnerhez kell hozzárendelni.”</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90B37" w14:textId="77777777" w:rsidR="00B04271" w:rsidRDefault="00B04271" w:rsidP="00D946DB">
      <w:pPr>
        <w:spacing w:before="0" w:after="0"/>
      </w:pPr>
      <w:r>
        <w:separator/>
      </w:r>
    </w:p>
  </w:endnote>
  <w:endnote w:type="continuationSeparator" w:id="0">
    <w:p w14:paraId="28D1D5EE" w14:textId="77777777" w:rsidR="00B04271" w:rsidRDefault="00B04271" w:rsidP="00D946DB">
      <w:pPr>
        <w:spacing w:before="0" w:after="0"/>
      </w:pPr>
      <w:r>
        <w:continuationSeparator/>
      </w:r>
    </w:p>
  </w:endnote>
  <w:endnote w:type="continuationNotice" w:id="1">
    <w:p w14:paraId="0EF5E7CE" w14:textId="77777777" w:rsidR="00B04271" w:rsidRDefault="00B042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0D3EF" w14:textId="77777777" w:rsidR="00B04271" w:rsidRDefault="00B04271" w:rsidP="00D946DB">
      <w:pPr>
        <w:spacing w:before="0" w:after="0"/>
      </w:pPr>
      <w:r>
        <w:separator/>
      </w:r>
    </w:p>
  </w:footnote>
  <w:footnote w:type="continuationSeparator" w:id="0">
    <w:p w14:paraId="511D4B83" w14:textId="77777777" w:rsidR="00B04271" w:rsidRDefault="00B04271" w:rsidP="00D946DB">
      <w:pPr>
        <w:spacing w:before="0" w:after="0"/>
      </w:pPr>
      <w:r>
        <w:continuationSeparator/>
      </w:r>
    </w:p>
  </w:footnote>
  <w:footnote w:type="continuationNotice" w:id="1">
    <w:p w14:paraId="0FF4E3D5" w14:textId="77777777" w:rsidR="00B04271" w:rsidRDefault="00B04271">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Az Európai Parlament és a Tanács 2013/36/EU irányelve (2013. június 26.) a hitelintézetek tevékenységéhez való hozzáférésről és a hitelintézetek prudenciális felügyeletéről, a 2002/87/EK irányelv módosításáról, a 2006/48/EK és a 2006/49/EK irányelv hatályon kívül helyezéséről (HL L 176., 2013.6.27., 338. o.).</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A Bizottság 1222/2014/EU felhatalmazáson alapuló rendelete (2014. október 8.) a 2013/36/EU európai parlamenti és tanácsi irányelvnek a globálisan rendszerszinten jelentős intézmények azonosítására és a globálisan rendszerszinten jelentős intézmények alkategóriáinak meghatározására alkalmazott módszertan részletes leírására vonatkozó szabályozástechnikai standardok tekintetében történő kiegészítéséről (HL L 330., 2014.11.15., 27. o.).</w:t>
      </w:r>
    </w:p>
  </w:footnote>
  <w:footnote w:id="4">
    <w:p w14:paraId="7E81C75F" w14:textId="7AFAACB8" w:rsidR="00461B95" w:rsidRPr="00EF0DDB" w:rsidRDefault="00461B95">
      <w:pPr>
        <w:pStyle w:val="FootnoteText"/>
      </w:pPr>
      <w:r>
        <w:rPr>
          <w:rStyle w:val="FootnoteReference"/>
        </w:rPr>
        <w:footnoteRef/>
      </w:r>
      <w:r>
        <w:t xml:space="preserve"> Az Európai Parlament és a Tanács 806/2014/EU rendelete (2014. július 15.) a hitelintézeteknek és bizonyos befektetési vállalkozásoknak az Egységes Szanálási Mechanizmus keretében történő szanálására vonatkozó egységes szabályok és egységes eljárás kialakításáról, valamint az Egységes Szanálási Alap létrehozásáról és az 1093/2010/EU rendelet módosításáról (HL L 225., 2014.7.30.,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2054647983">
    <w:abstractNumId w:val="0"/>
  </w:num>
  <w:num w:numId="2" w16cid:durableId="260921893">
    <w:abstractNumId w:val="13"/>
  </w:num>
  <w:num w:numId="3" w16cid:durableId="1395659225">
    <w:abstractNumId w:val="19"/>
  </w:num>
  <w:num w:numId="4" w16cid:durableId="1654672643">
    <w:abstractNumId w:val="9"/>
  </w:num>
  <w:num w:numId="5" w16cid:durableId="919025983">
    <w:abstractNumId w:val="16"/>
  </w:num>
  <w:num w:numId="6" w16cid:durableId="240986601">
    <w:abstractNumId w:val="8"/>
  </w:num>
  <w:num w:numId="7" w16cid:durableId="1231573076">
    <w:abstractNumId w:val="18"/>
  </w:num>
  <w:num w:numId="8" w16cid:durableId="1520580903">
    <w:abstractNumId w:val="2"/>
  </w:num>
  <w:num w:numId="9" w16cid:durableId="1151363253">
    <w:abstractNumId w:val="14"/>
  </w:num>
  <w:num w:numId="10" w16cid:durableId="365445191">
    <w:abstractNumId w:val="7"/>
  </w:num>
  <w:num w:numId="11" w16cid:durableId="1302224511">
    <w:abstractNumId w:val="11"/>
  </w:num>
  <w:num w:numId="12" w16cid:durableId="822548521">
    <w:abstractNumId w:val="3"/>
  </w:num>
  <w:num w:numId="13" w16cid:durableId="893352376">
    <w:abstractNumId w:val="15"/>
  </w:num>
  <w:num w:numId="14" w16cid:durableId="1132359125">
    <w:abstractNumId w:val="12"/>
  </w:num>
  <w:num w:numId="15" w16cid:durableId="329333301">
    <w:abstractNumId w:val="5"/>
  </w:num>
  <w:num w:numId="16" w16cid:durableId="1006515665">
    <w:abstractNumId w:val="10"/>
  </w:num>
  <w:num w:numId="17" w16cid:durableId="1781141889">
    <w:abstractNumId w:val="4"/>
  </w:num>
  <w:num w:numId="18" w16cid:durableId="1085804553">
    <w:abstractNumId w:val="17"/>
  </w:num>
  <w:num w:numId="19" w16cid:durableId="754783473">
    <w:abstractNumId w:val="1"/>
  </w:num>
  <w:num w:numId="20" w16cid:durableId="1965696904">
    <w:abstractNumId w:val="6"/>
  </w:num>
  <w:num w:numId="21" w16cid:durableId="507722449">
    <w:abstractNumId w:val="5"/>
  </w:num>
  <w:num w:numId="22" w16cid:durableId="445388818">
    <w:abstractNumId w:val="15"/>
  </w:num>
  <w:num w:numId="23" w16cid:durableId="815758452">
    <w:abstractNumId w:val="15"/>
  </w:num>
  <w:num w:numId="24" w16cid:durableId="1502355739">
    <w:abstractNumId w:val="15"/>
  </w:num>
  <w:num w:numId="25" w16cid:durableId="64482055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BEB"/>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6A8"/>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513"/>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271"/>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CCFEF357-D013-47C3-8A99-71D8FE16743A}"/>
</file>

<file path=customXml/itemProps3.xml><?xml version="1.0" encoding="utf-8"?>
<ds:datastoreItem xmlns:ds="http://schemas.openxmlformats.org/officeDocument/2006/customXml" ds:itemID="{8C140C7F-E366-4D01-A335-63926805FD2F}"/>
</file>

<file path=customXml/itemProps4.xml><?xml version="1.0" encoding="utf-8"?>
<ds:datastoreItem xmlns:ds="http://schemas.openxmlformats.org/officeDocument/2006/customXml" ds:itemID="{F0B5A26E-1985-466B-A0C2-5A205AAEB450}"/>
</file>

<file path=docProps/app.xml><?xml version="1.0" encoding="utf-8"?>
<Properties xmlns="http://schemas.openxmlformats.org/officeDocument/2006/extended-properties" xmlns:vt="http://schemas.openxmlformats.org/officeDocument/2006/docPropsVTypes">
  <Template>Normal.dotm</Template>
  <TotalTime>0</TotalTime>
  <Pages>1</Pages>
  <Words>1164</Words>
  <Characters>8700</Characters>
  <Application>Microsoft Office Word</Application>
  <DocSecurity>0</DocSecurity>
  <Lines>197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2025-01-25T13:47:56Z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d7984348-10cb-4451-8ae8-fb97db3adc0d</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