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SL</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PRILOGA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„PRILOGA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NAVODILA ZA POROČANJE O KAPITALU IN KAPITALSKIH ZAHTEVAH</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NAVODILA V ZVEZI S PREDLOGAMI</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KAPITALSKA USTREZNOST SKUPINE: INFORMACIJE O POVEZANIH SUBJEKTIH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sidRPr="00E81147">
        <w:rPr>
          <w:u w:val="none"/>
        </w:rPr>
        <w:tab/>
      </w:r>
      <w:r>
        <w:rPr>
          <w:rFonts w:ascii="Times New Roman" w:hAnsi="Times New Roman"/>
          <w:sz w:val="24"/>
        </w:rPr>
        <w:t>Splošne opombe</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Predlogi C 06.01 in C 06.02 se poročata, če se kapitalske zahteve izračunajo na konsolidirani podlagi. Predloga C 06.02 je sestavljena iz štirih delov z namenom zbiranja različnih informacij o vseh posameznih subjektih (vključno z institucijo poročevalko), ki so vključeni v obseg konsolidacije.</w:t>
      </w:r>
    </w:p>
    <w:p w14:paraId="427E4E34" w14:textId="77777777" w:rsidR="00173F08" w:rsidRPr="002A677E" w:rsidRDefault="00173F08" w:rsidP="00173F08">
      <w:pPr>
        <w:pStyle w:val="InstructionsText2"/>
        <w:numPr>
          <w:ilvl w:val="0"/>
          <w:numId w:val="0"/>
        </w:numPr>
        <w:ind w:left="993"/>
      </w:pPr>
      <w:r>
        <w:t>(a)</w:t>
      </w:r>
      <w:r>
        <w:tab/>
        <w:t>subjekti, vključeni v obseg konsolidacije;</w:t>
      </w:r>
    </w:p>
    <w:p w14:paraId="028B029B" w14:textId="77777777" w:rsidR="00173F08" w:rsidRPr="002A677E" w:rsidRDefault="00173F08" w:rsidP="00173F08">
      <w:pPr>
        <w:pStyle w:val="InstructionsText2"/>
        <w:numPr>
          <w:ilvl w:val="0"/>
          <w:numId w:val="0"/>
        </w:numPr>
        <w:ind w:left="993"/>
      </w:pPr>
      <w:r>
        <w:t>(b)</w:t>
      </w:r>
      <w:r>
        <w:tab/>
        <w:t>podrobne informacije o kapitalski ustreznosti skupine;</w:t>
      </w:r>
    </w:p>
    <w:p w14:paraId="29EF9308" w14:textId="77777777" w:rsidR="00173F08" w:rsidRPr="002A677E" w:rsidRDefault="00173F08" w:rsidP="00173F08">
      <w:pPr>
        <w:pStyle w:val="InstructionsText2"/>
        <w:numPr>
          <w:ilvl w:val="0"/>
          <w:numId w:val="0"/>
        </w:numPr>
        <w:ind w:left="993"/>
      </w:pPr>
      <w:r>
        <w:t>(c)</w:t>
      </w:r>
      <w:r>
        <w:tab/>
        <w:t>informacije o prispevku subjektov h kapitalski ustreznosti skupine;</w:t>
      </w:r>
    </w:p>
    <w:p w14:paraId="66E85F84" w14:textId="77777777" w:rsidR="00173F08" w:rsidRPr="002A677E" w:rsidRDefault="00173F08" w:rsidP="00173F08">
      <w:pPr>
        <w:pStyle w:val="InstructionsText2"/>
        <w:numPr>
          <w:ilvl w:val="0"/>
          <w:numId w:val="0"/>
        </w:numPr>
        <w:ind w:left="993"/>
      </w:pPr>
      <w:r>
        <w:t>(d)</w:t>
      </w:r>
      <w:r>
        <w:tab/>
        <w:t>informacije o kapitalskih blažilnikih.</w:t>
      </w:r>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Institucije, ki jim je bila odobrena opustitev v skladu s členom 7 Uredbe (EU) št. 575/2013, izpolnijo le stolpce 0010 do 0065 in 0250 do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Pri številkah, ki se poročajo, se upoštevajo vse prehodne določbe iz Uredbe (EU) št. 575/2013, ki veljajo na zadevni dan poročanja.</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sidRPr="00E81147">
        <w:rPr>
          <w:u w:val="none"/>
        </w:rPr>
        <w:tab/>
      </w:r>
      <w:r>
        <w:rPr>
          <w:rFonts w:ascii="Times New Roman" w:hAnsi="Times New Roman"/>
          <w:sz w:val="24"/>
        </w:rPr>
        <w:t>Podrobne informacije o kapitalski ustreznosti skupine;</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Drugi del predloge C 06.02 (podrobne informacije o kapitalski ustreznosti skupine), ki zajema stolpce 0070 do 0240, je namenjen zbiranju informacij o kreditnih in drugih reguliranih finančnih institucijah, za katere dejansko veljajo posebne kapitalske zahteve na posamični podlagi. Za vse navedene subjekte, zajete v obsegu poročanja, podaja kapitalske zahteve za posamezne vrste tveganja in kapital za namen kapitalske ustreznosti.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Kadar gre za sorazmerno konsolidacijo udeležb, vrednosti, povezane s kapitalskimi zahtevami in kapitalom, odražajo ustrezne sorazmerne zneske.</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rsidRPr="00E81147">
        <w:rPr>
          <w:u w:val="none"/>
        </w:rPr>
        <w:tab/>
      </w:r>
      <w:r>
        <w:rPr>
          <w:rFonts w:ascii="Times New Roman" w:hAnsi="Times New Roman"/>
          <w:sz w:val="24"/>
        </w:rPr>
        <w:t>Informacije o prispevkih posameznih subjektov h kapitalski ustreznosti skupine</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 xml:space="preserve">Namen tretjega dela predloge C 06.02 in predloge C 06.01 (informacije o prispevkih vseh subjektov, ki spadajo v obseg konsolidacije na podlagi Uredbe (EU) št. 575/2013, h kapitalski ustreznosti skupine, vključno s subjekti, za katere ne veljajo posebne kapitalske zahteve na posamični podlagi) v stolpcih 0250 do 0400 je ugotoviti, kateri subjekti v skupini ustvarjajo tveganja in pridobivajo kapital na trgu, na podlagi podatkov, ki so že na voljo ali jih je mogoče enostavno ponovno obdelati brez potrebe po ponovnem izračunu kapitalskega količnika na posamični ali subkonsolidirani podlagi. Na ravni subjekta so tveganje in kapitalske vrednosti prispevki k vrednostim skupine in ne sestavine količnika kapitalske ustreznosti na posamični podlagi ter se kot take ne smejo primerjati med sabo.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Tretji del vključuje tudi zneske manjšinskih deležev, kvalificirani dodatni temeljni kapital in kvalificirani dodatni kapital, sprejemljiv v konsolidiranem kapitalu.</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Ker se tretji del predloge nanaša na „prispevke“, se vrednosti, ki jih je treba poročati na tem mestu, po potrebi razlikujejo od vrednosti, poročanih v stolpcih, ki se nanašajo na podrobne informacije o kapitalski vrednosti skupine.</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V osnovi se odpravijo medsebojne izpostavljenosti znotraj istih skupin na enak način tako v smislu tveganj kot kapitala, da se krijejo zneski, ki so bili v konsolidirani predlogi CA skupine poročani z dodajanjem zneskov, poročanih za posamezni subjekt v predlogi „Kapitalska ustreznost skupine“. Kadar prag 1 % ni presežen, neposredna povezava s predlogo CA ni mogoča.</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Institucije določijo najprimernejšo metodo razdelitve med subjekte, pri kateri se upoštevajo možni učinki razpršitve za tržno tveganje in operativno tveganje.</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 xml:space="preserve">Obstaja možnost, da je ena konsolidirana skupina vključena v drugo konsolidirano skupino. To pomeni, da se subjekti iz podskupine poročajo v predlogi GS za celotno skupino, in sicer vsak subjekt iz podskupine posebej, tudi če se za samo podskupino uporabljajo zahteve po poročanju. Če se za podskupino uporabljajo zahteve po poročanju, ta prav tako poroča predlogo GS za vsak subjekt posebej, čeprav so te podrobnosti vključene v predlogo GS višje konsolidirane skupine.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Institucija poroča podatke o prispevku subjekta, ko njegov prispevek k znesku skupne izpostavljenosti tveganju preseže 1 % zneska skupne izpostavljenosti tveganju skupine ali ko njegov prispevek h kapitalu preseže 1 % kapitala skupine. Ta prag ne velja za podrejene družbe ali podskupine, ki skupini zagotavljajo kapital (v obliki manjšinskih deležev ali instrumentov kvalificiranega dodatnega temeljnega kapitala ali dodatnega kapitala, vključenega v kapital).</w:t>
      </w:r>
    </w:p>
    <w:p w14:paraId="78C505AC" w14:textId="60FFA84B"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rsidR="00E81147">
        <w:rPr>
          <w:u w:val="none"/>
        </w:rPr>
        <w:tab/>
      </w:r>
      <w:r w:rsidR="00E81147">
        <w:rPr>
          <w:u w:val="none"/>
        </w:rPr>
        <w:tab/>
      </w:r>
      <w:r>
        <w:rPr>
          <w:rFonts w:ascii="Times New Roman" w:hAnsi="Times New Roman"/>
          <w:sz w:val="24"/>
        </w:rPr>
        <w:t>C 06.01 – KAPITALSKA USTREZNOST SKUPINE: INFORMACIJE O POVEZANIH SUBJEKTIH – Skupaj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Stolpci</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Navodila</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SUBJEKTI, VKLJUČENI V OBSEG KONSOLIDACIJE</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Glej navodila za predlogo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KAPITALSKI BLAŽILNIKI</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Glej navodila za predlogo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Vrstice</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Navodila</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SKUPAJ</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Postavka „Skupaj“ predstavlja vsoto vrednosti, poročanih v vseh vrsticah predloge C 06.02.</w:t>
            </w:r>
          </w:p>
        </w:tc>
      </w:tr>
    </w:tbl>
    <w:p w14:paraId="6ED4F138" w14:textId="77777777" w:rsidR="00173F08" w:rsidRPr="002A677E" w:rsidRDefault="00173F08" w:rsidP="00173F08">
      <w:pPr>
        <w:pStyle w:val="InstructionsText"/>
      </w:pPr>
    </w:p>
    <w:p w14:paraId="7A36DFA3" w14:textId="48E01F6D"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sidR="00E81147">
        <w:rPr>
          <w:u w:val="none"/>
        </w:rPr>
        <w:tab/>
      </w:r>
      <w:r>
        <w:rPr>
          <w:rFonts w:ascii="Times New Roman" w:hAnsi="Times New Roman"/>
          <w:sz w:val="24"/>
        </w:rPr>
        <w:t>C 06.02 – KAPITALSKA USTREZNOST SKUPINE: INFORMACIJE O POVEZANIH SUBJEKTIH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Stolpci</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Navodila</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SUBJEKTI, VKLJUČENI V OBSEG KONSOLIDACIJE</w:t>
            </w:r>
          </w:p>
          <w:p w14:paraId="6B6FD15E"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Predloga je namenjena zbiranju informacij o vseh subjektih, vključenih v obseg konsolidacije, za vsak subjekt posebej, v skladu z</w:t>
            </w:r>
            <w:r>
              <w:rPr>
                <w:rFonts w:ascii="Times New Roman" w:hAnsi="Times New Roman"/>
                <w:sz w:val="24"/>
              </w:rPr>
              <w:t xml:space="preserve"> delom 1, naslov II, poglavje 2, Uredbe (EU) št. 575/2013</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IME</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Ime subjekta, vključenega v obseg konsolidacije.</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KODA</w:t>
            </w:r>
          </w:p>
          <w:p w14:paraId="099B8601" w14:textId="77777777" w:rsidR="00173F08" w:rsidRPr="002A677E" w:rsidRDefault="00173F08" w:rsidP="00822842">
            <w:pPr>
              <w:pStyle w:val="InstructionsText"/>
              <w:rPr>
                <w:rStyle w:val="InstructionsTabelleText"/>
              </w:rPr>
            </w:pPr>
            <w:r>
              <w:rPr>
                <w:rStyle w:val="InstructionsTabelleText"/>
              </w:rPr>
              <w:t xml:space="preserve">Koda mora biti kot del identifikatorja vrstice enoznačna za vsak poročani subjekt. Koda za institucije in zavarovalnice je koda LEI. Za druge subjekte je koda </w:t>
            </w:r>
            <w:proofErr w:type="spellStart"/>
            <w:r>
              <w:rPr>
                <w:rStyle w:val="InstructionsTabelleText"/>
              </w:rPr>
              <w:t>koda</w:t>
            </w:r>
            <w:proofErr w:type="spellEnd"/>
            <w:r>
              <w:rPr>
                <w:rStyle w:val="InstructionsTabelleText"/>
              </w:rPr>
              <w:t xml:space="preserve"> LEI ali nacionalna koda, če koda LEI ni na voljo. Koda je enoznačna in se uporablja dosledno po vseh predlogah in skozi čas. Koda ima vedno določeno vrednost.</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VRSTA KODE</w:t>
            </w:r>
          </w:p>
          <w:p w14:paraId="094070A5"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Institucije navedejo vrsto kode, ki se sporoči v stolpcu 0021</w:t>
            </w:r>
            <w:r>
              <w:rPr>
                <w:rStyle w:val="FormatvorlageInstructionsTabelleText"/>
                <w:rFonts w:ascii="Times New Roman" w:hAnsi="Times New Roman"/>
                <w:sz w:val="24"/>
              </w:rPr>
              <w:t>, kot „koda LEI“ ali „ni koda LEI“. Vrsto kode je treba vedno poročati.</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NACIONALNA KODA</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Institucije lahko dodatno sporočijo nacionalno kodo, kadar kot identifikator v stolpcu „Koda“ sporočijo kodo LEI.</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INSTITUCIJA ALI ENAKOVREDEN SUBJEKT (DA/NE)</w:t>
            </w:r>
          </w:p>
          <w:p w14:paraId="592DC0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„DA“ se navede, če za subjekt veljajo kapitalske zahteve v skladu z </w:t>
            </w:r>
            <w:r>
              <w:rPr>
                <w:rFonts w:ascii="Times New Roman" w:hAnsi="Times New Roman"/>
                <w:sz w:val="24"/>
              </w:rPr>
              <w:t xml:space="preserve">Uredbo (EU) št. 575/2013 </w:t>
            </w:r>
            <w:r>
              <w:rPr>
                <w:rStyle w:val="InstructionsTabelleText"/>
                <w:rFonts w:ascii="Times New Roman" w:hAnsi="Times New Roman"/>
                <w:sz w:val="24"/>
              </w:rPr>
              <w:t xml:space="preserve">in </w:t>
            </w:r>
            <w:r>
              <w:rPr>
                <w:rFonts w:ascii="Times New Roman" w:hAnsi="Times New Roman"/>
                <w:sz w:val="24"/>
              </w:rPr>
              <w:t>Direktivo 2013/36/EU</w:t>
            </w:r>
            <w:r>
              <w:rPr>
                <w:rStyle w:val="InstructionsTabelleText"/>
                <w:rFonts w:ascii="Times New Roman" w:hAnsi="Times New Roman"/>
                <w:sz w:val="24"/>
              </w:rPr>
              <w:t xml:space="preserve"> ali določbe, ki so vsaj enakovredne določbam sporazuma Basel.</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V nasprotnem primeru se navede „NE“.</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lastRenderedPageBreak/>
              <w:t></w:t>
            </w:r>
            <w:r>
              <w:tab/>
            </w:r>
            <w:r>
              <w:rPr>
                <w:rStyle w:val="InstructionsTabelleText"/>
                <w:rFonts w:ascii="Times New Roman" w:hAnsi="Times New Roman"/>
                <w:sz w:val="24"/>
              </w:rPr>
              <w:t>Manjšinski deleži:</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člen 81(1), točka (a)(ii), in člen 82(1), točka (a)(ii), Uredbe (EU) št. 575/2013.</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Kar zadeva manjšinske deleže ter instrumente dodatnega temeljnega kapitala in dodatnega kapitala, ki ga izdajo podrejene družbe, so podrejene družbe, katerih instrumenti so lahko sprejemljivi, institucije ali podjetja, za katera se na podlagi veljavnega nacionalnega prava uporabljajo zahteve Uredbe (EU) št. 575/2013.</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VRSTA SUBJEKTA</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Vrsta subjekta se sporoči na podlagi naslednjih kategorij:</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kreditna institucija</w:t>
            </w:r>
          </w:p>
          <w:p w14:paraId="665499B6" w14:textId="77777777" w:rsidR="00173F08" w:rsidRPr="002A677E" w:rsidRDefault="00173F08" w:rsidP="00822842">
            <w:pPr>
              <w:tabs>
                <w:tab w:val="left" w:pos="372"/>
              </w:tabs>
              <w:rPr>
                <w:rStyle w:val="InstructionsTabelleText"/>
                <w:rFonts w:ascii="Times New Roman" w:hAnsi="Times New Roman"/>
                <w:sz w:val="24"/>
              </w:rPr>
            </w:pPr>
            <w:r>
              <w:tab/>
            </w:r>
            <w:r>
              <w:rPr>
                <w:rStyle w:val="InstructionsTabelleText"/>
                <w:rFonts w:ascii="Times New Roman" w:hAnsi="Times New Roman"/>
                <w:sz w:val="24"/>
              </w:rPr>
              <w:t>člen 4(1), točka 1,</w:t>
            </w:r>
            <w:r>
              <w:rPr>
                <w:rFonts w:ascii="Times New Roman" w:hAnsi="Times New Roman"/>
                <w:sz w:val="24"/>
              </w:rPr>
              <w:t xml:space="preserve"> Uredbe (EU) št. 575/2013</w:t>
            </w:r>
            <w:r>
              <w:rPr>
                <w:rStyle w:val="InstructionsTabelleText"/>
                <w:rFonts w:ascii="Times New Roman" w:hAnsi="Times New Roman"/>
                <w:sz w:val="24"/>
              </w:rPr>
              <w:t>;</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investicijsko podjetje</w:t>
            </w:r>
          </w:p>
          <w:p w14:paraId="63975777"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 točka 2,</w:t>
            </w:r>
            <w:r>
              <w:rPr>
                <w:rFonts w:ascii="Times New Roman" w:hAnsi="Times New Roman"/>
                <w:sz w:val="24"/>
              </w:rPr>
              <w:t xml:space="preserve"> Uredbe (EU) št. 575/2013</w:t>
            </w:r>
            <w:r>
              <w:rPr>
                <w:rStyle w:val="InstructionsTabelleText"/>
                <w:rFonts w:ascii="Times New Roman" w:hAnsi="Times New Roman"/>
                <w:sz w:val="24"/>
              </w:rPr>
              <w:t>;</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finančna institucija (druga)</w:t>
            </w:r>
          </w:p>
          <w:p w14:paraId="5B5F8DA3"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člen 4(1), točke 20, 21 in 26, </w:t>
            </w:r>
            <w:r>
              <w:rPr>
                <w:rFonts w:ascii="Times New Roman" w:hAnsi="Times New Roman"/>
                <w:sz w:val="24"/>
              </w:rPr>
              <w:t>Uredbe (EU) št.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 xml:space="preserve">Finančne institucije v smislu člena 4(1), točka 26, </w:t>
            </w:r>
            <w:r>
              <w:rPr>
                <w:rFonts w:ascii="Times New Roman" w:hAnsi="Times New Roman"/>
                <w:sz w:val="24"/>
              </w:rPr>
              <w:t>Uredbe (EU) št. 575/2013</w:t>
            </w:r>
            <w:r>
              <w:rPr>
                <w:rStyle w:val="InstructionsTabelleText"/>
                <w:rFonts w:ascii="Times New Roman" w:hAnsi="Times New Roman"/>
                <w:sz w:val="24"/>
              </w:rPr>
              <w:t>, ki niso vključene v kategorije (d), (e) ali (g).</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(mešani) finančni holding</w:t>
            </w:r>
          </w:p>
          <w:p w14:paraId="1C70DDA8"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 xml:space="preserve">člen 4(1), točki 20 in 21, </w:t>
            </w:r>
            <w:r>
              <w:rPr>
                <w:rFonts w:ascii="Times New Roman" w:hAnsi="Times New Roman"/>
                <w:sz w:val="24"/>
              </w:rPr>
              <w:t>Uredbe (EU) št. 575/2013</w:t>
            </w:r>
            <w:r>
              <w:rPr>
                <w:rStyle w:val="InstructionsTabelleText"/>
                <w:rFonts w:ascii="Times New Roman" w:hAnsi="Times New Roman"/>
                <w:sz w:val="24"/>
              </w:rPr>
              <w:t>;</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družba za pomožne storitve</w:t>
            </w:r>
          </w:p>
          <w:p w14:paraId="21A43501"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 točka 18,</w:t>
            </w:r>
            <w:r>
              <w:rPr>
                <w:rFonts w:ascii="Times New Roman" w:hAnsi="Times New Roman"/>
                <w:sz w:val="24"/>
              </w:rPr>
              <w:t xml:space="preserve"> Uredbe (EU) št. 575/2013</w:t>
            </w:r>
            <w:r>
              <w:rPr>
                <w:rStyle w:val="InstructionsTabelleText"/>
                <w:rFonts w:ascii="Times New Roman" w:hAnsi="Times New Roman"/>
                <w:sz w:val="24"/>
              </w:rPr>
              <w:t>;</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subjekt s posebnim namenom pri listinjenju</w:t>
            </w:r>
          </w:p>
          <w:p w14:paraId="0A5E1647" w14:textId="77777777" w:rsidR="00173F08" w:rsidRPr="002A677E" w:rsidRDefault="00173F08" w:rsidP="00822842">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člen 4(1), točka 66,</w:t>
            </w:r>
            <w:r>
              <w:rPr>
                <w:rFonts w:ascii="Times New Roman" w:hAnsi="Times New Roman"/>
                <w:sz w:val="24"/>
              </w:rPr>
              <w:t xml:space="preserve"> Uredbe (EU) št. 575/2013</w:t>
            </w:r>
            <w:r>
              <w:rPr>
                <w:rStyle w:val="InstructionsTabelleText"/>
                <w:rFonts w:ascii="Times New Roman" w:hAnsi="Times New Roman"/>
                <w:sz w:val="24"/>
              </w:rPr>
              <w:t>;</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družba za krite obveznice</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 vzpostavljen za izdajanje kritih obveznic ali posedovanje zavarovanja s premoženjem, s katerim je zavarovana krita obveznica, če ni vključen v kategorije (a), (b) ali (d) do (f) zgoraj.</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druga vrsta subjekta</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Subjekt, ki ni zajet v točkah (a) do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 xml:space="preserve">Če za subjekt ne veljata </w:t>
            </w:r>
            <w:r>
              <w:rPr>
                <w:rFonts w:ascii="Times New Roman" w:hAnsi="Times New Roman"/>
                <w:sz w:val="24"/>
              </w:rPr>
              <w:t xml:space="preserve">Uredba (EU) št. 575/2013 </w:t>
            </w:r>
            <w:r>
              <w:rPr>
                <w:rStyle w:val="InstructionsTabelleberschrift"/>
                <w:rFonts w:ascii="Times New Roman" w:hAnsi="Times New Roman"/>
                <w:sz w:val="24"/>
              </w:rPr>
              <w:t xml:space="preserve">in </w:t>
            </w:r>
            <w:r>
              <w:rPr>
                <w:rFonts w:ascii="Times New Roman" w:hAnsi="Times New Roman"/>
                <w:sz w:val="24"/>
              </w:rPr>
              <w:t>Direktiva 2013/36/EU</w:t>
            </w:r>
            <w:r>
              <w:rPr>
                <w:rStyle w:val="InstructionsTabelleberschrift"/>
                <w:rFonts w:ascii="Times New Roman" w:hAnsi="Times New Roman"/>
                <w:sz w:val="24"/>
              </w:rPr>
              <w:t>, temveč določbe, ki so vsaj enakovredne določbam sporazuma Basel, se relevantna kategorija določi po najboljših prizadevanjih.</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OBSEG PODATKOV: </w:t>
            </w:r>
            <w:r>
              <w:rPr>
                <w:rFonts w:ascii="Times New Roman" w:hAnsi="Times New Roman"/>
                <w:b/>
                <w:caps/>
                <w:sz w:val="24"/>
                <w:u w:val="single"/>
              </w:rPr>
              <w:t>posamično POLNO KONSOLIDIRANO (SF) ALI posamično DELNO KONSOLIDIRANO (SP)</w:t>
            </w:r>
          </w:p>
          <w:p w14:paraId="0AE72FF3" w14:textId="77777777" w:rsidR="00173F08" w:rsidRPr="002A677E" w:rsidRDefault="00173F08" w:rsidP="00822842">
            <w:pPr>
              <w:rPr>
                <w:rStyle w:val="Heading1Char"/>
                <w:rFonts w:ascii="Times New Roman" w:hAnsi="Times New Roman"/>
                <w:sz w:val="24"/>
              </w:rPr>
            </w:pPr>
            <w:r>
              <w:rPr>
                <w:rStyle w:val="InstructionsTabelleText"/>
                <w:rFonts w:ascii="Times New Roman" w:hAnsi="Times New Roman"/>
                <w:sz w:val="24"/>
              </w:rPr>
              <w:t>„SF“</w:t>
            </w:r>
            <w:r>
              <w:rPr>
                <w:rFonts w:ascii="Times New Roman" w:hAnsi="Times New Roman"/>
                <w:sz w:val="24"/>
              </w:rPr>
              <w:t xml:space="preserve"> se poroča za posamezne podrejene družbe, ki so polno konsolidirane.</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se poroča za posamezne podrejene družbe, ki so delno konsolidirane.</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KODA DRŽAVE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Institucije sporočijo dvočrkovno kodo države iz standarda ISO 3166-1-alfa-2.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DELEŽ V LASTI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Ta odstotek se nanaša na dejanski delež kapitala, ki ga ima nadrejena oseba v podrejeni družbi. V primeru polne konsolidacije neposredno podrejene družbe je dejanski delež npr. 70 %. V skladu s členom 4(1), točka 16, </w:t>
            </w:r>
            <w:r>
              <w:rPr>
                <w:rFonts w:ascii="Times New Roman" w:hAnsi="Times New Roman"/>
                <w:sz w:val="24"/>
              </w:rPr>
              <w:t xml:space="preserve">Uredbe (EU) št. 575/2013 </w:t>
            </w:r>
            <w:r>
              <w:rPr>
                <w:rStyle w:val="InstructionsTabelleText"/>
                <w:rFonts w:ascii="Times New Roman" w:hAnsi="Times New Roman"/>
                <w:sz w:val="24"/>
              </w:rPr>
              <w:t>je delež v podrejeni družbi, ki ga je treba sporočiti, enak zmnožku deležev med zadevnima podrejenima družbama.</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SKUPINA Z IZRAVNALNIMI POZICIJAMI</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„Skupina z izravnalnimi pozicijami“ pomeni kar koli od naslednjega:</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skupino subjektov, za katere je pristojni organ dal dovoljenje, da se lahko pozicije v eni instituciji ali podjetju te skupine uporabijo za izravnavo pozicij v drugi instituciji ali podjetju te skupine, v skladu s členom 325b Uredbe (EU) št. 575/2013;</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vsak posamezen subjekt, katerega pozicij ni mogoče izravnati s pozicijami katerega koli drugega subjekta iste skupine pod konsolidiranim nadzorom v skladu z Direktivo 2013/36/EU, ker pristojni organ ni dal dovoljenja v skladu s členom 325b navedene uredbe.</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Institucije navedejo skupino z izravnalnimi pozicijami, v katero spada vsak subjekt, naveden v predlogi, če izpolnjujejo naslednja pogoja:</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za svoje posle, ki so predmet tržnega tveganja, izračunavajo kapitalske zahteve v skladu z delom 3, naslov IV, poglavje 1a ali poglavje 1b ali oboje, Uredbe (EU) št. 575/2013 ali pa zanje velja obveznost poročanja informacij o teh kapitalskih zahtevah v skladu s členom 430(2a) ali (2b) navedene uredbe;</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v skupini, nad katero se izvaja konsolidirani nadzor v skladu z Direktivo 2013/36/EU, sta vsaj dve skupini z izravnalnimi pozicijami.</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Vrednosti, poročane v tem stolpcu, so „Skupina z izravnalnimi pozicijami 1“, „Skupina z izravnalnimi pozicijami 2“ itd. Vzporejanje med pravnimi subjekti in skupinami z izravnalnimi pozicijami je dosledno skozi čas, dosledno med poročili iste skupine, nad katero se izvaja konsolidirani nadzor, ter skladno z navedenimi skupinami z izravnalnimi pozicijami v predlogah iz </w:t>
            </w:r>
            <w:r>
              <w:rPr>
                <w:rStyle w:val="InstructionsTabelleText"/>
                <w:rFonts w:ascii="Times New Roman" w:hAnsi="Times New Roman"/>
                <w:sz w:val="24"/>
                <w:highlight w:val="yellow"/>
              </w:rPr>
              <w:t>Priloge I k Uredbi (EU)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Če institucija izpolnjuje zgornji pogoj (a), vendar je v skupini, nad katero se izvaja konsolidirani nadzor v skladu z Direktivo 2013/36/EU, samo ena skupina z izravnalnimi pozicijami, institucije v vrstici, ki ustreza nadrejeni osebi skupine, o kateri se poroča v tej predlogi, navedejo „Ena sama skupina z izravnalnimi pozicijami“.</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INFORMACIJE O SUBJEKTIH, ZA KATERE VELJAJO KAPITALSKE ZAHTEVE</w:t>
            </w:r>
          </w:p>
          <w:p w14:paraId="5193F4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V oddelku s podrobnimi informacijami (tj. stolpci od 0070 do 0240) so informacije zbrane samo o subjektih in podskupinah, vključenih v obseg konsolidacije (</w:t>
            </w:r>
            <w:r>
              <w:rPr>
                <w:rFonts w:ascii="Times New Roman" w:hAnsi="Times New Roman"/>
                <w:sz w:val="24"/>
              </w:rPr>
              <w:t>del 1, naslov II, poglavje 2, Uredbe (EU) št. 575/2013</w:t>
            </w:r>
            <w:r>
              <w:rPr>
                <w:rStyle w:val="InstructionsTabelleText"/>
                <w:rFonts w:ascii="Times New Roman" w:hAnsi="Times New Roman"/>
                <w:sz w:val="24"/>
              </w:rPr>
              <w:t>), za katere veljajo kapitalske zahteve iz</w:t>
            </w:r>
            <w:r>
              <w:rPr>
                <w:rFonts w:ascii="Times New Roman" w:hAnsi="Times New Roman"/>
                <w:sz w:val="24"/>
              </w:rPr>
              <w:t xml:space="preserve"> Uredbe (EU) št. 575/2013</w:t>
            </w:r>
            <w:r>
              <w:rPr>
                <w:rStyle w:val="InstructionsTabelleText"/>
                <w:rFonts w:ascii="Times New Roman" w:hAnsi="Times New Roman"/>
                <w:sz w:val="24"/>
              </w:rPr>
              <w:t xml:space="preserve"> ali določbe, ki so vsaj enakovredne določbam sporazuma Basel (tj. če je v stolpcu 0030 naveden pritrdilni odgovor).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Vključijo se informacije o vseh posameznih institucijah konsolidirane skupine, za katere veljajo kapitalske zahteve, ne glede na njihov sedež. </w:t>
            </w:r>
          </w:p>
          <w:p w14:paraId="44903571" w14:textId="77777777" w:rsidR="00173F08" w:rsidRPr="002A677E" w:rsidRDefault="00173F08" w:rsidP="00822842">
            <w:pPr>
              <w:rPr>
                <w:rFonts w:ascii="Times New Roman" w:hAnsi="Times New Roman"/>
                <w:sz w:val="24"/>
              </w:rPr>
            </w:pPr>
            <w:r>
              <w:rPr>
                <w:rFonts w:ascii="Times New Roman" w:hAnsi="Times New Roman"/>
                <w:sz w:val="24"/>
              </w:rPr>
              <w:t>Informacije, ki se poročajo v tem delu, upoštevajo lokalna pravila</w:t>
            </w:r>
            <w:r>
              <w:rPr>
                <w:rFonts w:ascii="Times New Roman" w:hAnsi="Times New Roman"/>
                <w:b/>
                <w:sz w:val="24"/>
              </w:rPr>
              <w:t xml:space="preserve"> </w:t>
            </w:r>
            <w:r>
              <w:rPr>
                <w:rFonts w:ascii="Times New Roman" w:hAnsi="Times New Roman"/>
                <w:sz w:val="24"/>
              </w:rPr>
              <w:t>o kapitalski</w:t>
            </w:r>
            <w:r>
              <w:rPr>
                <w:rFonts w:ascii="Times New Roman" w:hAnsi="Times New Roman"/>
                <w:b/>
                <w:sz w:val="24"/>
              </w:rPr>
              <w:t xml:space="preserve"> </w:t>
            </w:r>
            <w:r>
              <w:rPr>
                <w:rFonts w:ascii="Times New Roman" w:hAnsi="Times New Roman"/>
                <w:sz w:val="24"/>
              </w:rPr>
              <w:t>ustreznosti</w:t>
            </w:r>
            <w:r>
              <w:rPr>
                <w:rFonts w:ascii="Times New Roman" w:hAnsi="Times New Roman"/>
                <w:b/>
                <w:sz w:val="24"/>
              </w:rPr>
              <w:t xml:space="preserve"> </w:t>
            </w:r>
            <w:r>
              <w:rPr>
                <w:rFonts w:ascii="Times New Roman" w:hAnsi="Times New Roman"/>
                <w:sz w:val="24"/>
              </w:rPr>
              <w:t xml:space="preserve">jurisdikcije, v kateri posluje institucija (zato za potrebe te predloge ni potreben dvojni </w:t>
            </w:r>
            <w:r>
              <w:rPr>
                <w:rFonts w:ascii="Times New Roman" w:hAnsi="Times New Roman"/>
                <w:sz w:val="24"/>
              </w:rPr>
              <w:lastRenderedPageBreak/>
              <w:t>izračun na posamični podlagi v skladu s pravili nadrejene institucije). Če se lokalna pravila o kapitalski ustreznosti razlikujejo od Uredbe (EU) št. 575/2013 in primerljiva razčlenitev ni na voljo, se informacije dopolnijo, kadar so na voljo ustrezno razdrobljeni podatki. Zato je ta del predloga o dejanskih podatkih, v kateri so povzeti izračuni, ki jih izvedejo posamezne institucije skupine, pri čemer se upošteva, da lahko za nekatere od navedenih institucij veljajo drugačna pravila o kapitalski ustreznosti.</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Poročanje stalnih splošnih stroškov investicijskih podjetij:</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Investicijska podjetja v svoje izračune kapitalskega količnika vključijo kapitalske zahteve v zvezi s stalnimi splošnimi stroški v skladu s členi 95, 96, 97 in 98 </w:t>
            </w:r>
            <w:r>
              <w:rPr>
                <w:rFonts w:ascii="Times New Roman" w:hAnsi="Times New Roman"/>
                <w:sz w:val="24"/>
              </w:rPr>
              <w:t>Uredbe (EU) št. 575/2013</w:t>
            </w:r>
            <w:r>
              <w:rPr>
                <w:rStyle w:val="InstructionsTabelleText"/>
                <w:rFonts w:ascii="Times New Roman" w:hAnsi="Times New Roman"/>
                <w:sz w:val="24"/>
              </w:rPr>
              <w:t>.</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Del zneska skupne izpostavljenosti tveganju, ki je povezan s stalnimi splošnimi stroški, se poroča v stolpcu 0100 te predloge.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ZNESEK SKUPNE IZPOSTAVLJENOSTI TVEGANJU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Poroča se vsota stolpcev 0080 do 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TEGA: PRILAGODITEV IZSTOPNEGA PRAGA (TREA PO IZSTOPNEM PRAGU)</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Subjekti poročajo prilagoditev izstopnega praga, izračunano na posamični podlagi.</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KREDITNO TVEGANJE, KREDITNO TVEGANJE NASPROTNE STRANKE, TVEGANJE ZMANJŠANJA VREDNOSTI, PROSTE IZROČITVE IN TVEGANJE PORAVNAVE/IZROČITVE</w:t>
            </w:r>
          </w:p>
          <w:p w14:paraId="4C32FDA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Znesek, ki se poroča v tem stolpcu, ustreza vsoti zneskov tveganju prilagojenih izpostavljenosti, ki so enaki ali enakovredni zneskom, ki jih je treba poročati v vrstici 0040</w:t>
            </w:r>
            <w:r w:rsidRPr="00E81147">
              <w:rPr>
                <w:rStyle w:val="InstructionsTabelleberschrift"/>
                <w:rFonts w:ascii="Times New Roman" w:hAnsi="Times New Roman"/>
                <w:sz w:val="24"/>
                <w:u w:val="none"/>
              </w:rPr>
              <w:t xml:space="preserve"> </w:t>
            </w:r>
            <w:r w:rsidRPr="00E81147">
              <w:rPr>
                <w:rStyle w:val="InstructionsTabelleberschrift"/>
                <w:rFonts w:ascii="Times New Roman" w:hAnsi="Times New Roman"/>
                <w:b w:val="0"/>
                <w:bCs w:val="0"/>
                <w:sz w:val="24"/>
              </w:rPr>
              <w:t>„</w:t>
            </w:r>
            <w:r>
              <w:rPr>
                <w:rStyle w:val="InstructionsTabelleberschrift"/>
                <w:rFonts w:ascii="Times New Roman" w:hAnsi="Times New Roman"/>
                <w:sz w:val="24"/>
              </w:rPr>
              <w:t>ZNESKI TVEGANJU PRILAGOJENIH IZPOSTAVLJENOSTI ZA KREDITNO TVEGANJE, KREDITNO TVEGANJE</w:t>
            </w:r>
            <w:r>
              <w:rPr>
                <w:rStyle w:val="InstructionsTabelleText"/>
                <w:rFonts w:ascii="Times New Roman" w:hAnsi="Times New Roman"/>
                <w:sz w:val="24"/>
              </w:rPr>
              <w:t xml:space="preserve"> NASPROTNE STRANKE, TVEGANJE ZMANJŠANJA VREDNOSTI IN PROSTE IZROČITVE“ ter zneskov kapitalskih zahtev, ki so enaki ali enakovredni zneskom, ki jih je treba poročati v vrstici 0490 „ZNESEK SKUPNE IZPOSTAVLJENOSTI TVEGANJU ZA TVEGANJE PORAVNAVE/IZROČITVE“ predloge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TRŽNA TVEGANJA</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kapitalskih zahtev, ki so enake ali enakovredne zahtevam, ki jih je treba poročati v vrstici 0520 „ZNESEK SKUPNE IZPOSTAVLJENOSTI TVEGANJU ZA POSLE, KI SO PREDMET TRŽNEGA TVEGANJA“ predloge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OPERATIVNO TVEGANJE</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izpostavljenosti tveganju, ki je enak ali enakovreden znesku, ki se poroča v vrstici 0590 „ZNESEK SKUPNE IZPOSTAVLJENOSTI TVEGANJU ZA OPERATIVNO TVEGANJE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 predloge CA2.</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Stalni splošni stroški se vključijo v ta stolpec in vključujejo vrstico 0630 „DODATEN ZNESEK IZPOSTAVLJENOSTI TVEGANJU ZARADI STALNIH SPLOŠNIH STROŠKOV“ predloge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DRUGI ZNESKI IZPOSTAVLJENOSTI TVEGANJU</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izpostavljenosti tveganju, ki ni zgoraj posebej naveden. To je vsota zneskov iz vrstic 0640, 0680 in 0690 predloge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PODROBNE INFORMACIJE O KAPITALSKI USTREZNOSTI SKUPINE</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Informacije, poročane v naslednjih stolpcih, upoštevajo lokalna pravila o kapitalski ustreznosti države članice, v kateri posluje subjekt ali podskupina.</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KAPITAL</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Znesek, ki se poroča v tem stolpcu, ustreza znesku kapitala, ki je enak ali enakovreden kapitalu, ki ga je treba poročati v vrstici 0010 „KAPITAL“ predloge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OD TEGA: KVALIFICIRANI KAPITAL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Člen 82</w:t>
            </w:r>
            <w:r>
              <w:rPr>
                <w:rFonts w:ascii="Times New Roman" w:hAnsi="Times New Roman"/>
                <w:sz w:val="24"/>
              </w:rPr>
              <w:t xml:space="preserve"> Uredbe (EU) št. 575/2013.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Stolpec se izpolni le za podrejene družbe, o katerih se poroča na posamični podlagi, ki so polno konsolidirane in so institucije. </w:t>
            </w:r>
          </w:p>
          <w:p w14:paraId="1DFAED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Kvalificirani deleži so za zgoraj navedene podrejene družbe instrumenti (skupaj s povezanim zadržanim dobičkom, vplačanim presežkom kapitala in drugimi rezervami) v lasti oseb, ki niso družbe, vključene v konsolidacijo na podlagi Uredbe (EU) št. 575/2013.</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dan poročanja.</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POVEZANI KAPITALSKI INSTRUMENTI, POVEZAN ZADRŽANI DOBIČEK, VPLAČANI PRESEŽEK KAPITALA IN DRUGE REZERVE</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Člen 87(1), točka (b),</w:t>
            </w:r>
            <w:r>
              <w:rPr>
                <w:rFonts w:ascii="Times New Roman" w:hAnsi="Times New Roman"/>
                <w:sz w:val="24"/>
              </w:rPr>
              <w:t xml:space="preserve"> Uredbe (EU) št.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SKUPNI TEMELJNI KAPITAL</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t>Člen 25</w:t>
            </w:r>
            <w:r>
              <w:rPr>
                <w:rFonts w:ascii="Times New Roman" w:hAnsi="Times New Roman"/>
                <w:sz w:val="24"/>
              </w:rPr>
              <w:t xml:space="preserve"> Uredbe (EU) št.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TEGA: KVALIFICIRANI TEMELJNI KAPITAL</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Člen 82</w:t>
            </w:r>
            <w:r>
              <w:rPr>
                <w:rFonts w:ascii="Times New Roman" w:hAnsi="Times New Roman"/>
                <w:sz w:val="24"/>
              </w:rPr>
              <w:t xml:space="preserve"> Uredbe (EU) št.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Stolpec se izpolni le za podrejene družbe, o katerih se poroča na posamični podlagi, ki so polno konsolidirane in so institucije.</w:t>
            </w:r>
          </w:p>
          <w:p w14:paraId="0AF355C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Kvalificirani deleži so za zgoraj navedene podrejene družbe instrumenti (skupaj s povezanim zadržanim dobičkom in vplačanim presežkom kapitala) v lasti oseb, ki niso družbe, vključene v konsolidacijo na podlagi Uredba (EU) št. 575/2013.</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dan poročanja.</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POVEZANI INSTRUMENTI TEMELJNEGA KAPITALA, POVEZAN ZADRŽANI DOBIČEK IN VPLAČANI PRESEŽEK KAPITALA</w:t>
            </w:r>
          </w:p>
          <w:p w14:paraId="0C52407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Člen 85(1), točka (b),</w:t>
            </w:r>
            <w:r>
              <w:rPr>
                <w:rFonts w:ascii="Times New Roman" w:hAnsi="Times New Roman"/>
                <w:sz w:val="24"/>
              </w:rPr>
              <w:t xml:space="preserve"> Uredbe (EU) št. 575/2013.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NAVADNI LASTNIŠKI TEMELJNI KAPITAL</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Člen 50</w:t>
            </w:r>
            <w:r>
              <w:rPr>
                <w:rFonts w:ascii="Times New Roman" w:hAnsi="Times New Roman"/>
                <w:sz w:val="24"/>
              </w:rPr>
              <w:t xml:space="preserve"> Uredbe (EU) št.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TEGA: MANJŠINSKI DELEŽI</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Člen 81</w:t>
            </w:r>
            <w:r>
              <w:rPr>
                <w:rFonts w:ascii="Times New Roman" w:hAnsi="Times New Roman"/>
                <w:sz w:val="24"/>
              </w:rPr>
              <w:t xml:space="preserve"> Uredbe (EU) št. 575/2013.</w:t>
            </w:r>
          </w:p>
          <w:p w14:paraId="2D5B8BC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Ta stolpec se izpolni le za polno konsolidirane podrejene družbe, ki so institucije, razen za podrejene družbe iz člena 84(3) </w:t>
            </w:r>
            <w:r>
              <w:rPr>
                <w:rFonts w:ascii="Times New Roman" w:hAnsi="Times New Roman"/>
                <w:sz w:val="24"/>
              </w:rPr>
              <w:t>Uredbe (EU) št. 575/2013</w:t>
            </w:r>
            <w:r>
              <w:rPr>
                <w:rStyle w:val="InstructionsTabelleText"/>
                <w:rFonts w:ascii="Times New Roman" w:hAnsi="Times New Roman"/>
                <w:sz w:val="24"/>
              </w:rPr>
              <w:t>. Vsaka podrejena družba se obravnava na subkonsolidirani podlagi za vse izračune, ki jih določa člen 84</w:t>
            </w:r>
            <w:r>
              <w:rPr>
                <w:rFonts w:ascii="Times New Roman" w:hAnsi="Times New Roman"/>
                <w:sz w:val="24"/>
              </w:rPr>
              <w:t xml:space="preserve"> Uredbe (EU) št. 575/2013</w:t>
            </w:r>
            <w:r>
              <w:rPr>
                <w:rStyle w:val="InstructionsTabelleText"/>
                <w:rFonts w:ascii="Times New Roman" w:hAnsi="Times New Roman"/>
                <w:sz w:val="24"/>
              </w:rPr>
              <w:t>, če je ustrezno, v skladu s členom 84(2), v nasprotnem primeru na posamični podlagi.</w:t>
            </w:r>
          </w:p>
          <w:p w14:paraId="2C0D816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Manjšinski deleži so za zgoraj navedene podrejene družbe instrumenti navadnega lastniškega temeljnega kapitala (skupaj s povezanim zadržanim dobičkom in vplačanim presežkom kapitala) v lasti oseb, ki niso družbe, vključene v konsolidacijo na podlagi </w:t>
            </w:r>
            <w:r>
              <w:rPr>
                <w:rFonts w:ascii="Times New Roman" w:hAnsi="Times New Roman"/>
                <w:sz w:val="24"/>
              </w:rPr>
              <w:t>Uredbe (EU) št. 575/2013.</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dan poročanja.</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POVEZANI KAPITALSKI INSTRUMENTI, POVEZAN ZADRŽANI DOBIČEK, VPLAČANI PRESEŽEK KAPITALA IN DRUGE REZERVE</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Člen 84(1), točka (b),</w:t>
            </w:r>
            <w:r>
              <w:rPr>
                <w:rFonts w:ascii="Times New Roman" w:hAnsi="Times New Roman"/>
                <w:sz w:val="24"/>
              </w:rPr>
              <w:t xml:space="preserve"> Uredbe (EU) št.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DODATNI TEMELJNI KAPITAL</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Člen 61</w:t>
            </w:r>
            <w:r>
              <w:rPr>
                <w:rFonts w:ascii="Times New Roman" w:hAnsi="Times New Roman"/>
                <w:sz w:val="24"/>
              </w:rPr>
              <w:t xml:space="preserve"> Uredbe (EU) št.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TEGA: KVALIFICIRANI DODATNI TEMELJNI KAPITAL</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Člena 82 in 83 </w:t>
            </w:r>
            <w:r>
              <w:rPr>
                <w:rFonts w:ascii="Times New Roman" w:hAnsi="Times New Roman"/>
                <w:sz w:val="24"/>
              </w:rPr>
              <w:t>Uredbe (EU) št. 575/2013.</w:t>
            </w:r>
          </w:p>
          <w:p w14:paraId="55F852A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Ta stolpec se izpolni le za polno konsolidirane podrejene družbe, ki so institucije, razen za podrejene družbe iz člena 85(2) </w:t>
            </w:r>
            <w:r>
              <w:rPr>
                <w:rFonts w:ascii="Times New Roman" w:hAnsi="Times New Roman"/>
                <w:sz w:val="24"/>
              </w:rPr>
              <w:t>Uredbe (EU) št. 575/2013</w:t>
            </w:r>
            <w:r>
              <w:rPr>
                <w:rStyle w:val="InstructionsTabelleText"/>
                <w:rFonts w:ascii="Times New Roman" w:hAnsi="Times New Roman"/>
                <w:sz w:val="24"/>
              </w:rPr>
              <w:t>. Vsaka podrejena družba se obravnava na subkonsolidirani podlagi za vse izračune, ki jih določa člen 85</w:t>
            </w:r>
            <w:r>
              <w:rPr>
                <w:rFonts w:ascii="Times New Roman" w:hAnsi="Times New Roman"/>
                <w:sz w:val="24"/>
              </w:rPr>
              <w:t xml:space="preserve"> Uredbe (EU) št. 575/2013</w:t>
            </w:r>
            <w:r>
              <w:rPr>
                <w:rStyle w:val="InstructionsTabelleText"/>
                <w:rFonts w:ascii="Times New Roman" w:hAnsi="Times New Roman"/>
                <w:sz w:val="24"/>
              </w:rPr>
              <w:t>, če je ustrezno, v skladu s členom 85(2), v nasprotnem primeru na posamični podlagi.</w:t>
            </w:r>
          </w:p>
          <w:p w14:paraId="32886E9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Manjšinski deleži so za zgoraj navedene podrejene družbe instrumenti dodatnega temeljnega kapitala (skupaj s povezanim zadržanim dobičkom in vplačanim presežkom kapitala) v lasti oseb, ki niso družbe, vključene v konsolidacijo na podlagi </w:t>
            </w:r>
            <w:r>
              <w:rPr>
                <w:rFonts w:ascii="Times New Roman" w:hAnsi="Times New Roman"/>
                <w:sz w:val="24"/>
              </w:rPr>
              <w:t>Uredbe (EU) št. 575/2013.</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dan poročanja.</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DODATNI KAPITAL</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Člen 71</w:t>
            </w:r>
            <w:r>
              <w:rPr>
                <w:rFonts w:ascii="Times New Roman" w:hAnsi="Times New Roman"/>
                <w:sz w:val="24"/>
              </w:rPr>
              <w:t xml:space="preserve"> Uredbe (EU) št.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TEGA: KVALIFICIRANI DODATNI KAPITAL</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Člena 82 in 83 </w:t>
            </w:r>
            <w:r>
              <w:rPr>
                <w:rFonts w:ascii="Times New Roman" w:hAnsi="Times New Roman"/>
                <w:sz w:val="24"/>
              </w:rPr>
              <w:t>Uredbe (EU) št. 575/2013.</w:t>
            </w:r>
          </w:p>
          <w:p w14:paraId="4ADB58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 xml:space="preserve">Ta stolpec se izpolni le za polno konsolidirane podrejene družbe, ki so institucije, razen za podrejene družbe iz člena 87(2) </w:t>
            </w:r>
            <w:r>
              <w:rPr>
                <w:rFonts w:ascii="Times New Roman" w:hAnsi="Times New Roman"/>
                <w:sz w:val="24"/>
              </w:rPr>
              <w:t>Uredbe (EU) št. 575/2013</w:t>
            </w:r>
            <w:r>
              <w:rPr>
                <w:rStyle w:val="InstructionsTabelleText"/>
                <w:rFonts w:ascii="Times New Roman" w:hAnsi="Times New Roman"/>
                <w:sz w:val="24"/>
              </w:rPr>
              <w:t xml:space="preserve">. Vsaka podrejena družba se obravnava na subkonsolidirani podlagi za namene vseh izračunov, ki jih določa člen 87 </w:t>
            </w:r>
            <w:r>
              <w:rPr>
                <w:rFonts w:ascii="Times New Roman" w:hAnsi="Times New Roman"/>
                <w:sz w:val="24"/>
              </w:rPr>
              <w:t>Uredbe (EU) št. 575/2013</w:t>
            </w:r>
            <w:r>
              <w:rPr>
                <w:rStyle w:val="InstructionsTabelleText"/>
                <w:rFonts w:ascii="Times New Roman" w:hAnsi="Times New Roman"/>
                <w:sz w:val="24"/>
              </w:rPr>
              <w:t xml:space="preserve">, če je ustrezno, v skladu s členom 87(2) </w:t>
            </w:r>
            <w:r>
              <w:rPr>
                <w:rFonts w:ascii="Times New Roman" w:hAnsi="Times New Roman"/>
                <w:sz w:val="24"/>
              </w:rPr>
              <w:t>navedene uredbe</w:t>
            </w:r>
            <w:r>
              <w:rPr>
                <w:rStyle w:val="InstructionsTabelleText"/>
                <w:rFonts w:ascii="Times New Roman" w:hAnsi="Times New Roman"/>
                <w:sz w:val="24"/>
              </w:rPr>
              <w:t xml:space="preserve">, v nasprotnem primeru pa na posamični podlagi. </w:t>
            </w:r>
          </w:p>
          <w:p w14:paraId="5BE2C85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Manjšinski deleži so za zgoraj navedene podrejene družbe instrumenti dodatnega kapitala (skupaj s povezanim zadržanim dobičkom in vplačanim presežkom kapitala) v lasti oseb, ki niso družbe, vključene v konsolidacijo na podlagi</w:t>
            </w:r>
            <w:r>
              <w:rPr>
                <w:rFonts w:ascii="Times New Roman" w:hAnsi="Times New Roman"/>
                <w:sz w:val="24"/>
              </w:rPr>
              <w:t xml:space="preserve"> Uredbe (EU) št. 575/2013.</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referenčni datum.</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INFORMACIJE O PRISPEVKU SUBJEKTOV H KAPITALSKI USTREZNOSTI SKUPINE</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PRISPEVEK K TVEGANJEM</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Informacije, poročane v naslednjih stolpcih, so skladne s pravili o kapitalski ustreznosti, ki veljajo za institucijo poročevalko.</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Poroča se vsota stolpcev 0260 do 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KREDITNO TVEGANJE, KREDITNO TVEGANJE NASPROTNE STRANKE, TVEGANJE ZMANJŠANJA VREDNOSTI, PROSTE IZROČITVE IN TVEGANJE PORAVNAVE/IZROČITVE</w:t>
            </w:r>
          </w:p>
          <w:p w14:paraId="6F46A7C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Znesek, ki se poroča, so zneski tveganju prilagojenih izpostavljenosti za kreditno tveganje in tveganje v zvezi s kapitalskimi zahtevami za poravnavo/izročitev v skladu z </w:t>
            </w:r>
            <w:r>
              <w:rPr>
                <w:rFonts w:ascii="Times New Roman" w:hAnsi="Times New Roman"/>
                <w:sz w:val="24"/>
              </w:rPr>
              <w:t>Uredbo (EU) št. 575/2013</w:t>
            </w:r>
            <w:r>
              <w:rPr>
                <w:rStyle w:val="InstructionsTabelleText"/>
                <w:rFonts w:ascii="Times New Roman" w:hAnsi="Times New Roman"/>
                <w:sz w:val="24"/>
              </w:rPr>
              <w:t>, razen zneskov, povezanih s posli z drugimi subjekti, vključenimi v izračun konsolidiranega količnika kapitalske ustreznosti skupine.</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TRŽNA TVEGANJA</w:t>
            </w:r>
          </w:p>
          <w:p w14:paraId="49127EF1" w14:textId="157C9035"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Zneske izpostavljenosti tveganju za tržna tveganja je treba izračunati na ravni posameznega subjekta v skladu z </w:t>
            </w:r>
            <w:r>
              <w:rPr>
                <w:rFonts w:ascii="Times New Roman" w:hAnsi="Times New Roman"/>
                <w:sz w:val="24"/>
              </w:rPr>
              <w:t>Uredbo (EU) št. 575/2013</w:t>
            </w:r>
            <w:r>
              <w:rPr>
                <w:rStyle w:val="InstructionsTabelleText"/>
                <w:rFonts w:ascii="Times New Roman" w:hAnsi="Times New Roman"/>
                <w:sz w:val="24"/>
              </w:rPr>
              <w:t>. Subjekti poročajo prispevek k zneskom skupne izpostavljenosti tveganju za tržno tveganje skupine. Vsota zneskov, poročana v tem stolpcu, ustreza znesku iz vrstice 0520 „ZNESEK SKUPNE IZPOSTAVLJENOSTI TVEGANJU ZA POSLE, KI SO PREDMET TRŽNEGA TVEGANJA“ konsolidiranega poročila.</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OPERATIVNO TVEGANJE</w:t>
            </w:r>
          </w:p>
          <w:p w14:paraId="58C1AE53" w14:textId="2055313A" w:rsidR="00702B2E" w:rsidRPr="00702B2E" w:rsidRDefault="00702B2E" w:rsidP="00822842">
            <w:pPr>
              <w:rPr>
                <w:rFonts w:ascii="Times New Roman" w:hAnsi="Times New Roman"/>
                <w:sz w:val="24"/>
              </w:rPr>
            </w:pPr>
            <w:r>
              <w:rPr>
                <w:rFonts w:ascii="Times New Roman" w:hAnsi="Times New Roman"/>
                <w:sz w:val="24"/>
              </w:rPr>
              <w:t>Znesek, ki se poroča v tem stolpcu, ustreza znesku izpostavljenosti tveganju za operativno tveganje.</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caps/>
                <w:sz w:val="24"/>
              </w:rPr>
              <w:t>V</w:t>
            </w:r>
            <w:r>
              <w:rPr>
                <w:rFonts w:ascii="Times New Roman" w:hAnsi="Times New Roman"/>
                <w:sz w:val="24"/>
              </w:rPr>
              <w:t xml:space="preserve"> ta stolpec se vključijo stalni splošni stroški.</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DRUGI ZNESKI IZPOSTAVLJENOSTI TVEGANJU</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Znesek, ki se poroča v tem stolpcu, ustreza znesku izpostavljenosti tveganju za tveganja, ki niso tista, navedena zgoraj.</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PRISPEVEK H KAPITALU</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Namen tega dela predloge ni uvedba zahteve, da morajo institucije izvesti celoten izračun skupnega kapitalskega količnika na ravni vsakega subjekta.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Stolpce 0300 do 0350 izpolnijo tisti konsolidirani subjekti, ki prispevajo h kapitalu z manjšinskim deležem, kvalificiranim temeljnim kapitalom ali kvalificiranim kapitalom. Ob upoštevanju praga iz zadnjega odstavka poglavja 2.3 dela II zgoraj, se stolpci 0360 do 0400 izpolnijo za vse konsolidirane subjekte, ki prispevajo h konsolidiranemu kapitalu.</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Kapital, ki ga subjektu prispevajo drugi subjekti, vključeni v obseg poročevalskega subjekta, se ne upošteva. V tem stolpcu se poroča le neto prispevek h kapitalu skupine (zlasti kapital, ki ga zberejo tretje osebe, in akumulirane rezerve).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Informacije, poročane v naslednjih stolpcih, so skladne s pravili o kapitalski ustreznosti, ki veljajo za institucijo poročevalko.</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KVALIFICIRANI KAPITAL, VKLJUČEN V KONSOLIDIRANI KAPITAL</w:t>
            </w:r>
          </w:p>
          <w:p w14:paraId="7830B88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Znesek, ki se poroča kot „KVALIFICIRANI KAPITAL, VKLJUČEN V KONSOLIDIRANI KAPITAL“, je znesek, kot izhaja iz dela 2, naslov II, </w:t>
            </w:r>
            <w:r>
              <w:rPr>
                <w:rFonts w:ascii="Times New Roman" w:hAnsi="Times New Roman"/>
                <w:sz w:val="24"/>
              </w:rPr>
              <w:t>Uredbe (EU) št. 575/2013</w:t>
            </w:r>
            <w:r>
              <w:rPr>
                <w:rStyle w:val="InstructionsTabelleText"/>
                <w:rFonts w:ascii="Times New Roman" w:hAnsi="Times New Roman"/>
                <w:sz w:val="24"/>
              </w:rPr>
              <w:t>, pri čemer se ne upošteva kapital, ki ga prispevajo drugi subjekti skupine.</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KVALIFICIRANI KAPITAL, VKLJUČEN V KONSOLIDIRANI KAPITAL</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Člen 87</w:t>
            </w:r>
            <w:r>
              <w:rPr>
                <w:rFonts w:ascii="Times New Roman" w:hAnsi="Times New Roman"/>
                <w:sz w:val="24"/>
              </w:rPr>
              <w:t xml:space="preserve"> Uredbe (EU) št.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KVALIFICIRANI INSTRUMENTI TEMELJNEGA KAPITALA, VKLJUČENI V KONSOLIDIRANI TEMELJNI KAPITAL</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Člen 85</w:t>
            </w:r>
            <w:r>
              <w:rPr>
                <w:rFonts w:ascii="Times New Roman" w:hAnsi="Times New Roman"/>
                <w:sz w:val="24"/>
              </w:rPr>
              <w:t xml:space="preserve"> Uredbe (EU) št.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MANJŠINSKI DELEŽI, VKLJUČENI V KONSOLIDIRANI NAVADEN</w:t>
            </w:r>
            <w:r>
              <w:t xml:space="preserve"> </w:t>
            </w:r>
            <w:r>
              <w:br/>
            </w:r>
            <w:r>
              <w:rPr>
                <w:rStyle w:val="InstructionsTabelleberschrift"/>
                <w:rFonts w:ascii="Times New Roman" w:hAnsi="Times New Roman"/>
                <w:sz w:val="24"/>
              </w:rPr>
              <w:t>LASTNIŠKI TEMELJNI KAPITAL</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Člen 84</w:t>
            </w:r>
            <w:r>
              <w:rPr>
                <w:rFonts w:ascii="Times New Roman" w:hAnsi="Times New Roman"/>
                <w:sz w:val="24"/>
              </w:rPr>
              <w:t xml:space="preserve"> Uredbe (EU) št. 575/2013.</w:t>
            </w:r>
          </w:p>
          <w:p w14:paraId="01FA0CD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manjšinskih deležev podrejene družbe, ki je vključen v konsolidirani navadni lastniški temeljni kapital v skladu z </w:t>
            </w:r>
            <w:r>
              <w:rPr>
                <w:rFonts w:ascii="Times New Roman" w:hAnsi="Times New Roman"/>
                <w:sz w:val="24"/>
              </w:rPr>
              <w:t>Uredbo (EU) št. 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KVALIFICIRANI INSTRUMENTI TEMELJNEGA KAPITALA, VKLJUČENI V KONSOLIDIRANI DODATNI TEMELJNI KAPITAL</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Člen 86</w:t>
            </w:r>
            <w:r>
              <w:rPr>
                <w:rFonts w:ascii="Times New Roman" w:hAnsi="Times New Roman"/>
                <w:sz w:val="24"/>
              </w:rPr>
              <w:t xml:space="preserve"> Uredbe (EU) št. 575/2013.</w:t>
            </w:r>
          </w:p>
          <w:p w14:paraId="14D60AC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kvalificiranega temeljnega kapitala podrejene družbe, ki je vključen v konsolidirani dodatni temeljni kapital v skladu z </w:t>
            </w:r>
            <w:r>
              <w:rPr>
                <w:rFonts w:ascii="Times New Roman" w:hAnsi="Times New Roman"/>
                <w:sz w:val="24"/>
              </w:rPr>
              <w:t>Uredbo (EU) št.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KVALIFICIRANI KAPITALSKI INSTRUMENTI, VKLJUČENI V</w:t>
            </w:r>
            <w:r>
              <w:t xml:space="preserve"> </w:t>
            </w:r>
            <w:r>
              <w:br/>
            </w:r>
            <w:r>
              <w:rPr>
                <w:rStyle w:val="InstructionsTabelleberschrift"/>
                <w:rFonts w:ascii="Times New Roman" w:hAnsi="Times New Roman"/>
                <w:sz w:val="24"/>
              </w:rPr>
              <w:t>KONSOLIDIRANI DODATNI KAPITAL</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Člen 88</w:t>
            </w:r>
            <w:r>
              <w:rPr>
                <w:rFonts w:ascii="Times New Roman" w:hAnsi="Times New Roman"/>
                <w:sz w:val="24"/>
              </w:rPr>
              <w:t xml:space="preserve"> Uredbe (EU) št. 575/2013.</w:t>
            </w:r>
          </w:p>
          <w:p w14:paraId="257F78A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kvalificiranega kapitala podrejene družbe, ki je vključen v konsolidirani dodatni kapital v skladu z </w:t>
            </w:r>
            <w:r>
              <w:rPr>
                <w:rFonts w:ascii="Times New Roman" w:hAnsi="Times New Roman"/>
                <w:sz w:val="24"/>
              </w:rPr>
              <w:t>Uredbo (EU) št. 575/2013</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lastRenderedPageBreak/>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POJASNJEVALNA POSTAVKA: DOBRO IME (–)/(+) NEGATIVNO DOBRO IME</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KONSOLIDIRANI KAPITAL</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Člen 18</w:t>
            </w:r>
            <w:r>
              <w:rPr>
                <w:rFonts w:ascii="Times New Roman" w:hAnsi="Times New Roman"/>
                <w:sz w:val="24"/>
              </w:rPr>
              <w:t xml:space="preserve"> Uredbe (EU) št.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Znesek, ki se poroča kot „KONSOLIDIRANI KAPITAL“, je znesek, kot izhaja iz bilance stanja, brez kapitala, ki ga prispevajo drugi subjekti skupine.</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KONSOLIDIRANI KAPITAL</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TEGA: NAVADNI LASTNIŠKI TEMELJNI KAPITAL</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TEGA: DODATNI TEMELJNI KAPITAL</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OD TEGA: PRISPEVKI H KONSOLIDIRANEMU REZULTATU</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Poročajo se prispevki vseh subjektov h konsolidiranemu rezultatu (dobiček ali izguba (–)). To vključuje rezultate, ki se lahko pripišejo manjšinskim deležem.</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OD TEGA: (‒) DOBRO IME/(+) NEGATIVNO DOBRO IME</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V tem polju se poroča dobro ime ali negativno dobro ime poročevalskega subjekta glede podrejene družbe.</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KAPITALSKI BLAŽILNIKI</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Struktura poročanja kapitalskih blažilnikov v predlogi GS temelji na splošni strukturi predloge CA4, pri čemer se uporabljajo isti koncepti poročanja. Pri poročanju kapitalskih blažilnikov v predlogi GS se ustrezni zneski poročajo v skladu z določbami, ki veljajo za določitev zahteve po blažilniku za konsolidiran položaj skupine. Zato zneski kapitalskih blažilnikov, ki se poročajo, predstavljajo prispevke posameznih subjektov h kapitalskim blažilnikom skupine. Zneski, ki se poročajo, temeljijo na nacionalnih določbah, s katerimi se prenaša </w:t>
            </w:r>
            <w:r>
              <w:rPr>
                <w:rFonts w:ascii="Times New Roman" w:hAnsi="Times New Roman"/>
                <w:sz w:val="24"/>
              </w:rPr>
              <w:t>Direktiva 2013/36/EU</w:t>
            </w:r>
            <w:r>
              <w:rPr>
                <w:rStyle w:val="InstructionsTabelleberschrift"/>
                <w:rFonts w:ascii="Times New Roman" w:hAnsi="Times New Roman"/>
                <w:sz w:val="24"/>
              </w:rPr>
              <w:t xml:space="preserve">, in na </w:t>
            </w:r>
            <w:r>
              <w:rPr>
                <w:rFonts w:ascii="Times New Roman" w:hAnsi="Times New Roman"/>
                <w:sz w:val="24"/>
              </w:rPr>
              <w:t>Uredbi (EU) št. 575/2013</w:t>
            </w:r>
            <w:r>
              <w:rPr>
                <w:rStyle w:val="InstructionsTabelleberschrift"/>
                <w:rFonts w:ascii="Times New Roman" w:hAnsi="Times New Roman"/>
                <w:sz w:val="24"/>
              </w:rPr>
              <w:t>, vključno z morebitnimi prehodnimi določbami.</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ZAHTEVA PO SKUPNEM BLAŽILNIKU</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Style w:val="InstructionsTabelleText"/>
                <w:rFonts w:ascii="Times New Roman" w:hAnsi="Times New Roman"/>
                <w:sz w:val="24"/>
              </w:rPr>
              <w:t>Člen 128, točka 6,</w:t>
            </w:r>
            <w:r>
              <w:rPr>
                <w:rFonts w:ascii="Times New Roman" w:hAnsi="Times New Roman"/>
                <w:sz w:val="24"/>
              </w:rPr>
              <w:t xml:space="preserve"> Direktive 2013/36/EU.</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VAROVALNI KAPITALSKI BLAŽILNIK</w:t>
            </w:r>
          </w:p>
          <w:p w14:paraId="5DD283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Člen 128, točka 1, in člen 129 </w:t>
            </w:r>
            <w:r>
              <w:rPr>
                <w:rFonts w:ascii="Times New Roman" w:hAnsi="Times New Roman"/>
                <w:sz w:val="24"/>
              </w:rPr>
              <w:t>Direktive 2013/36/EU.</w:t>
            </w:r>
          </w:p>
          <w:p w14:paraId="7013CF4E" w14:textId="77777777" w:rsidR="00173F08" w:rsidRPr="002A677E" w:rsidRDefault="00173F08" w:rsidP="00822842">
            <w:pPr>
              <w:pStyle w:val="InstructionsText"/>
              <w:rPr>
                <w:rStyle w:val="InstructionsTabelleText"/>
              </w:rPr>
            </w:pPr>
            <w:r>
              <w:t>V skladu s členom 129(1) Direktive 2013/36/EU je varovalni kapitalski blažilnik dodatni znesek navadnega lastniškega temeljnega kapitala. Ker je stopnja varovalnega kapitalskega blažilnika v višini 2,5 % stalna, se znesek poroča v tej celici.</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POSAMEZNI INSTITUCIJI LASTEN PROTICIKLIČNI KAPITALSKI BLAŽILNIK</w:t>
            </w:r>
          </w:p>
          <w:p w14:paraId="38A1148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Člen 128, točka 2, člen 130 ter členi 135 do 140 </w:t>
            </w:r>
            <w:r>
              <w:rPr>
                <w:rFonts w:ascii="Times New Roman" w:hAnsi="Times New Roman"/>
                <w:sz w:val="24"/>
              </w:rPr>
              <w:t>Direktive 2013/36/EU.</w:t>
            </w:r>
          </w:p>
          <w:p w14:paraId="169D829F" w14:textId="77777777" w:rsidR="00173F08" w:rsidRPr="002A677E" w:rsidRDefault="00173F08" w:rsidP="00822842">
            <w:pPr>
              <w:pStyle w:val="InstructionsText"/>
              <w:rPr>
                <w:rStyle w:val="InstructionsTabelleText"/>
              </w:rPr>
            </w:pPr>
            <w:r>
              <w:lastRenderedPageBreak/>
              <w:t>V tej celici se poroča dejanski znesek proticikličnega blažilnika.</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VAROVALNI BLAŽILNIK ZARADI MAKROBONITETNEGA ALI SISTEMSKEGA TVEGANJA, UGOTOVLJENEGA NA RAVNI DRŽAVE ČLANICE</w:t>
            </w:r>
          </w:p>
          <w:p w14:paraId="0EC165D1"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Člen 458(2), točka (d)(iv),</w:t>
            </w:r>
            <w:r>
              <w:rPr>
                <w:rFonts w:ascii="Times New Roman" w:hAnsi="Times New Roman"/>
                <w:sz w:val="24"/>
              </w:rPr>
              <w:t xml:space="preserve"> Uredbe (EU) št. 575/2013.</w:t>
            </w:r>
          </w:p>
          <w:p w14:paraId="2C6BA8FE" w14:textId="77777777" w:rsidR="00173F08" w:rsidRPr="002A677E" w:rsidRDefault="00173F08" w:rsidP="00822842">
            <w:pPr>
              <w:pStyle w:val="InstructionsText"/>
              <w:rPr>
                <w:rStyle w:val="InstructionsTabelleberschrift"/>
              </w:rPr>
            </w:pPr>
            <w:r>
              <w:t>V tej celici se poroča znesek varovalnega blažilnika zaradi makrobonitetnega ali sistemskega tveganja, ugotovljenega na ravni države članice, ki se lahko v skladu s členom 458 Uredbe (EU) št. 575/2013 zahteva poleg varovalnega kapitalskega blažilnika.</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BLAŽILNIK SISTEMSKIH TVEGANJ</w:t>
            </w:r>
          </w:p>
          <w:p w14:paraId="409112BD" w14:textId="77777777" w:rsidR="00173F08" w:rsidRPr="002A677E" w:rsidRDefault="00173F08" w:rsidP="00822842">
            <w:pPr>
              <w:pStyle w:val="InstructionsText"/>
            </w:pPr>
            <w:r>
              <w:t xml:space="preserve">Člen 128, točka 5, ter člena 133 in 134 Direktive 2013/36/EU.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V tej celici se poroča znesek blažilnika sistemskih tveganj.</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BLAŽILNIK ZA GLOBALNE SISTEMSKO POMEMBNE INSTITUCIJE</w:t>
            </w:r>
            <w:r>
              <w:tab/>
            </w:r>
          </w:p>
          <w:p w14:paraId="530093DF" w14:textId="77777777" w:rsidR="00173F08" w:rsidRPr="002A677E" w:rsidRDefault="00173F08" w:rsidP="00822842">
            <w:pPr>
              <w:pStyle w:val="InstructionsText"/>
              <w:rPr>
                <w:rStyle w:val="InstructionsTabelleberschrift"/>
                <w:b w:val="0"/>
              </w:rPr>
            </w:pPr>
            <w:r>
              <w:rPr>
                <w:rStyle w:val="InstructionsTabelleberschrift"/>
              </w:rPr>
              <w:t xml:space="preserve">Člen 128, točka 3, in člen 131 </w:t>
            </w:r>
            <w:r>
              <w:t>Direktive 2013/36/EU.</w:t>
            </w:r>
          </w:p>
          <w:p w14:paraId="5835A3FB" w14:textId="77777777" w:rsidR="00173F08" w:rsidRPr="002A677E" w:rsidRDefault="00173F08" w:rsidP="00822842">
            <w:pPr>
              <w:pStyle w:val="InstructionsText"/>
              <w:rPr>
                <w:rStyle w:val="InstructionsTabelleberschrift"/>
              </w:rPr>
            </w:pPr>
            <w:r>
              <w:t>V tej celici se poroča znesek blažilnika za globalne sistemsko pomembne institucije.</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BLAŽILNIK ZA DRUGE SISTEMSKO POMEMBNE INSTITUCIJE</w:t>
            </w:r>
            <w:r>
              <w:tab/>
            </w:r>
          </w:p>
          <w:p w14:paraId="5C91FC01" w14:textId="77777777" w:rsidR="00173F08" w:rsidRPr="002A677E" w:rsidRDefault="00173F08" w:rsidP="00822842">
            <w:pPr>
              <w:pStyle w:val="InstructionsText"/>
            </w:pPr>
            <w:r>
              <w:t>Člen 128, točka 4, in člen 131 Direktive 2013/36/EU.</w:t>
            </w:r>
          </w:p>
          <w:p w14:paraId="677D9498" w14:textId="77777777" w:rsidR="00173F08" w:rsidRPr="002A677E" w:rsidRDefault="00173F08" w:rsidP="00822842">
            <w:pPr>
              <w:pStyle w:val="InstructionsText"/>
              <w:rPr>
                <w:rStyle w:val="InstructionsTabelleberschrift"/>
              </w:rPr>
            </w:pPr>
            <w:r>
              <w:t>V tej celici se poroča znesek blažilnika za druge sistemsko pomembne institucije.</w:t>
            </w:r>
          </w:p>
        </w:tc>
      </w:tr>
    </w:tbl>
    <w:p w14:paraId="25845975" w14:textId="77777777" w:rsidR="00173F08" w:rsidRPr="002A677E" w:rsidRDefault="00173F08" w:rsidP="00173F08">
      <w:pPr>
        <w:pStyle w:val="InstructionsText"/>
      </w:pPr>
    </w:p>
    <w:p w14:paraId="1EA0AB00" w14:textId="77777777" w:rsidR="00BF2D9E" w:rsidRDefault="00BF2D9E"/>
    <w:p w14:paraId="12D86B4B" w14:textId="3BD8282B" w:rsidR="00BF2D9E" w:rsidRPr="00E81147" w:rsidRDefault="00E81147">
      <w:pPr>
        <w:rPr>
          <w:rFonts w:ascii="Times New Roman" w:hAnsi="Times New Roman"/>
        </w:rPr>
      </w:pPr>
      <w:r w:rsidRPr="00E81147">
        <w:rPr>
          <w:rFonts w:ascii="Times New Roman" w:hAnsi="Times New Roman"/>
        </w:rPr>
        <w:t>“</w:t>
      </w:r>
    </w:p>
    <w:sectPr w:rsidR="00BF2D9E" w:rsidRPr="00E81147">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5114D2BE"/>
    <w:lvl w:ilvl="0" w:tplc="EB6AD094">
      <w:numFmt w:val="bullet"/>
      <w:lvlText w:val="˗"/>
      <w:lvlJc w:val="left"/>
      <w:pPr>
        <w:ind w:left="360" w:hanging="360"/>
      </w:pPr>
      <w:rPr>
        <w:rFonts w:ascii="Times New Roman" w:eastAsiaTheme="minorEastAsia"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80E9B"/>
    <w:rsid w:val="009871DF"/>
    <w:rsid w:val="00A6002C"/>
    <w:rsid w:val="00A70706"/>
    <w:rsid w:val="00B44A0E"/>
    <w:rsid w:val="00B71F25"/>
    <w:rsid w:val="00BF2D9E"/>
    <w:rsid w:val="00C61CB8"/>
    <w:rsid w:val="00E26A90"/>
    <w:rsid w:val="00E81147"/>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7D860E80-212A-469E-A0B8-15992BE36F47}"/>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4067</Words>
  <Characters>21724</Characters>
  <Application>Microsoft Office Word</Application>
  <DocSecurity>0</DocSecurity>
  <Lines>505</Lines>
  <Paragraphs>330</Paragraphs>
  <ScaleCrop>false</ScaleCrop>
  <Company/>
  <LinksUpToDate>false</LinksUpToDate>
  <CharactersWithSpaces>25461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2025-01-22T15:36:24Z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ed070a13-0e9d-4a72-90b6-16f5f89e5811</vt:lpwstr>
  </property>
  <property fmtid="{D5CDD505-2E9C-101B-9397-08002B2CF9AE}" pid="10" name="MSIP_Label_6bd9ddd1-4d20-43f6-abfa-fc3c07406f94_ContentBits">
    <vt:lpwstr>0</vt:lpwstr>
  </property>
</Properties>
</file>