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FC03EA" w:rsidRDefault="00B3568A" w:rsidP="00B3568A">
      <w:pPr>
        <w:jc w:val="center"/>
        <w:rPr>
          <w:rFonts w:ascii="Times New Roman" w:hAnsi="Times New Roman"/>
          <w:sz w:val="24"/>
          <w:szCs w:val="22"/>
        </w:rPr>
      </w:pPr>
      <w:bookmarkStart w:id="0" w:name="_Toc262568021"/>
      <w:bookmarkStart w:id="1" w:name="_Toc295829847"/>
      <w:r w:rsidRPr="00FC03EA">
        <w:rPr>
          <w:rFonts w:ascii="Times New Roman" w:hAnsi="Times New Roman"/>
          <w:sz w:val="24"/>
        </w:rPr>
        <w:t>SK</w:t>
      </w:r>
    </w:p>
    <w:p w14:paraId="2704A83C" w14:textId="77777777" w:rsidR="009E7D0C" w:rsidRPr="00FC03EA" w:rsidRDefault="009E7D0C" w:rsidP="00A33695">
      <w:pPr>
        <w:jc w:val="center"/>
        <w:rPr>
          <w:rFonts w:ascii="Times New Roman" w:hAnsi="Times New Roman"/>
          <w:sz w:val="24"/>
        </w:rPr>
      </w:pPr>
    </w:p>
    <w:p w14:paraId="24333E7A" w14:textId="5D6FD9D5" w:rsidR="008D696E" w:rsidRPr="00FC03EA" w:rsidRDefault="008D696E" w:rsidP="00A33695">
      <w:pPr>
        <w:jc w:val="center"/>
        <w:rPr>
          <w:rFonts w:ascii="Times New Roman" w:hAnsi="Times New Roman"/>
          <w:sz w:val="24"/>
        </w:rPr>
      </w:pPr>
      <w:r w:rsidRPr="00FC03EA">
        <w:rPr>
          <w:rFonts w:ascii="Times New Roman" w:hAnsi="Times New Roman"/>
          <w:sz w:val="24"/>
        </w:rPr>
        <w:t>PRÍLOHA II</w:t>
      </w:r>
    </w:p>
    <w:p w14:paraId="37362007" w14:textId="6FB5EC15" w:rsidR="002648B0" w:rsidRPr="00FC03EA" w:rsidRDefault="008D696E" w:rsidP="00A33695">
      <w:pPr>
        <w:jc w:val="center"/>
        <w:rPr>
          <w:rFonts w:ascii="Times New Roman" w:hAnsi="Times New Roman"/>
          <w:sz w:val="24"/>
        </w:rPr>
      </w:pPr>
      <w:r w:rsidRPr="00FC03EA">
        <w:rPr>
          <w:rFonts w:ascii="Times New Roman" w:hAnsi="Times New Roman"/>
          <w:sz w:val="24"/>
        </w:rPr>
        <w:t>„PRÍLOHA II</w:t>
      </w:r>
    </w:p>
    <w:p w14:paraId="327777EC" w14:textId="77777777" w:rsidR="002648B0" w:rsidRPr="00FC03EA" w:rsidRDefault="00D11E4C" w:rsidP="00C87CEE">
      <w:pPr>
        <w:jc w:val="center"/>
        <w:rPr>
          <w:rFonts w:ascii="Times New Roman" w:hAnsi="Times New Roman"/>
          <w:b/>
          <w:sz w:val="24"/>
        </w:rPr>
      </w:pPr>
      <w:r w:rsidRPr="00FC03EA">
        <w:rPr>
          <w:rFonts w:ascii="Times New Roman" w:hAnsi="Times New Roman"/>
          <w:b/>
          <w:sz w:val="24"/>
        </w:rPr>
        <w:t>POKYNY NA VYKAZOVANIE VLASTNÝCH ZDROJOV A POŽIADAVIEK NA VLASTNÉ ZDROJE</w:t>
      </w:r>
    </w:p>
    <w:p w14:paraId="2C40683C" w14:textId="77777777" w:rsidR="00436204" w:rsidRPr="00FC03EA" w:rsidRDefault="00436204" w:rsidP="00C87CEE">
      <w:pPr>
        <w:jc w:val="center"/>
        <w:rPr>
          <w:rFonts w:ascii="Times New Roman" w:hAnsi="Times New Roman"/>
          <w:b/>
          <w:sz w:val="24"/>
          <w:lang w:eastAsia="de-DE"/>
        </w:rPr>
      </w:pPr>
    </w:p>
    <w:p w14:paraId="7E85F65D" w14:textId="2F58DC58" w:rsidR="002648B0" w:rsidRPr="00FC03EA" w:rsidRDefault="002648B0" w:rsidP="00005FFC">
      <w:pPr>
        <w:rPr>
          <w:rFonts w:ascii="Times New Roman" w:hAnsi="Times New Roman"/>
          <w:sz w:val="24"/>
        </w:rPr>
      </w:pPr>
    </w:p>
    <w:p w14:paraId="74494658" w14:textId="77777777" w:rsidR="002648B0" w:rsidRPr="00FC03EA" w:rsidRDefault="002648B0" w:rsidP="00D64B66">
      <w:pPr>
        <w:pStyle w:val="Heading2"/>
        <w:rPr>
          <w:rFonts w:ascii="Times New Roman" w:hAnsi="Times New Roman"/>
        </w:rPr>
      </w:pPr>
      <w:bookmarkStart w:id="2" w:name="_Toc360188322"/>
      <w:bookmarkStart w:id="3" w:name="_Toc473560870"/>
      <w:bookmarkStart w:id="4" w:name="_Toc151714358"/>
      <w:r w:rsidRPr="00FC03EA">
        <w:rPr>
          <w:rFonts w:ascii="Times New Roman" w:hAnsi="Times New Roman"/>
        </w:rPr>
        <w:t>ČASŤ II: POKYNY TÝKAJÚCE SA VZOROV</w:t>
      </w:r>
      <w:bookmarkEnd w:id="2"/>
      <w:bookmarkEnd w:id="3"/>
      <w:bookmarkEnd w:id="4"/>
    </w:p>
    <w:p w14:paraId="76BE57B6" w14:textId="77777777" w:rsidR="00964546" w:rsidRPr="00FC03EA" w:rsidRDefault="00964546" w:rsidP="00964546">
      <w:pPr>
        <w:rPr>
          <w:rFonts w:ascii="Times New Roman" w:hAnsi="Times New Roman"/>
          <w:lang w:eastAsia="x-none"/>
        </w:rPr>
      </w:pPr>
    </w:p>
    <w:p w14:paraId="31A06314" w14:textId="70B4B7D9" w:rsidR="00964546" w:rsidRPr="00FC03EA" w:rsidRDefault="00964546" w:rsidP="00964546">
      <w:pPr>
        <w:rPr>
          <w:rFonts w:ascii="Times New Roman" w:hAnsi="Times New Roman"/>
        </w:rPr>
      </w:pPr>
      <w:r w:rsidRPr="00FC03EA">
        <w:rPr>
          <w:rFonts w:ascii="Times New Roman" w:hAnsi="Times New Roman"/>
        </w:rPr>
        <w:t>(…)</w:t>
      </w:r>
    </w:p>
    <w:p w14:paraId="607D2E45" w14:textId="3B885FF4" w:rsidR="00AB3069" w:rsidRPr="00FC03EA" w:rsidRDefault="003E6AEB" w:rsidP="000059B8">
      <w:pPr>
        <w:pStyle w:val="Instructionsberschrift2"/>
        <w:numPr>
          <w:ilvl w:val="0"/>
          <w:numId w:val="0"/>
        </w:numPr>
        <w:ind w:left="357" w:hanging="357"/>
        <w:rPr>
          <w:rFonts w:ascii="Times New Roman" w:hAnsi="Times New Roman"/>
        </w:rPr>
      </w:pPr>
      <w:bookmarkStart w:id="5" w:name="_Toc151714534"/>
      <w:bookmarkEnd w:id="0"/>
      <w:bookmarkEnd w:id="1"/>
      <w:r w:rsidRPr="00FC03EA">
        <w:rPr>
          <w:rFonts w:ascii="Times New Roman" w:hAnsi="Times New Roman"/>
          <w:sz w:val="24"/>
        </w:rPr>
        <w:t>9. Prahové hodnoty pre obchodnú knihu</w:t>
      </w:r>
      <w:r w:rsidR="00FC03EA" w:rsidRPr="00FC03EA">
        <w:rPr>
          <w:rFonts w:ascii="Times New Roman" w:hAnsi="Times New Roman"/>
          <w:sz w:val="24"/>
        </w:rPr>
        <w:t xml:space="preserve"> a </w:t>
      </w:r>
      <w:r w:rsidRPr="00FC03EA">
        <w:rPr>
          <w:rFonts w:ascii="Times New Roman" w:hAnsi="Times New Roman"/>
          <w:sz w:val="24"/>
        </w:rPr>
        <w:t>trhové riziko, hranica medzi obchodnou knihou</w:t>
      </w:r>
      <w:r w:rsidR="00FC03EA" w:rsidRPr="00FC03EA">
        <w:rPr>
          <w:rFonts w:ascii="Times New Roman" w:hAnsi="Times New Roman"/>
          <w:sz w:val="24"/>
        </w:rPr>
        <w:t xml:space="preserve"> a </w:t>
      </w:r>
      <w:r w:rsidRPr="00FC03EA">
        <w:rPr>
          <w:rFonts w:ascii="Times New Roman" w:hAnsi="Times New Roman"/>
          <w:sz w:val="24"/>
        </w:rPr>
        <w:t>neobchodnou knihou</w:t>
      </w:r>
      <w:r w:rsidR="00FC03EA" w:rsidRPr="00FC03EA">
        <w:rPr>
          <w:rFonts w:ascii="Times New Roman" w:hAnsi="Times New Roman"/>
          <w:sz w:val="24"/>
        </w:rPr>
        <w:t xml:space="preserve"> a </w:t>
      </w:r>
      <w:r w:rsidRPr="00FC03EA">
        <w:rPr>
          <w:rFonts w:ascii="Times New Roman" w:hAnsi="Times New Roman"/>
          <w:sz w:val="24"/>
        </w:rPr>
        <w:t>reklasifikácie</w:t>
      </w:r>
      <w:bookmarkEnd w:id="5"/>
    </w:p>
    <w:p w14:paraId="1FF5D1DF" w14:textId="1E522BF1" w:rsidR="00A4497F" w:rsidRPr="00FC03EA"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sidRPr="00FC03EA">
        <w:rPr>
          <w:rFonts w:ascii="Times New Roman" w:hAnsi="Times New Roman"/>
          <w:sz w:val="24"/>
        </w:rPr>
        <w:t>9.1.</w:t>
      </w:r>
      <w:r w:rsidRPr="00FC03EA">
        <w:rPr>
          <w:rFonts w:ascii="Times New Roman" w:hAnsi="Times New Roman"/>
        </w:rPr>
        <w:tab/>
      </w:r>
      <w:bookmarkEnd w:id="6"/>
      <w:r w:rsidRPr="00FC03EA">
        <w:rPr>
          <w:rFonts w:ascii="Times New Roman" w:hAnsi="Times New Roman"/>
          <w:sz w:val="24"/>
        </w:rPr>
        <w:t>C 90.00 – Prahové hodnoty pre obchodnú knihu</w:t>
      </w:r>
      <w:r w:rsidR="00FC03EA" w:rsidRPr="00FC03EA">
        <w:rPr>
          <w:rFonts w:ascii="Times New Roman" w:hAnsi="Times New Roman"/>
          <w:sz w:val="24"/>
        </w:rPr>
        <w:t xml:space="preserve"> a </w:t>
      </w:r>
      <w:r w:rsidRPr="00FC03EA">
        <w:rPr>
          <w:rFonts w:ascii="Times New Roman" w:hAnsi="Times New Roman"/>
          <w:sz w:val="24"/>
        </w:rPr>
        <w:t xml:space="preserve">trhové </w:t>
      </w:r>
      <w:proofErr w:type="spellStart"/>
      <w:r w:rsidRPr="00FC03EA">
        <w:rPr>
          <w:rFonts w:ascii="Times New Roman" w:hAnsi="Times New Roman"/>
          <w:sz w:val="24"/>
        </w:rPr>
        <w:t>riziko</w:t>
      </w:r>
      <w:bookmarkEnd w:id="7"/>
      <w:bookmarkEnd w:id="8"/>
      <w:r w:rsidRPr="00FC03EA">
        <w:rPr>
          <w:rFonts w:ascii="Times New Roman" w:hAnsi="Times New Roman"/>
          <w:sz w:val="24"/>
        </w:rPr>
        <w:t>T</w:t>
      </w:r>
      <w:proofErr w:type="spellEnd"/>
    </w:p>
    <w:p w14:paraId="458F8B64" w14:textId="2C4E83E5" w:rsidR="00F65FA6" w:rsidRPr="00FC03EA"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sidRPr="00FC03EA">
        <w:rPr>
          <w:rFonts w:ascii="Times New Roman" w:hAnsi="Times New Roman"/>
          <w:sz w:val="24"/>
          <w:u w:val="none"/>
        </w:rPr>
        <w:t>9.1.1.</w:t>
      </w:r>
      <w:r w:rsidR="00FC03EA" w:rsidRPr="00FC03EA">
        <w:rPr>
          <w:rFonts w:ascii="Times New Roman" w:hAnsi="Times New Roman"/>
          <w:sz w:val="24"/>
          <w:u w:val="none"/>
        </w:rPr>
        <w:tab/>
      </w:r>
      <w:r w:rsidRPr="00FC03EA">
        <w:rPr>
          <w:rFonts w:ascii="Times New Roman" w:hAnsi="Times New Roman"/>
          <w:sz w:val="24"/>
          <w:u w:val="none"/>
        </w:rPr>
        <w:t>Všeobecné poznámky</w:t>
      </w:r>
    </w:p>
    <w:p w14:paraId="2EE35BE9" w14:textId="0DF5C1B9" w:rsidR="00F65FA6" w:rsidRPr="00FC03EA" w:rsidRDefault="00FC03EA" w:rsidP="00FC03EA">
      <w:pPr>
        <w:pStyle w:val="InstructionsText2"/>
        <w:numPr>
          <w:ilvl w:val="0"/>
          <w:numId w:val="0"/>
        </w:numPr>
        <w:spacing w:line="259" w:lineRule="auto"/>
        <w:ind w:left="1353" w:hanging="360"/>
      </w:pPr>
      <w:r w:rsidRPr="00FC03EA">
        <w:t>208.</w:t>
      </w:r>
      <w:r w:rsidRPr="00FC03EA">
        <w:tab/>
      </w:r>
      <w:r w:rsidR="00F65FA6" w:rsidRPr="00FC03EA">
        <w:t>Informácie uvedené</w:t>
      </w:r>
      <w:r w:rsidRPr="00FC03EA">
        <w:t xml:space="preserve"> v </w:t>
      </w:r>
      <w:r w:rsidR="00F65FA6" w:rsidRPr="00FC03EA">
        <w:t>tomto vzore odrážajú výsledok výpočtu uvedeného</w:t>
      </w:r>
      <w:r w:rsidRPr="00FC03EA">
        <w:t xml:space="preserve"> v </w:t>
      </w:r>
      <w:r w:rsidR="00F65FA6" w:rsidRPr="00FC03EA">
        <w:t xml:space="preserve">článku 94 nariadenia (EÚ) </w:t>
      </w:r>
      <w:r w:rsidRPr="00FC03EA">
        <w:t>č. </w:t>
      </w:r>
      <w:r w:rsidR="00F65FA6" w:rsidRPr="00FC03EA">
        <w:t>575/2013 (výnimka pre činnosti</w:t>
      </w:r>
      <w:r w:rsidRPr="00FC03EA">
        <w:t xml:space="preserve"> v </w:t>
      </w:r>
      <w:r w:rsidR="00F65FA6" w:rsidRPr="00FC03EA">
        <w:t>obchodnej knihe</w:t>
      </w:r>
      <w:r w:rsidRPr="00FC03EA">
        <w:t xml:space="preserve"> s </w:t>
      </w:r>
      <w:r w:rsidR="00F65FA6" w:rsidRPr="00FC03EA">
        <w:t>menším rozsahom)</w:t>
      </w:r>
      <w:r w:rsidRPr="00FC03EA">
        <w:t xml:space="preserve"> a </w:t>
      </w:r>
      <w:r w:rsidR="00F65FA6" w:rsidRPr="00FC03EA">
        <w:t>veľkosť súvahových</w:t>
      </w:r>
      <w:r w:rsidRPr="00FC03EA">
        <w:t xml:space="preserve"> a </w:t>
      </w:r>
      <w:r w:rsidR="00F65FA6" w:rsidRPr="00FC03EA">
        <w:t>podsúvahových činností inštitúcie, ktoré podliehajú trhového riziku vypočítanému</w:t>
      </w:r>
      <w:r w:rsidRPr="00FC03EA">
        <w:t xml:space="preserve"> v </w:t>
      </w:r>
      <w:r w:rsidR="00F65FA6" w:rsidRPr="00FC03EA">
        <w:t>súlade</w:t>
      </w:r>
      <w:r w:rsidRPr="00FC03EA">
        <w:t xml:space="preserve"> s </w:t>
      </w:r>
      <w:r w:rsidR="00F65FA6" w:rsidRPr="00FC03EA">
        <w:t xml:space="preserve">článkom 325a nariadenia (EÚ) </w:t>
      </w:r>
      <w:r w:rsidRPr="00FC03EA">
        <w:t>č. </w:t>
      </w:r>
      <w:r w:rsidR="00F65FA6" w:rsidRPr="00FC03EA">
        <w:t>575/2013.</w:t>
      </w:r>
    </w:p>
    <w:p w14:paraId="6349D8A7" w14:textId="76C69768" w:rsidR="00F65FA6" w:rsidRPr="00FC03EA"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sidRPr="00FC03EA">
        <w:rPr>
          <w:rFonts w:ascii="Times New Roman" w:hAnsi="Times New Roman"/>
          <w:sz w:val="24"/>
          <w:u w:val="none"/>
        </w:rPr>
        <w:t>9.1.2.</w:t>
      </w:r>
      <w:r w:rsidR="00FC03EA" w:rsidRPr="00FC03EA">
        <w:rPr>
          <w:rFonts w:ascii="Times New Roman" w:hAnsi="Times New Roman"/>
          <w:sz w:val="24"/>
          <w:u w:val="none"/>
        </w:rPr>
        <w:tab/>
      </w:r>
      <w:r w:rsidRPr="00FC03EA">
        <w:rPr>
          <w:rFonts w:ascii="Times New Roman" w:hAnsi="Times New Roman"/>
          <w:sz w:val="24"/>
          <w:u w:val="none"/>
        </w:rPr>
        <w:t>Pokyny týkajúce sa konkrétnych pozícií</w:t>
      </w:r>
      <w:bookmarkEnd w:id="10"/>
    </w:p>
    <w:p w14:paraId="230964CC" w14:textId="433972CC" w:rsidR="00F65FA6" w:rsidRPr="00FC03EA" w:rsidRDefault="00FC03EA" w:rsidP="00FC03EA">
      <w:pPr>
        <w:pStyle w:val="InstructionsText2"/>
        <w:numPr>
          <w:ilvl w:val="0"/>
          <w:numId w:val="0"/>
        </w:numPr>
        <w:spacing w:line="259" w:lineRule="auto"/>
        <w:ind w:left="1353" w:hanging="360"/>
      </w:pPr>
      <w:r w:rsidRPr="00FC03EA">
        <w:t>209.</w:t>
      </w:r>
      <w:r w:rsidRPr="00FC03EA">
        <w:tab/>
      </w:r>
      <w:r w:rsidR="00F65FA6" w:rsidRPr="00FC03EA">
        <w:t>Výsledok výpočtu uvedeného</w:t>
      </w:r>
      <w:r w:rsidRPr="00FC03EA">
        <w:t xml:space="preserve"> v </w:t>
      </w:r>
      <w:r w:rsidR="00F65FA6" w:rsidRPr="00FC03EA">
        <w:t xml:space="preserve">článku 94 nariadenia (EÚ) </w:t>
      </w:r>
      <w:r w:rsidRPr="00FC03EA">
        <w:t>č. </w:t>
      </w:r>
      <w:r w:rsidR="00F65FA6" w:rsidRPr="00FC03EA">
        <w:t>575/2013</w:t>
      </w:r>
      <w:r w:rsidRPr="00FC03EA">
        <w:t xml:space="preserve"> a </w:t>
      </w:r>
      <w:r w:rsidR="00F65FA6" w:rsidRPr="00FC03EA">
        <w:t>informácie</w:t>
      </w:r>
      <w:r w:rsidRPr="00FC03EA">
        <w:t xml:space="preserve"> o </w:t>
      </w:r>
      <w:r w:rsidR="00F65FA6" w:rsidRPr="00FC03EA">
        <w:t>veľkosti súvahových</w:t>
      </w:r>
      <w:r w:rsidRPr="00FC03EA">
        <w:t xml:space="preserve"> a </w:t>
      </w:r>
      <w:r w:rsidR="00F65FA6" w:rsidRPr="00FC03EA">
        <w:t>podsúvahových činností inštitúcie, ktoré podliehajú trhového riziku vypočítanému</w:t>
      </w:r>
      <w:r w:rsidRPr="00FC03EA">
        <w:t xml:space="preserve"> v </w:t>
      </w:r>
      <w:r w:rsidR="00F65FA6" w:rsidRPr="00FC03EA">
        <w:t>súlade</w:t>
      </w:r>
      <w:r w:rsidRPr="00FC03EA">
        <w:t xml:space="preserve"> s </w:t>
      </w:r>
      <w:r w:rsidR="00F65FA6" w:rsidRPr="00FC03EA">
        <w:t xml:space="preserve">článkom 325a nariadenia (EÚ) </w:t>
      </w:r>
      <w:r w:rsidRPr="00FC03EA">
        <w:t>č. </w:t>
      </w:r>
      <w:r w:rsidR="00F65FA6" w:rsidRPr="00FC03EA">
        <w:t>575/2013, sa vykazujú osobitne za každý koniec mesiac vo štvrťroku, na ktorý sa vzťahuje vykazovanie,</w:t>
      </w:r>
      <w:r w:rsidRPr="00FC03EA">
        <w:t xml:space="preserve"> v </w:t>
      </w:r>
      <w:r w:rsidR="00F65FA6" w:rsidRPr="00FC03EA">
        <w:t>riadkoch 0010 až 0030.</w:t>
      </w:r>
    </w:p>
    <w:tbl>
      <w:tblPr>
        <w:tblStyle w:val="TableGrid"/>
        <w:tblW w:w="0" w:type="auto"/>
        <w:tblLook w:val="04A0" w:firstRow="1" w:lastRow="0" w:firstColumn="1" w:lastColumn="0" w:noHBand="0" w:noVBand="1"/>
      </w:tblPr>
      <w:tblGrid>
        <w:gridCol w:w="1063"/>
        <w:gridCol w:w="7953"/>
      </w:tblGrid>
      <w:tr w:rsidR="00F65FA6" w:rsidRPr="00FC03EA" w14:paraId="7A8AE764" w14:textId="77777777" w:rsidTr="00E02007">
        <w:tc>
          <w:tcPr>
            <w:tcW w:w="1063" w:type="dxa"/>
            <w:shd w:val="clear" w:color="auto" w:fill="BFBFBF" w:themeFill="background1" w:themeFillShade="BF"/>
          </w:tcPr>
          <w:p w14:paraId="3A6CAFB1" w14:textId="77777777" w:rsidR="00F65FA6" w:rsidRPr="00FC03EA" w:rsidRDefault="00F65FA6" w:rsidP="00E02007">
            <w:pPr>
              <w:pStyle w:val="BodyText"/>
              <w:spacing w:after="120"/>
              <w:rPr>
                <w:rFonts w:ascii="Times New Roman" w:hAnsi="Times New Roman" w:cs="Times New Roman"/>
                <w:b/>
              </w:rPr>
            </w:pPr>
            <w:r w:rsidRPr="00FC03EA">
              <w:rPr>
                <w:rFonts w:ascii="Times New Roman" w:hAnsi="Times New Roman"/>
                <w:b/>
              </w:rPr>
              <w:t>Riadok</w:t>
            </w:r>
          </w:p>
        </w:tc>
        <w:tc>
          <w:tcPr>
            <w:tcW w:w="7953" w:type="dxa"/>
            <w:shd w:val="clear" w:color="auto" w:fill="BFBFBF" w:themeFill="background1" w:themeFillShade="BF"/>
          </w:tcPr>
          <w:p w14:paraId="769CDB03" w14:textId="2D2F2379" w:rsidR="00F65FA6" w:rsidRPr="00FC03EA" w:rsidRDefault="00F65FA6" w:rsidP="00E02007">
            <w:pPr>
              <w:pStyle w:val="BodyText"/>
              <w:spacing w:after="120"/>
              <w:rPr>
                <w:rFonts w:ascii="Times New Roman" w:hAnsi="Times New Roman" w:cs="Times New Roman"/>
                <w:b/>
              </w:rPr>
            </w:pPr>
            <w:r w:rsidRPr="00FC03EA">
              <w:rPr>
                <w:rFonts w:ascii="Times New Roman" w:hAnsi="Times New Roman"/>
                <w:b/>
              </w:rPr>
              <w:t>Odkazy na právne predpisy</w:t>
            </w:r>
            <w:r w:rsidR="00FC03EA" w:rsidRPr="00FC03EA">
              <w:rPr>
                <w:rFonts w:ascii="Times New Roman" w:hAnsi="Times New Roman"/>
                <w:b/>
              </w:rPr>
              <w:t xml:space="preserve"> a </w:t>
            </w:r>
            <w:r w:rsidRPr="00FC03EA">
              <w:rPr>
                <w:rFonts w:ascii="Times New Roman" w:hAnsi="Times New Roman"/>
                <w:b/>
              </w:rPr>
              <w:t>pokyny</w:t>
            </w:r>
          </w:p>
        </w:tc>
      </w:tr>
      <w:tr w:rsidR="00F65FA6" w:rsidRPr="00FC03EA" w14:paraId="3355BF5A" w14:textId="77777777" w:rsidTr="00E02007">
        <w:tc>
          <w:tcPr>
            <w:tcW w:w="1063" w:type="dxa"/>
          </w:tcPr>
          <w:p w14:paraId="3DDBD759"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0010</w:t>
            </w:r>
          </w:p>
        </w:tc>
        <w:tc>
          <w:tcPr>
            <w:tcW w:w="7953" w:type="dxa"/>
          </w:tcPr>
          <w:p w14:paraId="35E13A17" w14:textId="77777777"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Mesiac 3</w:t>
            </w:r>
          </w:p>
          <w:p w14:paraId="1C7E4625" w14:textId="624FD67A" w:rsidR="00F65FA6" w:rsidRPr="009F2750" w:rsidRDefault="00F65FA6" w:rsidP="00E02007">
            <w:pPr>
              <w:pStyle w:val="Tabelleninhalt"/>
              <w:spacing w:after="120"/>
              <w:rPr>
                <w:rFonts w:ascii="Times New Roman" w:hAnsi="Times New Roman" w:cs="Times New Roman"/>
                <w:spacing w:val="-8"/>
              </w:rPr>
            </w:pPr>
            <w:r w:rsidRPr="009F2750">
              <w:rPr>
                <w:rFonts w:ascii="Times New Roman" w:hAnsi="Times New Roman"/>
                <w:spacing w:val="-8"/>
              </w:rPr>
              <w:t>Údaje</w:t>
            </w:r>
            <w:r w:rsidR="00FC03EA" w:rsidRPr="009F2750">
              <w:rPr>
                <w:rFonts w:ascii="Times New Roman" w:hAnsi="Times New Roman"/>
                <w:spacing w:val="-8"/>
              </w:rPr>
              <w:t xml:space="preserve"> k </w:t>
            </w:r>
            <w:r w:rsidRPr="009F2750">
              <w:rPr>
                <w:rFonts w:ascii="Times New Roman" w:hAnsi="Times New Roman"/>
                <w:spacing w:val="-8"/>
              </w:rPr>
              <w:t>poslednému dňu tretieho mesiaca štvrťroku, na ktorý sa vykazovanie vzťahuje.</w:t>
            </w:r>
          </w:p>
        </w:tc>
      </w:tr>
      <w:tr w:rsidR="00F65FA6" w:rsidRPr="00FC03EA" w14:paraId="7B4ADC45" w14:textId="77777777" w:rsidTr="00E02007">
        <w:tc>
          <w:tcPr>
            <w:tcW w:w="1063" w:type="dxa"/>
          </w:tcPr>
          <w:p w14:paraId="7B9AA53A"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0020</w:t>
            </w:r>
          </w:p>
        </w:tc>
        <w:tc>
          <w:tcPr>
            <w:tcW w:w="7953" w:type="dxa"/>
          </w:tcPr>
          <w:p w14:paraId="76C1917C" w14:textId="77777777"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Mesiac 2</w:t>
            </w:r>
          </w:p>
          <w:p w14:paraId="7AF74624" w14:textId="6077526D" w:rsidR="00F65FA6" w:rsidRPr="009F2750" w:rsidRDefault="00F65FA6" w:rsidP="00E02007">
            <w:pPr>
              <w:pStyle w:val="Tabelleninhalt"/>
              <w:spacing w:after="120"/>
              <w:rPr>
                <w:rFonts w:ascii="Times New Roman" w:hAnsi="Times New Roman" w:cs="Times New Roman"/>
                <w:spacing w:val="-10"/>
              </w:rPr>
            </w:pPr>
            <w:r w:rsidRPr="009F2750">
              <w:rPr>
                <w:rFonts w:ascii="Times New Roman" w:hAnsi="Times New Roman"/>
                <w:spacing w:val="-10"/>
              </w:rPr>
              <w:t>Údaje</w:t>
            </w:r>
            <w:r w:rsidR="00FC03EA" w:rsidRPr="009F2750">
              <w:rPr>
                <w:rFonts w:ascii="Times New Roman" w:hAnsi="Times New Roman"/>
                <w:spacing w:val="-10"/>
              </w:rPr>
              <w:t xml:space="preserve"> k </w:t>
            </w:r>
            <w:r w:rsidRPr="009F2750">
              <w:rPr>
                <w:rFonts w:ascii="Times New Roman" w:hAnsi="Times New Roman"/>
                <w:spacing w:val="-10"/>
              </w:rPr>
              <w:t>poslednému dňu druhého mesiaca štvrťroku, na ktorý sa vykazovanie vzťahuje.</w:t>
            </w:r>
          </w:p>
        </w:tc>
      </w:tr>
      <w:tr w:rsidR="00F65FA6" w:rsidRPr="00FC03EA" w14:paraId="3D6489DB" w14:textId="77777777" w:rsidTr="00E02007">
        <w:tc>
          <w:tcPr>
            <w:tcW w:w="1063" w:type="dxa"/>
          </w:tcPr>
          <w:p w14:paraId="01F13363"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0030</w:t>
            </w:r>
          </w:p>
        </w:tc>
        <w:tc>
          <w:tcPr>
            <w:tcW w:w="7953" w:type="dxa"/>
          </w:tcPr>
          <w:p w14:paraId="1D4D1B3C" w14:textId="77777777"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Mesiac 1</w:t>
            </w:r>
          </w:p>
          <w:p w14:paraId="321A7E1A" w14:textId="5015AAE4" w:rsidR="00F65FA6" w:rsidRPr="009F2750" w:rsidRDefault="00F65FA6" w:rsidP="00E02007">
            <w:pPr>
              <w:pStyle w:val="Tabelleninhalt"/>
              <w:spacing w:after="120"/>
              <w:rPr>
                <w:rFonts w:ascii="Times New Roman" w:hAnsi="Times New Roman" w:cs="Times New Roman"/>
                <w:spacing w:val="-8"/>
              </w:rPr>
            </w:pPr>
            <w:r w:rsidRPr="009F2750">
              <w:rPr>
                <w:rFonts w:ascii="Times New Roman" w:hAnsi="Times New Roman"/>
                <w:spacing w:val="-8"/>
              </w:rPr>
              <w:lastRenderedPageBreak/>
              <w:t>Údaje</w:t>
            </w:r>
            <w:r w:rsidR="00FC03EA" w:rsidRPr="009F2750">
              <w:rPr>
                <w:rFonts w:ascii="Times New Roman" w:hAnsi="Times New Roman"/>
                <w:spacing w:val="-8"/>
              </w:rPr>
              <w:t xml:space="preserve"> k </w:t>
            </w:r>
            <w:r w:rsidRPr="009F2750">
              <w:rPr>
                <w:rFonts w:ascii="Times New Roman" w:hAnsi="Times New Roman"/>
                <w:spacing w:val="-8"/>
              </w:rPr>
              <w:t>poslednému dňu prvého mesiaca štvrťroku, na ktorý sa vykazovanie vzťahuje.</w:t>
            </w:r>
          </w:p>
        </w:tc>
      </w:tr>
    </w:tbl>
    <w:p w14:paraId="55096B4D" w14:textId="77777777" w:rsidR="00F65FA6" w:rsidRPr="00FC03EA" w:rsidRDefault="00F65FA6" w:rsidP="00F65FA6">
      <w:pPr>
        <w:rPr>
          <w:rFonts w:ascii="Times New Roman" w:hAnsi="Times New Roman"/>
        </w:rPr>
      </w:pPr>
    </w:p>
    <w:tbl>
      <w:tblPr>
        <w:tblStyle w:val="TableGrid"/>
        <w:tblW w:w="0" w:type="auto"/>
        <w:tblLook w:val="04A0" w:firstRow="1" w:lastRow="0" w:firstColumn="1" w:lastColumn="0" w:noHBand="0" w:noVBand="1"/>
      </w:tblPr>
      <w:tblGrid>
        <w:gridCol w:w="1416"/>
        <w:gridCol w:w="7646"/>
      </w:tblGrid>
      <w:tr w:rsidR="00F65FA6" w:rsidRPr="00FC03EA" w14:paraId="6AF8CFCD" w14:textId="77777777" w:rsidTr="00E02007">
        <w:tc>
          <w:tcPr>
            <w:tcW w:w="1043" w:type="dxa"/>
            <w:shd w:val="clear" w:color="auto" w:fill="BFBFBF" w:themeFill="background1" w:themeFillShade="BF"/>
          </w:tcPr>
          <w:p w14:paraId="65665385" w14:textId="77777777" w:rsidR="00F65FA6" w:rsidRPr="00FC03EA" w:rsidRDefault="00F65FA6" w:rsidP="00E02007">
            <w:pPr>
              <w:pStyle w:val="BodyText"/>
              <w:spacing w:after="120"/>
              <w:rPr>
                <w:rFonts w:ascii="Times New Roman" w:hAnsi="Times New Roman" w:cs="Times New Roman"/>
                <w:b/>
              </w:rPr>
            </w:pPr>
            <w:r w:rsidRPr="00FC03EA">
              <w:rPr>
                <w:rFonts w:ascii="Times New Roman" w:hAnsi="Times New Roman"/>
                <w:b/>
              </w:rPr>
              <w:t>Stĺpec</w:t>
            </w:r>
          </w:p>
        </w:tc>
        <w:tc>
          <w:tcPr>
            <w:tcW w:w="7973" w:type="dxa"/>
            <w:shd w:val="clear" w:color="auto" w:fill="BFBFBF" w:themeFill="background1" w:themeFillShade="BF"/>
          </w:tcPr>
          <w:p w14:paraId="219EFA66" w14:textId="71D2F5ED" w:rsidR="00F65FA6" w:rsidRPr="00FC03EA" w:rsidRDefault="00F65FA6" w:rsidP="00E02007">
            <w:pPr>
              <w:pStyle w:val="BodyText"/>
              <w:spacing w:after="120"/>
              <w:rPr>
                <w:rFonts w:ascii="Times New Roman" w:hAnsi="Times New Roman" w:cs="Times New Roman"/>
                <w:b/>
              </w:rPr>
            </w:pPr>
            <w:r w:rsidRPr="00FC03EA">
              <w:rPr>
                <w:rFonts w:ascii="Times New Roman" w:hAnsi="Times New Roman"/>
                <w:b/>
              </w:rPr>
              <w:t>Odkazy na právne predpisy</w:t>
            </w:r>
            <w:r w:rsidR="00FC03EA" w:rsidRPr="00FC03EA">
              <w:rPr>
                <w:rFonts w:ascii="Times New Roman" w:hAnsi="Times New Roman"/>
                <w:b/>
              </w:rPr>
              <w:t xml:space="preserve"> a </w:t>
            </w:r>
            <w:r w:rsidRPr="00FC03EA">
              <w:rPr>
                <w:rFonts w:ascii="Times New Roman" w:hAnsi="Times New Roman"/>
                <w:b/>
              </w:rPr>
              <w:t>pokyny</w:t>
            </w:r>
          </w:p>
        </w:tc>
      </w:tr>
      <w:tr w:rsidR="00F65FA6" w:rsidRPr="00FC03EA" w14:paraId="57E5CA86" w14:textId="77777777" w:rsidTr="00E02007">
        <w:tc>
          <w:tcPr>
            <w:tcW w:w="1043" w:type="dxa"/>
          </w:tcPr>
          <w:p w14:paraId="6648E6E1"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0010</w:t>
            </w:r>
          </w:p>
        </w:tc>
        <w:tc>
          <w:tcPr>
            <w:tcW w:w="7973" w:type="dxa"/>
          </w:tcPr>
          <w:p w14:paraId="15CE25E0" w14:textId="166C5CF7"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Súvahové</w:t>
            </w:r>
            <w:r w:rsidR="00FC03EA" w:rsidRPr="00FC03EA">
              <w:rPr>
                <w:rFonts w:ascii="Times New Roman" w:hAnsi="Times New Roman"/>
                <w:b/>
                <w:u w:val="single"/>
              </w:rPr>
              <w:t xml:space="preserve"> a </w:t>
            </w:r>
            <w:r w:rsidRPr="00FC03EA">
              <w:rPr>
                <w:rFonts w:ascii="Times New Roman" w:hAnsi="Times New Roman"/>
                <w:b/>
                <w:u w:val="single"/>
              </w:rPr>
              <w:t>podsúvahové činnosti podliehajúce trhovému riziku</w:t>
            </w:r>
          </w:p>
          <w:p w14:paraId="208FB794" w14:textId="27A6543F"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 xml:space="preserve">Článok 325a ods. 2 nariadenia (EÚ) </w:t>
            </w:r>
            <w:r w:rsidR="00FC03EA" w:rsidRPr="00FC03EA">
              <w:rPr>
                <w:rFonts w:ascii="Times New Roman" w:hAnsi="Times New Roman"/>
              </w:rPr>
              <w:t>č. </w:t>
            </w:r>
            <w:r w:rsidRPr="00FC03EA">
              <w:rPr>
                <w:rFonts w:ascii="Times New Roman" w:hAnsi="Times New Roman"/>
              </w:rPr>
              <w:t>575/2013</w:t>
            </w:r>
          </w:p>
          <w:p w14:paraId="44825AE5" w14:textId="591EDB28"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Inštitúcie vykazujú absolútnu hodnotu odzrkadľujúcu súvahové</w:t>
            </w:r>
            <w:r w:rsidR="00FC03EA" w:rsidRPr="00FC03EA">
              <w:rPr>
                <w:rFonts w:ascii="Times New Roman" w:hAnsi="Times New Roman"/>
              </w:rPr>
              <w:t xml:space="preserve"> a </w:t>
            </w:r>
            <w:r w:rsidRPr="00FC03EA">
              <w:rPr>
                <w:rFonts w:ascii="Times New Roman" w:hAnsi="Times New Roman"/>
              </w:rPr>
              <w:t>podsúvahové činnosti inštitúcie podliehajúce trhovému riziku vypočítanú</w:t>
            </w:r>
            <w:r w:rsidR="00FC03EA" w:rsidRPr="00FC03EA">
              <w:rPr>
                <w:rFonts w:ascii="Times New Roman" w:hAnsi="Times New Roman"/>
              </w:rPr>
              <w:t xml:space="preserve"> v </w:t>
            </w:r>
            <w:r w:rsidRPr="00FC03EA">
              <w:rPr>
                <w:rFonts w:ascii="Times New Roman" w:hAnsi="Times New Roman"/>
              </w:rPr>
              <w:t>súlade</w:t>
            </w:r>
            <w:r w:rsidR="00FC03EA" w:rsidRPr="00FC03EA">
              <w:rPr>
                <w:rFonts w:ascii="Times New Roman" w:hAnsi="Times New Roman"/>
              </w:rPr>
              <w:t xml:space="preserve"> s </w:t>
            </w:r>
            <w:r w:rsidRPr="00FC03EA">
              <w:rPr>
                <w:rFonts w:ascii="Times New Roman" w:hAnsi="Times New Roman"/>
              </w:rPr>
              <w:t xml:space="preserve">článkom 325a ods. 2 nariadenia (EÚ) </w:t>
            </w:r>
            <w:r w:rsidR="00FC03EA" w:rsidRPr="00FC03EA">
              <w:rPr>
                <w:rFonts w:ascii="Times New Roman" w:hAnsi="Times New Roman"/>
              </w:rPr>
              <w:t>č. </w:t>
            </w:r>
            <w:r w:rsidRPr="00FC03EA">
              <w:rPr>
                <w:rFonts w:ascii="Times New Roman" w:hAnsi="Times New Roman"/>
              </w:rPr>
              <w:t xml:space="preserve">575/2013. </w:t>
            </w:r>
          </w:p>
        </w:tc>
      </w:tr>
      <w:tr w:rsidR="00F65FA6" w:rsidRPr="00FC03EA" w14:paraId="5EBC2E16" w14:textId="77777777" w:rsidTr="00E02007">
        <w:tc>
          <w:tcPr>
            <w:tcW w:w="1043" w:type="dxa"/>
          </w:tcPr>
          <w:p w14:paraId="25974D86"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0020 – 0060</w:t>
            </w:r>
          </w:p>
        </w:tc>
        <w:tc>
          <w:tcPr>
            <w:tcW w:w="7973" w:type="dxa"/>
          </w:tcPr>
          <w:p w14:paraId="3885D529" w14:textId="77777777"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Rozčlenenie podľa regulačnej knihy</w:t>
            </w:r>
          </w:p>
          <w:p w14:paraId="014F6AAD" w14:textId="1A24F0A5"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Súvahové</w:t>
            </w:r>
            <w:r w:rsidR="00FC03EA" w:rsidRPr="00FC03EA">
              <w:rPr>
                <w:rFonts w:ascii="Times New Roman" w:hAnsi="Times New Roman"/>
              </w:rPr>
              <w:t xml:space="preserve"> a </w:t>
            </w:r>
            <w:r w:rsidRPr="00FC03EA">
              <w:rPr>
                <w:rFonts w:ascii="Times New Roman" w:hAnsi="Times New Roman"/>
              </w:rPr>
              <w:t>podsúvahové činnosti podliehajúce trhovému riziku sa rozčleňujú podľa obchodnej knihy</w:t>
            </w:r>
            <w:r w:rsidR="00FC03EA" w:rsidRPr="00FC03EA">
              <w:rPr>
                <w:rFonts w:ascii="Times New Roman" w:hAnsi="Times New Roman"/>
              </w:rPr>
              <w:t xml:space="preserve"> a </w:t>
            </w:r>
            <w:r w:rsidRPr="00FC03EA">
              <w:rPr>
                <w:rFonts w:ascii="Times New Roman" w:hAnsi="Times New Roman"/>
              </w:rPr>
              <w:t xml:space="preserve">neobchodnej knihy. </w:t>
            </w:r>
          </w:p>
        </w:tc>
      </w:tr>
      <w:tr w:rsidR="00F65FA6" w:rsidRPr="00FC03EA" w14:paraId="5E57F79B" w14:textId="77777777" w:rsidTr="00E02007">
        <w:tc>
          <w:tcPr>
            <w:tcW w:w="1043" w:type="dxa"/>
          </w:tcPr>
          <w:p w14:paraId="7440E785"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0020 – 0040</w:t>
            </w:r>
          </w:p>
        </w:tc>
        <w:tc>
          <w:tcPr>
            <w:tcW w:w="7973" w:type="dxa"/>
          </w:tcPr>
          <w:p w14:paraId="78FEC356" w14:textId="77777777"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Obchodná kniha</w:t>
            </w:r>
          </w:p>
          <w:p w14:paraId="6098BB58" w14:textId="65FA5601"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 xml:space="preserve">Pozície zaradené do obchodnej knihy obsiahnuté vo výpočte podľa článku 325a ods. 2 nariadenia (EÚ) </w:t>
            </w:r>
            <w:r w:rsidR="00FC03EA" w:rsidRPr="00FC03EA">
              <w:rPr>
                <w:rFonts w:ascii="Times New Roman" w:hAnsi="Times New Roman"/>
              </w:rPr>
              <w:t>č. </w:t>
            </w:r>
            <w:r w:rsidRPr="00FC03EA">
              <w:rPr>
                <w:rFonts w:ascii="Times New Roman" w:hAnsi="Times New Roman"/>
              </w:rPr>
              <w:t>575/2013</w:t>
            </w:r>
          </w:p>
        </w:tc>
      </w:tr>
      <w:tr w:rsidR="00F65FA6" w:rsidRPr="00FC03EA" w14:paraId="63198C07" w14:textId="77777777" w:rsidTr="00E02007">
        <w:tc>
          <w:tcPr>
            <w:tcW w:w="1043" w:type="dxa"/>
          </w:tcPr>
          <w:p w14:paraId="6FC2F0F0"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0030 – 0040</w:t>
            </w:r>
          </w:p>
        </w:tc>
        <w:tc>
          <w:tcPr>
            <w:tcW w:w="7973" w:type="dxa"/>
          </w:tcPr>
          <w:p w14:paraId="24A21C27" w14:textId="6E45AF9B"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Z čoho: Činnosť</w:t>
            </w:r>
            <w:r w:rsidR="00FC03EA" w:rsidRPr="00FC03EA">
              <w:rPr>
                <w:rFonts w:ascii="Times New Roman" w:hAnsi="Times New Roman"/>
                <w:b/>
                <w:u w:val="single"/>
              </w:rPr>
              <w:t xml:space="preserve"> v </w:t>
            </w:r>
            <w:r w:rsidRPr="00FC03EA">
              <w:rPr>
                <w:rFonts w:ascii="Times New Roman" w:hAnsi="Times New Roman"/>
                <w:b/>
                <w:u w:val="single"/>
              </w:rPr>
              <w:t xml:space="preserve">obchodnej knihe na účely článku 94 nariadenia (EÚ) </w:t>
            </w:r>
            <w:r w:rsidR="00FC03EA" w:rsidRPr="00FC03EA">
              <w:rPr>
                <w:rFonts w:ascii="Times New Roman" w:hAnsi="Times New Roman"/>
                <w:b/>
                <w:u w:val="single"/>
              </w:rPr>
              <w:t>č. </w:t>
            </w:r>
            <w:r w:rsidRPr="00FC03EA">
              <w:rPr>
                <w:rFonts w:ascii="Times New Roman" w:hAnsi="Times New Roman"/>
                <w:b/>
                <w:u w:val="single"/>
              </w:rPr>
              <w:t>575/2013</w:t>
            </w:r>
          </w:p>
          <w:p w14:paraId="7A1ECC78" w14:textId="6DE08294"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 xml:space="preserve">Článok 94 ods. 3 nariadenia (EÚ) </w:t>
            </w:r>
            <w:r w:rsidR="00FC03EA" w:rsidRPr="00FC03EA">
              <w:rPr>
                <w:rFonts w:ascii="Times New Roman" w:hAnsi="Times New Roman"/>
              </w:rPr>
              <w:t>č. </w:t>
            </w:r>
            <w:r w:rsidRPr="00FC03EA">
              <w:rPr>
                <w:rFonts w:ascii="Times New Roman" w:hAnsi="Times New Roman"/>
              </w:rPr>
              <w:t>575/2013</w:t>
            </w:r>
          </w:p>
          <w:p w14:paraId="0A9722AA" w14:textId="30DF3541"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Ako sa vyžaduje</w:t>
            </w:r>
            <w:r w:rsidR="00FC03EA" w:rsidRPr="00FC03EA">
              <w:rPr>
                <w:rFonts w:ascii="Times New Roman" w:hAnsi="Times New Roman"/>
              </w:rPr>
              <w:t xml:space="preserve"> v </w:t>
            </w:r>
            <w:r w:rsidRPr="00FC03EA">
              <w:rPr>
                <w:rFonts w:ascii="Times New Roman" w:hAnsi="Times New Roman"/>
              </w:rPr>
              <w:t xml:space="preserve">článku 94 ods. 3 písm. b) nariadenia (EÚ) </w:t>
            </w:r>
            <w:r w:rsidR="00FC03EA" w:rsidRPr="00FC03EA">
              <w:rPr>
                <w:rFonts w:ascii="Times New Roman" w:hAnsi="Times New Roman"/>
              </w:rPr>
              <w:t>č. </w:t>
            </w:r>
            <w:r w:rsidRPr="00FC03EA">
              <w:rPr>
                <w:rFonts w:ascii="Times New Roman" w:hAnsi="Times New Roman"/>
              </w:rPr>
              <w:t>575/2013, inštitúcie vykazujú trhové hodnoty</w:t>
            </w:r>
            <w:r w:rsidR="00FC03EA" w:rsidRPr="00FC03EA">
              <w:rPr>
                <w:rFonts w:ascii="Times New Roman" w:hAnsi="Times New Roman"/>
              </w:rPr>
              <w:t xml:space="preserve"> k </w:t>
            </w:r>
            <w:r w:rsidRPr="00FC03EA">
              <w:rPr>
                <w:rFonts w:ascii="Times New Roman" w:hAnsi="Times New Roman"/>
              </w:rPr>
              <w:t>poslednému dňu mesiaca; ak nie sú</w:t>
            </w:r>
            <w:r w:rsidR="00FC03EA" w:rsidRPr="00FC03EA">
              <w:rPr>
                <w:rFonts w:ascii="Times New Roman" w:hAnsi="Times New Roman"/>
              </w:rPr>
              <w:t xml:space="preserve"> k </w:t>
            </w:r>
            <w:r w:rsidRPr="00FC03EA">
              <w:rPr>
                <w:rFonts w:ascii="Times New Roman" w:hAnsi="Times New Roman"/>
              </w:rPr>
              <w:t>dispozícii trhové hodnoty, tak vykazujú reálne hodnoty</w:t>
            </w:r>
            <w:r w:rsidR="00FC03EA" w:rsidRPr="00FC03EA">
              <w:rPr>
                <w:rFonts w:ascii="Times New Roman" w:hAnsi="Times New Roman"/>
              </w:rPr>
              <w:t xml:space="preserve"> k </w:t>
            </w:r>
            <w:r w:rsidRPr="00FC03EA">
              <w:rPr>
                <w:rFonts w:ascii="Times New Roman" w:hAnsi="Times New Roman"/>
              </w:rPr>
              <w:t>tomu istému dátumu, alebo ak trhové hodnoty</w:t>
            </w:r>
            <w:r w:rsidR="00FC03EA" w:rsidRPr="00FC03EA">
              <w:rPr>
                <w:rFonts w:ascii="Times New Roman" w:hAnsi="Times New Roman"/>
              </w:rPr>
              <w:t xml:space="preserve"> a </w:t>
            </w:r>
            <w:r w:rsidRPr="00FC03EA">
              <w:rPr>
                <w:rFonts w:ascii="Times New Roman" w:hAnsi="Times New Roman"/>
              </w:rPr>
              <w:t>reálne hodnoty nie sú</w:t>
            </w:r>
            <w:r w:rsidR="00FC03EA" w:rsidRPr="00FC03EA">
              <w:rPr>
                <w:rFonts w:ascii="Times New Roman" w:hAnsi="Times New Roman"/>
              </w:rPr>
              <w:t xml:space="preserve"> k </w:t>
            </w:r>
            <w:r w:rsidRPr="00FC03EA">
              <w:rPr>
                <w:rFonts w:ascii="Times New Roman" w:hAnsi="Times New Roman"/>
              </w:rPr>
              <w:t>dispozícii</w:t>
            </w:r>
            <w:r w:rsidR="00FC03EA" w:rsidRPr="00FC03EA">
              <w:rPr>
                <w:rFonts w:ascii="Times New Roman" w:hAnsi="Times New Roman"/>
              </w:rPr>
              <w:t xml:space="preserve"> k </w:t>
            </w:r>
            <w:r w:rsidRPr="00FC03EA">
              <w:rPr>
                <w:rFonts w:ascii="Times New Roman" w:hAnsi="Times New Roman"/>
              </w:rPr>
              <w:t xml:space="preserve">danému dátumu, tak vykazujú poslednú trhovú hodnotu alebo reálnu hodnotu. </w:t>
            </w:r>
          </w:p>
        </w:tc>
      </w:tr>
      <w:tr w:rsidR="00F65FA6" w:rsidRPr="00FC03EA" w14:paraId="1BA6F191" w14:textId="77777777" w:rsidTr="00E02007">
        <w:tc>
          <w:tcPr>
            <w:tcW w:w="1043" w:type="dxa"/>
          </w:tcPr>
          <w:p w14:paraId="661DD231"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0030</w:t>
            </w:r>
          </w:p>
        </w:tc>
        <w:tc>
          <w:tcPr>
            <w:tcW w:w="7973" w:type="dxa"/>
          </w:tcPr>
          <w:p w14:paraId="21157FFD" w14:textId="77777777"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Spolu</w:t>
            </w:r>
          </w:p>
          <w:p w14:paraId="50DBCCC0" w14:textId="7D89B510"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 xml:space="preserve">Článok 94 ods. 3 nariadenia (EÚ) </w:t>
            </w:r>
            <w:r w:rsidR="00FC03EA" w:rsidRPr="00FC03EA">
              <w:rPr>
                <w:rFonts w:ascii="Times New Roman" w:hAnsi="Times New Roman"/>
              </w:rPr>
              <w:t>č. </w:t>
            </w:r>
            <w:r w:rsidRPr="00FC03EA">
              <w:rPr>
                <w:rFonts w:ascii="Times New Roman" w:hAnsi="Times New Roman"/>
              </w:rPr>
              <w:t>575/2013</w:t>
            </w:r>
          </w:p>
          <w:p w14:paraId="1B4AB24D" w14:textId="01050522"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Absolútna hodnota dlhých</w:t>
            </w:r>
            <w:r w:rsidR="00FC03EA" w:rsidRPr="00FC03EA">
              <w:rPr>
                <w:rFonts w:ascii="Times New Roman" w:hAnsi="Times New Roman"/>
              </w:rPr>
              <w:t xml:space="preserve"> a </w:t>
            </w:r>
            <w:r w:rsidRPr="00FC03EA">
              <w:rPr>
                <w:rFonts w:ascii="Times New Roman" w:hAnsi="Times New Roman"/>
              </w:rPr>
              <w:t>krátkych pozícií sa spočíta, ako sa vyžaduje</w:t>
            </w:r>
            <w:r w:rsidR="00FC03EA" w:rsidRPr="00FC03EA">
              <w:rPr>
                <w:rFonts w:ascii="Times New Roman" w:hAnsi="Times New Roman"/>
              </w:rPr>
              <w:t xml:space="preserve"> v </w:t>
            </w:r>
            <w:r w:rsidRPr="00FC03EA">
              <w:rPr>
                <w:rFonts w:ascii="Times New Roman" w:hAnsi="Times New Roman"/>
              </w:rPr>
              <w:t xml:space="preserve">článku 94 ods. 3 písm. c) nariadenia (EÚ) </w:t>
            </w:r>
            <w:r w:rsidR="00FC03EA" w:rsidRPr="00FC03EA">
              <w:rPr>
                <w:rFonts w:ascii="Times New Roman" w:hAnsi="Times New Roman"/>
              </w:rPr>
              <w:t>č. </w:t>
            </w:r>
            <w:r w:rsidRPr="00FC03EA">
              <w:rPr>
                <w:rFonts w:ascii="Times New Roman" w:hAnsi="Times New Roman"/>
              </w:rPr>
              <w:t>575/2013.</w:t>
            </w:r>
          </w:p>
        </w:tc>
      </w:tr>
      <w:tr w:rsidR="00F65FA6" w:rsidRPr="00FC03EA" w14:paraId="39EFF6D7" w14:textId="77777777" w:rsidTr="00E02007">
        <w:tc>
          <w:tcPr>
            <w:tcW w:w="1043" w:type="dxa"/>
          </w:tcPr>
          <w:p w14:paraId="6E8E06FD"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0040</w:t>
            </w:r>
          </w:p>
        </w:tc>
        <w:tc>
          <w:tcPr>
            <w:tcW w:w="7973" w:type="dxa"/>
          </w:tcPr>
          <w:p w14:paraId="59AF0468" w14:textId="76203326"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V</w:t>
            </w:r>
            <w:r w:rsidR="00FC03EA" w:rsidRPr="00FC03EA">
              <w:rPr>
                <w:rFonts w:ascii="Times New Roman" w:hAnsi="Times New Roman"/>
                <w:b/>
                <w:u w:val="single"/>
              </w:rPr>
              <w:t> %</w:t>
            </w:r>
            <w:r w:rsidRPr="00FC03EA">
              <w:rPr>
                <w:rFonts w:ascii="Times New Roman" w:hAnsi="Times New Roman"/>
                <w:b/>
                <w:u w:val="single"/>
              </w:rPr>
              <w:t xml:space="preserve"> celkových aktív</w:t>
            </w:r>
          </w:p>
          <w:p w14:paraId="2A48E439" w14:textId="5158E356"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 xml:space="preserve">Článok 94 ods. 1 písm. a) nariadenia (EÚ) </w:t>
            </w:r>
            <w:r w:rsidR="00FC03EA" w:rsidRPr="00FC03EA">
              <w:rPr>
                <w:rFonts w:ascii="Times New Roman" w:hAnsi="Times New Roman"/>
              </w:rPr>
              <w:t>č. </w:t>
            </w:r>
            <w:r w:rsidRPr="00FC03EA">
              <w:rPr>
                <w:rFonts w:ascii="Times New Roman" w:hAnsi="Times New Roman"/>
              </w:rPr>
              <w:t>575/2013</w:t>
            </w:r>
          </w:p>
          <w:p w14:paraId="49681B66" w14:textId="1FD626F1"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 xml:space="preserve">Rozsah činností obchodnej knihy na účely článku 94 nariadenia (EÚ) </w:t>
            </w:r>
            <w:r w:rsidR="00FC03EA" w:rsidRPr="00FC03EA">
              <w:rPr>
                <w:rFonts w:ascii="Times New Roman" w:hAnsi="Times New Roman"/>
              </w:rPr>
              <w:t>č. </w:t>
            </w:r>
            <w:r w:rsidRPr="00FC03EA">
              <w:rPr>
                <w:rFonts w:ascii="Times New Roman" w:hAnsi="Times New Roman"/>
              </w:rPr>
              <w:t>575/2013 sa vyjadruje ako percentuálny podiel celkových aktív.</w:t>
            </w:r>
          </w:p>
        </w:tc>
      </w:tr>
      <w:tr w:rsidR="00F65FA6" w:rsidRPr="00FC03EA" w14:paraId="2C1E41CE" w14:textId="77777777" w:rsidTr="00E02007">
        <w:tc>
          <w:tcPr>
            <w:tcW w:w="1043" w:type="dxa"/>
          </w:tcPr>
          <w:p w14:paraId="45DD6754"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0050 – 0060</w:t>
            </w:r>
          </w:p>
        </w:tc>
        <w:tc>
          <w:tcPr>
            <w:tcW w:w="7973" w:type="dxa"/>
          </w:tcPr>
          <w:p w14:paraId="068650D0" w14:textId="77777777" w:rsidR="00FC03EA" w:rsidRPr="00FC03EA" w:rsidRDefault="00F65FA6" w:rsidP="00E02007">
            <w:pPr>
              <w:pStyle w:val="Tabelleninhalt"/>
              <w:spacing w:after="120"/>
              <w:rPr>
                <w:rFonts w:ascii="Times New Roman" w:hAnsi="Times New Roman"/>
                <w:b/>
                <w:u w:val="single"/>
              </w:rPr>
            </w:pPr>
            <w:r w:rsidRPr="00FC03EA">
              <w:rPr>
                <w:rFonts w:ascii="Times New Roman" w:hAnsi="Times New Roman"/>
                <w:b/>
                <w:u w:val="single"/>
              </w:rPr>
              <w:t>Neobchodná kniha</w:t>
            </w:r>
          </w:p>
          <w:p w14:paraId="62438A74" w14:textId="31C775C3"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 xml:space="preserve">Pozície zaradené do neobchodnej knihy obsiahnuté vo výpočte podľa článku 325a ods. 2 nariadenia (EÚ) </w:t>
            </w:r>
            <w:r w:rsidR="00FC03EA" w:rsidRPr="00FC03EA">
              <w:rPr>
                <w:rFonts w:ascii="Times New Roman" w:hAnsi="Times New Roman"/>
              </w:rPr>
              <w:t>č. </w:t>
            </w:r>
            <w:r w:rsidRPr="00FC03EA">
              <w:rPr>
                <w:rFonts w:ascii="Times New Roman" w:hAnsi="Times New Roman"/>
              </w:rPr>
              <w:t>575/2013</w:t>
            </w:r>
          </w:p>
          <w:p w14:paraId="54237402" w14:textId="35E96429"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Inštitúcie vykazujú pozície</w:t>
            </w:r>
            <w:r w:rsidR="00FC03EA" w:rsidRPr="00FC03EA">
              <w:rPr>
                <w:rFonts w:ascii="Times New Roman" w:hAnsi="Times New Roman"/>
              </w:rPr>
              <w:t xml:space="preserve"> v </w:t>
            </w:r>
            <w:r w:rsidRPr="00FC03EA">
              <w:rPr>
                <w:rFonts w:ascii="Times New Roman" w:hAnsi="Times New Roman"/>
              </w:rPr>
              <w:t>neobchodnej knihe, ktoré podliehajú trhovému riziku rozčlenenému na pozície, ktoré podliehajú devízovému riziku,</w:t>
            </w:r>
            <w:r w:rsidR="00FC03EA" w:rsidRPr="00FC03EA">
              <w:rPr>
                <w:rFonts w:ascii="Times New Roman" w:hAnsi="Times New Roman"/>
              </w:rPr>
              <w:t xml:space="preserve"> a </w:t>
            </w:r>
            <w:r w:rsidRPr="00FC03EA">
              <w:rPr>
                <w:rFonts w:ascii="Times New Roman" w:hAnsi="Times New Roman"/>
              </w:rPr>
              <w:t>pozície, ktoré podliehajú komoditnému riziku.</w:t>
            </w:r>
          </w:p>
          <w:p w14:paraId="6F2651D5" w14:textId="5981D29B"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lastRenderedPageBreak/>
              <w:t>Príslušné hodnoty sa určujú</w:t>
            </w:r>
            <w:r w:rsidR="00FC03EA" w:rsidRPr="00FC03EA">
              <w:rPr>
                <w:rFonts w:ascii="Times New Roman" w:hAnsi="Times New Roman"/>
              </w:rPr>
              <w:t xml:space="preserve"> v </w:t>
            </w:r>
            <w:r w:rsidRPr="00FC03EA">
              <w:rPr>
                <w:rFonts w:ascii="Times New Roman" w:hAnsi="Times New Roman"/>
              </w:rPr>
              <w:t>súlade</w:t>
            </w:r>
            <w:r w:rsidR="00FC03EA" w:rsidRPr="00FC03EA">
              <w:rPr>
                <w:rFonts w:ascii="Times New Roman" w:hAnsi="Times New Roman"/>
              </w:rPr>
              <w:t xml:space="preserve"> s </w:t>
            </w:r>
            <w:r w:rsidRPr="00FC03EA">
              <w:rPr>
                <w:rFonts w:ascii="Times New Roman" w:hAnsi="Times New Roman"/>
              </w:rPr>
              <w:t>článkom 325a ods. 2 písm. d)</w:t>
            </w:r>
            <w:r w:rsidR="00FC03EA" w:rsidRPr="00FC03EA">
              <w:rPr>
                <w:rFonts w:ascii="Times New Roman" w:hAnsi="Times New Roman"/>
              </w:rPr>
              <w:t xml:space="preserve"> a </w:t>
            </w:r>
            <w:r w:rsidRPr="00FC03EA">
              <w:rPr>
                <w:rFonts w:ascii="Times New Roman" w:hAnsi="Times New Roman"/>
              </w:rPr>
              <w:t xml:space="preserve">e) nariadenia (EÚ) </w:t>
            </w:r>
            <w:r w:rsidR="00FC03EA" w:rsidRPr="00FC03EA">
              <w:rPr>
                <w:rFonts w:ascii="Times New Roman" w:hAnsi="Times New Roman"/>
              </w:rPr>
              <w:t>č. </w:t>
            </w:r>
            <w:r w:rsidRPr="00FC03EA">
              <w:rPr>
                <w:rFonts w:ascii="Times New Roman" w:hAnsi="Times New Roman"/>
              </w:rPr>
              <w:t xml:space="preserve">575/2013. </w:t>
            </w:r>
          </w:p>
        </w:tc>
      </w:tr>
      <w:tr w:rsidR="00F65FA6" w:rsidRPr="00FC03EA" w14:paraId="15FBA6A1" w14:textId="77777777" w:rsidTr="00E02007">
        <w:tc>
          <w:tcPr>
            <w:tcW w:w="1043" w:type="dxa"/>
          </w:tcPr>
          <w:p w14:paraId="1FCF4531"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lastRenderedPageBreak/>
              <w:t>0070</w:t>
            </w:r>
          </w:p>
        </w:tc>
        <w:tc>
          <w:tcPr>
            <w:tcW w:w="7973" w:type="dxa"/>
          </w:tcPr>
          <w:p w14:paraId="6D9E3BF8" w14:textId="4A1BA8EC"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V</w:t>
            </w:r>
            <w:r w:rsidR="00FC03EA" w:rsidRPr="00FC03EA">
              <w:rPr>
                <w:rFonts w:ascii="Times New Roman" w:hAnsi="Times New Roman"/>
                <w:b/>
                <w:u w:val="single"/>
              </w:rPr>
              <w:t> %</w:t>
            </w:r>
            <w:r w:rsidRPr="00FC03EA">
              <w:rPr>
                <w:rFonts w:ascii="Times New Roman" w:hAnsi="Times New Roman"/>
                <w:b/>
                <w:u w:val="single"/>
              </w:rPr>
              <w:t xml:space="preserve"> celkových aktív</w:t>
            </w:r>
          </w:p>
          <w:p w14:paraId="6A6F8AC2" w14:textId="226AC375"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 xml:space="preserve">Článok 325a ods. 1 písm. a) nariadenia (EÚ) </w:t>
            </w:r>
            <w:r w:rsidR="00FC03EA" w:rsidRPr="00FC03EA">
              <w:rPr>
                <w:rFonts w:ascii="Times New Roman" w:hAnsi="Times New Roman"/>
              </w:rPr>
              <w:t>č. </w:t>
            </w:r>
            <w:r w:rsidRPr="00FC03EA">
              <w:rPr>
                <w:rFonts w:ascii="Times New Roman" w:hAnsi="Times New Roman"/>
              </w:rPr>
              <w:t>575/2013</w:t>
            </w:r>
          </w:p>
          <w:p w14:paraId="542B2372" w14:textId="4BF3180A"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Súvahové</w:t>
            </w:r>
            <w:r w:rsidR="00FC03EA" w:rsidRPr="00FC03EA">
              <w:rPr>
                <w:rFonts w:ascii="Times New Roman" w:hAnsi="Times New Roman"/>
              </w:rPr>
              <w:t xml:space="preserve"> a </w:t>
            </w:r>
            <w:r w:rsidRPr="00FC03EA">
              <w:rPr>
                <w:rFonts w:ascii="Times New Roman" w:hAnsi="Times New Roman"/>
              </w:rPr>
              <w:t>podsúvahové činnosti podliehajúce trhovému riziku sa vyjadrujú ako percentuálny podiel celkových aktív.</w:t>
            </w:r>
          </w:p>
        </w:tc>
      </w:tr>
      <w:tr w:rsidR="00F65FA6" w:rsidRPr="00FC03EA" w14:paraId="74752559" w14:textId="77777777" w:rsidTr="00E02007">
        <w:tc>
          <w:tcPr>
            <w:tcW w:w="1043" w:type="dxa"/>
          </w:tcPr>
          <w:p w14:paraId="72343CA3" w14:textId="77777777" w:rsidR="00F65FA6" w:rsidRPr="00FC03EA" w:rsidRDefault="00F65FA6" w:rsidP="00E02007">
            <w:pPr>
              <w:pStyle w:val="BodyText"/>
              <w:spacing w:after="120"/>
              <w:rPr>
                <w:rFonts w:ascii="Times New Roman" w:hAnsi="Times New Roman" w:cs="Times New Roman"/>
              </w:rPr>
            </w:pPr>
            <w:r w:rsidRPr="00FC03EA">
              <w:rPr>
                <w:rFonts w:ascii="Times New Roman" w:hAnsi="Times New Roman"/>
              </w:rPr>
              <w:t>0080</w:t>
            </w:r>
          </w:p>
        </w:tc>
        <w:tc>
          <w:tcPr>
            <w:tcW w:w="7973" w:type="dxa"/>
          </w:tcPr>
          <w:p w14:paraId="5907245C" w14:textId="77777777" w:rsidR="00F65FA6" w:rsidRPr="00FC03EA" w:rsidRDefault="00F65FA6" w:rsidP="00E02007">
            <w:pPr>
              <w:pStyle w:val="Tabelleninhalt"/>
              <w:spacing w:after="120"/>
              <w:rPr>
                <w:rFonts w:ascii="Times New Roman" w:hAnsi="Times New Roman" w:cs="Times New Roman"/>
                <w:b/>
                <w:u w:val="single"/>
              </w:rPr>
            </w:pPr>
            <w:r w:rsidRPr="00FC03EA">
              <w:rPr>
                <w:rFonts w:ascii="Times New Roman" w:hAnsi="Times New Roman"/>
                <w:b/>
                <w:u w:val="single"/>
              </w:rPr>
              <w:t>Celkové aktíva</w:t>
            </w:r>
          </w:p>
          <w:p w14:paraId="020AD40A" w14:textId="490FDDF5" w:rsidR="00F65FA6" w:rsidRPr="00FC03EA" w:rsidRDefault="00F65FA6" w:rsidP="00E02007">
            <w:pPr>
              <w:pStyle w:val="Tabelleninhalt"/>
              <w:spacing w:after="120"/>
              <w:rPr>
                <w:rFonts w:ascii="Times New Roman" w:hAnsi="Times New Roman" w:cs="Times New Roman"/>
              </w:rPr>
            </w:pPr>
            <w:r w:rsidRPr="00FC03EA">
              <w:rPr>
                <w:rFonts w:ascii="Times New Roman" w:hAnsi="Times New Roman"/>
              </w:rPr>
              <w:t>Článok 94 ods. 1 písm. a)</w:t>
            </w:r>
            <w:r w:rsidR="00FC03EA" w:rsidRPr="00FC03EA">
              <w:rPr>
                <w:rFonts w:ascii="Times New Roman" w:hAnsi="Times New Roman"/>
              </w:rPr>
              <w:t xml:space="preserve"> a </w:t>
            </w:r>
            <w:r w:rsidRPr="00FC03EA">
              <w:rPr>
                <w:rFonts w:ascii="Times New Roman" w:hAnsi="Times New Roman"/>
              </w:rPr>
              <w:t xml:space="preserve">článok 325a ods. 1 písm. a) nariadenia (EÚ) </w:t>
            </w:r>
            <w:r w:rsidR="00FC03EA" w:rsidRPr="00FC03EA">
              <w:rPr>
                <w:rFonts w:ascii="Times New Roman" w:hAnsi="Times New Roman"/>
              </w:rPr>
              <w:t>č. </w:t>
            </w:r>
            <w:r w:rsidRPr="00FC03EA">
              <w:rPr>
                <w:rFonts w:ascii="Times New Roman" w:hAnsi="Times New Roman"/>
              </w:rPr>
              <w:t>575/2013</w:t>
            </w:r>
          </w:p>
        </w:tc>
      </w:tr>
    </w:tbl>
    <w:p w14:paraId="2C563A95" w14:textId="77777777" w:rsidR="00F65FA6" w:rsidRPr="00FC03EA" w:rsidRDefault="00F65FA6" w:rsidP="00F65FA6">
      <w:pPr>
        <w:rPr>
          <w:rFonts w:ascii="Times New Roman" w:hAnsi="Times New Roman"/>
          <w:sz w:val="24"/>
        </w:rPr>
      </w:pPr>
    </w:p>
    <w:p w14:paraId="3D64E99A" w14:textId="182D728C" w:rsidR="00AB3069" w:rsidRPr="00FC03EA" w:rsidRDefault="003E6AEB" w:rsidP="000059B8">
      <w:pPr>
        <w:pStyle w:val="Instructionsberschrift2"/>
        <w:numPr>
          <w:ilvl w:val="0"/>
          <w:numId w:val="0"/>
        </w:numPr>
        <w:ind w:left="357" w:hanging="357"/>
        <w:rPr>
          <w:rFonts w:ascii="Times New Roman" w:hAnsi="Times New Roman"/>
        </w:rPr>
      </w:pPr>
      <w:r w:rsidRPr="00FC03EA">
        <w:rPr>
          <w:rFonts w:ascii="Times New Roman" w:hAnsi="Times New Roman"/>
          <w:sz w:val="24"/>
        </w:rPr>
        <w:t>9.2. Hranica medzi obchodnou knihou</w:t>
      </w:r>
      <w:r w:rsidR="00FC03EA" w:rsidRPr="00FC03EA">
        <w:rPr>
          <w:rFonts w:ascii="Times New Roman" w:hAnsi="Times New Roman"/>
          <w:sz w:val="24"/>
        </w:rPr>
        <w:t xml:space="preserve"> a </w:t>
      </w:r>
      <w:r w:rsidRPr="00FC03EA">
        <w:rPr>
          <w:rFonts w:ascii="Times New Roman" w:hAnsi="Times New Roman"/>
          <w:sz w:val="24"/>
        </w:rPr>
        <w:t>neobchodnou knihou (BOU)</w:t>
      </w:r>
      <w:bookmarkEnd w:id="9"/>
    </w:p>
    <w:p w14:paraId="2D9236ED" w14:textId="27F33E1C" w:rsidR="009B2CA6" w:rsidRPr="00FC03EA"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sidRPr="00FC03EA">
        <w:rPr>
          <w:rFonts w:ascii="Times New Roman" w:hAnsi="Times New Roman"/>
          <w:sz w:val="24"/>
        </w:rPr>
        <w:t>9.2.1.</w:t>
      </w:r>
      <w:r w:rsidRPr="00FC03EA">
        <w:rPr>
          <w:rFonts w:ascii="Times New Roman" w:hAnsi="Times New Roman"/>
        </w:rPr>
        <w:tab/>
      </w:r>
      <w:r w:rsidRPr="00FC03EA">
        <w:rPr>
          <w:rFonts w:ascii="Times New Roman" w:hAnsi="Times New Roman"/>
          <w:sz w:val="24"/>
        </w:rPr>
        <w:t>Všeobecné poznámky</w:t>
      </w:r>
      <w:bookmarkEnd w:id="11"/>
    </w:p>
    <w:p w14:paraId="68865D3F" w14:textId="64AE6DD6" w:rsidR="00FC03EA" w:rsidRPr="00FC03EA" w:rsidRDefault="000B3833" w:rsidP="00660845">
      <w:pPr>
        <w:pStyle w:val="InstructionsText2"/>
        <w:numPr>
          <w:ilvl w:val="0"/>
          <w:numId w:val="0"/>
        </w:numPr>
      </w:pPr>
      <w:r w:rsidRPr="00FC03EA">
        <w:t>209a. Tento vzor sa používa na poskytovanie informácií</w:t>
      </w:r>
      <w:r w:rsidR="00FC03EA" w:rsidRPr="00FC03EA">
        <w:t xml:space="preserve"> o </w:t>
      </w:r>
      <w:r w:rsidRPr="00FC03EA">
        <w:t>zložení obchodnej knihy (BOU1) vzhľadom na predpoklady pre zahrnutie nástrojov do kníh, ako sa stanovuje</w:t>
      </w:r>
      <w:r w:rsidR="00FC03EA" w:rsidRPr="00FC03EA">
        <w:t xml:space="preserve"> v </w:t>
      </w:r>
      <w:r w:rsidRPr="00FC03EA">
        <w:t xml:space="preserve">článku 104 nariadenia (EÚ) </w:t>
      </w:r>
      <w:r w:rsidR="00FC03EA" w:rsidRPr="00FC03EA">
        <w:t>č. </w:t>
      </w:r>
      <w:r w:rsidRPr="00FC03EA">
        <w:t>575/2013</w:t>
      </w:r>
      <w:r w:rsidR="00FC03EA" w:rsidRPr="00FC03EA">
        <w:t>.</w:t>
      </w:r>
    </w:p>
    <w:p w14:paraId="6EE2D450" w14:textId="5AFE4ABF" w:rsidR="00015197" w:rsidRPr="00FC03EA"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sidRPr="00FC03EA">
        <w:rPr>
          <w:rFonts w:ascii="Times New Roman" w:hAnsi="Times New Roman"/>
          <w:sz w:val="24"/>
        </w:rPr>
        <w:t>9.2.2.</w:t>
      </w:r>
      <w:r w:rsidRPr="00FC03EA">
        <w:rPr>
          <w:rFonts w:ascii="Times New Roman" w:hAnsi="Times New Roman"/>
        </w:rPr>
        <w:tab/>
      </w:r>
      <w:r w:rsidRPr="00FC03EA">
        <w:rPr>
          <w:rFonts w:ascii="Times New Roman" w:hAnsi="Times New Roman"/>
          <w:sz w:val="24"/>
        </w:rPr>
        <w:t>C 90.05 – Hranica: obchodná kniha (BOU1)</w:t>
      </w:r>
      <w:bookmarkEnd w:id="12"/>
    </w:p>
    <w:p w14:paraId="642D4D18" w14:textId="1B329C57" w:rsidR="00015197" w:rsidRPr="00FC03EA"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sidRPr="00FC03EA">
        <w:rPr>
          <w:rFonts w:ascii="Times New Roman" w:hAnsi="Times New Roman"/>
          <w:sz w:val="24"/>
        </w:rPr>
        <w:t>9.2.2.1. Všeobecné poznámky</w:t>
      </w:r>
      <w:bookmarkEnd w:id="13"/>
    </w:p>
    <w:p w14:paraId="4E94C71F" w14:textId="51849546" w:rsidR="00D87969" w:rsidRPr="00FC03EA" w:rsidRDefault="000B3833" w:rsidP="00D53CED">
      <w:pPr>
        <w:pStyle w:val="InstructionsText2"/>
        <w:numPr>
          <w:ilvl w:val="0"/>
          <w:numId w:val="0"/>
        </w:numPr>
      </w:pPr>
      <w:r w:rsidRPr="00FC03EA">
        <w:t>209b. Inštitúcie vykazujú všetky pozície zaradené do obchodnej knihy, ako sa uvádza</w:t>
      </w:r>
      <w:r w:rsidR="00FC03EA" w:rsidRPr="00FC03EA">
        <w:t xml:space="preserve"> v </w:t>
      </w:r>
      <w:r w:rsidRPr="00FC03EA">
        <w:t xml:space="preserve">článku 4 ods. 1 bode 85 nariadenia (EÚ) </w:t>
      </w:r>
      <w:r w:rsidR="00FC03EA" w:rsidRPr="00FC03EA">
        <w:t>č. </w:t>
      </w:r>
      <w:r w:rsidRPr="00FC03EA">
        <w:t>575/2013,</w:t>
      </w:r>
      <w:r w:rsidR="00FC03EA" w:rsidRPr="00FC03EA">
        <w:t xml:space="preserve"> v </w:t>
      </w:r>
      <w:r w:rsidRPr="00FC03EA">
        <w:t>tomto vzore</w:t>
      </w:r>
      <w:r w:rsidR="00FC03EA" w:rsidRPr="00FC03EA">
        <w:t xml:space="preserve"> s </w:t>
      </w:r>
      <w:r w:rsidRPr="00FC03EA">
        <w:t>výnimkou nástrojov</w:t>
      </w:r>
      <w:r w:rsidR="00FC03EA" w:rsidRPr="00FC03EA">
        <w:t xml:space="preserve"> a </w:t>
      </w:r>
      <w:r w:rsidRPr="00FC03EA">
        <w:t>pozícií vyňatých</w:t>
      </w:r>
      <w:r w:rsidR="00FC03EA" w:rsidRPr="00FC03EA">
        <w:t xml:space="preserve"> z </w:t>
      </w:r>
      <w:r w:rsidRPr="00FC03EA">
        <w:t>výpočtu prahovej hodnoty uvedenej</w:t>
      </w:r>
      <w:r w:rsidR="00FC03EA" w:rsidRPr="00FC03EA">
        <w:t xml:space="preserve"> v </w:t>
      </w:r>
      <w:r w:rsidRPr="00FC03EA">
        <w:t xml:space="preserve">článku 325a ods. 1 písm. a) nariadenia (EÚ) </w:t>
      </w:r>
      <w:r w:rsidR="00FC03EA" w:rsidRPr="00FC03EA">
        <w:t>č. </w:t>
      </w:r>
      <w:r w:rsidRPr="00FC03EA">
        <w:t>575/2013. 209c. Odchylne od článku 21 ods. 1 písm. a) nariadenia (EÚ) 2021/451 inštitúcie vykazujú hodnotu, ktorá sa rovná nula,</w:t>
      </w:r>
      <w:r w:rsidR="00FC03EA" w:rsidRPr="00FC03EA">
        <w:t xml:space="preserve"> v </w:t>
      </w:r>
      <w:r w:rsidRPr="00FC03EA">
        <w:t>príslušných riadkoch 0010</w:t>
      </w:r>
      <w:r w:rsidR="00FC03EA" w:rsidRPr="00FC03EA">
        <w:t xml:space="preserve"> a </w:t>
      </w:r>
      <w:r w:rsidRPr="00FC03EA">
        <w:t>0020, ako aj stĺpcoch 0020 („Povinne oceňované</w:t>
      </w:r>
      <w:r w:rsidR="00FC03EA" w:rsidRPr="00FC03EA">
        <w:t xml:space="preserve"> v </w:t>
      </w:r>
      <w:r w:rsidRPr="00FC03EA">
        <w:t>obchodnej knihe“), 0130 („Nástroje zahrnuté</w:t>
      </w:r>
      <w:r w:rsidR="00FC03EA" w:rsidRPr="00FC03EA">
        <w:t xml:space="preserve"> v </w:t>
      </w:r>
      <w:r w:rsidRPr="00FC03EA">
        <w:t>obchodnej knihe so súhlasom príslušného orgánu: nástroje</w:t>
      </w:r>
      <w:r w:rsidR="00FC03EA" w:rsidRPr="00FC03EA">
        <w:t xml:space="preserve"> v </w:t>
      </w:r>
      <w:r w:rsidRPr="00FC03EA">
        <w:t>hedžových fondoch“)</w:t>
      </w:r>
      <w:r w:rsidR="00FC03EA" w:rsidRPr="00FC03EA">
        <w:t xml:space="preserve"> a </w:t>
      </w:r>
      <w:r w:rsidRPr="00FC03EA">
        <w:t>0140 („Ostatné nástroje“), ak ich obchodná kniha nezahŕňa žiadny nástroj zodpovedajúci opisu príslušnej bunky.</w:t>
      </w:r>
    </w:p>
    <w:p w14:paraId="032CBDD2" w14:textId="553C54FC" w:rsidR="00056154" w:rsidRPr="00FC03EA" w:rsidRDefault="00056154" w:rsidP="00FC03EA">
      <w:pPr>
        <w:pStyle w:val="InstructionsText2"/>
        <w:numPr>
          <w:ilvl w:val="0"/>
          <w:numId w:val="0"/>
        </w:numPr>
        <w:spacing w:after="0"/>
      </w:pPr>
    </w:p>
    <w:p w14:paraId="2C4982B9" w14:textId="526F501C" w:rsidR="009B2CA6" w:rsidRPr="00FC03EA"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sidRPr="00FC03EA">
        <w:rPr>
          <w:rFonts w:ascii="Times New Roman" w:hAnsi="Times New Roman"/>
          <w:sz w:val="24"/>
        </w:rPr>
        <w:t>9.2.2.2. Pokyny týkajúce sa konkrétnych pozícií</w:t>
      </w:r>
      <w:bookmarkEnd w:id="14"/>
    </w:p>
    <w:tbl>
      <w:tblPr>
        <w:tblStyle w:val="TableGrid"/>
        <w:tblW w:w="0" w:type="auto"/>
        <w:tblLook w:val="04A0" w:firstRow="1" w:lastRow="0" w:firstColumn="1" w:lastColumn="0" w:noHBand="0" w:noVBand="1"/>
      </w:tblPr>
      <w:tblGrid>
        <w:gridCol w:w="1203"/>
        <w:gridCol w:w="7813"/>
      </w:tblGrid>
      <w:tr w:rsidR="009B2CA6" w:rsidRPr="00FC03EA" w14:paraId="15D9E2A5" w14:textId="77777777">
        <w:tc>
          <w:tcPr>
            <w:tcW w:w="1203" w:type="dxa"/>
            <w:shd w:val="clear" w:color="auto" w:fill="BFBFBF" w:themeFill="background1" w:themeFillShade="BF"/>
          </w:tcPr>
          <w:p w14:paraId="1B28CD80" w14:textId="77777777" w:rsidR="009B2CA6" w:rsidRPr="00FC03EA" w:rsidRDefault="009B2CA6">
            <w:pPr>
              <w:pStyle w:val="BodyText"/>
              <w:spacing w:before="120" w:after="120"/>
              <w:rPr>
                <w:rFonts w:ascii="Times New Roman" w:hAnsi="Times New Roman" w:cs="Times New Roman"/>
                <w:b/>
              </w:rPr>
            </w:pPr>
            <w:r w:rsidRPr="00FC03EA">
              <w:rPr>
                <w:rFonts w:ascii="Times New Roman" w:hAnsi="Times New Roman"/>
                <w:b/>
              </w:rPr>
              <w:t>Stĺpec</w:t>
            </w:r>
          </w:p>
        </w:tc>
        <w:tc>
          <w:tcPr>
            <w:tcW w:w="7813" w:type="dxa"/>
            <w:shd w:val="clear" w:color="auto" w:fill="BFBFBF" w:themeFill="background1" w:themeFillShade="BF"/>
          </w:tcPr>
          <w:p w14:paraId="07605642" w14:textId="72B8BA51" w:rsidR="009B2CA6" w:rsidRPr="00FC03EA" w:rsidRDefault="009B2CA6">
            <w:pPr>
              <w:pStyle w:val="BodyText"/>
              <w:spacing w:before="120" w:after="120"/>
              <w:rPr>
                <w:rFonts w:ascii="Times New Roman" w:hAnsi="Times New Roman" w:cs="Times New Roman"/>
                <w:b/>
              </w:rPr>
            </w:pPr>
            <w:r w:rsidRPr="00FC03EA">
              <w:rPr>
                <w:rFonts w:ascii="Times New Roman" w:hAnsi="Times New Roman"/>
                <w:b/>
              </w:rPr>
              <w:t>Odkazy na právne predpisy</w:t>
            </w:r>
            <w:r w:rsidR="00FC03EA" w:rsidRPr="00FC03EA">
              <w:rPr>
                <w:rFonts w:ascii="Times New Roman" w:hAnsi="Times New Roman"/>
                <w:b/>
              </w:rPr>
              <w:t xml:space="preserve"> a </w:t>
            </w:r>
            <w:r w:rsidRPr="00FC03EA">
              <w:rPr>
                <w:rFonts w:ascii="Times New Roman" w:hAnsi="Times New Roman"/>
                <w:b/>
              </w:rPr>
              <w:t>pokyny</w:t>
            </w:r>
          </w:p>
        </w:tc>
      </w:tr>
      <w:tr w:rsidR="009B2CA6" w:rsidRPr="00FC03EA" w14:paraId="55E2B293" w14:textId="77777777">
        <w:trPr>
          <w:trHeight w:val="70"/>
        </w:trPr>
        <w:tc>
          <w:tcPr>
            <w:tcW w:w="1203" w:type="dxa"/>
          </w:tcPr>
          <w:p w14:paraId="62D87E0D" w14:textId="7B0469E1"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0010 – 0150</w:t>
            </w:r>
          </w:p>
        </w:tc>
        <w:tc>
          <w:tcPr>
            <w:tcW w:w="7813" w:type="dxa"/>
            <w:vAlign w:val="bottom"/>
          </w:tcPr>
          <w:p w14:paraId="266895B6" w14:textId="7A8C9E98"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 xml:space="preserve">Obchodná kniha: súhrnné pozície: hodnota na účely článku 325a nariadenia (EÚ) </w:t>
            </w:r>
            <w:r w:rsidR="00FC03EA" w:rsidRPr="00FC03EA">
              <w:rPr>
                <w:rFonts w:ascii="Times New Roman" w:hAnsi="Times New Roman"/>
                <w:b/>
                <w:u w:val="single"/>
              </w:rPr>
              <w:t>č. </w:t>
            </w:r>
            <w:r w:rsidRPr="00FC03EA">
              <w:rPr>
                <w:rFonts w:ascii="Times New Roman" w:hAnsi="Times New Roman"/>
                <w:b/>
                <w:u w:val="single"/>
              </w:rPr>
              <w:t>575/2013 [čistá (+) kladná/(−) záporná trhová hodnota]</w:t>
            </w:r>
          </w:p>
          <w:p w14:paraId="00ABD96B" w14:textId="2F92328E" w:rsidR="009B2CA6" w:rsidRPr="00FC03EA" w:rsidRDefault="009B2CA6" w:rsidP="00056154">
            <w:pPr>
              <w:pStyle w:val="BodyText"/>
              <w:spacing w:before="120" w:after="120"/>
              <w:rPr>
                <w:rFonts w:ascii="Times New Roman" w:hAnsi="Times New Roman" w:cs="Times New Roman"/>
              </w:rPr>
            </w:pPr>
            <w:r w:rsidRPr="00FC03EA">
              <w:rPr>
                <w:rFonts w:ascii="Times New Roman" w:hAnsi="Times New Roman"/>
              </w:rPr>
              <w:t xml:space="preserve">Článok 4 ods. 1 bod 86, článok 104, článok 325a ods. 2 písm. a) nariadenia (EÚ) </w:t>
            </w:r>
            <w:r w:rsidR="00FC03EA" w:rsidRPr="00FC03EA">
              <w:rPr>
                <w:rFonts w:ascii="Times New Roman" w:hAnsi="Times New Roman"/>
              </w:rPr>
              <w:t>č. </w:t>
            </w:r>
            <w:r w:rsidRPr="00FC03EA">
              <w:rPr>
                <w:rFonts w:ascii="Times New Roman" w:hAnsi="Times New Roman"/>
              </w:rPr>
              <w:t>575/2013</w:t>
            </w:r>
          </w:p>
          <w:p w14:paraId="467A1E21" w14:textId="1BB541F3" w:rsidR="0061609C" w:rsidRPr="00FC03EA" w:rsidRDefault="0061609C" w:rsidP="00056154">
            <w:pPr>
              <w:pStyle w:val="BodyText"/>
              <w:spacing w:before="120" w:after="120"/>
              <w:rPr>
                <w:rFonts w:ascii="Times New Roman" w:hAnsi="Times New Roman" w:cs="Times New Roman"/>
              </w:rPr>
            </w:pPr>
            <w:r w:rsidRPr="00FC03EA">
              <w:rPr>
                <w:rFonts w:ascii="Times New Roman" w:hAnsi="Times New Roman"/>
              </w:rPr>
              <w:t>Inštitúcie vykazujú oddelene informácie</w:t>
            </w:r>
            <w:r w:rsidR="00FC03EA" w:rsidRPr="00FC03EA">
              <w:rPr>
                <w:rFonts w:ascii="Times New Roman" w:hAnsi="Times New Roman"/>
              </w:rPr>
              <w:t xml:space="preserve"> o </w:t>
            </w:r>
            <w:r w:rsidRPr="00FC03EA">
              <w:rPr>
                <w:rFonts w:ascii="Times New Roman" w:hAnsi="Times New Roman"/>
              </w:rPr>
              <w:t>agregovaných dlhých pozíciách</w:t>
            </w:r>
            <w:r w:rsidR="00FC03EA" w:rsidRPr="00FC03EA">
              <w:rPr>
                <w:rFonts w:ascii="Times New Roman" w:hAnsi="Times New Roman"/>
              </w:rPr>
              <w:t xml:space="preserve"> a </w:t>
            </w:r>
            <w:r w:rsidRPr="00FC03EA">
              <w:rPr>
                <w:rFonts w:ascii="Times New Roman" w:hAnsi="Times New Roman"/>
              </w:rPr>
              <w:t>agregovaných krátkych pozíciách. Určujú hodnotu agregovanej dlhej (krátkej) pozície</w:t>
            </w:r>
            <w:r w:rsidR="00FC03EA" w:rsidRPr="00FC03EA">
              <w:rPr>
                <w:rFonts w:ascii="Times New Roman" w:hAnsi="Times New Roman"/>
              </w:rPr>
              <w:t xml:space="preserve"> v </w:t>
            </w:r>
            <w:r w:rsidRPr="00FC03EA">
              <w:rPr>
                <w:rFonts w:ascii="Times New Roman" w:hAnsi="Times New Roman"/>
              </w:rPr>
              <w:t>súlade</w:t>
            </w:r>
            <w:r w:rsidR="00FC03EA" w:rsidRPr="00FC03EA">
              <w:rPr>
                <w:rFonts w:ascii="Times New Roman" w:hAnsi="Times New Roman"/>
              </w:rPr>
              <w:t xml:space="preserve"> s </w:t>
            </w:r>
            <w:r w:rsidRPr="00FC03EA">
              <w:rPr>
                <w:rFonts w:ascii="Times New Roman" w:hAnsi="Times New Roman"/>
              </w:rPr>
              <w:t xml:space="preserve">článkom 325a ods. 2 nariadenia (EÚ) </w:t>
            </w:r>
            <w:r w:rsidR="00FC03EA" w:rsidRPr="00FC03EA">
              <w:rPr>
                <w:rFonts w:ascii="Times New Roman" w:hAnsi="Times New Roman"/>
              </w:rPr>
              <w:t>č. </w:t>
            </w:r>
            <w:r w:rsidRPr="00FC03EA">
              <w:rPr>
                <w:rFonts w:ascii="Times New Roman" w:hAnsi="Times New Roman"/>
              </w:rPr>
              <w:t>575/2013,</w:t>
            </w:r>
            <w:r w:rsidR="00FC03EA" w:rsidRPr="00FC03EA">
              <w:rPr>
                <w:rFonts w:ascii="Times New Roman" w:hAnsi="Times New Roman"/>
              </w:rPr>
              <w:t xml:space="preserve"> s </w:t>
            </w:r>
            <w:r w:rsidRPr="00FC03EA">
              <w:rPr>
                <w:rFonts w:ascii="Times New Roman" w:hAnsi="Times New Roman"/>
              </w:rPr>
              <w:t xml:space="preserve">touto </w:t>
            </w:r>
            <w:r w:rsidRPr="00FC03EA">
              <w:rPr>
                <w:rFonts w:ascii="Times New Roman" w:hAnsi="Times New Roman"/>
              </w:rPr>
              <w:lastRenderedPageBreak/>
              <w:t>výnimkou: Ak hodnota agregovanej dlhej (krátkej) pozície zodpovedá čistej kladnej trhovej hodnote,</w:t>
            </w:r>
            <w:r w:rsidR="00FC03EA" w:rsidRPr="00FC03EA">
              <w:rPr>
                <w:rFonts w:ascii="Times New Roman" w:hAnsi="Times New Roman"/>
              </w:rPr>
              <w:t xml:space="preserve"> v </w:t>
            </w:r>
            <w:r w:rsidRPr="00FC03EA">
              <w:rPr>
                <w:rFonts w:ascii="Times New Roman" w:hAnsi="Times New Roman"/>
              </w:rPr>
              <w:t>tomto vzore sa vykazuje kladná hodnota; ak hodnota agregovanej dlhej (krátkej) pozície zodpovedá čistej zápornej trhovej hodnote, vykazuje sa záporná hodnota.</w:t>
            </w:r>
          </w:p>
        </w:tc>
      </w:tr>
      <w:tr w:rsidR="009B2CA6" w:rsidRPr="00FC03EA" w14:paraId="508C4AB7" w14:textId="77777777">
        <w:tc>
          <w:tcPr>
            <w:tcW w:w="1203" w:type="dxa"/>
          </w:tcPr>
          <w:p w14:paraId="502BC619" w14:textId="735ED871"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lastRenderedPageBreak/>
              <w:t>0010</w:t>
            </w:r>
          </w:p>
        </w:tc>
        <w:tc>
          <w:tcPr>
            <w:tcW w:w="7813" w:type="dxa"/>
            <w:vAlign w:val="bottom"/>
          </w:tcPr>
          <w:p w14:paraId="3A5B9DDA" w14:textId="532B8EC6" w:rsidR="009B2CA6" w:rsidRPr="00FC03EA" w:rsidRDefault="0061609C">
            <w:pPr>
              <w:pStyle w:val="BodyText"/>
              <w:spacing w:before="120" w:after="120"/>
              <w:rPr>
                <w:rFonts w:ascii="Times New Roman" w:hAnsi="Times New Roman" w:cs="Times New Roman"/>
                <w:b/>
                <w:u w:val="single"/>
              </w:rPr>
            </w:pPr>
            <w:r w:rsidRPr="00FC03EA">
              <w:rPr>
                <w:rFonts w:ascii="Times New Roman" w:hAnsi="Times New Roman"/>
                <w:b/>
                <w:u w:val="single"/>
              </w:rPr>
              <w:t>Agregované pozície –</w:t>
            </w:r>
            <w:r w:rsidR="00FC03EA" w:rsidRPr="00FC03EA">
              <w:rPr>
                <w:rFonts w:ascii="Times New Roman" w:hAnsi="Times New Roman"/>
                <w:b/>
                <w:u w:val="single"/>
              </w:rPr>
              <w:t xml:space="preserve"> z </w:t>
            </w:r>
            <w:r w:rsidRPr="00FC03EA">
              <w:rPr>
                <w:rFonts w:ascii="Times New Roman" w:hAnsi="Times New Roman"/>
                <w:b/>
                <w:u w:val="single"/>
              </w:rPr>
              <w:t>čoho:</w:t>
            </w:r>
            <w:r w:rsidR="00FC03EA" w:rsidRPr="00FC03EA">
              <w:rPr>
                <w:rFonts w:ascii="Times New Roman" w:hAnsi="Times New Roman"/>
                <w:b/>
                <w:u w:val="single"/>
              </w:rPr>
              <w:t xml:space="preserve"> v </w:t>
            </w:r>
            <w:r w:rsidRPr="00FC03EA">
              <w:rPr>
                <w:rFonts w:ascii="Times New Roman" w:hAnsi="Times New Roman"/>
                <w:b/>
                <w:u w:val="single"/>
              </w:rPr>
              <w:t>cudzej mene</w:t>
            </w:r>
          </w:p>
          <w:p w14:paraId="67C375D5" w14:textId="08F98EC8"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Nástroje sa vykazujú</w:t>
            </w:r>
            <w:r w:rsidR="00FC03EA" w:rsidRPr="00FC03EA">
              <w:rPr>
                <w:rFonts w:ascii="Times New Roman" w:hAnsi="Times New Roman"/>
              </w:rPr>
              <w:t xml:space="preserve"> v </w:t>
            </w:r>
            <w:r w:rsidRPr="00FC03EA">
              <w:rPr>
                <w:rFonts w:ascii="Times New Roman" w:hAnsi="Times New Roman"/>
              </w:rPr>
              <w:t>tomto stĺpci, ak sú denominované</w:t>
            </w:r>
            <w:r w:rsidR="00FC03EA" w:rsidRPr="00FC03EA">
              <w:rPr>
                <w:rFonts w:ascii="Times New Roman" w:hAnsi="Times New Roman"/>
              </w:rPr>
              <w:t xml:space="preserve"> v </w:t>
            </w:r>
            <w:r w:rsidRPr="00FC03EA">
              <w:rPr>
                <w:rFonts w:ascii="Times New Roman" w:hAnsi="Times New Roman"/>
              </w:rPr>
              <w:t>inej mene, než je mena vykazovania, ak majú podkladový nástroj denominovaný</w:t>
            </w:r>
            <w:r w:rsidR="00FC03EA" w:rsidRPr="00FC03EA">
              <w:rPr>
                <w:rFonts w:ascii="Times New Roman" w:hAnsi="Times New Roman"/>
              </w:rPr>
              <w:t xml:space="preserve"> v </w:t>
            </w:r>
            <w:r w:rsidRPr="00FC03EA">
              <w:rPr>
                <w:rFonts w:ascii="Times New Roman" w:hAnsi="Times New Roman"/>
              </w:rPr>
              <w:t>takejto mene alebo majú devízovú pozíciu ako podkladový nástroj.</w:t>
            </w:r>
          </w:p>
        </w:tc>
      </w:tr>
      <w:tr w:rsidR="009B2CA6" w:rsidRPr="00FC03EA" w14:paraId="03CCA48F" w14:textId="77777777">
        <w:tc>
          <w:tcPr>
            <w:tcW w:w="1203" w:type="dxa"/>
          </w:tcPr>
          <w:p w14:paraId="311B1C42" w14:textId="2702B590"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0020 – 0120</w:t>
            </w:r>
          </w:p>
        </w:tc>
        <w:tc>
          <w:tcPr>
            <w:tcW w:w="7813" w:type="dxa"/>
            <w:vAlign w:val="bottom"/>
          </w:tcPr>
          <w:p w14:paraId="7817D847" w14:textId="0D1A0A6C" w:rsidR="009B2CA6" w:rsidRPr="00FC03EA" w:rsidRDefault="0061609C">
            <w:pPr>
              <w:pStyle w:val="BodyText"/>
              <w:spacing w:before="120" w:after="120"/>
              <w:rPr>
                <w:rFonts w:ascii="Times New Roman" w:hAnsi="Times New Roman" w:cs="Times New Roman"/>
                <w:b/>
                <w:u w:val="single"/>
              </w:rPr>
            </w:pPr>
            <w:r w:rsidRPr="00FC03EA">
              <w:rPr>
                <w:rFonts w:ascii="Times New Roman" w:hAnsi="Times New Roman"/>
                <w:b/>
                <w:u w:val="single"/>
              </w:rPr>
              <w:t>Agregované pozície – povinne oceňované</w:t>
            </w:r>
            <w:r w:rsidR="00FC03EA" w:rsidRPr="00FC03EA">
              <w:rPr>
                <w:rFonts w:ascii="Times New Roman" w:hAnsi="Times New Roman"/>
                <w:b/>
                <w:u w:val="single"/>
              </w:rPr>
              <w:t xml:space="preserve"> v </w:t>
            </w:r>
            <w:r w:rsidRPr="00FC03EA">
              <w:rPr>
                <w:rFonts w:ascii="Times New Roman" w:hAnsi="Times New Roman"/>
                <w:b/>
                <w:u w:val="single"/>
              </w:rPr>
              <w:t>obchodnej knihe</w:t>
            </w:r>
          </w:p>
          <w:p w14:paraId="45D126DC" w14:textId="6438E5F4"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Ak nástroj spĺňa viac ako jednu podmienku pre to, aby bol zahrnutý do obchodnej knihy, inštitúcie ho vykazujú</w:t>
            </w:r>
            <w:r w:rsidR="00FC03EA" w:rsidRPr="00FC03EA">
              <w:rPr>
                <w:rFonts w:ascii="Times New Roman" w:hAnsi="Times New Roman"/>
              </w:rPr>
              <w:t xml:space="preserve"> v </w:t>
            </w:r>
            <w:r w:rsidRPr="00FC03EA">
              <w:rPr>
                <w:rFonts w:ascii="Times New Roman" w:hAnsi="Times New Roman"/>
              </w:rPr>
              <w:t>stĺpci, ktorý považujú za najprimeranejší spomedzi stĺpcov 0030 až 0120. Nástroje klasifikované ako nástroje</w:t>
            </w:r>
            <w:r w:rsidR="00FC03EA" w:rsidRPr="00FC03EA">
              <w:rPr>
                <w:rFonts w:ascii="Times New Roman" w:hAnsi="Times New Roman"/>
              </w:rPr>
              <w:t xml:space="preserve"> s </w:t>
            </w:r>
            <w:r w:rsidRPr="00FC03EA">
              <w:rPr>
                <w:rFonts w:ascii="Times New Roman" w:hAnsi="Times New Roman"/>
              </w:rPr>
              <w:t>obchodným účelom podľa účtovného rámca sa vykazujú len</w:t>
            </w:r>
            <w:r w:rsidR="00FC03EA" w:rsidRPr="00FC03EA">
              <w:rPr>
                <w:rFonts w:ascii="Times New Roman" w:hAnsi="Times New Roman"/>
              </w:rPr>
              <w:t xml:space="preserve"> v </w:t>
            </w:r>
            <w:r w:rsidRPr="00FC03EA">
              <w:rPr>
                <w:rFonts w:ascii="Times New Roman" w:hAnsi="Times New Roman"/>
              </w:rPr>
              <w:t>stĺpci 0120, ak nemôžu byť zaradené do žiadneho zo stĺpcov 0030 až 0110.</w:t>
            </w:r>
          </w:p>
        </w:tc>
      </w:tr>
      <w:tr w:rsidR="009B2CA6" w:rsidRPr="00FC03EA" w14:paraId="6AC9BF62" w14:textId="77777777">
        <w:tc>
          <w:tcPr>
            <w:tcW w:w="1203" w:type="dxa"/>
          </w:tcPr>
          <w:p w14:paraId="5CD1C53C" w14:textId="3AE6C82A"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0020</w:t>
            </w:r>
          </w:p>
        </w:tc>
        <w:tc>
          <w:tcPr>
            <w:tcW w:w="7813" w:type="dxa"/>
            <w:vAlign w:val="bottom"/>
          </w:tcPr>
          <w:p w14:paraId="76886CFB" w14:textId="6370D6F8"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Povinne oceňované</w:t>
            </w:r>
            <w:r w:rsidR="00FC03EA" w:rsidRPr="00FC03EA">
              <w:rPr>
                <w:rFonts w:ascii="Times New Roman" w:hAnsi="Times New Roman"/>
                <w:b/>
                <w:u w:val="single"/>
              </w:rPr>
              <w:t xml:space="preserve"> v </w:t>
            </w:r>
            <w:r w:rsidRPr="00FC03EA">
              <w:rPr>
                <w:rFonts w:ascii="Times New Roman" w:hAnsi="Times New Roman"/>
                <w:b/>
                <w:u w:val="single"/>
              </w:rPr>
              <w:t>obchodnej knihe</w:t>
            </w:r>
          </w:p>
        </w:tc>
      </w:tr>
      <w:tr w:rsidR="009B2CA6" w:rsidRPr="00FC03EA" w14:paraId="1DB81A60" w14:textId="77777777">
        <w:tc>
          <w:tcPr>
            <w:tcW w:w="1203" w:type="dxa"/>
          </w:tcPr>
          <w:p w14:paraId="58C00983" w14:textId="4299CC1F"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0030</w:t>
            </w:r>
          </w:p>
        </w:tc>
        <w:tc>
          <w:tcPr>
            <w:tcW w:w="7813" w:type="dxa"/>
          </w:tcPr>
          <w:p w14:paraId="5A39CA9E" w14:textId="7549B526"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Nástroje</w:t>
            </w:r>
            <w:r w:rsidR="00FC03EA" w:rsidRPr="00FC03EA">
              <w:rPr>
                <w:rFonts w:ascii="Times New Roman" w:hAnsi="Times New Roman"/>
                <w:b/>
                <w:u w:val="single"/>
              </w:rPr>
              <w:t xml:space="preserve"> v </w:t>
            </w:r>
            <w:r w:rsidRPr="00FC03EA">
              <w:rPr>
                <w:rFonts w:ascii="Times New Roman" w:hAnsi="Times New Roman"/>
                <w:b/>
                <w:u w:val="single"/>
              </w:rPr>
              <w:t>ACTP</w:t>
            </w:r>
          </w:p>
          <w:p w14:paraId="761EFC0B" w14:textId="5779D156"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 xml:space="preserve">Článok 104 ods. 2 prvý pododsek písm. a)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6F489832" w14:textId="77777777">
        <w:tc>
          <w:tcPr>
            <w:tcW w:w="1203" w:type="dxa"/>
          </w:tcPr>
          <w:p w14:paraId="3AD88966" w14:textId="2138AB70"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0040</w:t>
            </w:r>
          </w:p>
        </w:tc>
        <w:tc>
          <w:tcPr>
            <w:tcW w:w="7813" w:type="dxa"/>
          </w:tcPr>
          <w:p w14:paraId="201BF48F" w14:textId="404E8D4E"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Nástroje, ktoré by viedli</w:t>
            </w:r>
            <w:r w:rsidR="00FC03EA" w:rsidRPr="00FC03EA">
              <w:rPr>
                <w:rFonts w:ascii="Times New Roman" w:hAnsi="Times New Roman"/>
                <w:b/>
                <w:u w:val="single"/>
              </w:rPr>
              <w:t xml:space="preserve"> k </w:t>
            </w:r>
            <w:r w:rsidRPr="00FC03EA">
              <w:rPr>
                <w:rFonts w:ascii="Times New Roman" w:hAnsi="Times New Roman"/>
                <w:b/>
                <w:u w:val="single"/>
              </w:rPr>
              <w:t>čistej krátkej kreditnej alebo akciovej pozícii</w:t>
            </w:r>
            <w:r w:rsidR="00FC03EA" w:rsidRPr="00FC03EA">
              <w:rPr>
                <w:rFonts w:ascii="Times New Roman" w:hAnsi="Times New Roman"/>
                <w:b/>
                <w:u w:val="single"/>
              </w:rPr>
              <w:t xml:space="preserve"> v </w:t>
            </w:r>
            <w:r w:rsidRPr="00FC03EA">
              <w:rPr>
                <w:rFonts w:ascii="Times New Roman" w:hAnsi="Times New Roman"/>
                <w:b/>
                <w:u w:val="single"/>
              </w:rPr>
              <w:t>bankovej knihe</w:t>
            </w:r>
          </w:p>
          <w:p w14:paraId="6B81D801" w14:textId="5401E6F0"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 xml:space="preserve">Článok 104 ods. 2 prvý pododsek písm. b)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2681A203" w14:textId="77777777">
        <w:tc>
          <w:tcPr>
            <w:tcW w:w="1203" w:type="dxa"/>
          </w:tcPr>
          <w:p w14:paraId="4F039D7D" w14:textId="1615A9ED"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0050</w:t>
            </w:r>
          </w:p>
        </w:tc>
        <w:tc>
          <w:tcPr>
            <w:tcW w:w="7813" w:type="dxa"/>
          </w:tcPr>
          <w:p w14:paraId="58BDB0D5" w14:textId="2FB98DDF"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Nástroje, ktoré vyplývajú</w:t>
            </w:r>
            <w:r w:rsidR="00FC03EA" w:rsidRPr="00FC03EA">
              <w:rPr>
                <w:rFonts w:ascii="Times New Roman" w:hAnsi="Times New Roman"/>
                <w:b/>
                <w:u w:val="single"/>
              </w:rPr>
              <w:t xml:space="preserve"> z </w:t>
            </w:r>
            <w:r w:rsidRPr="00FC03EA">
              <w:rPr>
                <w:rFonts w:ascii="Times New Roman" w:hAnsi="Times New Roman"/>
                <w:b/>
                <w:u w:val="single"/>
              </w:rPr>
              <w:t>prísľubov na upisovanie cenných papierov</w:t>
            </w:r>
          </w:p>
          <w:p w14:paraId="0035AEDA" w14:textId="2F9472CE"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 xml:space="preserve">Článok 104 ods. 2 prvý pododsek písm. c)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0F150DD0" w14:textId="77777777">
        <w:tc>
          <w:tcPr>
            <w:tcW w:w="1203" w:type="dxa"/>
          </w:tcPr>
          <w:p w14:paraId="56310523" w14:textId="5824B274"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0060</w:t>
            </w:r>
          </w:p>
        </w:tc>
        <w:tc>
          <w:tcPr>
            <w:tcW w:w="7813" w:type="dxa"/>
          </w:tcPr>
          <w:p w14:paraId="319EF2D9" w14:textId="7DFD327B"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Nástrojoch, ktoré vyplývajú</w:t>
            </w:r>
            <w:r w:rsidR="00FC03EA" w:rsidRPr="00FC03EA">
              <w:rPr>
                <w:rFonts w:ascii="Times New Roman" w:hAnsi="Times New Roman"/>
                <w:b/>
                <w:u w:val="single"/>
              </w:rPr>
              <w:t xml:space="preserve"> z </w:t>
            </w:r>
            <w:r w:rsidRPr="00FC03EA">
              <w:rPr>
                <w:rFonts w:ascii="Times New Roman" w:hAnsi="Times New Roman"/>
                <w:b/>
                <w:u w:val="single"/>
              </w:rPr>
              <w:t>činnosti tvorby trhu</w:t>
            </w:r>
          </w:p>
          <w:p w14:paraId="39D72E39" w14:textId="76BFF328"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 xml:space="preserve">Článok 104 ods. 2 prvý pododsek písm. e)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3EEE4A44" w14:textId="77777777">
        <w:tc>
          <w:tcPr>
            <w:tcW w:w="1203" w:type="dxa"/>
          </w:tcPr>
          <w:p w14:paraId="35BF9484" w14:textId="12DEDF50"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0070</w:t>
            </w:r>
          </w:p>
        </w:tc>
        <w:tc>
          <w:tcPr>
            <w:tcW w:w="7813" w:type="dxa"/>
          </w:tcPr>
          <w:p w14:paraId="11B16F63" w14:textId="77777777"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PKI</w:t>
            </w:r>
          </w:p>
          <w:p w14:paraId="5F0ADDDD" w14:textId="038C874A"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 xml:space="preserve">Článok 104 ods. 2 prvý pododsek písm. f)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39B1FCD7" w14:textId="77777777">
        <w:tc>
          <w:tcPr>
            <w:tcW w:w="1203" w:type="dxa"/>
          </w:tcPr>
          <w:p w14:paraId="56A3EA85" w14:textId="5D6B9DAD"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0080</w:t>
            </w:r>
          </w:p>
        </w:tc>
        <w:tc>
          <w:tcPr>
            <w:tcW w:w="7813" w:type="dxa"/>
          </w:tcPr>
          <w:p w14:paraId="6968C5A8" w14:textId="77777777"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Kótované akcie</w:t>
            </w:r>
          </w:p>
          <w:p w14:paraId="7373B9F6" w14:textId="3B26AE54"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 xml:space="preserve">Článok 104 ods. 2 prvý pododsek písm. g)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2C868D17" w14:textId="77777777">
        <w:tc>
          <w:tcPr>
            <w:tcW w:w="1203" w:type="dxa"/>
          </w:tcPr>
          <w:p w14:paraId="7C3DA249" w14:textId="2DCB2DC7"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0090</w:t>
            </w:r>
          </w:p>
        </w:tc>
        <w:tc>
          <w:tcPr>
            <w:tcW w:w="7813" w:type="dxa"/>
          </w:tcPr>
          <w:p w14:paraId="6387D715" w14:textId="54A33C92"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Transakcie financovania prostredníctvom cenných papierov súvisiace</w:t>
            </w:r>
            <w:r w:rsidR="00FC03EA" w:rsidRPr="00FC03EA">
              <w:rPr>
                <w:rFonts w:ascii="Times New Roman" w:hAnsi="Times New Roman"/>
                <w:b/>
                <w:u w:val="single"/>
              </w:rPr>
              <w:t xml:space="preserve"> s </w:t>
            </w:r>
            <w:r w:rsidRPr="00FC03EA">
              <w:rPr>
                <w:rFonts w:ascii="Times New Roman" w:hAnsi="Times New Roman"/>
                <w:b/>
                <w:u w:val="single"/>
              </w:rPr>
              <w:t>obchodovaním</w:t>
            </w:r>
          </w:p>
          <w:p w14:paraId="6D53378A" w14:textId="0C9319CF"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 xml:space="preserve">Článok 104 ods. 2 prvý pododsek písm. h)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51E19E34" w14:textId="77777777">
        <w:tc>
          <w:tcPr>
            <w:tcW w:w="1203" w:type="dxa"/>
          </w:tcPr>
          <w:p w14:paraId="40DF6AD2" w14:textId="66A7EFB3"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0100</w:t>
            </w:r>
          </w:p>
        </w:tc>
        <w:tc>
          <w:tcPr>
            <w:tcW w:w="7813" w:type="dxa"/>
          </w:tcPr>
          <w:p w14:paraId="5611CE5C" w14:textId="77777777"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Opcie alebo iné deriváty vložené do vlastných záväzkov inštitúcie (rozdelené)</w:t>
            </w:r>
          </w:p>
          <w:p w14:paraId="0426719F" w14:textId="1A9C315F"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lastRenderedPageBreak/>
              <w:t>Článok 104 ods. 2 prvý pododsek písm. i)</w:t>
            </w:r>
            <w:r w:rsidR="00FC03EA" w:rsidRPr="00FC03EA">
              <w:rPr>
                <w:rFonts w:ascii="Times New Roman" w:hAnsi="Times New Roman"/>
              </w:rPr>
              <w:t xml:space="preserve"> a </w:t>
            </w:r>
            <w:r w:rsidRPr="00FC03EA">
              <w:rPr>
                <w:rFonts w:ascii="Times New Roman" w:hAnsi="Times New Roman"/>
              </w:rPr>
              <w:t xml:space="preserve">článok 104 ods. 2 tretí pododsek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0BD2C394" w14:textId="77777777">
        <w:tc>
          <w:tcPr>
            <w:tcW w:w="1203" w:type="dxa"/>
          </w:tcPr>
          <w:p w14:paraId="577F08A1" w14:textId="53A3A002"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lastRenderedPageBreak/>
              <w:t>0110</w:t>
            </w:r>
          </w:p>
        </w:tc>
        <w:tc>
          <w:tcPr>
            <w:tcW w:w="7813" w:type="dxa"/>
          </w:tcPr>
          <w:p w14:paraId="3F7AFD3A" w14:textId="5C22DD49"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Vlastné záväzky inštitúcie</w:t>
            </w:r>
            <w:r w:rsidR="00FC03EA" w:rsidRPr="00FC03EA">
              <w:rPr>
                <w:rFonts w:ascii="Times New Roman" w:hAnsi="Times New Roman"/>
                <w:b/>
                <w:u w:val="single"/>
              </w:rPr>
              <w:t xml:space="preserve"> s </w:t>
            </w:r>
            <w:r w:rsidRPr="00FC03EA">
              <w:rPr>
                <w:rFonts w:ascii="Times New Roman" w:hAnsi="Times New Roman"/>
                <w:b/>
                <w:u w:val="single"/>
              </w:rPr>
              <w:t>vloženými opciami alebo inými derivátmi (nerozdelené)</w:t>
            </w:r>
          </w:p>
          <w:p w14:paraId="6C5173C2" w14:textId="38FCEACD"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Článok 104 ods. 2 prvý pododsek písm. i)</w:t>
            </w:r>
            <w:r w:rsidR="00FC03EA" w:rsidRPr="00FC03EA">
              <w:rPr>
                <w:rFonts w:ascii="Times New Roman" w:hAnsi="Times New Roman"/>
              </w:rPr>
              <w:t xml:space="preserve"> a </w:t>
            </w:r>
            <w:r w:rsidRPr="00FC03EA">
              <w:rPr>
                <w:rFonts w:ascii="Times New Roman" w:hAnsi="Times New Roman"/>
              </w:rPr>
              <w:t xml:space="preserve">článok 104 ods. 2 štvrtý pododsek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5BD829B0" w14:textId="77777777">
        <w:tc>
          <w:tcPr>
            <w:tcW w:w="1203" w:type="dxa"/>
          </w:tcPr>
          <w:p w14:paraId="2FA5C009" w14:textId="473E61D7"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0120</w:t>
            </w:r>
          </w:p>
        </w:tc>
        <w:tc>
          <w:tcPr>
            <w:tcW w:w="7813" w:type="dxa"/>
          </w:tcPr>
          <w:p w14:paraId="04C4E6C0" w14:textId="47B7F614"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Nástroje klasifikované ako nástroje</w:t>
            </w:r>
            <w:r w:rsidR="00FC03EA" w:rsidRPr="00FC03EA">
              <w:rPr>
                <w:rFonts w:ascii="Times New Roman" w:hAnsi="Times New Roman"/>
                <w:b/>
                <w:u w:val="single"/>
              </w:rPr>
              <w:t xml:space="preserve"> s </w:t>
            </w:r>
            <w:r w:rsidRPr="00FC03EA">
              <w:rPr>
                <w:rFonts w:ascii="Times New Roman" w:hAnsi="Times New Roman"/>
                <w:b/>
                <w:u w:val="single"/>
              </w:rPr>
              <w:t>obchodným účelom podľa účtovného rámca (nezahrnuté</w:t>
            </w:r>
            <w:r w:rsidR="00FC03EA" w:rsidRPr="00FC03EA">
              <w:rPr>
                <w:rFonts w:ascii="Times New Roman" w:hAnsi="Times New Roman"/>
                <w:b/>
                <w:u w:val="single"/>
              </w:rPr>
              <w:t xml:space="preserve"> v </w:t>
            </w:r>
            <w:r w:rsidRPr="00FC03EA">
              <w:rPr>
                <w:rFonts w:ascii="Times New Roman" w:hAnsi="Times New Roman"/>
                <w:b/>
                <w:u w:val="single"/>
              </w:rPr>
              <w:t>predchádzajúcich stĺpcoch)</w:t>
            </w:r>
          </w:p>
          <w:p w14:paraId="10D50030" w14:textId="7B063FBD"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 xml:space="preserve">Článok 104 ods. 2 prvý pododsek písm. d) nariadenia (EÚ) </w:t>
            </w:r>
            <w:r w:rsidR="00FC03EA" w:rsidRPr="00FC03EA">
              <w:rPr>
                <w:rFonts w:ascii="Times New Roman" w:hAnsi="Times New Roman"/>
              </w:rPr>
              <w:t>č. </w:t>
            </w:r>
            <w:r w:rsidRPr="00FC03EA">
              <w:rPr>
                <w:rFonts w:ascii="Times New Roman" w:hAnsi="Times New Roman"/>
              </w:rPr>
              <w:t>575/2013</w:t>
            </w:r>
          </w:p>
          <w:p w14:paraId="5674D9E6" w14:textId="37B5CE5B"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Nástroje klasifikované ako nástroje</w:t>
            </w:r>
            <w:r w:rsidR="00FC03EA" w:rsidRPr="00FC03EA">
              <w:rPr>
                <w:rFonts w:ascii="Times New Roman" w:hAnsi="Times New Roman"/>
              </w:rPr>
              <w:t xml:space="preserve"> s </w:t>
            </w:r>
            <w:r w:rsidRPr="00FC03EA">
              <w:rPr>
                <w:rFonts w:ascii="Times New Roman" w:hAnsi="Times New Roman"/>
              </w:rPr>
              <w:t>obchodným účelom podľa účtovného rámca sa vykazujú len</w:t>
            </w:r>
            <w:r w:rsidR="00FC03EA" w:rsidRPr="00FC03EA">
              <w:rPr>
                <w:rFonts w:ascii="Times New Roman" w:hAnsi="Times New Roman"/>
              </w:rPr>
              <w:t xml:space="preserve"> v </w:t>
            </w:r>
            <w:r w:rsidRPr="00FC03EA">
              <w:rPr>
                <w:rFonts w:ascii="Times New Roman" w:hAnsi="Times New Roman"/>
              </w:rPr>
              <w:t>tomto stĺpci, ak už neboli vykázané</w:t>
            </w:r>
            <w:r w:rsidR="00FC03EA" w:rsidRPr="00FC03EA">
              <w:rPr>
                <w:rFonts w:ascii="Times New Roman" w:hAnsi="Times New Roman"/>
              </w:rPr>
              <w:t xml:space="preserve"> v </w:t>
            </w:r>
            <w:r w:rsidRPr="00FC03EA">
              <w:rPr>
                <w:rFonts w:ascii="Times New Roman" w:hAnsi="Times New Roman"/>
              </w:rPr>
              <w:t>stĺpcoch 0030 až 0110.</w:t>
            </w:r>
          </w:p>
        </w:tc>
      </w:tr>
      <w:tr w:rsidR="009B2CA6" w:rsidRPr="00FC03EA" w14:paraId="2E034E64" w14:textId="77777777">
        <w:tc>
          <w:tcPr>
            <w:tcW w:w="1203" w:type="dxa"/>
          </w:tcPr>
          <w:p w14:paraId="0EC43CAD" w14:textId="3F3C4B46"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 xml:space="preserve">0130 </w:t>
            </w:r>
          </w:p>
        </w:tc>
        <w:tc>
          <w:tcPr>
            <w:tcW w:w="7813" w:type="dxa"/>
          </w:tcPr>
          <w:p w14:paraId="1958765E" w14:textId="62631633" w:rsidR="009B2CA6" w:rsidRPr="00FC03EA" w:rsidRDefault="0061609C">
            <w:pPr>
              <w:pStyle w:val="BodyText"/>
              <w:spacing w:before="120" w:after="120"/>
              <w:rPr>
                <w:rFonts w:ascii="Times New Roman" w:hAnsi="Times New Roman" w:cs="Times New Roman"/>
                <w:b/>
                <w:u w:val="single"/>
              </w:rPr>
            </w:pPr>
            <w:r w:rsidRPr="00FC03EA">
              <w:rPr>
                <w:rFonts w:ascii="Times New Roman" w:hAnsi="Times New Roman"/>
                <w:b/>
                <w:u w:val="single"/>
              </w:rPr>
              <w:t>Agregované pozície – nástroje zahrnuté</w:t>
            </w:r>
            <w:r w:rsidR="00FC03EA" w:rsidRPr="00FC03EA">
              <w:rPr>
                <w:rFonts w:ascii="Times New Roman" w:hAnsi="Times New Roman"/>
                <w:b/>
                <w:u w:val="single"/>
              </w:rPr>
              <w:t xml:space="preserve"> v </w:t>
            </w:r>
            <w:r w:rsidRPr="00FC03EA">
              <w:rPr>
                <w:rFonts w:ascii="Times New Roman" w:hAnsi="Times New Roman"/>
                <w:b/>
                <w:u w:val="single"/>
              </w:rPr>
              <w:t>obchodnej knihe so súhlasom príslušného orgánu: nástroje</w:t>
            </w:r>
            <w:r w:rsidR="00FC03EA" w:rsidRPr="00FC03EA">
              <w:rPr>
                <w:rFonts w:ascii="Times New Roman" w:hAnsi="Times New Roman"/>
                <w:b/>
                <w:u w:val="single"/>
              </w:rPr>
              <w:t xml:space="preserve"> v </w:t>
            </w:r>
            <w:r w:rsidRPr="00FC03EA">
              <w:rPr>
                <w:rFonts w:ascii="Times New Roman" w:hAnsi="Times New Roman"/>
                <w:b/>
                <w:u w:val="single"/>
              </w:rPr>
              <w:t>hedžových fondoch</w:t>
            </w:r>
          </w:p>
          <w:p w14:paraId="71C1AC7E" w14:textId="4D299AAD"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 xml:space="preserve">Článok 104 ods. 4a nariadenia (EÚ) </w:t>
            </w:r>
            <w:r w:rsidR="00FC03EA" w:rsidRPr="00FC03EA">
              <w:rPr>
                <w:rFonts w:ascii="Times New Roman" w:hAnsi="Times New Roman"/>
              </w:rPr>
              <w:t>č. </w:t>
            </w:r>
            <w:r w:rsidRPr="00FC03EA">
              <w:rPr>
                <w:rFonts w:ascii="Times New Roman" w:hAnsi="Times New Roman"/>
              </w:rPr>
              <w:t>575/2013</w:t>
            </w:r>
          </w:p>
        </w:tc>
      </w:tr>
      <w:tr w:rsidR="009B2CA6" w:rsidRPr="00FC03EA" w14:paraId="58C0F140" w14:textId="77777777">
        <w:tc>
          <w:tcPr>
            <w:tcW w:w="1203" w:type="dxa"/>
          </w:tcPr>
          <w:p w14:paraId="4FE32C77" w14:textId="078AEE3E"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0140 – 0150</w:t>
            </w:r>
          </w:p>
        </w:tc>
        <w:tc>
          <w:tcPr>
            <w:tcW w:w="7813" w:type="dxa"/>
          </w:tcPr>
          <w:p w14:paraId="592DBEC6" w14:textId="54D13645" w:rsidR="009B2CA6" w:rsidRPr="00FC03EA" w:rsidRDefault="0061609C">
            <w:pPr>
              <w:pStyle w:val="BodyText"/>
              <w:spacing w:before="120" w:after="120"/>
              <w:rPr>
                <w:rFonts w:ascii="Times New Roman" w:hAnsi="Times New Roman" w:cs="Times New Roman"/>
                <w:b/>
                <w:u w:val="single"/>
              </w:rPr>
            </w:pPr>
            <w:r w:rsidRPr="00FC03EA">
              <w:rPr>
                <w:rFonts w:ascii="Times New Roman" w:hAnsi="Times New Roman"/>
                <w:b/>
                <w:u w:val="single"/>
              </w:rPr>
              <w:t>Agregované pozície – ostatné nástroje</w:t>
            </w:r>
          </w:p>
          <w:p w14:paraId="4AFCA133" w14:textId="6A9B7984"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Nástroje sa vykazujú</w:t>
            </w:r>
            <w:r w:rsidR="00FC03EA" w:rsidRPr="00FC03EA">
              <w:rPr>
                <w:rFonts w:ascii="Times New Roman" w:hAnsi="Times New Roman"/>
              </w:rPr>
              <w:t xml:space="preserve"> v </w:t>
            </w:r>
            <w:r w:rsidRPr="00FC03EA">
              <w:rPr>
                <w:rFonts w:ascii="Times New Roman" w:hAnsi="Times New Roman"/>
              </w:rPr>
              <w:t>tomto stĺpci, ak sú zaradené do obchodnej knihy</w:t>
            </w:r>
            <w:r w:rsidR="00FC03EA" w:rsidRPr="00FC03EA">
              <w:rPr>
                <w:rFonts w:ascii="Times New Roman" w:hAnsi="Times New Roman"/>
              </w:rPr>
              <w:t xml:space="preserve"> v </w:t>
            </w:r>
            <w:r w:rsidRPr="00FC03EA">
              <w:rPr>
                <w:rFonts w:ascii="Times New Roman" w:hAnsi="Times New Roman"/>
              </w:rPr>
              <w:t>súlade</w:t>
            </w:r>
            <w:r w:rsidR="00FC03EA" w:rsidRPr="00FC03EA">
              <w:rPr>
                <w:rFonts w:ascii="Times New Roman" w:hAnsi="Times New Roman"/>
              </w:rPr>
              <w:t xml:space="preserve"> s </w:t>
            </w:r>
            <w:r w:rsidRPr="00FC03EA">
              <w:rPr>
                <w:rFonts w:ascii="Times New Roman" w:hAnsi="Times New Roman"/>
              </w:rPr>
              <w:t xml:space="preserve">článkom 4 ods. 1 bodom 85 nariadenia (EÚ) </w:t>
            </w:r>
            <w:r w:rsidR="00FC03EA" w:rsidRPr="00FC03EA">
              <w:rPr>
                <w:rFonts w:ascii="Times New Roman" w:hAnsi="Times New Roman"/>
              </w:rPr>
              <w:t>č. </w:t>
            </w:r>
            <w:r w:rsidRPr="00FC03EA">
              <w:rPr>
                <w:rFonts w:ascii="Times New Roman" w:hAnsi="Times New Roman"/>
              </w:rPr>
              <w:t>575/2013</w:t>
            </w:r>
            <w:r w:rsidR="00FC03EA" w:rsidRPr="00FC03EA">
              <w:rPr>
                <w:rFonts w:ascii="Times New Roman" w:hAnsi="Times New Roman"/>
              </w:rPr>
              <w:t xml:space="preserve"> a </w:t>
            </w:r>
            <w:r w:rsidRPr="00FC03EA">
              <w:rPr>
                <w:rFonts w:ascii="Times New Roman" w:hAnsi="Times New Roman"/>
              </w:rPr>
              <w:t>neboli vykázané</w:t>
            </w:r>
            <w:r w:rsidR="00FC03EA" w:rsidRPr="00FC03EA">
              <w:rPr>
                <w:rFonts w:ascii="Times New Roman" w:hAnsi="Times New Roman"/>
              </w:rPr>
              <w:t xml:space="preserve"> v </w:t>
            </w:r>
            <w:r w:rsidRPr="00FC03EA">
              <w:rPr>
                <w:rFonts w:ascii="Times New Roman" w:hAnsi="Times New Roman"/>
              </w:rPr>
              <w:t>žiadnom zo stĺpcov 0020 až 0130.</w:t>
            </w:r>
          </w:p>
        </w:tc>
      </w:tr>
      <w:tr w:rsidR="009B2CA6" w:rsidRPr="00FC03EA" w14:paraId="2F8F4937" w14:textId="77777777">
        <w:tc>
          <w:tcPr>
            <w:tcW w:w="1203" w:type="dxa"/>
          </w:tcPr>
          <w:p w14:paraId="7CF40847" w14:textId="77E27C63"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0140</w:t>
            </w:r>
          </w:p>
        </w:tc>
        <w:tc>
          <w:tcPr>
            <w:tcW w:w="7813" w:type="dxa"/>
          </w:tcPr>
          <w:p w14:paraId="38EE7871" w14:textId="77777777"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Ostatné nástroje</w:t>
            </w:r>
          </w:p>
        </w:tc>
      </w:tr>
      <w:tr w:rsidR="009B2CA6" w:rsidRPr="00FC03EA" w14:paraId="64544C3C" w14:textId="77777777">
        <w:tc>
          <w:tcPr>
            <w:tcW w:w="1203" w:type="dxa"/>
          </w:tcPr>
          <w:p w14:paraId="26F8855E" w14:textId="46CAE730" w:rsidR="009B2CA6" w:rsidRPr="00FC03EA" w:rsidRDefault="009B2CA6">
            <w:pPr>
              <w:pStyle w:val="BodyText"/>
              <w:spacing w:before="120" w:after="120"/>
              <w:rPr>
                <w:rFonts w:ascii="Times New Roman" w:hAnsi="Times New Roman" w:cs="Times New Roman"/>
              </w:rPr>
            </w:pPr>
            <w:r w:rsidRPr="00FC03EA">
              <w:rPr>
                <w:rFonts w:ascii="Times New Roman" w:hAnsi="Times New Roman"/>
              </w:rPr>
              <w:t>0150</w:t>
            </w:r>
          </w:p>
        </w:tc>
        <w:tc>
          <w:tcPr>
            <w:tcW w:w="7813" w:type="dxa"/>
          </w:tcPr>
          <w:p w14:paraId="27213E71" w14:textId="3461FF11"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Ostatné nástroje –</w:t>
            </w:r>
            <w:r w:rsidR="00FC03EA" w:rsidRPr="00FC03EA">
              <w:rPr>
                <w:rFonts w:ascii="Times New Roman" w:hAnsi="Times New Roman"/>
                <w:b/>
                <w:u w:val="single"/>
              </w:rPr>
              <w:t xml:space="preserve"> z </w:t>
            </w:r>
            <w:r w:rsidRPr="00FC03EA">
              <w:rPr>
                <w:rFonts w:ascii="Times New Roman" w:hAnsi="Times New Roman"/>
                <w:b/>
                <w:u w:val="single"/>
              </w:rPr>
              <w:t>čoho: nástroje</w:t>
            </w:r>
            <w:r w:rsidR="00FC03EA" w:rsidRPr="00FC03EA">
              <w:rPr>
                <w:rFonts w:ascii="Times New Roman" w:hAnsi="Times New Roman"/>
                <w:b/>
                <w:u w:val="single"/>
              </w:rPr>
              <w:t xml:space="preserve"> v </w:t>
            </w:r>
            <w:r w:rsidRPr="00FC03EA">
              <w:rPr>
                <w:rFonts w:ascii="Times New Roman" w:hAnsi="Times New Roman"/>
                <w:b/>
                <w:u w:val="single"/>
              </w:rPr>
              <w:t>obchodnej knihe</w:t>
            </w:r>
            <w:r w:rsidR="00FC03EA" w:rsidRPr="00FC03EA">
              <w:rPr>
                <w:rFonts w:ascii="Times New Roman" w:hAnsi="Times New Roman"/>
                <w:b/>
                <w:u w:val="single"/>
              </w:rPr>
              <w:t xml:space="preserve"> z </w:t>
            </w:r>
            <w:r w:rsidRPr="00FC03EA">
              <w:rPr>
                <w:rFonts w:ascii="Times New Roman" w:hAnsi="Times New Roman"/>
                <w:b/>
                <w:u w:val="single"/>
              </w:rPr>
              <w:t>dôvodu nedostatku dôkazov</w:t>
            </w:r>
            <w:r w:rsidR="00FC03EA" w:rsidRPr="00FC03EA">
              <w:rPr>
                <w:rFonts w:ascii="Times New Roman" w:hAnsi="Times New Roman"/>
                <w:b/>
                <w:u w:val="single"/>
              </w:rPr>
              <w:t xml:space="preserve"> o </w:t>
            </w:r>
            <w:r w:rsidRPr="00FC03EA">
              <w:rPr>
                <w:rFonts w:ascii="Times New Roman" w:hAnsi="Times New Roman"/>
                <w:b/>
                <w:u w:val="single"/>
              </w:rPr>
              <w:t>klasifikácii</w:t>
            </w:r>
            <w:r w:rsidR="00FC03EA" w:rsidRPr="00FC03EA">
              <w:rPr>
                <w:rFonts w:ascii="Times New Roman" w:hAnsi="Times New Roman"/>
                <w:b/>
                <w:u w:val="single"/>
              </w:rPr>
              <w:t xml:space="preserve"> v </w:t>
            </w:r>
            <w:r w:rsidRPr="00FC03EA">
              <w:rPr>
                <w:rFonts w:ascii="Times New Roman" w:hAnsi="Times New Roman"/>
                <w:b/>
                <w:u w:val="single"/>
              </w:rPr>
              <w:t>neobchodnej knihe</w:t>
            </w:r>
          </w:p>
          <w:p w14:paraId="41653FFB" w14:textId="127ACE1A"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rPr>
              <w:t xml:space="preserve">Článok 104 ods. 6 druhá veta nariadenia (EÚ) </w:t>
            </w:r>
            <w:r w:rsidR="00FC03EA" w:rsidRPr="00FC03EA">
              <w:rPr>
                <w:rFonts w:ascii="Times New Roman" w:hAnsi="Times New Roman"/>
              </w:rPr>
              <w:t>č. </w:t>
            </w:r>
            <w:r w:rsidRPr="00FC03EA">
              <w:rPr>
                <w:rFonts w:ascii="Times New Roman" w:hAnsi="Times New Roman"/>
              </w:rPr>
              <w:t>575/2013</w:t>
            </w:r>
          </w:p>
        </w:tc>
      </w:tr>
    </w:tbl>
    <w:p w14:paraId="10FD81A7" w14:textId="77777777" w:rsidR="009B2CA6" w:rsidRPr="00FC03EA" w:rsidRDefault="009B2CA6" w:rsidP="009B2CA6">
      <w:pPr>
        <w:pStyle w:val="body"/>
        <w:spacing w:before="0" w:after="0"/>
        <w:rPr>
          <w:rFonts w:ascii="Times New Roman" w:hAnsi="Times New Roman" w:cs="Times New Roman"/>
        </w:rPr>
      </w:pPr>
    </w:p>
    <w:tbl>
      <w:tblPr>
        <w:tblStyle w:val="TableGrid"/>
        <w:tblW w:w="0" w:type="auto"/>
        <w:tblLook w:val="04A0" w:firstRow="1" w:lastRow="0" w:firstColumn="1" w:lastColumn="0" w:noHBand="0" w:noVBand="1"/>
      </w:tblPr>
      <w:tblGrid>
        <w:gridCol w:w="1416"/>
        <w:gridCol w:w="7646"/>
      </w:tblGrid>
      <w:tr w:rsidR="009B2CA6" w:rsidRPr="00FC03EA" w14:paraId="098F6BB4" w14:textId="77777777">
        <w:tc>
          <w:tcPr>
            <w:tcW w:w="1203" w:type="dxa"/>
            <w:shd w:val="clear" w:color="auto" w:fill="BFBFBF" w:themeFill="background1" w:themeFillShade="BF"/>
          </w:tcPr>
          <w:p w14:paraId="68638DB3" w14:textId="77777777" w:rsidR="009B2CA6" w:rsidRPr="00FC03EA" w:rsidRDefault="009B2CA6">
            <w:pPr>
              <w:pStyle w:val="BodyText"/>
              <w:spacing w:before="120" w:after="120"/>
              <w:rPr>
                <w:rFonts w:ascii="Times New Roman" w:hAnsi="Times New Roman" w:cs="Times New Roman"/>
                <w:b/>
              </w:rPr>
            </w:pPr>
            <w:r w:rsidRPr="00FC03EA">
              <w:rPr>
                <w:rFonts w:ascii="Times New Roman" w:hAnsi="Times New Roman"/>
                <w:b/>
              </w:rPr>
              <w:t>Riadok</w:t>
            </w:r>
          </w:p>
        </w:tc>
        <w:tc>
          <w:tcPr>
            <w:tcW w:w="7813" w:type="dxa"/>
            <w:shd w:val="clear" w:color="auto" w:fill="BFBFBF" w:themeFill="background1" w:themeFillShade="BF"/>
          </w:tcPr>
          <w:p w14:paraId="4E400868" w14:textId="4FAFDC54" w:rsidR="009B2CA6" w:rsidRPr="00FC03EA" w:rsidRDefault="009B2CA6">
            <w:pPr>
              <w:pStyle w:val="BodyText"/>
              <w:spacing w:before="120" w:after="120"/>
              <w:rPr>
                <w:rFonts w:ascii="Times New Roman" w:hAnsi="Times New Roman" w:cs="Times New Roman"/>
                <w:b/>
              </w:rPr>
            </w:pPr>
            <w:r w:rsidRPr="00FC03EA">
              <w:rPr>
                <w:rFonts w:ascii="Times New Roman" w:hAnsi="Times New Roman"/>
                <w:b/>
              </w:rPr>
              <w:t>Odkazy na právne predpisy</w:t>
            </w:r>
            <w:r w:rsidR="00FC03EA" w:rsidRPr="00FC03EA">
              <w:rPr>
                <w:rFonts w:ascii="Times New Roman" w:hAnsi="Times New Roman"/>
                <w:b/>
              </w:rPr>
              <w:t xml:space="preserve"> a </w:t>
            </w:r>
            <w:r w:rsidRPr="00FC03EA">
              <w:rPr>
                <w:rFonts w:ascii="Times New Roman" w:hAnsi="Times New Roman"/>
                <w:b/>
              </w:rPr>
              <w:t>pokyny</w:t>
            </w:r>
          </w:p>
        </w:tc>
      </w:tr>
      <w:tr w:rsidR="009C1D1D" w:rsidRPr="00FC03EA" w14:paraId="7134C634" w14:textId="77777777">
        <w:trPr>
          <w:trHeight w:val="70"/>
        </w:trPr>
        <w:tc>
          <w:tcPr>
            <w:tcW w:w="1203" w:type="dxa"/>
          </w:tcPr>
          <w:p w14:paraId="0369C832" w14:textId="5442AEC0" w:rsidR="009C1D1D" w:rsidRPr="00FC03EA" w:rsidRDefault="00A17954">
            <w:pPr>
              <w:pStyle w:val="BodyText"/>
              <w:spacing w:before="120" w:after="120"/>
              <w:rPr>
                <w:rFonts w:ascii="Times New Roman" w:hAnsi="Times New Roman" w:cs="Times New Roman"/>
              </w:rPr>
            </w:pPr>
            <w:r w:rsidRPr="00FC03EA">
              <w:rPr>
                <w:rFonts w:ascii="Times New Roman" w:hAnsi="Times New Roman"/>
              </w:rPr>
              <w:t>0010 – 0020</w:t>
            </w:r>
          </w:p>
        </w:tc>
        <w:tc>
          <w:tcPr>
            <w:tcW w:w="7813" w:type="dxa"/>
            <w:vAlign w:val="bottom"/>
          </w:tcPr>
          <w:p w14:paraId="0C31E542" w14:textId="44D90A73" w:rsidR="009C1D1D" w:rsidRPr="00FC03EA" w:rsidRDefault="00A17954">
            <w:pPr>
              <w:pStyle w:val="BodyText"/>
              <w:spacing w:before="120" w:after="120"/>
              <w:rPr>
                <w:rFonts w:ascii="Times New Roman" w:hAnsi="Times New Roman" w:cs="Times New Roman"/>
                <w:b/>
                <w:u w:val="single"/>
              </w:rPr>
            </w:pPr>
            <w:r w:rsidRPr="00FC03EA">
              <w:rPr>
                <w:rFonts w:ascii="Times New Roman" w:hAnsi="Times New Roman"/>
                <w:b/>
                <w:u w:val="single"/>
              </w:rPr>
              <w:t>Všetky nástroje</w:t>
            </w:r>
            <w:r w:rsidR="00FC03EA" w:rsidRPr="00FC03EA">
              <w:rPr>
                <w:rFonts w:ascii="Times New Roman" w:hAnsi="Times New Roman"/>
                <w:b/>
                <w:u w:val="single"/>
              </w:rPr>
              <w:t xml:space="preserve"> v </w:t>
            </w:r>
            <w:r w:rsidRPr="00FC03EA">
              <w:rPr>
                <w:rFonts w:ascii="Times New Roman" w:hAnsi="Times New Roman"/>
                <w:b/>
                <w:u w:val="single"/>
              </w:rPr>
              <w:t>obchodnej knihe zohľadnené</w:t>
            </w:r>
            <w:r w:rsidR="00FC03EA" w:rsidRPr="00FC03EA">
              <w:rPr>
                <w:rFonts w:ascii="Times New Roman" w:hAnsi="Times New Roman"/>
                <w:b/>
                <w:u w:val="single"/>
              </w:rPr>
              <w:t xml:space="preserve"> v </w:t>
            </w:r>
            <w:r w:rsidRPr="00FC03EA">
              <w:rPr>
                <w:rFonts w:ascii="Times New Roman" w:hAnsi="Times New Roman"/>
                <w:b/>
                <w:u w:val="single"/>
              </w:rPr>
              <w:t xml:space="preserve">prahovej hodnote podľa článku 325a nariadenia (EÚ) </w:t>
            </w:r>
            <w:r w:rsidR="00FC03EA" w:rsidRPr="00FC03EA">
              <w:rPr>
                <w:rFonts w:ascii="Times New Roman" w:hAnsi="Times New Roman"/>
                <w:b/>
                <w:u w:val="single"/>
              </w:rPr>
              <w:t>č. </w:t>
            </w:r>
            <w:r w:rsidRPr="00FC03EA">
              <w:rPr>
                <w:rFonts w:ascii="Times New Roman" w:hAnsi="Times New Roman"/>
                <w:b/>
                <w:u w:val="single"/>
              </w:rPr>
              <w:t>575/2013</w:t>
            </w:r>
          </w:p>
        </w:tc>
      </w:tr>
      <w:tr w:rsidR="009B2CA6" w:rsidRPr="00FC03EA" w14:paraId="225F200D" w14:textId="77777777" w:rsidTr="00723BA8">
        <w:trPr>
          <w:trHeight w:val="70"/>
        </w:trPr>
        <w:tc>
          <w:tcPr>
            <w:tcW w:w="1203" w:type="dxa"/>
          </w:tcPr>
          <w:p w14:paraId="5E239DC6" w14:textId="25A2560E" w:rsidR="009B2CA6" w:rsidRPr="00FC03EA" w:rsidRDefault="00A17954">
            <w:pPr>
              <w:pStyle w:val="BodyText"/>
              <w:spacing w:before="120" w:after="120"/>
              <w:rPr>
                <w:rFonts w:ascii="Times New Roman" w:hAnsi="Times New Roman" w:cs="Times New Roman"/>
              </w:rPr>
            </w:pPr>
            <w:r w:rsidRPr="00FC03EA">
              <w:rPr>
                <w:rFonts w:ascii="Times New Roman" w:hAnsi="Times New Roman"/>
              </w:rPr>
              <w:t>0030 – 0040</w:t>
            </w:r>
          </w:p>
        </w:tc>
        <w:tc>
          <w:tcPr>
            <w:tcW w:w="7813" w:type="dxa"/>
          </w:tcPr>
          <w:p w14:paraId="63B321D7" w14:textId="77777777" w:rsidR="00A17954" w:rsidRPr="00FC03EA" w:rsidRDefault="009B2CA6" w:rsidP="00627775">
            <w:pPr>
              <w:pStyle w:val="BodyText"/>
              <w:spacing w:before="120" w:after="120"/>
              <w:rPr>
                <w:rFonts w:ascii="Times New Roman" w:hAnsi="Times New Roman" w:cs="Times New Roman"/>
                <w:b/>
                <w:u w:val="single"/>
              </w:rPr>
            </w:pPr>
            <w:r w:rsidRPr="00FC03EA">
              <w:rPr>
                <w:rFonts w:ascii="Times New Roman" w:hAnsi="Times New Roman"/>
                <w:b/>
                <w:u w:val="single"/>
              </w:rPr>
              <w:t>Nástroje, ktorých hlavným rizikovým faktorom je všeobecné úrokové riziko alebo riziko kreditného rozpätia</w:t>
            </w:r>
          </w:p>
          <w:p w14:paraId="1768966A" w14:textId="77777777" w:rsidR="009B2CA6" w:rsidRPr="00FC03EA" w:rsidRDefault="009B2CA6" w:rsidP="00627775">
            <w:pPr>
              <w:pStyle w:val="BodyText"/>
              <w:spacing w:before="120" w:after="120"/>
              <w:rPr>
                <w:rFonts w:ascii="Times New Roman" w:hAnsi="Times New Roman" w:cs="Times New Roman"/>
                <w:b/>
                <w:u w:val="single"/>
              </w:rPr>
            </w:pPr>
          </w:p>
        </w:tc>
      </w:tr>
      <w:tr w:rsidR="009B2CA6" w:rsidRPr="00FC03EA" w14:paraId="2557F02B" w14:textId="77777777" w:rsidTr="00723BA8">
        <w:trPr>
          <w:trHeight w:val="70"/>
        </w:trPr>
        <w:tc>
          <w:tcPr>
            <w:tcW w:w="1203" w:type="dxa"/>
          </w:tcPr>
          <w:p w14:paraId="365D4766" w14:textId="5FCC0FF4" w:rsidR="009B2CA6" w:rsidRPr="00FC03EA" w:rsidRDefault="00A17954">
            <w:pPr>
              <w:pStyle w:val="BodyText"/>
              <w:spacing w:before="120" w:after="120"/>
              <w:rPr>
                <w:rFonts w:ascii="Times New Roman" w:hAnsi="Times New Roman" w:cs="Times New Roman"/>
              </w:rPr>
            </w:pPr>
            <w:r w:rsidRPr="00FC03EA">
              <w:rPr>
                <w:rFonts w:ascii="Times New Roman" w:hAnsi="Times New Roman"/>
              </w:rPr>
              <w:t>0050 – 0060</w:t>
            </w:r>
          </w:p>
        </w:tc>
        <w:tc>
          <w:tcPr>
            <w:tcW w:w="7813" w:type="dxa"/>
          </w:tcPr>
          <w:p w14:paraId="3388E222" w14:textId="77777777" w:rsidR="009B2CA6" w:rsidRPr="00FC03EA" w:rsidRDefault="009B2CA6" w:rsidP="00627775">
            <w:pPr>
              <w:pStyle w:val="BodyText"/>
              <w:spacing w:before="120" w:after="120"/>
              <w:rPr>
                <w:rFonts w:ascii="Times New Roman" w:hAnsi="Times New Roman" w:cs="Times New Roman"/>
                <w:b/>
                <w:u w:val="single"/>
              </w:rPr>
            </w:pPr>
            <w:r w:rsidRPr="00FC03EA">
              <w:rPr>
                <w:rFonts w:ascii="Times New Roman" w:hAnsi="Times New Roman"/>
                <w:b/>
                <w:u w:val="single"/>
              </w:rPr>
              <w:t>Nástroje, ktorých hlavným rizikovým faktorom je akciové riziko</w:t>
            </w:r>
          </w:p>
        </w:tc>
      </w:tr>
      <w:tr w:rsidR="009B2CA6" w:rsidRPr="00FC03EA" w14:paraId="615194B9" w14:textId="77777777" w:rsidTr="00723BA8">
        <w:trPr>
          <w:trHeight w:val="70"/>
        </w:trPr>
        <w:tc>
          <w:tcPr>
            <w:tcW w:w="1203" w:type="dxa"/>
          </w:tcPr>
          <w:p w14:paraId="39A575D7" w14:textId="6612F010" w:rsidR="009B2CA6" w:rsidRPr="00FC03EA" w:rsidRDefault="00A17954">
            <w:pPr>
              <w:pStyle w:val="BodyText"/>
              <w:spacing w:before="120" w:after="120"/>
              <w:rPr>
                <w:rFonts w:ascii="Times New Roman" w:hAnsi="Times New Roman" w:cs="Times New Roman"/>
              </w:rPr>
            </w:pPr>
            <w:r w:rsidRPr="00FC03EA">
              <w:rPr>
                <w:rFonts w:ascii="Times New Roman" w:hAnsi="Times New Roman"/>
              </w:rPr>
              <w:t>0070 – 0080</w:t>
            </w:r>
          </w:p>
        </w:tc>
        <w:tc>
          <w:tcPr>
            <w:tcW w:w="7813" w:type="dxa"/>
          </w:tcPr>
          <w:p w14:paraId="1BA6993E" w14:textId="77777777" w:rsidR="009B2CA6" w:rsidRPr="00FC03EA" w:rsidRDefault="009B2CA6" w:rsidP="00627775">
            <w:pPr>
              <w:pStyle w:val="BodyText"/>
              <w:spacing w:before="120" w:after="120"/>
              <w:rPr>
                <w:rFonts w:ascii="Times New Roman" w:hAnsi="Times New Roman" w:cs="Times New Roman"/>
                <w:b/>
                <w:u w:val="single"/>
              </w:rPr>
            </w:pPr>
            <w:r w:rsidRPr="00FC03EA">
              <w:rPr>
                <w:rFonts w:ascii="Times New Roman" w:hAnsi="Times New Roman"/>
                <w:b/>
                <w:u w:val="single"/>
              </w:rPr>
              <w:t>Nástroje, ktorých hlavným rizikovým faktorom je devízové riziko</w:t>
            </w:r>
          </w:p>
        </w:tc>
      </w:tr>
      <w:tr w:rsidR="009B2CA6" w:rsidRPr="00FC03EA" w14:paraId="6C784F43" w14:textId="77777777" w:rsidTr="00723BA8">
        <w:trPr>
          <w:trHeight w:val="70"/>
        </w:trPr>
        <w:tc>
          <w:tcPr>
            <w:tcW w:w="1203" w:type="dxa"/>
          </w:tcPr>
          <w:p w14:paraId="11C355B3" w14:textId="7F907F02" w:rsidR="009B2CA6" w:rsidRPr="00FC03EA" w:rsidRDefault="00A17954">
            <w:pPr>
              <w:pStyle w:val="BodyText"/>
              <w:spacing w:before="120" w:after="120"/>
              <w:rPr>
                <w:rFonts w:ascii="Times New Roman" w:hAnsi="Times New Roman" w:cs="Times New Roman"/>
              </w:rPr>
            </w:pPr>
            <w:r w:rsidRPr="00FC03EA">
              <w:rPr>
                <w:rFonts w:ascii="Times New Roman" w:hAnsi="Times New Roman"/>
              </w:rPr>
              <w:t>0090 – 0100</w:t>
            </w:r>
          </w:p>
        </w:tc>
        <w:tc>
          <w:tcPr>
            <w:tcW w:w="7813" w:type="dxa"/>
          </w:tcPr>
          <w:p w14:paraId="0DBB7B5D" w14:textId="77777777" w:rsidR="009B2CA6" w:rsidRPr="00FC03EA" w:rsidRDefault="009B2CA6" w:rsidP="00627775">
            <w:pPr>
              <w:pStyle w:val="BodyText"/>
              <w:spacing w:before="120" w:after="120"/>
              <w:rPr>
                <w:rFonts w:ascii="Times New Roman" w:hAnsi="Times New Roman" w:cs="Times New Roman"/>
                <w:b/>
                <w:u w:val="single"/>
              </w:rPr>
            </w:pPr>
            <w:r w:rsidRPr="00FC03EA">
              <w:rPr>
                <w:rFonts w:ascii="Times New Roman" w:hAnsi="Times New Roman"/>
                <w:b/>
                <w:u w:val="single"/>
              </w:rPr>
              <w:t>Nástroje, ktorých hlavným rizikovým faktorom je komoditné riziko</w:t>
            </w:r>
          </w:p>
        </w:tc>
      </w:tr>
      <w:tr w:rsidR="009B2CA6" w:rsidRPr="00FC03EA" w14:paraId="621D668A" w14:textId="77777777">
        <w:trPr>
          <w:trHeight w:val="70"/>
        </w:trPr>
        <w:tc>
          <w:tcPr>
            <w:tcW w:w="1203" w:type="dxa"/>
          </w:tcPr>
          <w:p w14:paraId="5E85AB2F" w14:textId="7FA64DA7" w:rsidR="009B2CA6" w:rsidRPr="00FC03EA" w:rsidRDefault="00A17954">
            <w:pPr>
              <w:pStyle w:val="BodyText"/>
              <w:spacing w:before="120" w:after="120"/>
              <w:rPr>
                <w:rFonts w:ascii="Times New Roman" w:hAnsi="Times New Roman" w:cs="Times New Roman"/>
              </w:rPr>
            </w:pPr>
            <w:r w:rsidRPr="00FC03EA">
              <w:rPr>
                <w:rFonts w:ascii="Times New Roman" w:hAnsi="Times New Roman"/>
              </w:rPr>
              <w:lastRenderedPageBreak/>
              <w:t>0110 –⁠ 0120</w:t>
            </w:r>
          </w:p>
        </w:tc>
        <w:tc>
          <w:tcPr>
            <w:tcW w:w="7813" w:type="dxa"/>
            <w:vAlign w:val="bottom"/>
          </w:tcPr>
          <w:p w14:paraId="05743526" w14:textId="001FB570" w:rsidR="00A17954" w:rsidRPr="00FC03EA" w:rsidRDefault="00D35757" w:rsidP="00A17954">
            <w:pPr>
              <w:pStyle w:val="BodyText"/>
              <w:spacing w:before="120" w:after="120"/>
              <w:rPr>
                <w:rFonts w:ascii="Times New Roman" w:hAnsi="Times New Roman" w:cs="Times New Roman"/>
                <w:b/>
                <w:u w:val="single"/>
              </w:rPr>
            </w:pPr>
            <w:r w:rsidRPr="00FC03EA">
              <w:rPr>
                <w:rFonts w:ascii="Times New Roman" w:hAnsi="Times New Roman"/>
                <w:b/>
                <w:u w:val="single"/>
              </w:rPr>
              <w:t>Ostatné nástroje</w:t>
            </w:r>
            <w:r w:rsidR="00FC03EA" w:rsidRPr="00FC03EA">
              <w:rPr>
                <w:rFonts w:ascii="Times New Roman" w:hAnsi="Times New Roman"/>
                <w:b/>
                <w:u w:val="single"/>
              </w:rPr>
              <w:t xml:space="preserve"> v </w:t>
            </w:r>
            <w:r w:rsidRPr="00FC03EA">
              <w:rPr>
                <w:rFonts w:ascii="Times New Roman" w:hAnsi="Times New Roman"/>
                <w:b/>
                <w:u w:val="single"/>
              </w:rPr>
              <w:t>obchodnej knihe vrátane nástrojov, ktorých hlavným rizikovým faktorom je reziduálne riziko</w:t>
            </w:r>
          </w:p>
          <w:p w14:paraId="49050F01" w14:textId="46C15D04" w:rsidR="009B2CA6" w:rsidRPr="00FC03EA" w:rsidRDefault="00D35757">
            <w:pPr>
              <w:pStyle w:val="BodyText"/>
              <w:spacing w:before="120" w:after="120"/>
              <w:rPr>
                <w:rFonts w:ascii="Times New Roman" w:hAnsi="Times New Roman" w:hint="eastAsia"/>
              </w:rPr>
            </w:pPr>
            <w:r w:rsidRPr="00FC03EA">
              <w:rPr>
                <w:rFonts w:ascii="Times New Roman" w:hAnsi="Times New Roman"/>
              </w:rPr>
              <w:t>Inštitúcie vykazujú</w:t>
            </w:r>
            <w:r w:rsidR="00FC03EA" w:rsidRPr="00FC03EA">
              <w:rPr>
                <w:rFonts w:ascii="Times New Roman" w:hAnsi="Times New Roman"/>
              </w:rPr>
              <w:t xml:space="preserve"> v </w:t>
            </w:r>
            <w:r w:rsidRPr="00FC03EA">
              <w:rPr>
                <w:rFonts w:ascii="Times New Roman" w:hAnsi="Times New Roman"/>
              </w:rPr>
              <w:t>týchto riadkoch každý nástroj zaradený do obchodnej knihy, ktorého hlavným rizikovým faktorom nie je jeden</w:t>
            </w:r>
            <w:r w:rsidR="00FC03EA" w:rsidRPr="00FC03EA">
              <w:rPr>
                <w:rFonts w:ascii="Times New Roman" w:hAnsi="Times New Roman"/>
              </w:rPr>
              <w:t xml:space="preserve"> z </w:t>
            </w:r>
            <w:r w:rsidRPr="00FC03EA">
              <w:rPr>
                <w:rFonts w:ascii="Times New Roman" w:hAnsi="Times New Roman"/>
              </w:rPr>
              <w:t>rizikových faktorov uvedených</w:t>
            </w:r>
            <w:r w:rsidR="00FC03EA" w:rsidRPr="00FC03EA">
              <w:rPr>
                <w:rFonts w:ascii="Times New Roman" w:hAnsi="Times New Roman"/>
              </w:rPr>
              <w:t xml:space="preserve"> v </w:t>
            </w:r>
            <w:r w:rsidRPr="00FC03EA">
              <w:rPr>
                <w:rFonts w:ascii="Times New Roman" w:hAnsi="Times New Roman"/>
              </w:rPr>
              <w:t>riadkoch 0030 až 0100. Tieto riadky zahŕňajú prinajmenej nástroje, ktorých hlavným rizikovým faktorom sú reziduálne riziká.</w:t>
            </w:r>
          </w:p>
        </w:tc>
      </w:tr>
      <w:tr w:rsidR="009B2CA6" w:rsidRPr="00FC03EA" w14:paraId="461D04B3" w14:textId="77777777">
        <w:trPr>
          <w:trHeight w:val="70"/>
        </w:trPr>
        <w:tc>
          <w:tcPr>
            <w:tcW w:w="1203" w:type="dxa"/>
          </w:tcPr>
          <w:p w14:paraId="1CF3996C" w14:textId="0F9E87BA" w:rsidR="009B2CA6" w:rsidRPr="00FC03EA" w:rsidRDefault="00546BA6">
            <w:pPr>
              <w:pStyle w:val="BodyText"/>
              <w:spacing w:before="120" w:after="120"/>
              <w:rPr>
                <w:rFonts w:ascii="Times New Roman" w:hAnsi="Times New Roman" w:cs="Times New Roman"/>
              </w:rPr>
            </w:pPr>
            <w:r w:rsidRPr="00FC03EA">
              <w:rPr>
                <w:rFonts w:ascii="Times New Roman" w:hAnsi="Times New Roman"/>
              </w:rPr>
              <w:t>0130 – 0140</w:t>
            </w:r>
          </w:p>
        </w:tc>
        <w:tc>
          <w:tcPr>
            <w:tcW w:w="7813" w:type="dxa"/>
            <w:vAlign w:val="bottom"/>
          </w:tcPr>
          <w:p w14:paraId="48517D2E" w14:textId="716BF7F0" w:rsidR="009B2CA6" w:rsidRPr="00FC03EA" w:rsidRDefault="009B2CA6">
            <w:pPr>
              <w:pStyle w:val="BodyText"/>
              <w:spacing w:before="120" w:after="120"/>
              <w:rPr>
                <w:rFonts w:ascii="Times New Roman" w:hAnsi="Times New Roman" w:cs="Times New Roman"/>
                <w:b/>
                <w:u w:val="single"/>
              </w:rPr>
            </w:pPr>
            <w:r w:rsidRPr="00FC03EA">
              <w:rPr>
                <w:rFonts w:ascii="Times New Roman" w:hAnsi="Times New Roman"/>
                <w:b/>
                <w:u w:val="single"/>
              </w:rPr>
              <w:t>Doplňujúca položka: nástroje klasifikované ako nástroje</w:t>
            </w:r>
            <w:r w:rsidR="00FC03EA" w:rsidRPr="00FC03EA">
              <w:rPr>
                <w:rFonts w:ascii="Times New Roman" w:hAnsi="Times New Roman"/>
                <w:b/>
                <w:u w:val="single"/>
              </w:rPr>
              <w:t xml:space="preserve"> s </w:t>
            </w:r>
            <w:r w:rsidRPr="00FC03EA">
              <w:rPr>
                <w:rFonts w:ascii="Times New Roman" w:hAnsi="Times New Roman"/>
                <w:b/>
                <w:u w:val="single"/>
              </w:rPr>
              <w:t>obchodným účelom podľa účtovného rámca</w:t>
            </w:r>
          </w:p>
          <w:p w14:paraId="3A1B5873" w14:textId="2E008E4E" w:rsidR="009B2CA6" w:rsidRPr="00FC03EA" w:rsidRDefault="009B2CA6" w:rsidP="00723BA8">
            <w:pPr>
              <w:pStyle w:val="BodyText"/>
              <w:spacing w:before="120" w:after="120"/>
              <w:rPr>
                <w:rFonts w:ascii="Times New Roman" w:hAnsi="Times New Roman" w:cs="Times New Roman"/>
              </w:rPr>
            </w:pPr>
            <w:r w:rsidRPr="00FC03EA">
              <w:rPr>
                <w:rFonts w:ascii="Times New Roman" w:hAnsi="Times New Roman"/>
              </w:rPr>
              <w:t xml:space="preserve">Článok 104 ods. 2 prvý pododsek písm. d) nariadenia (EÚ) </w:t>
            </w:r>
            <w:r w:rsidR="00FC03EA" w:rsidRPr="00FC03EA">
              <w:rPr>
                <w:rFonts w:ascii="Times New Roman" w:hAnsi="Times New Roman"/>
              </w:rPr>
              <w:t>č. </w:t>
            </w:r>
            <w:r w:rsidRPr="00FC03EA">
              <w:rPr>
                <w:rFonts w:ascii="Times New Roman" w:hAnsi="Times New Roman"/>
              </w:rPr>
              <w:t>575/2013</w:t>
            </w:r>
          </w:p>
        </w:tc>
      </w:tr>
    </w:tbl>
    <w:p w14:paraId="59860518" w14:textId="5FCC674D" w:rsidR="00AB3069" w:rsidRPr="00FC03EA" w:rsidRDefault="00201582" w:rsidP="000059B8">
      <w:pPr>
        <w:pStyle w:val="Instructionsberschrift2"/>
        <w:numPr>
          <w:ilvl w:val="0"/>
          <w:numId w:val="0"/>
        </w:numPr>
        <w:ind w:left="357" w:hanging="357"/>
        <w:rPr>
          <w:rFonts w:ascii="Times New Roman" w:hAnsi="Times New Roman"/>
        </w:rPr>
      </w:pPr>
      <w:bookmarkStart w:id="15" w:name="_Toc151714544"/>
      <w:r w:rsidRPr="00FC03EA">
        <w:rPr>
          <w:rFonts w:ascii="Times New Roman" w:hAnsi="Times New Roman"/>
          <w:sz w:val="24"/>
        </w:rPr>
        <w:t>9.3. C 24.01. Hranica pre obchodnú knihu – reklasifikácie medzi knihami (MOV)</w:t>
      </w:r>
      <w:bookmarkEnd w:id="15"/>
    </w:p>
    <w:p w14:paraId="36E171AE" w14:textId="77777777" w:rsidR="00F65FA6" w:rsidRPr="00FC03EA" w:rsidRDefault="00F65FA6" w:rsidP="00F65FA6">
      <w:pPr>
        <w:pStyle w:val="Instructionsberschrift2"/>
        <w:numPr>
          <w:ilvl w:val="0"/>
          <w:numId w:val="0"/>
        </w:numPr>
        <w:ind w:left="357" w:hanging="357"/>
        <w:rPr>
          <w:rFonts w:ascii="Times New Roman" w:hAnsi="Times New Roman" w:cs="Times New Roman"/>
          <w:sz w:val="24"/>
          <w:u w:val="none"/>
        </w:rPr>
      </w:pPr>
      <w:r w:rsidRPr="00FC03EA">
        <w:rPr>
          <w:rFonts w:ascii="Times New Roman" w:hAnsi="Times New Roman"/>
          <w:sz w:val="24"/>
          <w:u w:val="none"/>
        </w:rPr>
        <w:t>9.3.1.</w:t>
      </w:r>
      <w:r w:rsidRPr="00FC03EA">
        <w:rPr>
          <w:rFonts w:ascii="Times New Roman" w:hAnsi="Times New Roman"/>
          <w:u w:val="none"/>
        </w:rPr>
        <w:tab/>
      </w:r>
      <w:r w:rsidRPr="00FC03EA">
        <w:rPr>
          <w:rFonts w:ascii="Times New Roman" w:hAnsi="Times New Roman"/>
          <w:sz w:val="24"/>
          <w:u w:val="none"/>
        </w:rPr>
        <w:t>Všeobecné poznámky</w:t>
      </w:r>
    </w:p>
    <w:p w14:paraId="2AF4F00C" w14:textId="33AE5D2E" w:rsidR="00FC03EA" w:rsidRPr="00FC03EA" w:rsidRDefault="00FC03EA" w:rsidP="00FC03EA">
      <w:pPr>
        <w:pStyle w:val="InstructionsText2"/>
        <w:numPr>
          <w:ilvl w:val="0"/>
          <w:numId w:val="0"/>
        </w:numPr>
        <w:spacing w:line="259" w:lineRule="auto"/>
        <w:ind w:left="1353" w:hanging="360"/>
      </w:pPr>
      <w:r w:rsidRPr="00FC03EA">
        <w:t>210.</w:t>
      </w:r>
      <w:r w:rsidRPr="00FC03EA">
        <w:tab/>
      </w:r>
      <w:r w:rsidR="00F65FA6" w:rsidRPr="00FC03EA">
        <w:t>Tento vzor sa používa na poskytovanie informácií</w:t>
      </w:r>
      <w:r w:rsidRPr="00FC03EA">
        <w:t xml:space="preserve"> o </w:t>
      </w:r>
      <w:r w:rsidR="00F65FA6" w:rsidRPr="00FC03EA">
        <w:t>reklasifikácii pozícií</w:t>
      </w:r>
      <w:r w:rsidRPr="00FC03EA">
        <w:t xml:space="preserve"> v </w:t>
      </w:r>
      <w:r w:rsidR="00F65FA6" w:rsidRPr="00FC03EA">
        <w:t>súlade</w:t>
      </w:r>
      <w:r w:rsidRPr="00FC03EA">
        <w:t xml:space="preserve"> s </w:t>
      </w:r>
      <w:r w:rsidR="00F65FA6" w:rsidRPr="00FC03EA">
        <w:t xml:space="preserve">článkom 104a nariadenia (EÚ) </w:t>
      </w:r>
      <w:r w:rsidRPr="00FC03EA">
        <w:t>č. </w:t>
      </w:r>
      <w:r w:rsidR="00F65FA6" w:rsidRPr="00FC03EA">
        <w:t>575/2013</w:t>
      </w:r>
      <w:r w:rsidRPr="00FC03EA">
        <w:t>.</w:t>
      </w:r>
    </w:p>
    <w:p w14:paraId="171B977F" w14:textId="11E5B06F" w:rsidR="00F65FA6" w:rsidRPr="00FC03EA" w:rsidRDefault="00FC03EA" w:rsidP="00FC03EA">
      <w:pPr>
        <w:pStyle w:val="InstructionsText2"/>
        <w:numPr>
          <w:ilvl w:val="0"/>
          <w:numId w:val="0"/>
        </w:numPr>
        <w:spacing w:line="259" w:lineRule="auto"/>
        <w:ind w:left="1353" w:hanging="360"/>
      </w:pPr>
      <w:r w:rsidRPr="00FC03EA">
        <w:t>211.</w:t>
      </w:r>
      <w:r w:rsidRPr="00FC03EA">
        <w:tab/>
      </w:r>
      <w:r w:rsidR="00F65FA6" w:rsidRPr="00FC03EA">
        <w:t>Reklasifikácie sa vykazujú</w:t>
      </w:r>
      <w:r w:rsidRPr="00FC03EA">
        <w:t xml:space="preserve"> v </w:t>
      </w:r>
      <w:r w:rsidR="00F65FA6" w:rsidRPr="00FC03EA">
        <w:t>tomto vzore len</w:t>
      </w:r>
      <w:r w:rsidRPr="00FC03EA">
        <w:t xml:space="preserve"> v </w:t>
      </w:r>
      <w:r w:rsidR="00F65FA6" w:rsidRPr="00FC03EA">
        <w:t>týchto dvoch prípadoch:</w:t>
      </w:r>
    </w:p>
    <w:p w14:paraId="188FB065" w14:textId="28157FDE" w:rsidR="00F65FA6" w:rsidRPr="00FC03EA" w:rsidRDefault="00FC03EA" w:rsidP="00FC03EA">
      <w:pPr>
        <w:pStyle w:val="InstructionsText2"/>
        <w:numPr>
          <w:ilvl w:val="0"/>
          <w:numId w:val="0"/>
        </w:numPr>
        <w:spacing w:line="259" w:lineRule="auto"/>
        <w:ind w:left="2073" w:hanging="360"/>
      </w:pPr>
      <w:r w:rsidRPr="00FC03EA">
        <w:t>a)</w:t>
      </w:r>
      <w:r w:rsidRPr="00FC03EA">
        <w:tab/>
      </w:r>
      <w:r w:rsidR="00F65FA6" w:rsidRPr="00FC03EA">
        <w:t>ak príslušný orgán udelil povolenie na reklasifikáciu pozície</w:t>
      </w:r>
      <w:r w:rsidRPr="00FC03EA">
        <w:t xml:space="preserve"> v </w:t>
      </w:r>
      <w:r w:rsidR="00F65FA6" w:rsidRPr="00FC03EA">
        <w:t>obchodnej knihe na pozíciu</w:t>
      </w:r>
      <w:r w:rsidRPr="00FC03EA">
        <w:t xml:space="preserve"> v </w:t>
      </w:r>
      <w:r w:rsidR="00F65FA6" w:rsidRPr="00FC03EA">
        <w:t>neobchodnej knihe alebo naopak;</w:t>
      </w:r>
    </w:p>
    <w:p w14:paraId="5B6EC138" w14:textId="5BD74130" w:rsidR="00F65FA6" w:rsidRPr="00FC03EA" w:rsidRDefault="00FC03EA" w:rsidP="00FC03EA">
      <w:pPr>
        <w:pStyle w:val="InstructionsText2"/>
        <w:numPr>
          <w:ilvl w:val="0"/>
          <w:numId w:val="0"/>
        </w:numPr>
        <w:spacing w:line="259" w:lineRule="auto"/>
        <w:ind w:left="2073" w:hanging="360"/>
      </w:pPr>
      <w:r w:rsidRPr="00FC03EA">
        <w:t>b)</w:t>
      </w:r>
      <w:r w:rsidRPr="00FC03EA">
        <w:tab/>
      </w:r>
      <w:r w:rsidR="00F65FA6" w:rsidRPr="00FC03EA">
        <w:t>ak reklasifikácia spĺňa podmienky stanovené</w:t>
      </w:r>
      <w:r w:rsidRPr="00FC03EA">
        <w:t xml:space="preserve"> v </w:t>
      </w:r>
      <w:r w:rsidR="00F65FA6" w:rsidRPr="00FC03EA">
        <w:t xml:space="preserve">článku 104a ods. 6 nariadenia (EÚ) </w:t>
      </w:r>
      <w:r w:rsidRPr="00FC03EA">
        <w:t>č. </w:t>
      </w:r>
      <w:r w:rsidR="00F65FA6" w:rsidRPr="00FC03EA">
        <w:t>575/2013</w:t>
      </w:r>
      <w:r w:rsidRPr="00FC03EA">
        <w:t xml:space="preserve"> a </w:t>
      </w:r>
      <w:r w:rsidR="00F65FA6" w:rsidRPr="00FC03EA">
        <w:t>môže sa vykonať bez výslovného povolenia príslušného orgánu.</w:t>
      </w:r>
    </w:p>
    <w:p w14:paraId="42F779D4" w14:textId="5B1417F4" w:rsidR="00F65FA6" w:rsidRPr="00FC03EA" w:rsidRDefault="00FC03EA" w:rsidP="00FC03EA">
      <w:pPr>
        <w:pStyle w:val="InstructionsText2"/>
        <w:numPr>
          <w:ilvl w:val="0"/>
          <w:numId w:val="0"/>
        </w:numPr>
        <w:spacing w:line="259" w:lineRule="auto"/>
        <w:ind w:left="1353" w:hanging="360"/>
      </w:pPr>
      <w:r w:rsidRPr="00FC03EA">
        <w:t>212.</w:t>
      </w:r>
      <w:r w:rsidRPr="00FC03EA">
        <w:tab/>
      </w:r>
      <w:r w:rsidR="00F65FA6" w:rsidRPr="00FC03EA">
        <w:t>Vo vzore sa vykazujú tieto reklasifikované nástroje:</w:t>
      </w:r>
    </w:p>
    <w:p w14:paraId="2B0996DA" w14:textId="6BECAA99" w:rsidR="00F65FA6" w:rsidRPr="00FC03EA" w:rsidRDefault="00FC03EA" w:rsidP="00FC03EA">
      <w:pPr>
        <w:pStyle w:val="InstructionsText2"/>
        <w:numPr>
          <w:ilvl w:val="0"/>
          <w:numId w:val="0"/>
        </w:numPr>
        <w:spacing w:line="259" w:lineRule="auto"/>
        <w:ind w:left="2073" w:hanging="360"/>
      </w:pPr>
      <w:r w:rsidRPr="00FC03EA">
        <w:t>a)</w:t>
      </w:r>
      <w:r w:rsidRPr="00FC03EA">
        <w:tab/>
      </w:r>
      <w:r w:rsidR="00F65FA6" w:rsidRPr="00FC03EA">
        <w:t>nástroje, ktoré boli reklasifikované počas štvrťroka, na ktorý sa vykazovanie vzťahuje. Všetky nástroje, ktoré boli reklasifikované počas štvrťroka, sa vykazujú</w:t>
      </w:r>
      <w:r w:rsidRPr="00FC03EA">
        <w:t xml:space="preserve"> v </w:t>
      </w:r>
      <w:r w:rsidR="00F65FA6" w:rsidRPr="00FC03EA">
        <w:t>tomto vzore, bez ohľadu na to, či reklasifikácia viedla</w:t>
      </w:r>
      <w:r w:rsidRPr="00FC03EA">
        <w:t xml:space="preserve"> k </w:t>
      </w:r>
      <w:r w:rsidR="00F65FA6" w:rsidRPr="00FC03EA">
        <w:t xml:space="preserve">zníženiu požiadaviek na vlastné zdroje, alebo nie. Nástroj, ktorý bol </w:t>
      </w:r>
      <w:proofErr w:type="spellStart"/>
      <w:r w:rsidR="00F65FA6" w:rsidRPr="00FC03EA">
        <w:t>reklasifikovaný</w:t>
      </w:r>
      <w:proofErr w:type="spellEnd"/>
      <w:r w:rsidR="00F65FA6" w:rsidRPr="00FC03EA">
        <w:t xml:space="preserve"> počas štvrťroka, sa vykazuje aj vtedy, ak sa vykazovanie nástroja ukončilo alebo nastala jeho splatnosť</w:t>
      </w:r>
      <w:r w:rsidRPr="00FC03EA">
        <w:t xml:space="preserve"> v </w:t>
      </w:r>
      <w:r w:rsidR="00F65FA6" w:rsidRPr="00FC03EA">
        <w:t>období medzi dátumom reklasifikácie</w:t>
      </w:r>
      <w:r w:rsidRPr="00FC03EA">
        <w:t xml:space="preserve"> a </w:t>
      </w:r>
      <w:r w:rsidR="00F65FA6" w:rsidRPr="00FC03EA">
        <w:t>referenčným dátumom vykazovania;</w:t>
      </w:r>
    </w:p>
    <w:p w14:paraId="157D2D6F" w14:textId="71599974" w:rsidR="00FC03EA" w:rsidRPr="00FC03EA" w:rsidRDefault="00FC03EA" w:rsidP="00FC03EA">
      <w:pPr>
        <w:pStyle w:val="InstructionsText2"/>
        <w:numPr>
          <w:ilvl w:val="0"/>
          <w:numId w:val="0"/>
        </w:numPr>
        <w:spacing w:line="259" w:lineRule="auto"/>
        <w:ind w:left="2073" w:hanging="360"/>
      </w:pPr>
      <w:r w:rsidRPr="00FC03EA">
        <w:t>b)</w:t>
      </w:r>
      <w:r w:rsidRPr="00FC03EA">
        <w:tab/>
      </w:r>
      <w:r w:rsidR="00F65FA6" w:rsidRPr="00FC03EA">
        <w:t>nástroje, ktoré boli reklasifikované</w:t>
      </w:r>
      <w:r w:rsidRPr="00FC03EA">
        <w:t xml:space="preserve"> v </w:t>
      </w:r>
      <w:r w:rsidR="00F65FA6" w:rsidRPr="00FC03EA">
        <w:t>predchádzajúcich obdobiach vykazovania</w:t>
      </w:r>
      <w:r w:rsidRPr="00FC03EA">
        <w:t xml:space="preserve"> a </w:t>
      </w:r>
      <w:r w:rsidR="00F65FA6" w:rsidRPr="00FC03EA">
        <w:t>na ktoré sa ešte stále viaže požiadavka na vlastné zdroje</w:t>
      </w:r>
      <w:r w:rsidRPr="00FC03EA">
        <w:t xml:space="preserve"> v </w:t>
      </w:r>
      <w:r w:rsidR="00F65FA6" w:rsidRPr="00FC03EA">
        <w:t>súlade</w:t>
      </w:r>
      <w:r w:rsidRPr="00FC03EA">
        <w:t xml:space="preserve"> s </w:t>
      </w:r>
      <w:r w:rsidR="00F65FA6" w:rsidRPr="00FC03EA">
        <w:t xml:space="preserve">článkom 104a ods. 3 písm. b) nariadenia (EÚ) </w:t>
      </w:r>
      <w:r w:rsidRPr="00FC03EA">
        <w:t>č. </w:t>
      </w:r>
      <w:r w:rsidR="00F65FA6" w:rsidRPr="00FC03EA">
        <w:t>575/2013</w:t>
      </w:r>
      <w:r w:rsidRPr="00FC03EA">
        <w:t xml:space="preserve"> k </w:t>
      </w:r>
      <w:r w:rsidR="00F65FA6" w:rsidRPr="00FC03EA">
        <w:t>referenčnému dátumu vykazovania</w:t>
      </w:r>
      <w:r w:rsidRPr="00FC03EA">
        <w:t>;</w:t>
      </w:r>
    </w:p>
    <w:p w14:paraId="04E7DE74" w14:textId="1560EA4F" w:rsidR="00F65FA6" w:rsidRPr="00FC03EA" w:rsidRDefault="00FC03EA" w:rsidP="00FC03EA">
      <w:pPr>
        <w:pStyle w:val="InstructionsText2"/>
        <w:numPr>
          <w:ilvl w:val="0"/>
          <w:numId w:val="0"/>
        </w:numPr>
        <w:spacing w:line="259" w:lineRule="auto"/>
        <w:ind w:left="2073" w:hanging="360"/>
      </w:pPr>
      <w:r w:rsidRPr="00FC03EA">
        <w:t>c)</w:t>
      </w:r>
      <w:r w:rsidRPr="00FC03EA">
        <w:tab/>
      </w:r>
      <w:r w:rsidR="00F65FA6" w:rsidRPr="00FC03EA">
        <w:t>nástroje, ktoré boli reklasifikované</w:t>
      </w:r>
      <w:r w:rsidRPr="00FC03EA">
        <w:t xml:space="preserve"> v </w:t>
      </w:r>
      <w:r w:rsidR="00F65FA6" w:rsidRPr="00FC03EA">
        <w:t>predchádzajúcich obdobiach vykazovania</w:t>
      </w:r>
      <w:r w:rsidRPr="00FC03EA">
        <w:t xml:space="preserve"> a </w:t>
      </w:r>
      <w:r w:rsidR="00F65FA6" w:rsidRPr="00FC03EA">
        <w:t>na ktoré sa viazala požiadavka na vlastné zdroje</w:t>
      </w:r>
      <w:r w:rsidRPr="00FC03EA">
        <w:t xml:space="preserve"> v </w:t>
      </w:r>
      <w:r w:rsidR="00F65FA6" w:rsidRPr="00FC03EA">
        <w:t>súlade</w:t>
      </w:r>
      <w:r w:rsidRPr="00FC03EA">
        <w:t xml:space="preserve"> s </w:t>
      </w:r>
      <w:r w:rsidR="00F65FA6" w:rsidRPr="00FC03EA">
        <w:t xml:space="preserve">článkom 104a ods. 3 písm. b) nariadenia (EÚ) </w:t>
      </w:r>
      <w:r w:rsidRPr="00FC03EA">
        <w:t>č. </w:t>
      </w:r>
      <w:r w:rsidR="00F65FA6" w:rsidRPr="00FC03EA">
        <w:t>575/2013</w:t>
      </w:r>
      <w:r w:rsidRPr="00FC03EA">
        <w:t xml:space="preserve"> k </w:t>
      </w:r>
      <w:r w:rsidR="00F65FA6" w:rsidRPr="00FC03EA">
        <w:t>predchádzajú</w:t>
      </w:r>
      <w:r w:rsidR="00F65FA6" w:rsidRPr="00FC03EA">
        <w:lastRenderedPageBreak/>
        <w:t>cemu referenčnému dátumu vykazovania, ak rozhodnutie príslušného orgánu povoliť, aby sa uznalo zníženie požiadaviek na vlastné zdroje nadobudne účinnosť počas štvrťroka, na ktorý sa vykazovanie vzťahuje.</w:t>
      </w:r>
    </w:p>
    <w:p w14:paraId="4E4DBEFD" w14:textId="7B444A96" w:rsidR="00F65FA6" w:rsidRPr="00FC03EA" w:rsidRDefault="00FC03EA" w:rsidP="00FC03EA">
      <w:pPr>
        <w:pStyle w:val="InstructionsText2"/>
        <w:numPr>
          <w:ilvl w:val="0"/>
          <w:numId w:val="0"/>
        </w:numPr>
        <w:spacing w:line="259" w:lineRule="auto"/>
        <w:ind w:left="1353" w:hanging="360"/>
      </w:pPr>
      <w:r w:rsidRPr="00FC03EA">
        <w:t>213.</w:t>
      </w:r>
      <w:r w:rsidRPr="00FC03EA">
        <w:tab/>
      </w:r>
      <w:r w:rsidR="00F65FA6" w:rsidRPr="00FC03EA">
        <w:t>Inštitúcie vykazujú informácie</w:t>
      </w:r>
      <w:r w:rsidRPr="00FC03EA">
        <w:t xml:space="preserve"> o </w:t>
      </w:r>
      <w:r w:rsidR="00F65FA6" w:rsidRPr="00FC03EA">
        <w:t xml:space="preserve">reklasifikácii samostatne pre každý nástroj, ktorý bol </w:t>
      </w:r>
      <w:proofErr w:type="spellStart"/>
      <w:r w:rsidR="00F65FA6" w:rsidRPr="00FC03EA">
        <w:t>reklasifikovaný</w:t>
      </w:r>
      <w:proofErr w:type="spellEnd"/>
      <w:r w:rsidR="00F65FA6" w:rsidRPr="00FC03EA">
        <w:t>.</w:t>
      </w:r>
    </w:p>
    <w:p w14:paraId="38101C4A" w14:textId="00EC1091" w:rsidR="00FC03EA" w:rsidRPr="00FC03EA" w:rsidRDefault="00FC03EA" w:rsidP="00FC03EA">
      <w:pPr>
        <w:pStyle w:val="InstructionsText2"/>
        <w:numPr>
          <w:ilvl w:val="0"/>
          <w:numId w:val="0"/>
        </w:numPr>
        <w:spacing w:line="259" w:lineRule="auto"/>
        <w:ind w:left="1353" w:hanging="360"/>
      </w:pPr>
      <w:r w:rsidRPr="00FC03EA">
        <w:t>214.</w:t>
      </w:r>
      <w:r w:rsidRPr="00FC03EA">
        <w:tab/>
      </w:r>
      <w:r w:rsidR="00F65FA6" w:rsidRPr="00FC03EA">
        <w:t>Políčko „</w:t>
      </w:r>
      <w:proofErr w:type="spellStart"/>
      <w:r w:rsidR="00F65FA6" w:rsidRPr="00FC03EA">
        <w:t>započítavacia</w:t>
      </w:r>
      <w:proofErr w:type="spellEnd"/>
      <w:r w:rsidR="00F65FA6" w:rsidRPr="00FC03EA">
        <w:t xml:space="preserve"> skupina“ sa používa na označenie </w:t>
      </w:r>
      <w:proofErr w:type="spellStart"/>
      <w:r w:rsidR="00F65FA6" w:rsidRPr="00FC03EA">
        <w:t>započítavacej</w:t>
      </w:r>
      <w:proofErr w:type="spellEnd"/>
      <w:r w:rsidR="00F65FA6" w:rsidRPr="00FC03EA">
        <w:t xml:space="preserve"> skupiny, ktorá zahŕňa skupinu, ktorá má</w:t>
      </w:r>
      <w:r w:rsidRPr="00FC03EA">
        <w:t xml:space="preserve"> v </w:t>
      </w:r>
      <w:r w:rsidR="00F65FA6" w:rsidRPr="00FC03EA">
        <w:t>držbe pozície</w:t>
      </w:r>
      <w:r w:rsidRPr="00FC03EA">
        <w:t xml:space="preserve"> k </w:t>
      </w:r>
      <w:r w:rsidR="00F65FA6" w:rsidRPr="00FC03EA">
        <w:t>referenčnému dátumu alebo prípadne</w:t>
      </w:r>
      <w:r w:rsidRPr="00FC03EA">
        <w:t xml:space="preserve"> k </w:t>
      </w:r>
      <w:r w:rsidR="00F65FA6" w:rsidRPr="00FC03EA">
        <w:t>dátumu splatnosti alebo ukončeniu vykazovania</w:t>
      </w:r>
      <w:r w:rsidRPr="00FC03EA">
        <w:t>.</w:t>
      </w:r>
    </w:p>
    <w:p w14:paraId="27A31F03" w14:textId="11A9BEF9" w:rsidR="00F65FA6" w:rsidRPr="00FC03EA" w:rsidRDefault="00F65FA6" w:rsidP="00F65FA6">
      <w:pPr>
        <w:pStyle w:val="Instructionsberschrift2"/>
        <w:numPr>
          <w:ilvl w:val="0"/>
          <w:numId w:val="0"/>
        </w:numPr>
        <w:ind w:left="357" w:hanging="357"/>
        <w:rPr>
          <w:rFonts w:ascii="Times New Roman" w:hAnsi="Times New Roman" w:cs="Times New Roman"/>
          <w:sz w:val="24"/>
          <w:u w:val="none"/>
        </w:rPr>
      </w:pPr>
      <w:r w:rsidRPr="00FC03EA">
        <w:rPr>
          <w:rFonts w:ascii="Times New Roman" w:hAnsi="Times New Roman"/>
          <w:sz w:val="24"/>
          <w:u w:val="none"/>
        </w:rPr>
        <w:t>9.3.2.</w:t>
      </w:r>
      <w:r w:rsidRPr="00FC03EA">
        <w:rPr>
          <w:rFonts w:ascii="Times New Roman" w:hAnsi="Times New Roman"/>
        </w:rPr>
        <w:tab/>
      </w:r>
      <w:r w:rsidRPr="00FC03EA">
        <w:rPr>
          <w:rFonts w:ascii="Times New Roman" w:hAnsi="Times New Roman"/>
          <w:sz w:val="24"/>
          <w:u w:val="none"/>
        </w:rPr>
        <w:t>Pokyny týkajúce sa konkrétnych pozícií</w:t>
      </w:r>
    </w:p>
    <w:tbl>
      <w:tblPr>
        <w:tblStyle w:val="TableGrid"/>
        <w:tblW w:w="0" w:type="auto"/>
        <w:tblLook w:val="04A0" w:firstRow="1" w:lastRow="0" w:firstColumn="1" w:lastColumn="0" w:noHBand="0" w:noVBand="1"/>
      </w:tblPr>
      <w:tblGrid>
        <w:gridCol w:w="1203"/>
        <w:gridCol w:w="7813"/>
      </w:tblGrid>
      <w:tr w:rsidR="00F65FA6" w:rsidRPr="00FC03EA" w14:paraId="4E787111" w14:textId="77777777" w:rsidTr="00E02007">
        <w:tc>
          <w:tcPr>
            <w:tcW w:w="1203" w:type="dxa"/>
            <w:shd w:val="clear" w:color="auto" w:fill="BFBFBF" w:themeFill="background1" w:themeFillShade="BF"/>
          </w:tcPr>
          <w:p w14:paraId="37E96ED0" w14:textId="77777777" w:rsidR="00F65FA6" w:rsidRPr="00FC03EA" w:rsidRDefault="00F65FA6" w:rsidP="00E02007">
            <w:pPr>
              <w:pStyle w:val="BodyText"/>
              <w:spacing w:before="120" w:after="120"/>
              <w:rPr>
                <w:rFonts w:ascii="Times New Roman" w:hAnsi="Times New Roman" w:cs="Times New Roman"/>
                <w:b/>
              </w:rPr>
            </w:pPr>
            <w:r w:rsidRPr="00FC03EA">
              <w:rPr>
                <w:rFonts w:ascii="Times New Roman" w:hAnsi="Times New Roman"/>
                <w:b/>
              </w:rPr>
              <w:t>Stĺpec</w:t>
            </w:r>
          </w:p>
        </w:tc>
        <w:tc>
          <w:tcPr>
            <w:tcW w:w="7813" w:type="dxa"/>
            <w:shd w:val="clear" w:color="auto" w:fill="BFBFBF" w:themeFill="background1" w:themeFillShade="BF"/>
          </w:tcPr>
          <w:p w14:paraId="114CE84C" w14:textId="38ECE15C" w:rsidR="00F65FA6" w:rsidRPr="00FC03EA" w:rsidRDefault="00F65FA6" w:rsidP="00E02007">
            <w:pPr>
              <w:pStyle w:val="BodyText"/>
              <w:spacing w:before="120" w:after="120"/>
              <w:rPr>
                <w:rFonts w:ascii="Times New Roman" w:hAnsi="Times New Roman" w:cs="Times New Roman"/>
                <w:b/>
              </w:rPr>
            </w:pPr>
            <w:r w:rsidRPr="00FC03EA">
              <w:rPr>
                <w:rFonts w:ascii="Times New Roman" w:hAnsi="Times New Roman"/>
                <w:b/>
              </w:rPr>
              <w:t>Odkazy na právne predpisy</w:t>
            </w:r>
            <w:r w:rsidR="00FC03EA" w:rsidRPr="00FC03EA">
              <w:rPr>
                <w:rFonts w:ascii="Times New Roman" w:hAnsi="Times New Roman"/>
                <w:b/>
              </w:rPr>
              <w:t xml:space="preserve"> a </w:t>
            </w:r>
            <w:r w:rsidRPr="00FC03EA">
              <w:rPr>
                <w:rFonts w:ascii="Times New Roman" w:hAnsi="Times New Roman"/>
                <w:b/>
              </w:rPr>
              <w:t>pokyny</w:t>
            </w:r>
          </w:p>
        </w:tc>
      </w:tr>
      <w:tr w:rsidR="00F65FA6" w:rsidRPr="00FC03EA" w14:paraId="7804A6AA" w14:textId="77777777" w:rsidTr="00E02007">
        <w:trPr>
          <w:trHeight w:val="1408"/>
        </w:trPr>
        <w:tc>
          <w:tcPr>
            <w:tcW w:w="1203" w:type="dxa"/>
          </w:tcPr>
          <w:p w14:paraId="7D96819F"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0010</w:t>
            </w:r>
          </w:p>
        </w:tc>
        <w:tc>
          <w:tcPr>
            <w:tcW w:w="7813" w:type="dxa"/>
            <w:vAlign w:val="bottom"/>
          </w:tcPr>
          <w:p w14:paraId="11F7B8E9" w14:textId="77777777"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b/>
                <w:u w:val="single"/>
              </w:rPr>
              <w:t>Identifikátor reklasifikácie</w:t>
            </w:r>
          </w:p>
          <w:p w14:paraId="677D77C4"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 xml:space="preserve">Interný (alfanumerický) kód používaný vykazujúcim subjektom na identifikáciu </w:t>
            </w:r>
            <w:proofErr w:type="spellStart"/>
            <w:r w:rsidRPr="00FC03EA">
              <w:rPr>
                <w:rFonts w:ascii="Times New Roman" w:hAnsi="Times New Roman"/>
              </w:rPr>
              <w:t>reklasifikovaného</w:t>
            </w:r>
            <w:proofErr w:type="spellEnd"/>
            <w:r w:rsidRPr="00FC03EA">
              <w:rPr>
                <w:rFonts w:ascii="Times New Roman" w:hAnsi="Times New Roman"/>
              </w:rPr>
              <w:t xml:space="preserve"> nástroja alebo prípadne reklasifikácie.</w:t>
            </w:r>
          </w:p>
          <w:p w14:paraId="53689216" w14:textId="602A4DA9"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Každej reklasifikácii je pridružený rôzny identifikátor. Identifikátor pridelený jednej</w:t>
            </w:r>
            <w:r w:rsidR="00FC03EA" w:rsidRPr="00FC03EA">
              <w:rPr>
                <w:rFonts w:ascii="Times New Roman" w:hAnsi="Times New Roman"/>
              </w:rPr>
              <w:t xml:space="preserve"> a </w:t>
            </w:r>
            <w:r w:rsidRPr="00FC03EA">
              <w:rPr>
                <w:rFonts w:ascii="Times New Roman" w:hAnsi="Times New Roman"/>
              </w:rPr>
              <w:t>tej istej reklasifikácii musí byť jedinečný</w:t>
            </w:r>
            <w:r w:rsidR="00FC03EA" w:rsidRPr="00FC03EA">
              <w:rPr>
                <w:rFonts w:ascii="Times New Roman" w:hAnsi="Times New Roman"/>
              </w:rPr>
              <w:t xml:space="preserve"> a </w:t>
            </w:r>
            <w:r w:rsidRPr="00FC03EA">
              <w:rPr>
                <w:rFonts w:ascii="Times New Roman" w:hAnsi="Times New Roman"/>
              </w:rPr>
              <w:t>používaný konzistentne</w:t>
            </w:r>
            <w:r w:rsidR="00FC03EA" w:rsidRPr="00FC03EA">
              <w:rPr>
                <w:rFonts w:ascii="Times New Roman" w:hAnsi="Times New Roman"/>
              </w:rPr>
              <w:t xml:space="preserve"> v </w:t>
            </w:r>
            <w:r w:rsidRPr="00FC03EA">
              <w:rPr>
                <w:rFonts w:ascii="Times New Roman" w:hAnsi="Times New Roman"/>
              </w:rPr>
              <w:t>priebehu času</w:t>
            </w:r>
            <w:r w:rsidR="00FC03EA" w:rsidRPr="00FC03EA">
              <w:rPr>
                <w:rFonts w:ascii="Times New Roman" w:hAnsi="Times New Roman"/>
              </w:rPr>
              <w:t xml:space="preserve"> a </w:t>
            </w:r>
            <w:r w:rsidRPr="00FC03EA">
              <w:rPr>
                <w:rFonts w:ascii="Times New Roman" w:hAnsi="Times New Roman"/>
              </w:rPr>
              <w:t>vo všetkých vykazovaniach.</w:t>
            </w:r>
          </w:p>
          <w:p w14:paraId="6DB947CE" w14:textId="15CCC5C1"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rPr>
              <w:t>Ide</w:t>
            </w:r>
            <w:r w:rsidR="00FC03EA" w:rsidRPr="00FC03EA">
              <w:rPr>
                <w:rFonts w:ascii="Times New Roman" w:hAnsi="Times New Roman"/>
              </w:rPr>
              <w:t xml:space="preserve"> o </w:t>
            </w:r>
            <w:r w:rsidRPr="00FC03EA">
              <w:rPr>
                <w:rFonts w:ascii="Times New Roman" w:hAnsi="Times New Roman"/>
              </w:rPr>
              <w:t>identifikátor riadku, ktorý musí byť jedinečný pre každý riadok vzoru.</w:t>
            </w:r>
          </w:p>
        </w:tc>
      </w:tr>
      <w:tr w:rsidR="00F65FA6" w:rsidRPr="00FC03EA" w14:paraId="59ECF46A" w14:textId="77777777" w:rsidTr="00E02007">
        <w:tc>
          <w:tcPr>
            <w:tcW w:w="1203" w:type="dxa"/>
          </w:tcPr>
          <w:p w14:paraId="657AB946"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0020</w:t>
            </w:r>
          </w:p>
        </w:tc>
        <w:tc>
          <w:tcPr>
            <w:tcW w:w="7813" w:type="dxa"/>
            <w:vAlign w:val="bottom"/>
          </w:tcPr>
          <w:p w14:paraId="30229377" w14:textId="77777777"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b/>
                <w:u w:val="single"/>
              </w:rPr>
              <w:t>Druh nástroja</w:t>
            </w:r>
          </w:p>
          <w:p w14:paraId="4F7623BD" w14:textId="0A31B3EB" w:rsidR="00FC03EA" w:rsidRPr="00FC03EA" w:rsidRDefault="00F65FA6" w:rsidP="00E02007">
            <w:pPr>
              <w:pStyle w:val="BodyText"/>
              <w:spacing w:before="120" w:after="120"/>
              <w:rPr>
                <w:rFonts w:ascii="Times New Roman" w:hAnsi="Times New Roman"/>
              </w:rPr>
            </w:pPr>
            <w:r w:rsidRPr="00FC03EA">
              <w:rPr>
                <w:rFonts w:ascii="Times New Roman" w:hAnsi="Times New Roman"/>
              </w:rPr>
              <w:t xml:space="preserve">Krátky opis nástroja, ktorý bol </w:t>
            </w:r>
            <w:proofErr w:type="spellStart"/>
            <w:r w:rsidRPr="00FC03EA">
              <w:rPr>
                <w:rFonts w:ascii="Times New Roman" w:hAnsi="Times New Roman"/>
              </w:rPr>
              <w:t>reklasifikovaný</w:t>
            </w:r>
            <w:proofErr w:type="spellEnd"/>
            <w:r w:rsidR="00FC03EA" w:rsidRPr="00FC03EA">
              <w:rPr>
                <w:rFonts w:ascii="Times New Roman" w:hAnsi="Times New Roman"/>
              </w:rPr>
              <w:t xml:space="preserve"> a </w:t>
            </w:r>
            <w:r w:rsidRPr="00FC03EA">
              <w:rPr>
                <w:rFonts w:ascii="Times New Roman" w:hAnsi="Times New Roman"/>
              </w:rPr>
              <w:t>ktorý umožňuje pochopenie povahy</w:t>
            </w:r>
            <w:r w:rsidR="00FC03EA" w:rsidRPr="00FC03EA">
              <w:rPr>
                <w:rFonts w:ascii="Times New Roman" w:hAnsi="Times New Roman"/>
              </w:rPr>
              <w:t xml:space="preserve"> a </w:t>
            </w:r>
            <w:r w:rsidRPr="00FC03EA">
              <w:rPr>
                <w:rFonts w:ascii="Times New Roman" w:hAnsi="Times New Roman"/>
              </w:rPr>
              <w:t xml:space="preserve">hlavných charakteristík nástroja, ktorý bol </w:t>
            </w:r>
            <w:proofErr w:type="spellStart"/>
            <w:r w:rsidRPr="00FC03EA">
              <w:rPr>
                <w:rFonts w:ascii="Times New Roman" w:hAnsi="Times New Roman"/>
              </w:rPr>
              <w:t>reklasifikovaný</w:t>
            </w:r>
            <w:proofErr w:type="spellEnd"/>
            <w:r w:rsidR="00FC03EA" w:rsidRPr="00FC03EA">
              <w:rPr>
                <w:rFonts w:ascii="Times New Roman" w:hAnsi="Times New Roman"/>
              </w:rPr>
              <w:t>.</w:t>
            </w:r>
          </w:p>
          <w:p w14:paraId="7D66558D" w14:textId="58EDD2F3"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rPr>
              <w:t xml:space="preserve">Ak nástroj, ktorý bol </w:t>
            </w:r>
            <w:proofErr w:type="spellStart"/>
            <w:r w:rsidRPr="00FC03EA">
              <w:rPr>
                <w:rFonts w:ascii="Times New Roman" w:hAnsi="Times New Roman"/>
              </w:rPr>
              <w:t>reklasifikovaný</w:t>
            </w:r>
            <w:proofErr w:type="spellEnd"/>
            <w:r w:rsidRPr="00FC03EA">
              <w:rPr>
                <w:rFonts w:ascii="Times New Roman" w:hAnsi="Times New Roman"/>
              </w:rPr>
              <w:t>, má medzinárodné identifikačné číslo cenného papiera („ISIN“), ISIN je zahrnutý do opisu,</w:t>
            </w:r>
            <w:r w:rsidR="00FC03EA" w:rsidRPr="00FC03EA">
              <w:rPr>
                <w:rFonts w:ascii="Times New Roman" w:hAnsi="Times New Roman"/>
              </w:rPr>
              <w:t xml:space="preserve"> a </w:t>
            </w:r>
            <w:r w:rsidRPr="00FC03EA">
              <w:rPr>
                <w:rFonts w:ascii="Times New Roman" w:hAnsi="Times New Roman"/>
              </w:rPr>
              <w:t xml:space="preserve">to okrem hlavných charakteristík nástroja. </w:t>
            </w:r>
          </w:p>
        </w:tc>
      </w:tr>
      <w:tr w:rsidR="00F65FA6" w:rsidRPr="00FC03EA" w14:paraId="4307D827" w14:textId="77777777" w:rsidTr="00E02007">
        <w:tc>
          <w:tcPr>
            <w:tcW w:w="1203" w:type="dxa"/>
          </w:tcPr>
          <w:p w14:paraId="72695973"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0030</w:t>
            </w:r>
          </w:p>
        </w:tc>
        <w:tc>
          <w:tcPr>
            <w:tcW w:w="7813" w:type="dxa"/>
            <w:vAlign w:val="bottom"/>
          </w:tcPr>
          <w:p w14:paraId="4E9993E7" w14:textId="36BB582A"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b/>
                <w:u w:val="single"/>
              </w:rPr>
              <w:t>Regulačná kniha,</w:t>
            </w:r>
            <w:r w:rsidR="00FC03EA" w:rsidRPr="00FC03EA">
              <w:rPr>
                <w:rFonts w:ascii="Times New Roman" w:hAnsi="Times New Roman"/>
                <w:b/>
                <w:u w:val="single"/>
              </w:rPr>
              <w:t xml:space="preserve"> z </w:t>
            </w:r>
            <w:r w:rsidRPr="00FC03EA">
              <w:rPr>
                <w:rFonts w:ascii="Times New Roman" w:hAnsi="Times New Roman"/>
                <w:b/>
                <w:u w:val="single"/>
              </w:rPr>
              <w:t xml:space="preserve">ktorej bol nástroj </w:t>
            </w:r>
            <w:proofErr w:type="spellStart"/>
            <w:r w:rsidRPr="00FC03EA">
              <w:rPr>
                <w:rFonts w:ascii="Times New Roman" w:hAnsi="Times New Roman"/>
                <w:b/>
                <w:u w:val="single"/>
              </w:rPr>
              <w:t>reklasifikovaný</w:t>
            </w:r>
            <w:proofErr w:type="spellEnd"/>
          </w:p>
          <w:p w14:paraId="74CBD9F5" w14:textId="38A4847D"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Uvádza sa jedna</w:t>
            </w:r>
            <w:r w:rsidR="00FC03EA" w:rsidRPr="00FC03EA">
              <w:rPr>
                <w:rFonts w:ascii="Times New Roman" w:hAnsi="Times New Roman"/>
              </w:rPr>
              <w:t xml:space="preserve"> z </w:t>
            </w:r>
            <w:r w:rsidRPr="00FC03EA">
              <w:rPr>
                <w:rFonts w:ascii="Times New Roman" w:hAnsi="Times New Roman"/>
              </w:rPr>
              <w:t>týchto dvoch možností:</w:t>
            </w:r>
          </w:p>
          <w:p w14:paraId="4B75926D" w14:textId="0A83E4C5" w:rsidR="00F65FA6" w:rsidRPr="00FC03EA" w:rsidRDefault="00FC03EA" w:rsidP="00FC03EA">
            <w:pPr>
              <w:pStyle w:val="BodyText"/>
              <w:spacing w:before="120" w:after="120" w:line="240" w:lineRule="auto"/>
              <w:ind w:left="720" w:hanging="360"/>
              <w:rPr>
                <w:rFonts w:ascii="Times New Roman" w:hAnsi="Times New Roman" w:cs="Times New Roman"/>
              </w:rPr>
            </w:pPr>
            <w:r w:rsidRPr="00FC03EA">
              <w:rPr>
                <w:rFonts w:ascii="Times New Roman" w:hAnsi="Times New Roman" w:cs="Times New Roman"/>
              </w:rPr>
              <w:t>-</w:t>
            </w:r>
            <w:r w:rsidRPr="00FC03EA">
              <w:rPr>
                <w:rFonts w:ascii="Times New Roman" w:hAnsi="Times New Roman" w:cs="Times New Roman"/>
              </w:rPr>
              <w:tab/>
            </w:r>
            <w:r w:rsidR="00F65FA6" w:rsidRPr="00FC03EA">
              <w:rPr>
                <w:rFonts w:ascii="Times New Roman" w:hAnsi="Times New Roman"/>
              </w:rPr>
              <w:t xml:space="preserve">Obchodná kniha </w:t>
            </w:r>
            <w:r w:rsidR="00F65FA6" w:rsidRPr="00FC03EA">
              <w:rPr>
                <w:rFonts w:ascii="Times New Roman" w:hAnsi="Times New Roman"/>
              </w:rPr>
              <w:br/>
              <w:t xml:space="preserve">Článok 4 ods. 1 bod 86 nariadenia (EÚ) </w:t>
            </w:r>
            <w:r w:rsidRPr="00FC03EA">
              <w:rPr>
                <w:rFonts w:ascii="Times New Roman" w:hAnsi="Times New Roman"/>
              </w:rPr>
              <w:t>č. </w:t>
            </w:r>
            <w:r w:rsidR="00F65FA6" w:rsidRPr="00FC03EA">
              <w:rPr>
                <w:rFonts w:ascii="Times New Roman" w:hAnsi="Times New Roman"/>
              </w:rPr>
              <w:t>575/2013</w:t>
            </w:r>
          </w:p>
          <w:p w14:paraId="787F3457" w14:textId="5037DF71" w:rsidR="00F65FA6" w:rsidRPr="00FC03EA" w:rsidRDefault="00FC03EA" w:rsidP="00FC03EA">
            <w:pPr>
              <w:pStyle w:val="BodyText"/>
              <w:spacing w:before="120" w:after="120" w:line="240" w:lineRule="auto"/>
              <w:ind w:left="720" w:hanging="360"/>
              <w:rPr>
                <w:rFonts w:ascii="Times New Roman" w:hAnsi="Times New Roman" w:cs="Times New Roman"/>
                <w:b/>
                <w:u w:val="single"/>
              </w:rPr>
            </w:pPr>
            <w:r w:rsidRPr="00FC03EA">
              <w:rPr>
                <w:rFonts w:ascii="Times New Roman" w:hAnsi="Times New Roman" w:cs="Times New Roman"/>
              </w:rPr>
              <w:t>-</w:t>
            </w:r>
            <w:r w:rsidRPr="00FC03EA">
              <w:rPr>
                <w:rFonts w:ascii="Times New Roman" w:hAnsi="Times New Roman" w:cs="Times New Roman"/>
              </w:rPr>
              <w:tab/>
            </w:r>
            <w:r w:rsidR="00F65FA6" w:rsidRPr="00FC03EA">
              <w:rPr>
                <w:rFonts w:ascii="Times New Roman" w:hAnsi="Times New Roman"/>
              </w:rPr>
              <w:t>Banková kniha</w:t>
            </w:r>
            <w:r w:rsidR="00F65FA6" w:rsidRPr="00FC03EA">
              <w:rPr>
                <w:rFonts w:ascii="Times New Roman" w:hAnsi="Times New Roman"/>
              </w:rPr>
              <w:br/>
              <w:t>Pozostáva zo všetkých pozícií, ktoré nie sú zahrnuté do obchodnej knihy.</w:t>
            </w:r>
          </w:p>
        </w:tc>
      </w:tr>
      <w:tr w:rsidR="00F65FA6" w:rsidRPr="00FC03EA" w14:paraId="47BC0AA3" w14:textId="77777777" w:rsidTr="00E02007">
        <w:tc>
          <w:tcPr>
            <w:tcW w:w="1203" w:type="dxa"/>
          </w:tcPr>
          <w:p w14:paraId="1EFC3566"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0040</w:t>
            </w:r>
          </w:p>
        </w:tc>
        <w:tc>
          <w:tcPr>
            <w:tcW w:w="7813" w:type="dxa"/>
            <w:vAlign w:val="bottom"/>
          </w:tcPr>
          <w:p w14:paraId="4C994CBE" w14:textId="77777777"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b/>
                <w:u w:val="single"/>
              </w:rPr>
              <w:t xml:space="preserve">Regulačná kniha, do ktorej bol nástroj </w:t>
            </w:r>
            <w:proofErr w:type="spellStart"/>
            <w:r w:rsidRPr="00FC03EA">
              <w:rPr>
                <w:rFonts w:ascii="Times New Roman" w:hAnsi="Times New Roman"/>
                <w:b/>
                <w:u w:val="single"/>
              </w:rPr>
              <w:t>reklasifikovaný</w:t>
            </w:r>
            <w:proofErr w:type="spellEnd"/>
          </w:p>
          <w:p w14:paraId="3021E1D4" w14:textId="0FC05443"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Uvádza sa jedna</w:t>
            </w:r>
            <w:r w:rsidR="00FC03EA" w:rsidRPr="00FC03EA">
              <w:rPr>
                <w:rFonts w:ascii="Times New Roman" w:hAnsi="Times New Roman"/>
              </w:rPr>
              <w:t xml:space="preserve"> z </w:t>
            </w:r>
            <w:r w:rsidRPr="00FC03EA">
              <w:rPr>
                <w:rFonts w:ascii="Times New Roman" w:hAnsi="Times New Roman"/>
              </w:rPr>
              <w:t>týchto dvoch možností:</w:t>
            </w:r>
          </w:p>
          <w:p w14:paraId="1EE13C76" w14:textId="739C5A0F" w:rsidR="00F65FA6" w:rsidRPr="00FC03EA" w:rsidRDefault="00FC03EA" w:rsidP="00FC03EA">
            <w:pPr>
              <w:pStyle w:val="BodyText"/>
              <w:spacing w:before="120" w:after="120" w:line="240" w:lineRule="auto"/>
              <w:ind w:left="720" w:hanging="360"/>
              <w:rPr>
                <w:rFonts w:ascii="Times New Roman" w:hAnsi="Times New Roman" w:cs="Times New Roman"/>
              </w:rPr>
            </w:pPr>
            <w:r w:rsidRPr="00FC03EA">
              <w:rPr>
                <w:rFonts w:ascii="Times New Roman" w:hAnsi="Times New Roman" w:cs="Times New Roman"/>
              </w:rPr>
              <w:t>-</w:t>
            </w:r>
            <w:r w:rsidRPr="00FC03EA">
              <w:rPr>
                <w:rFonts w:ascii="Times New Roman" w:hAnsi="Times New Roman" w:cs="Times New Roman"/>
              </w:rPr>
              <w:tab/>
            </w:r>
            <w:r w:rsidR="00F65FA6" w:rsidRPr="00FC03EA">
              <w:rPr>
                <w:rFonts w:ascii="Times New Roman" w:hAnsi="Times New Roman"/>
              </w:rPr>
              <w:t xml:space="preserve">Obchodná kniha </w:t>
            </w:r>
            <w:r w:rsidR="00F65FA6" w:rsidRPr="00FC03EA">
              <w:rPr>
                <w:rFonts w:ascii="Times New Roman" w:hAnsi="Times New Roman"/>
              </w:rPr>
              <w:br/>
              <w:t xml:space="preserve">Článok 4 ods. 1 bod 86 nariadenia (EÚ) </w:t>
            </w:r>
            <w:r w:rsidRPr="00FC03EA">
              <w:rPr>
                <w:rFonts w:ascii="Times New Roman" w:hAnsi="Times New Roman"/>
              </w:rPr>
              <w:t>č. </w:t>
            </w:r>
            <w:r w:rsidR="00F65FA6" w:rsidRPr="00FC03EA">
              <w:rPr>
                <w:rFonts w:ascii="Times New Roman" w:hAnsi="Times New Roman"/>
              </w:rPr>
              <w:t>575/2013</w:t>
            </w:r>
          </w:p>
          <w:p w14:paraId="41D9486B" w14:textId="682BCE75" w:rsidR="00F65FA6" w:rsidRPr="00FC03EA" w:rsidRDefault="00FC03EA" w:rsidP="00FC03EA">
            <w:pPr>
              <w:pStyle w:val="BodyText"/>
              <w:spacing w:before="120" w:after="120" w:line="240" w:lineRule="auto"/>
              <w:ind w:left="720" w:hanging="360"/>
              <w:rPr>
                <w:rFonts w:ascii="Times New Roman" w:hAnsi="Times New Roman" w:cs="Times New Roman"/>
                <w:b/>
                <w:u w:val="single"/>
              </w:rPr>
            </w:pPr>
            <w:r w:rsidRPr="00FC03EA">
              <w:rPr>
                <w:rFonts w:ascii="Times New Roman" w:hAnsi="Times New Roman" w:cs="Times New Roman"/>
              </w:rPr>
              <w:lastRenderedPageBreak/>
              <w:t>-</w:t>
            </w:r>
            <w:r w:rsidRPr="00FC03EA">
              <w:rPr>
                <w:rFonts w:ascii="Times New Roman" w:hAnsi="Times New Roman" w:cs="Times New Roman"/>
              </w:rPr>
              <w:tab/>
            </w:r>
            <w:r w:rsidR="00F65FA6" w:rsidRPr="00FC03EA">
              <w:rPr>
                <w:rFonts w:ascii="Times New Roman" w:hAnsi="Times New Roman"/>
              </w:rPr>
              <w:t xml:space="preserve">Banková kniha </w:t>
            </w:r>
            <w:r w:rsidR="00F65FA6" w:rsidRPr="00FC03EA">
              <w:rPr>
                <w:rFonts w:ascii="Times New Roman" w:hAnsi="Times New Roman"/>
              </w:rPr>
              <w:br/>
              <w:t>Pozostáva zo všetkých pozícií, ktoré nie sú zahrnuté do obchodnej knihy.</w:t>
            </w:r>
          </w:p>
        </w:tc>
      </w:tr>
      <w:tr w:rsidR="00F65FA6" w:rsidRPr="00FC03EA" w14:paraId="14476FEB" w14:textId="77777777" w:rsidTr="00E02007">
        <w:tc>
          <w:tcPr>
            <w:tcW w:w="1203" w:type="dxa"/>
          </w:tcPr>
          <w:p w14:paraId="13F0D9EC"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lastRenderedPageBreak/>
              <w:t>0050</w:t>
            </w:r>
          </w:p>
        </w:tc>
        <w:tc>
          <w:tcPr>
            <w:tcW w:w="7813" w:type="dxa"/>
            <w:vAlign w:val="bottom"/>
          </w:tcPr>
          <w:p w14:paraId="19E4E9E2" w14:textId="77777777" w:rsidR="00F65FA6" w:rsidRPr="00FC03EA" w:rsidRDefault="00F65FA6" w:rsidP="009F2750">
            <w:pPr>
              <w:pStyle w:val="BodyText"/>
              <w:keepNext/>
              <w:keepLines/>
              <w:spacing w:before="120" w:after="120"/>
              <w:rPr>
                <w:rFonts w:ascii="Times New Roman" w:hAnsi="Times New Roman" w:cs="Times New Roman"/>
                <w:b/>
                <w:u w:val="single"/>
              </w:rPr>
            </w:pPr>
            <w:r w:rsidRPr="00FC03EA">
              <w:rPr>
                <w:rFonts w:ascii="Times New Roman" w:hAnsi="Times New Roman"/>
                <w:b/>
                <w:u w:val="single"/>
              </w:rPr>
              <w:t>Dôvod reklasifikácie</w:t>
            </w:r>
          </w:p>
          <w:p w14:paraId="7DED50F3" w14:textId="7D72B672" w:rsidR="00F65FA6" w:rsidRPr="00FC03EA" w:rsidRDefault="00F65FA6" w:rsidP="009F2750">
            <w:pPr>
              <w:pStyle w:val="BodyText"/>
              <w:keepNext/>
              <w:keepLines/>
              <w:spacing w:before="120" w:after="120"/>
              <w:rPr>
                <w:rFonts w:ascii="Times New Roman" w:hAnsi="Times New Roman" w:cs="Times New Roman"/>
                <w:b/>
                <w:u w:val="single"/>
              </w:rPr>
            </w:pPr>
            <w:r w:rsidRPr="00FC03EA">
              <w:rPr>
                <w:rFonts w:ascii="Times New Roman" w:hAnsi="Times New Roman"/>
              </w:rPr>
              <w:t>Výnimočné okolnosti, ktoré vedú</w:t>
            </w:r>
            <w:r w:rsidR="00FC03EA" w:rsidRPr="00FC03EA">
              <w:rPr>
                <w:rFonts w:ascii="Times New Roman" w:hAnsi="Times New Roman"/>
              </w:rPr>
              <w:t xml:space="preserve"> k </w:t>
            </w:r>
            <w:r w:rsidRPr="00FC03EA">
              <w:rPr>
                <w:rFonts w:ascii="Times New Roman" w:hAnsi="Times New Roman"/>
              </w:rPr>
              <w:t>reklasifikácii pozície medzi regulačnými knihami, musia byť vysvetlené. Vysvetlenie poskytnuté</w:t>
            </w:r>
            <w:r w:rsidR="00FC03EA" w:rsidRPr="00FC03EA">
              <w:rPr>
                <w:rFonts w:ascii="Times New Roman" w:hAnsi="Times New Roman"/>
              </w:rPr>
              <w:t xml:space="preserve"> v </w:t>
            </w:r>
            <w:r w:rsidRPr="00FC03EA">
              <w:rPr>
                <w:rFonts w:ascii="Times New Roman" w:hAnsi="Times New Roman"/>
              </w:rPr>
              <w:t>tejto bunke musí byť dostatočne podrobné na to, aby sa ním zdôvodnilo, prečo sa reklasifikácia považuje za výnimočnú okolnosť.</w:t>
            </w:r>
          </w:p>
        </w:tc>
      </w:tr>
      <w:tr w:rsidR="00F65FA6" w:rsidRPr="00FC03EA" w14:paraId="490381CE" w14:textId="77777777" w:rsidTr="00E02007">
        <w:tc>
          <w:tcPr>
            <w:tcW w:w="1203" w:type="dxa"/>
          </w:tcPr>
          <w:p w14:paraId="139D44BE"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0060</w:t>
            </w:r>
          </w:p>
        </w:tc>
        <w:tc>
          <w:tcPr>
            <w:tcW w:w="7813" w:type="dxa"/>
            <w:vAlign w:val="bottom"/>
          </w:tcPr>
          <w:p w14:paraId="1362F39C" w14:textId="77777777"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b/>
                <w:u w:val="single"/>
              </w:rPr>
              <w:t>Povolenie udelené vopred (stav)</w:t>
            </w:r>
          </w:p>
          <w:p w14:paraId="56285F31" w14:textId="22D486B9"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Článok 104a ods. 2</w:t>
            </w:r>
            <w:r w:rsidR="00FC03EA" w:rsidRPr="00FC03EA">
              <w:rPr>
                <w:rFonts w:ascii="Times New Roman" w:hAnsi="Times New Roman"/>
              </w:rPr>
              <w:t xml:space="preserve"> a </w:t>
            </w:r>
            <w:r w:rsidRPr="00FC03EA">
              <w:rPr>
                <w:rFonts w:ascii="Times New Roman" w:hAnsi="Times New Roman"/>
              </w:rPr>
              <w:t xml:space="preserve">6 nariadenia (EÚ) </w:t>
            </w:r>
            <w:r w:rsidR="00FC03EA" w:rsidRPr="00FC03EA">
              <w:rPr>
                <w:rFonts w:ascii="Times New Roman" w:hAnsi="Times New Roman"/>
              </w:rPr>
              <w:t>č. </w:t>
            </w:r>
            <w:r w:rsidRPr="00FC03EA">
              <w:rPr>
                <w:rFonts w:ascii="Times New Roman" w:hAnsi="Times New Roman"/>
              </w:rPr>
              <w:t>575/2013</w:t>
            </w:r>
          </w:p>
          <w:p w14:paraId="65D8CB7E" w14:textId="32E2FAA9"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rPr>
              <w:t>Ak sa nevyžaduje povolenie udelené vopred príslušným orgánom</w:t>
            </w:r>
            <w:r w:rsidR="00FC03EA" w:rsidRPr="00FC03EA">
              <w:rPr>
                <w:rFonts w:ascii="Times New Roman" w:hAnsi="Times New Roman"/>
              </w:rPr>
              <w:t xml:space="preserve"> v </w:t>
            </w:r>
            <w:r w:rsidRPr="00FC03EA">
              <w:rPr>
                <w:rFonts w:ascii="Times New Roman" w:hAnsi="Times New Roman"/>
              </w:rPr>
              <w:t>súlade</w:t>
            </w:r>
            <w:r w:rsidR="00FC03EA" w:rsidRPr="00FC03EA">
              <w:rPr>
                <w:rFonts w:ascii="Times New Roman" w:hAnsi="Times New Roman"/>
              </w:rPr>
              <w:t xml:space="preserve"> s </w:t>
            </w:r>
            <w:r w:rsidRPr="00FC03EA">
              <w:rPr>
                <w:rFonts w:ascii="Times New Roman" w:hAnsi="Times New Roman"/>
              </w:rPr>
              <w:t xml:space="preserve">článkom 104a ods. 6 nariadenia (EÚ) </w:t>
            </w:r>
            <w:r w:rsidR="00FC03EA" w:rsidRPr="00FC03EA">
              <w:rPr>
                <w:rFonts w:ascii="Times New Roman" w:hAnsi="Times New Roman"/>
              </w:rPr>
              <w:t>č. </w:t>
            </w:r>
            <w:r w:rsidRPr="00FC03EA">
              <w:rPr>
                <w:rFonts w:ascii="Times New Roman" w:hAnsi="Times New Roman"/>
              </w:rPr>
              <w:t>575/2013, inštitúcie uvádzajú</w:t>
            </w:r>
            <w:r w:rsidR="00FC03EA" w:rsidRPr="00FC03EA">
              <w:rPr>
                <w:rFonts w:ascii="Times New Roman" w:hAnsi="Times New Roman"/>
              </w:rPr>
              <w:t xml:space="preserve"> v </w:t>
            </w:r>
            <w:r w:rsidRPr="00FC03EA">
              <w:rPr>
                <w:rFonts w:ascii="Times New Roman" w:hAnsi="Times New Roman"/>
              </w:rPr>
              <w:t>tomto stĺpci „nevyžaduje sa vopred udelené povolenie“. Ak sa vyžaduje povolenie udelené vopred</w:t>
            </w:r>
            <w:r w:rsidR="00FC03EA" w:rsidRPr="00FC03EA">
              <w:rPr>
                <w:rFonts w:ascii="Times New Roman" w:hAnsi="Times New Roman"/>
              </w:rPr>
              <w:t xml:space="preserve"> a </w:t>
            </w:r>
            <w:r w:rsidRPr="00FC03EA">
              <w:rPr>
                <w:rFonts w:ascii="Times New Roman" w:hAnsi="Times New Roman"/>
              </w:rPr>
              <w:t>uvedené povolenie bolo získané, uvádza sa „vopred udelené povolenie získané“.</w:t>
            </w:r>
          </w:p>
        </w:tc>
      </w:tr>
      <w:tr w:rsidR="00F65FA6" w:rsidRPr="00FC03EA" w14:paraId="78F1574B" w14:textId="77777777" w:rsidTr="00E02007">
        <w:tc>
          <w:tcPr>
            <w:tcW w:w="1203" w:type="dxa"/>
          </w:tcPr>
          <w:p w14:paraId="26979E4B"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0070</w:t>
            </w:r>
          </w:p>
        </w:tc>
        <w:tc>
          <w:tcPr>
            <w:tcW w:w="7813" w:type="dxa"/>
            <w:vAlign w:val="bottom"/>
          </w:tcPr>
          <w:p w14:paraId="21A070A6" w14:textId="77777777"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b/>
                <w:u w:val="single"/>
              </w:rPr>
              <w:t>Dátum reklasifikácie</w:t>
            </w:r>
          </w:p>
          <w:p w14:paraId="230E5C22" w14:textId="2E7EBD13"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rPr>
              <w:t>Článok 104a ods. 2</w:t>
            </w:r>
            <w:r w:rsidR="00FC03EA" w:rsidRPr="00FC03EA">
              <w:rPr>
                <w:rFonts w:ascii="Times New Roman" w:hAnsi="Times New Roman"/>
              </w:rPr>
              <w:t xml:space="preserve"> a </w:t>
            </w:r>
            <w:r w:rsidRPr="00FC03EA">
              <w:rPr>
                <w:rFonts w:ascii="Times New Roman" w:hAnsi="Times New Roman"/>
              </w:rPr>
              <w:t xml:space="preserve">ods. 6 prvá veta nariadenia (EÚ) </w:t>
            </w:r>
            <w:r w:rsidR="00FC03EA" w:rsidRPr="00FC03EA">
              <w:rPr>
                <w:rFonts w:ascii="Times New Roman" w:hAnsi="Times New Roman"/>
              </w:rPr>
              <w:t>č. </w:t>
            </w:r>
            <w:r w:rsidRPr="00FC03EA">
              <w:rPr>
                <w:rFonts w:ascii="Times New Roman" w:hAnsi="Times New Roman"/>
              </w:rPr>
              <w:t>575/2013</w:t>
            </w:r>
          </w:p>
        </w:tc>
      </w:tr>
      <w:tr w:rsidR="00F65FA6" w:rsidRPr="00FC03EA" w14:paraId="0E22B962" w14:textId="77777777" w:rsidTr="00E02007">
        <w:tc>
          <w:tcPr>
            <w:tcW w:w="1203" w:type="dxa"/>
          </w:tcPr>
          <w:p w14:paraId="5DAEDB5E"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0080</w:t>
            </w:r>
          </w:p>
        </w:tc>
        <w:tc>
          <w:tcPr>
            <w:tcW w:w="7813" w:type="dxa"/>
            <w:vAlign w:val="bottom"/>
          </w:tcPr>
          <w:p w14:paraId="1822A08F" w14:textId="5BF58FEA"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b/>
                <w:u w:val="single"/>
              </w:rPr>
              <w:t>Čisté (+) zvýšenie alebo (−) zníženie požiadaviek na vlastné zdroje vyplývajúce</w:t>
            </w:r>
            <w:r w:rsidR="00FC03EA" w:rsidRPr="00FC03EA">
              <w:rPr>
                <w:rFonts w:ascii="Times New Roman" w:hAnsi="Times New Roman"/>
                <w:b/>
                <w:u w:val="single"/>
              </w:rPr>
              <w:t xml:space="preserve"> z </w:t>
            </w:r>
            <w:r w:rsidRPr="00FC03EA">
              <w:rPr>
                <w:rFonts w:ascii="Times New Roman" w:hAnsi="Times New Roman"/>
                <w:b/>
                <w:u w:val="single"/>
              </w:rPr>
              <w:t>reklasifikácie</w:t>
            </w:r>
          </w:p>
          <w:p w14:paraId="6BA75988" w14:textId="276FF64C"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rPr>
              <w:t>Zvýšenie požiadaviek na vlastné zdroje, ktoré vyplýva</w:t>
            </w:r>
            <w:r w:rsidR="00FC03EA" w:rsidRPr="00FC03EA">
              <w:rPr>
                <w:rFonts w:ascii="Times New Roman" w:hAnsi="Times New Roman"/>
              </w:rPr>
              <w:t xml:space="preserve"> z </w:t>
            </w:r>
            <w:r w:rsidRPr="00FC03EA">
              <w:rPr>
                <w:rFonts w:ascii="Times New Roman" w:hAnsi="Times New Roman"/>
              </w:rPr>
              <w:t>reklasifikácie, sa vykazuje kladným znamienkom (+), zatiaľ čo zníženie požiadaviek na vlastné zdroje sa vykazuje záporným znamienkom (–).</w:t>
            </w:r>
          </w:p>
        </w:tc>
      </w:tr>
      <w:tr w:rsidR="00F65FA6" w:rsidRPr="00FC03EA" w14:paraId="22693EF8" w14:textId="77777777" w:rsidTr="00E02007">
        <w:tc>
          <w:tcPr>
            <w:tcW w:w="1203" w:type="dxa"/>
          </w:tcPr>
          <w:p w14:paraId="652EAB8F"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0090</w:t>
            </w:r>
          </w:p>
        </w:tc>
        <w:tc>
          <w:tcPr>
            <w:tcW w:w="7813" w:type="dxa"/>
            <w:vAlign w:val="bottom"/>
          </w:tcPr>
          <w:p w14:paraId="04B389BD" w14:textId="77777777" w:rsidR="009F2750" w:rsidRPr="009F2750" w:rsidRDefault="009F2750" w:rsidP="009F2750">
            <w:pPr>
              <w:pStyle w:val="BodyText"/>
              <w:spacing w:before="120" w:after="120"/>
              <w:rPr>
                <w:rFonts w:ascii="Times New Roman" w:hAnsi="Times New Roman" w:cs="Times New Roman"/>
                <w:spacing w:val="-4"/>
              </w:rPr>
            </w:pPr>
            <w:r w:rsidRPr="009F2750">
              <w:rPr>
                <w:rFonts w:ascii="Times New Roman" w:hAnsi="Times New Roman"/>
                <w:spacing w:val="-4"/>
              </w:rPr>
              <w:t>Čistú zmena hodnoty požiadaviek na vlastné zdroje, ktorý vyplýva z reklasifikácie pozície vypočítanej v súlade s článkom 104a ods. 4 nariadenia (EÚ) č. 575/2013</w:t>
            </w:r>
          </w:p>
          <w:p w14:paraId="76B7BD6C" w14:textId="77777777" w:rsidR="009F2750" w:rsidRPr="009F2750" w:rsidRDefault="009F2750" w:rsidP="009F2750">
            <w:pPr>
              <w:pStyle w:val="BodyText"/>
              <w:spacing w:before="120" w:after="120"/>
              <w:rPr>
                <w:rFonts w:ascii="Times New Roman" w:hAnsi="Times New Roman"/>
                <w:b/>
                <w:spacing w:val="-4"/>
                <w:u w:val="single"/>
              </w:rPr>
            </w:pPr>
            <w:r w:rsidRPr="009F2750">
              <w:rPr>
                <w:rFonts w:ascii="Times New Roman" w:hAnsi="Times New Roman"/>
                <w:b/>
                <w:spacing w:val="-4"/>
                <w:u w:val="single"/>
              </w:rPr>
              <w:t>Dodatočná hodnota k požiadavkám na vlastné zdroje z dôvodu reklasifikácie</w:t>
            </w:r>
          </w:p>
          <w:p w14:paraId="01EAC70F" w14:textId="77777777" w:rsidR="009F2750" w:rsidRPr="009F2750" w:rsidRDefault="009F2750" w:rsidP="009F2750">
            <w:pPr>
              <w:pStyle w:val="BodyText"/>
              <w:spacing w:before="120" w:after="120"/>
              <w:rPr>
                <w:rFonts w:ascii="Times New Roman" w:hAnsi="Times New Roman" w:cs="Times New Roman"/>
                <w:spacing w:val="-4"/>
              </w:rPr>
            </w:pPr>
            <w:r w:rsidRPr="009F2750">
              <w:rPr>
                <w:rFonts w:ascii="Times New Roman" w:hAnsi="Times New Roman"/>
                <w:spacing w:val="-4"/>
              </w:rPr>
              <w:t>Ak čistá zmena hodnoty požiadaviek na vlastné zdroje, ktorá vyplýva z reklasifikácie pozície vypočítanej v súlade s článkom 104a ods. 4 nariadenia (EÚ) č. 575/2013, predstavuje zníženie požiadaviek na vlastné zdroje inštitúcie a príslušný orgán nepovolí, aby sa uznalo zníženie v súlade s článkom 104a ods. 3 písm. b) nariadenia (EÚ) č. 575/2013, hodnota zníženia sa vykazuje kladným znamienkom. Hodnota predstavuje zodpovedajúcim spôsobom dodatočnú hodnotu k príslušným požiadavkám na vlastné zdroje z dôvodu reklasifikácie.</w:t>
            </w:r>
          </w:p>
          <w:p w14:paraId="26E33071" w14:textId="77777777" w:rsidR="009F2750" w:rsidRPr="009F2750" w:rsidRDefault="009F2750" w:rsidP="009F2750">
            <w:pPr>
              <w:pStyle w:val="BodyText"/>
              <w:spacing w:before="120" w:after="120"/>
              <w:rPr>
                <w:rFonts w:ascii="Times New Roman" w:hAnsi="Times New Roman"/>
                <w:spacing w:val="-4"/>
              </w:rPr>
            </w:pPr>
            <w:r w:rsidRPr="009F2750">
              <w:rPr>
                <w:rFonts w:ascii="Times New Roman" w:hAnsi="Times New Roman"/>
                <w:spacing w:val="-4"/>
              </w:rPr>
              <w:t>Ak sa nepredpokladá ukončenie vykazovania nástroja, vykazuje sa splatnosť nástroja.</w:t>
            </w:r>
          </w:p>
          <w:p w14:paraId="58E348B5" w14:textId="1B36D5CF"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rPr>
              <w:t>Ak príslušný orgán povolí, aby sa uznalo zníženie požiadaviek na vlastné zdroje</w:t>
            </w:r>
            <w:r w:rsidR="00FC03EA" w:rsidRPr="00FC03EA">
              <w:rPr>
                <w:rFonts w:ascii="Times New Roman" w:hAnsi="Times New Roman"/>
              </w:rPr>
              <w:t xml:space="preserve"> v </w:t>
            </w:r>
            <w:r w:rsidRPr="00FC03EA">
              <w:rPr>
                <w:rFonts w:ascii="Times New Roman" w:hAnsi="Times New Roman"/>
              </w:rPr>
              <w:t>súlade</w:t>
            </w:r>
            <w:r w:rsidR="00FC03EA" w:rsidRPr="00FC03EA">
              <w:rPr>
                <w:rFonts w:ascii="Times New Roman" w:hAnsi="Times New Roman"/>
              </w:rPr>
              <w:t xml:space="preserve"> s </w:t>
            </w:r>
            <w:r w:rsidRPr="00FC03EA">
              <w:rPr>
                <w:rFonts w:ascii="Times New Roman" w:hAnsi="Times New Roman"/>
              </w:rPr>
              <w:t xml:space="preserve">článkom 104a ods. 3 písm. b) nariadenia (EÚ) </w:t>
            </w:r>
            <w:r w:rsidR="00FC03EA" w:rsidRPr="00FC03EA">
              <w:rPr>
                <w:rFonts w:ascii="Times New Roman" w:hAnsi="Times New Roman"/>
              </w:rPr>
              <w:t>č. </w:t>
            </w:r>
            <w:r w:rsidRPr="00FC03EA">
              <w:rPr>
                <w:rFonts w:ascii="Times New Roman" w:hAnsi="Times New Roman"/>
              </w:rPr>
              <w:t>575/2013, tento stĺpec sa nevypĺňa.</w:t>
            </w:r>
          </w:p>
        </w:tc>
      </w:tr>
      <w:tr w:rsidR="00F65FA6" w:rsidRPr="00FC03EA" w14:paraId="33A66CF2" w14:textId="77777777" w:rsidTr="00E02007">
        <w:tc>
          <w:tcPr>
            <w:tcW w:w="1203" w:type="dxa"/>
          </w:tcPr>
          <w:p w14:paraId="3AA16332"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0100</w:t>
            </w:r>
          </w:p>
        </w:tc>
        <w:tc>
          <w:tcPr>
            <w:tcW w:w="7813" w:type="dxa"/>
            <w:vAlign w:val="bottom"/>
          </w:tcPr>
          <w:p w14:paraId="5C674A5B" w14:textId="77777777"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b/>
                <w:u w:val="single"/>
              </w:rPr>
              <w:t>Dátum splatnosti alebo predpokladané ukončenie vykazovania nástroja</w:t>
            </w:r>
          </w:p>
          <w:p w14:paraId="69F6AC70" w14:textId="0245E6F3"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lastRenderedPageBreak/>
              <w:t>Ak sa plánuje ukončenie vykazovania nástroja pred jeho splatnosťou, vykazuje sa dátum uvedeného ukončenia vykazovania nástroja.</w:t>
            </w:r>
          </w:p>
          <w:p w14:paraId="3742220D" w14:textId="660EBB10"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Ak sú známe len mesiac</w:t>
            </w:r>
            <w:r w:rsidR="00FC03EA" w:rsidRPr="00FC03EA">
              <w:rPr>
                <w:rFonts w:ascii="Times New Roman" w:hAnsi="Times New Roman"/>
              </w:rPr>
              <w:t xml:space="preserve"> a </w:t>
            </w:r>
            <w:r w:rsidRPr="00FC03EA">
              <w:rPr>
                <w:rFonts w:ascii="Times New Roman" w:hAnsi="Times New Roman"/>
              </w:rPr>
              <w:t>rok splatnosti alebo ukončenia vykazovania nástroja, dátum splatnosti alebo plánovaného ukončenia vykazovania nástroja sa vykazuje ako posledný deň mesiaca. Ak je známy len rok ukončenia vykazovania nástroja, dátum splatnosti alebo plánovaného ukončenia vykazovania nástroja sa vykazuje ako 31. december uvedeného roka.</w:t>
            </w:r>
          </w:p>
          <w:p w14:paraId="7F211819" w14:textId="6DC826AE"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Ak sa dátum splatnosti alebo plánovaného ukončenia vykazovania nástroja nemôže určiť alebo nie je známy,</w:t>
            </w:r>
            <w:r w:rsidR="00FC03EA" w:rsidRPr="00FC03EA">
              <w:rPr>
                <w:rFonts w:ascii="Times New Roman" w:hAnsi="Times New Roman"/>
              </w:rPr>
              <w:t xml:space="preserve"> v </w:t>
            </w:r>
            <w:r w:rsidRPr="00FC03EA">
              <w:rPr>
                <w:rFonts w:ascii="Times New Roman" w:hAnsi="Times New Roman"/>
              </w:rPr>
              <w:t xml:space="preserve">tomto stĺpci sa uvádza 31. december 9999. </w:t>
            </w:r>
          </w:p>
        </w:tc>
      </w:tr>
      <w:tr w:rsidR="00F65FA6" w:rsidRPr="00FC03EA" w14:paraId="0A30C5DF" w14:textId="77777777" w:rsidTr="00E02007">
        <w:tc>
          <w:tcPr>
            <w:tcW w:w="1203" w:type="dxa"/>
          </w:tcPr>
          <w:p w14:paraId="12AE4F1E" w14:textId="77777777"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lastRenderedPageBreak/>
              <w:t>0110</w:t>
            </w:r>
          </w:p>
        </w:tc>
        <w:tc>
          <w:tcPr>
            <w:tcW w:w="7813" w:type="dxa"/>
            <w:vAlign w:val="bottom"/>
          </w:tcPr>
          <w:p w14:paraId="441DE526" w14:textId="77777777"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b/>
                <w:u w:val="single"/>
              </w:rPr>
              <w:t>Dátum, od ktorého príslušný orgán povolí uznanie zníženia požiadaviek na vlastné zdroje</w:t>
            </w:r>
          </w:p>
          <w:p w14:paraId="49ECC5EF" w14:textId="3C89E94E" w:rsidR="00F65FA6" w:rsidRPr="00FC03EA" w:rsidRDefault="00F65FA6" w:rsidP="00E02007">
            <w:pPr>
              <w:pStyle w:val="BodyText"/>
              <w:spacing w:before="120" w:after="120"/>
              <w:rPr>
                <w:rFonts w:ascii="Times New Roman" w:hAnsi="Times New Roman" w:cs="Times New Roman"/>
              </w:rPr>
            </w:pPr>
            <w:r w:rsidRPr="00FC03EA">
              <w:rPr>
                <w:rFonts w:ascii="Times New Roman" w:hAnsi="Times New Roman"/>
              </w:rPr>
              <w:t xml:space="preserve">Článok 104a ods. 3 písm. b) nariadenia (EÚ) </w:t>
            </w:r>
            <w:r w:rsidR="00FC03EA" w:rsidRPr="00FC03EA">
              <w:rPr>
                <w:rFonts w:ascii="Times New Roman" w:hAnsi="Times New Roman"/>
              </w:rPr>
              <w:t>č. </w:t>
            </w:r>
            <w:r w:rsidRPr="00FC03EA">
              <w:rPr>
                <w:rFonts w:ascii="Times New Roman" w:hAnsi="Times New Roman"/>
              </w:rPr>
              <w:t>575/2013</w:t>
            </w:r>
          </w:p>
          <w:p w14:paraId="1B724794" w14:textId="3E4F98CD" w:rsidR="00F65FA6" w:rsidRPr="00FC03EA" w:rsidRDefault="00F65FA6" w:rsidP="00E02007">
            <w:pPr>
              <w:pStyle w:val="BodyText"/>
              <w:spacing w:before="120" w:after="120"/>
              <w:rPr>
                <w:rFonts w:ascii="Times New Roman" w:hAnsi="Times New Roman" w:cs="Times New Roman"/>
                <w:b/>
                <w:u w:val="single"/>
              </w:rPr>
            </w:pPr>
            <w:r w:rsidRPr="00FC03EA">
              <w:rPr>
                <w:rFonts w:ascii="Times New Roman" w:hAnsi="Times New Roman"/>
              </w:rPr>
              <w:t>Ak je výsledkom reklasifikácie čisté zvýšenie požiadaviek na vlastné zdroje</w:t>
            </w:r>
            <w:r w:rsidR="00FC03EA" w:rsidRPr="00FC03EA">
              <w:rPr>
                <w:rFonts w:ascii="Times New Roman" w:hAnsi="Times New Roman"/>
              </w:rPr>
              <w:t xml:space="preserve"> a </w:t>
            </w:r>
            <w:r w:rsidRPr="00FC03EA">
              <w:rPr>
                <w:rFonts w:ascii="Times New Roman" w:hAnsi="Times New Roman"/>
              </w:rPr>
              <w:t>ak príslušný orgán neudelí povolenie, aby sa uznalo zníženie požiadaviek na vlastné zdroje, neuvedie sa žiadny dátum.“</w:t>
            </w:r>
          </w:p>
        </w:tc>
      </w:tr>
    </w:tbl>
    <w:p w14:paraId="0C23ABF8" w14:textId="77777777" w:rsidR="00F65FA6" w:rsidRPr="00FC03EA" w:rsidRDefault="00F65FA6" w:rsidP="00F65FA6">
      <w:pPr>
        <w:pStyle w:val="body"/>
        <w:rPr>
          <w:rFonts w:ascii="Times New Roman" w:hAnsi="Times New Roman" w:cs="Times New Roman"/>
        </w:rPr>
      </w:pPr>
    </w:p>
    <w:p w14:paraId="18DC5971" w14:textId="77777777" w:rsidR="00522E00" w:rsidRPr="00FC03EA" w:rsidRDefault="00522E00" w:rsidP="00F65FA6">
      <w:pPr>
        <w:pStyle w:val="body"/>
        <w:rPr>
          <w:rStyle w:val="InstructionsTabelleText"/>
          <w:rFonts w:ascii="Times New Roman" w:hAnsi="Times New Roman"/>
          <w:sz w:val="24"/>
        </w:rPr>
      </w:pPr>
    </w:p>
    <w:sectPr w:rsidR="00522E00" w:rsidRPr="00FC03EA"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F35593A" w:rsidR="00C3070C" w:rsidRPr="003B6094" w:rsidRDefault="009F2750">
                          <w:pPr>
                            <w:rPr>
                              <w:rFonts w:ascii="Calibri" w:eastAsia="Calibri" w:hAnsi="Calibri" w:cs="Calibri"/>
                              <w:color w:val="000000"/>
                              <w:sz w:val="24"/>
                            </w:rPr>
                          </w:pPr>
                          <w:r w:rsidRPr="009F2750">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F35593A" w:rsidR="00C3070C" w:rsidRPr="003B6094" w:rsidRDefault="009F2750">
                    <w:pPr>
                      <w:rPr>
                        <w:rFonts w:ascii="Calibri" w:eastAsia="Calibri" w:hAnsi="Calibri" w:cs="Calibri"/>
                        <w:color w:val="000000"/>
                        <w:sz w:val="24"/>
                      </w:rPr>
                    </w:pPr>
                    <w:r w:rsidRPr="009F2750">
                      <w:rPr>
                        <w:rFonts w:ascii="Calibri" w:hAnsi="Calibri"/>
                        <w:color w:val="000000"/>
                        <w:sz w:val="24"/>
                      </w:rPr>
                      <w:t>EBA – bežné použitie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176"/>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6BA3"/>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6AFD"/>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2FEB"/>
    <w:rsid w:val="007038D5"/>
    <w:rsid w:val="00703AC6"/>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279E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50"/>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4CA"/>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34C"/>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3EA"/>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aliases w:val="Title 2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k-S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sk-SK"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51A07-D7AD-450F-93B2-15105AE77BF0}">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elements/1.1/"/>
    <ds:schemaRef ds:uri="http://www.w3.org/XML/1998/namespace"/>
    <ds:schemaRef ds:uri="da0bec91-bd15-486a-844a-39cd7890c3eb"/>
    <ds:schemaRef ds:uri="http://schemas.openxmlformats.org/package/2006/metadata/core-properties"/>
    <ds:schemaRef ds:uri="82dbab2e-3b56-44de-becc-0ec356b33dff"/>
    <ds:schemaRef ds:uri="http://purl.org/dc/terms/"/>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4.xml><?xml version="1.0" encoding="utf-8"?>
<ds:datastoreItem xmlns:ds="http://schemas.openxmlformats.org/officeDocument/2006/customXml" ds:itemID="{316D9778-BC02-4F3D-904D-B5D39852F4A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30</TotalTime>
  <Pages>9</Pages>
  <Words>2394</Words>
  <Characters>13962</Characters>
  <Application>Microsoft Office Word</Application>
  <DocSecurity>0</DocSecurity>
  <Lines>358</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FILIAC Tomas (DGT)</cp:lastModifiedBy>
  <cp:revision>9</cp:revision>
  <dcterms:created xsi:type="dcterms:W3CDTF">2024-06-19T18:09:00Z</dcterms:created>
  <dcterms:modified xsi:type="dcterms:W3CDTF">2025-01-24T12:28:00Z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2025-01-24T10:14:19Z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536f1e41-c618-4eed-a7ca-a046bebd70eb</vt:lpwstr>
  </property>
  <property fmtid="{D5CDD505-2E9C-101B-9397-08002B2CF9AE}" pid="9" name="MSIP_Label_6bd9ddd1-4d20-43f6-abfa-fc3c07406f94_ContentBits">
    <vt:lpwstr>0</vt:lpwstr>
  </property>
</Properties>
</file>