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D56CBB" w:rsidRDefault="00B3568A" w:rsidP="00B3568A">
      <w:pPr>
        <w:jc w:val="center"/>
        <w:rPr>
          <w:rFonts w:ascii="Times New Roman" w:hAnsi="Times New Roman"/>
          <w:sz w:val="24"/>
          <w:szCs w:val="22"/>
        </w:rPr>
      </w:pPr>
      <w:bookmarkStart w:id="0" w:name="_Toc262568021"/>
      <w:bookmarkStart w:id="1" w:name="_Toc295829847"/>
      <w:r w:rsidRPr="00D56CBB">
        <w:rPr>
          <w:rFonts w:ascii="Times New Roman" w:hAnsi="Times New Roman"/>
          <w:sz w:val="24"/>
        </w:rPr>
        <w:t>PL</w:t>
      </w:r>
    </w:p>
    <w:p w14:paraId="2704A83C" w14:textId="77777777" w:rsidR="009E7D0C" w:rsidRPr="00D56CBB" w:rsidRDefault="009E7D0C" w:rsidP="00A33695">
      <w:pPr>
        <w:jc w:val="center"/>
        <w:rPr>
          <w:rFonts w:ascii="Times New Roman" w:hAnsi="Times New Roman"/>
          <w:sz w:val="24"/>
        </w:rPr>
      </w:pPr>
    </w:p>
    <w:p w14:paraId="24333E7A" w14:textId="5D6FD9D5" w:rsidR="008D696E" w:rsidRPr="00D56CBB" w:rsidRDefault="008D696E" w:rsidP="00A33695">
      <w:pPr>
        <w:jc w:val="center"/>
        <w:rPr>
          <w:rFonts w:ascii="Times New Roman" w:hAnsi="Times New Roman"/>
          <w:sz w:val="24"/>
        </w:rPr>
      </w:pPr>
      <w:r w:rsidRPr="00D56CBB">
        <w:rPr>
          <w:rFonts w:ascii="Times New Roman" w:hAnsi="Times New Roman"/>
          <w:sz w:val="24"/>
        </w:rPr>
        <w:t>ZAŁĄCZNIK II</w:t>
      </w:r>
    </w:p>
    <w:p w14:paraId="37362007" w14:textId="6FB5EC15" w:rsidR="002648B0" w:rsidRPr="00D56CBB" w:rsidRDefault="008D696E" w:rsidP="00A33695">
      <w:pPr>
        <w:jc w:val="center"/>
        <w:rPr>
          <w:rFonts w:ascii="Times New Roman" w:hAnsi="Times New Roman"/>
          <w:sz w:val="24"/>
        </w:rPr>
      </w:pPr>
      <w:r w:rsidRPr="00D56CBB">
        <w:rPr>
          <w:rFonts w:ascii="Times New Roman" w:hAnsi="Times New Roman"/>
          <w:sz w:val="24"/>
        </w:rPr>
        <w:t>„ZAŁĄCZNIK II</w:t>
      </w:r>
    </w:p>
    <w:p w14:paraId="327777EC" w14:textId="77777777" w:rsidR="002648B0" w:rsidRPr="00D56CBB" w:rsidRDefault="00D11E4C" w:rsidP="00C87CEE">
      <w:pPr>
        <w:jc w:val="center"/>
        <w:rPr>
          <w:rFonts w:ascii="Times New Roman" w:hAnsi="Times New Roman"/>
          <w:b/>
          <w:sz w:val="24"/>
        </w:rPr>
      </w:pPr>
      <w:r w:rsidRPr="00D56CBB">
        <w:rPr>
          <w:rFonts w:ascii="Times New Roman" w:hAnsi="Times New Roman"/>
          <w:b/>
          <w:sz w:val="24"/>
        </w:rPr>
        <w:t>INSTRUKCJE DOTYCZĄCE SPRAWOZDAWCZOŚCI W ZAKRESIE FUNDUSZY WŁASNYCH ORAZ WYMOGÓW W ZAKRESIE FUNDUSZY WŁASNYCH</w:t>
      </w:r>
    </w:p>
    <w:p w14:paraId="2C40683C" w14:textId="77777777" w:rsidR="00436204" w:rsidRPr="00D56CBB" w:rsidRDefault="00436204" w:rsidP="00C87CEE">
      <w:pPr>
        <w:jc w:val="center"/>
        <w:rPr>
          <w:rFonts w:ascii="Times New Roman" w:hAnsi="Times New Roman"/>
          <w:b/>
          <w:sz w:val="24"/>
          <w:lang w:eastAsia="de-DE"/>
        </w:rPr>
      </w:pPr>
    </w:p>
    <w:p w14:paraId="7E85F65D" w14:textId="77777777" w:rsidR="002648B0" w:rsidRPr="00D56CBB" w:rsidRDefault="002648B0" w:rsidP="00005FFC">
      <w:pPr>
        <w:rPr>
          <w:rFonts w:ascii="Times New Roman" w:hAnsi="Times New Roman"/>
          <w:sz w:val="24"/>
        </w:rPr>
      </w:pPr>
    </w:p>
    <w:p w14:paraId="74494658" w14:textId="77777777" w:rsidR="002648B0" w:rsidRPr="00D56CBB" w:rsidRDefault="002648B0" w:rsidP="00D64B66">
      <w:pPr>
        <w:pStyle w:val="Heading2"/>
        <w:rPr>
          <w:rFonts w:ascii="Times New Roman" w:hAnsi="Times New Roman"/>
        </w:rPr>
      </w:pPr>
      <w:bookmarkStart w:id="2" w:name="_Toc360188322"/>
      <w:bookmarkStart w:id="3" w:name="_Toc473560870"/>
      <w:bookmarkStart w:id="4" w:name="_Toc151714358"/>
      <w:r w:rsidRPr="00D56CBB">
        <w:rPr>
          <w:rFonts w:ascii="Times New Roman" w:hAnsi="Times New Roman"/>
        </w:rPr>
        <w:t>CZĘŚĆ II: INSTRUKCJE DOTYCZĄCE WZORÓW</w:t>
      </w:r>
      <w:bookmarkEnd w:id="2"/>
      <w:bookmarkEnd w:id="3"/>
      <w:bookmarkEnd w:id="4"/>
    </w:p>
    <w:p w14:paraId="76BE57B6" w14:textId="77777777" w:rsidR="00964546" w:rsidRPr="00D56CBB" w:rsidRDefault="00964546" w:rsidP="00964546">
      <w:pPr>
        <w:rPr>
          <w:lang w:eastAsia="x-none"/>
        </w:rPr>
      </w:pPr>
    </w:p>
    <w:p w14:paraId="31A06314" w14:textId="70B4B7D9" w:rsidR="00964546" w:rsidRPr="00D56CBB" w:rsidRDefault="00964546" w:rsidP="00964546">
      <w:r w:rsidRPr="00D56CBB">
        <w:t>(…)</w:t>
      </w:r>
    </w:p>
    <w:p w14:paraId="607D2E45" w14:textId="30A4D6DC" w:rsidR="00AB3069" w:rsidRPr="00D56CBB" w:rsidRDefault="003E6AEB" w:rsidP="000059B8">
      <w:pPr>
        <w:pStyle w:val="Instructionsberschrift2"/>
        <w:numPr>
          <w:ilvl w:val="0"/>
          <w:numId w:val="0"/>
        </w:numPr>
        <w:ind w:left="357" w:hanging="357"/>
      </w:pPr>
      <w:bookmarkStart w:id="5" w:name="_Toc151714534"/>
      <w:bookmarkEnd w:id="0"/>
      <w:bookmarkEnd w:id="1"/>
      <w:r w:rsidRPr="00D56CBB">
        <w:rPr>
          <w:rFonts w:ascii="Times New Roman" w:hAnsi="Times New Roman"/>
          <w:sz w:val="24"/>
        </w:rPr>
        <w:t>9. Progi dotyczące portfela handlowego</w:t>
      </w:r>
      <w:r w:rsidR="00D56CBB" w:rsidRPr="00D56CBB">
        <w:rPr>
          <w:rFonts w:ascii="Times New Roman" w:hAnsi="Times New Roman"/>
          <w:sz w:val="24"/>
        </w:rPr>
        <w:t xml:space="preserve"> i</w:t>
      </w:r>
      <w:r w:rsidR="00D56CBB">
        <w:rPr>
          <w:rFonts w:ascii="Times New Roman" w:hAnsi="Times New Roman"/>
          <w:sz w:val="24"/>
        </w:rPr>
        <w:t> </w:t>
      </w:r>
      <w:r w:rsidR="00D56CBB" w:rsidRPr="00D56CBB">
        <w:rPr>
          <w:rFonts w:ascii="Times New Roman" w:hAnsi="Times New Roman"/>
          <w:sz w:val="24"/>
        </w:rPr>
        <w:t>ryz</w:t>
      </w:r>
      <w:r w:rsidRPr="00D56CBB">
        <w:rPr>
          <w:rFonts w:ascii="Times New Roman" w:hAnsi="Times New Roman"/>
          <w:sz w:val="24"/>
        </w:rPr>
        <w:t>yka rynkowego, granica między portfelem handlowym</w:t>
      </w:r>
      <w:r w:rsidR="00D56CBB" w:rsidRPr="00D56CBB">
        <w:rPr>
          <w:rFonts w:ascii="Times New Roman" w:hAnsi="Times New Roman"/>
          <w:sz w:val="24"/>
        </w:rPr>
        <w:t xml:space="preserve"> a</w:t>
      </w:r>
      <w:r w:rsidR="00D56CBB">
        <w:rPr>
          <w:rFonts w:ascii="Times New Roman" w:hAnsi="Times New Roman"/>
          <w:sz w:val="24"/>
        </w:rPr>
        <w:t> </w:t>
      </w:r>
      <w:r w:rsidR="00D56CBB" w:rsidRPr="00D56CBB">
        <w:rPr>
          <w:rFonts w:ascii="Times New Roman" w:hAnsi="Times New Roman"/>
          <w:sz w:val="24"/>
        </w:rPr>
        <w:t>por</w:t>
      </w:r>
      <w:r w:rsidRPr="00D56CBB">
        <w:rPr>
          <w:rFonts w:ascii="Times New Roman" w:hAnsi="Times New Roman"/>
          <w:sz w:val="24"/>
        </w:rPr>
        <w:t>tfelem bankowym oraz przeklasyfikowania</w:t>
      </w:r>
      <w:bookmarkEnd w:id="5"/>
    </w:p>
    <w:p w14:paraId="1FF5D1DF" w14:textId="4851BB35" w:rsidR="00A4497F" w:rsidRPr="00D56CBB"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sidRPr="00D56CBB">
        <w:rPr>
          <w:rFonts w:ascii="Times New Roman" w:hAnsi="Times New Roman"/>
          <w:sz w:val="24"/>
        </w:rPr>
        <w:t>9,1</w:t>
      </w:r>
      <w:r w:rsidRPr="00D56CBB">
        <w:tab/>
      </w:r>
      <w:bookmarkEnd w:id="6"/>
      <w:r w:rsidRPr="00D56CBB">
        <w:rPr>
          <w:rFonts w:ascii="Times New Roman" w:hAnsi="Times New Roman"/>
          <w:sz w:val="24"/>
        </w:rPr>
        <w:t>C 90.00 – Progi dotyczące portfela handlowego</w:t>
      </w:r>
      <w:r w:rsidR="00D56CBB" w:rsidRPr="00D56CBB">
        <w:rPr>
          <w:rFonts w:ascii="Times New Roman" w:hAnsi="Times New Roman"/>
          <w:sz w:val="24"/>
        </w:rPr>
        <w:t xml:space="preserve"> i</w:t>
      </w:r>
      <w:r w:rsidR="00D56CBB">
        <w:rPr>
          <w:rFonts w:ascii="Times New Roman" w:hAnsi="Times New Roman"/>
          <w:sz w:val="24"/>
        </w:rPr>
        <w:t> </w:t>
      </w:r>
      <w:r w:rsidR="00D56CBB" w:rsidRPr="00D56CBB">
        <w:rPr>
          <w:rFonts w:ascii="Times New Roman" w:hAnsi="Times New Roman"/>
          <w:sz w:val="24"/>
        </w:rPr>
        <w:t>ryz</w:t>
      </w:r>
      <w:r w:rsidRPr="00D56CBB">
        <w:rPr>
          <w:rFonts w:ascii="Times New Roman" w:hAnsi="Times New Roman"/>
          <w:sz w:val="24"/>
        </w:rPr>
        <w:t>yka rynkowego</w:t>
      </w:r>
      <w:bookmarkEnd w:id="7"/>
      <w:bookmarkEnd w:id="8"/>
      <w:r w:rsidRPr="00D56CBB">
        <w:rPr>
          <w:rFonts w:ascii="Times New Roman" w:hAnsi="Times New Roman"/>
          <w:sz w:val="24"/>
        </w:rPr>
        <w:t>T</w:t>
      </w:r>
    </w:p>
    <w:p w14:paraId="458F8B64" w14:textId="77777777" w:rsidR="00F65FA6" w:rsidRPr="00D56CBB"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sidRPr="00D56CBB">
        <w:rPr>
          <w:rFonts w:ascii="Times New Roman" w:hAnsi="Times New Roman"/>
          <w:sz w:val="24"/>
          <w:u w:val="none"/>
        </w:rPr>
        <w:t>9.1.1</w:t>
      </w:r>
      <w:r w:rsidRPr="00D56CBB">
        <w:rPr>
          <w:u w:val="none"/>
        </w:rPr>
        <w:tab/>
      </w:r>
      <w:r w:rsidRPr="00D56CBB">
        <w:rPr>
          <w:rFonts w:ascii="Times New Roman" w:hAnsi="Times New Roman"/>
          <w:sz w:val="24"/>
          <w:u w:val="none"/>
        </w:rPr>
        <w:t>Uwagi ogólne</w:t>
      </w:r>
    </w:p>
    <w:p w14:paraId="2EE35BE9" w14:textId="27F85C25" w:rsidR="00F65FA6" w:rsidRPr="00D56CBB" w:rsidRDefault="00F65FA6" w:rsidP="00F65FA6">
      <w:pPr>
        <w:pStyle w:val="InstructionsText2"/>
        <w:numPr>
          <w:ilvl w:val="0"/>
          <w:numId w:val="61"/>
        </w:numPr>
        <w:spacing w:line="259" w:lineRule="auto"/>
      </w:pPr>
      <w:r w:rsidRPr="00D56CBB">
        <w:t>Informacje przedstawiane</w:t>
      </w:r>
      <w:r w:rsidR="00D56CBB" w:rsidRPr="00D56CBB">
        <w:t xml:space="preserve"> w</w:t>
      </w:r>
      <w:r w:rsidR="00D56CBB">
        <w:t> </w:t>
      </w:r>
      <w:r w:rsidR="00D56CBB" w:rsidRPr="00D56CBB">
        <w:t>tym</w:t>
      </w:r>
      <w:r w:rsidRPr="00D56CBB">
        <w:t xml:space="preserve"> wzorze odzwierciedlają wynik obliczeń,</w:t>
      </w:r>
      <w:r w:rsidR="00D56CBB" w:rsidRPr="00D56CBB">
        <w:t xml:space="preserve"> o</w:t>
      </w:r>
      <w:r w:rsidR="00D56CBB">
        <w:t> </w:t>
      </w:r>
      <w:r w:rsidR="00D56CBB" w:rsidRPr="00D56CBB">
        <w:t>któ</w:t>
      </w:r>
      <w:r w:rsidRPr="00D56CBB">
        <w:t>rych mowa</w:t>
      </w:r>
      <w:r w:rsidR="00D56CBB" w:rsidRPr="00D56CBB">
        <w:t xml:space="preserve"> w</w:t>
      </w:r>
      <w:r w:rsidR="00D56CBB">
        <w:t> </w:t>
      </w:r>
      <w:r w:rsidR="00D56CBB" w:rsidRPr="00D56CBB">
        <w:t>art</w:t>
      </w:r>
      <w:r w:rsidRPr="00D56CBB">
        <w:t>. 94 rozporządzenia (UE) nr</w:t>
      </w:r>
      <w:r w:rsidR="00D56CBB" w:rsidRPr="00D56CBB">
        <w:t> </w:t>
      </w:r>
      <w:r w:rsidRPr="00D56CBB">
        <w:t>575/2013 (odstępstwo</w:t>
      </w:r>
      <w:r w:rsidR="00D56CBB" w:rsidRPr="00D56CBB">
        <w:t xml:space="preserve"> w</w:t>
      </w:r>
      <w:r w:rsidR="00D56CBB">
        <w:t> </w:t>
      </w:r>
      <w:r w:rsidR="00D56CBB" w:rsidRPr="00D56CBB">
        <w:t>odn</w:t>
      </w:r>
      <w:r w:rsidRPr="00D56CBB">
        <w:t>iesieniu do działalności zaliczanej do portfela handlowego prowadzonej na małą skalę), oraz wielkość prowadzonej przez instytucje działalności bilansowej</w:t>
      </w:r>
      <w:r w:rsidR="00D56CBB" w:rsidRPr="00D56CBB">
        <w:t xml:space="preserve"> i</w:t>
      </w:r>
      <w:r w:rsidR="00D56CBB">
        <w:t> </w:t>
      </w:r>
      <w:r w:rsidR="00D56CBB" w:rsidRPr="00D56CBB">
        <w:t>poz</w:t>
      </w:r>
      <w:r w:rsidRPr="00D56CBB">
        <w:t>abilansowej obciążonej ryzykiem rynkowym obliczoną zgodnie</w:t>
      </w:r>
      <w:r w:rsidR="00D56CBB" w:rsidRPr="00D56CBB">
        <w:t xml:space="preserve"> z</w:t>
      </w:r>
      <w:r w:rsidR="00D56CBB">
        <w:t> </w:t>
      </w:r>
      <w:r w:rsidR="00D56CBB" w:rsidRPr="00D56CBB">
        <w:t>art</w:t>
      </w:r>
      <w:r w:rsidRPr="00D56CBB">
        <w:t>. 325a rozporządzenia (UE) nr</w:t>
      </w:r>
      <w:r w:rsidR="00D56CBB" w:rsidRPr="00D56CBB">
        <w:t> </w:t>
      </w:r>
      <w:r w:rsidRPr="00D56CBB">
        <w:t>575/2013.</w:t>
      </w:r>
    </w:p>
    <w:p w14:paraId="6349D8A7" w14:textId="77777777" w:rsidR="00F65FA6" w:rsidRPr="00D56CBB"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sidRPr="00D56CBB">
        <w:rPr>
          <w:rFonts w:ascii="Times New Roman" w:hAnsi="Times New Roman"/>
          <w:sz w:val="24"/>
          <w:u w:val="none"/>
        </w:rPr>
        <w:t>9.1.2</w:t>
      </w:r>
      <w:r w:rsidRPr="00D56CBB">
        <w:rPr>
          <w:u w:val="none"/>
        </w:rPr>
        <w:tab/>
      </w:r>
      <w:r w:rsidRPr="00D56CBB">
        <w:rPr>
          <w:rFonts w:ascii="Times New Roman" w:hAnsi="Times New Roman"/>
          <w:sz w:val="24"/>
          <w:u w:val="none"/>
        </w:rPr>
        <w:t>Instrukcje dotyczące poszczególnych pozycji</w:t>
      </w:r>
      <w:bookmarkEnd w:id="10"/>
    </w:p>
    <w:p w14:paraId="230964CC" w14:textId="7DEEF2EE" w:rsidR="00F65FA6" w:rsidRPr="00D56CBB" w:rsidRDefault="00F65FA6" w:rsidP="00F65FA6">
      <w:pPr>
        <w:pStyle w:val="InstructionsText2"/>
        <w:numPr>
          <w:ilvl w:val="0"/>
          <w:numId w:val="61"/>
        </w:numPr>
        <w:spacing w:line="259" w:lineRule="auto"/>
      </w:pPr>
      <w:r w:rsidRPr="00D56CBB">
        <w:t>Wynik obliczeń,</w:t>
      </w:r>
      <w:r w:rsidR="00D56CBB" w:rsidRPr="00D56CBB">
        <w:t xml:space="preserve"> o</w:t>
      </w:r>
      <w:r w:rsidR="00D56CBB">
        <w:t> </w:t>
      </w:r>
      <w:r w:rsidR="00D56CBB" w:rsidRPr="00D56CBB">
        <w:t>któ</w:t>
      </w:r>
      <w:r w:rsidRPr="00D56CBB">
        <w:t>rych mowa</w:t>
      </w:r>
      <w:r w:rsidR="00D56CBB" w:rsidRPr="00D56CBB">
        <w:t xml:space="preserve"> w</w:t>
      </w:r>
      <w:r w:rsidR="00D56CBB">
        <w:t> </w:t>
      </w:r>
      <w:r w:rsidR="00D56CBB" w:rsidRPr="00D56CBB">
        <w:t>art</w:t>
      </w:r>
      <w:r w:rsidRPr="00D56CBB">
        <w:t>.</w:t>
      </w:r>
      <w:r w:rsidR="00D56CBB" w:rsidRPr="00D56CBB">
        <w:t> </w:t>
      </w:r>
      <w:r w:rsidRPr="00D56CBB">
        <w:t>94 rozporządzenia (UE) nr</w:t>
      </w:r>
      <w:r w:rsidR="00D56CBB" w:rsidRPr="00D56CBB">
        <w:t> </w:t>
      </w:r>
      <w:r w:rsidRPr="00D56CBB">
        <w:t>575/2013, oraz informacje na temat wielkości prowadzonej przez instytucje działalności bilansowej</w:t>
      </w:r>
      <w:r w:rsidR="00D56CBB" w:rsidRPr="00D56CBB">
        <w:t xml:space="preserve"> i</w:t>
      </w:r>
      <w:r w:rsidR="00D56CBB">
        <w:t> </w:t>
      </w:r>
      <w:r w:rsidR="00D56CBB" w:rsidRPr="00D56CBB">
        <w:t>poz</w:t>
      </w:r>
      <w:r w:rsidRPr="00D56CBB">
        <w:t>abilansowej obciążonej ryzykiem rynkowym obliczonej zgodnie</w:t>
      </w:r>
      <w:r w:rsidR="00D56CBB" w:rsidRPr="00D56CBB">
        <w:t xml:space="preserve"> z</w:t>
      </w:r>
      <w:r w:rsidR="00D56CBB">
        <w:t> </w:t>
      </w:r>
      <w:r w:rsidR="00D56CBB" w:rsidRPr="00D56CBB">
        <w:t>art</w:t>
      </w:r>
      <w:r w:rsidRPr="00D56CBB">
        <w:t>.</w:t>
      </w:r>
      <w:r w:rsidR="00D56CBB" w:rsidRPr="00D56CBB">
        <w:t> </w:t>
      </w:r>
      <w:r w:rsidRPr="00D56CBB">
        <w:t>325a rozporządzenia (UE) nr</w:t>
      </w:r>
      <w:r w:rsidR="00D56CBB" w:rsidRPr="00D56CBB">
        <w:t> </w:t>
      </w:r>
      <w:r w:rsidRPr="00D56CBB">
        <w:t>575/2013, przedstawia się odrębnie dla końca każdego miesiąca</w:t>
      </w:r>
      <w:r w:rsidR="00D56CBB" w:rsidRPr="00D56CBB">
        <w:t xml:space="preserve"> w</w:t>
      </w:r>
      <w:r w:rsidR="00D56CBB">
        <w:t> </w:t>
      </w:r>
      <w:r w:rsidR="00D56CBB" w:rsidRPr="00D56CBB">
        <w:t>kwa</w:t>
      </w:r>
      <w:r w:rsidRPr="00D56CBB">
        <w:t>rtale, którego dotyczą przedstawione informacje,</w:t>
      </w:r>
      <w:r w:rsidR="00D56CBB" w:rsidRPr="00D56CBB">
        <w:t xml:space="preserve"> w</w:t>
      </w:r>
      <w:r w:rsidR="00D56CBB">
        <w:t> </w:t>
      </w:r>
      <w:r w:rsidR="00D56CBB" w:rsidRPr="00D56CBB">
        <w:t>wie</w:t>
      </w:r>
      <w:r w:rsidRPr="00D56CBB">
        <w:t>rszach 0010–0030.</w:t>
      </w:r>
    </w:p>
    <w:tbl>
      <w:tblPr>
        <w:tblStyle w:val="TableGrid"/>
        <w:tblW w:w="0" w:type="auto"/>
        <w:tblLook w:val="04A0" w:firstRow="1" w:lastRow="0" w:firstColumn="1" w:lastColumn="0" w:noHBand="0" w:noVBand="1"/>
      </w:tblPr>
      <w:tblGrid>
        <w:gridCol w:w="1063"/>
        <w:gridCol w:w="7953"/>
      </w:tblGrid>
      <w:tr w:rsidR="00F65FA6" w:rsidRPr="00D56CBB" w14:paraId="7A8AE764" w14:textId="77777777" w:rsidTr="00E02007">
        <w:tc>
          <w:tcPr>
            <w:tcW w:w="1063" w:type="dxa"/>
            <w:shd w:val="clear" w:color="auto" w:fill="BFBFBF" w:themeFill="background1" w:themeFillShade="BF"/>
          </w:tcPr>
          <w:p w14:paraId="3A6CAFB1" w14:textId="77777777" w:rsidR="00F65FA6" w:rsidRPr="00D56CBB" w:rsidRDefault="00F65FA6" w:rsidP="00E02007">
            <w:pPr>
              <w:pStyle w:val="BodyText"/>
              <w:spacing w:after="120"/>
              <w:rPr>
                <w:rFonts w:ascii="Times New Roman" w:hAnsi="Times New Roman" w:cs="Times New Roman"/>
                <w:b/>
              </w:rPr>
            </w:pPr>
            <w:r w:rsidRPr="00D56CBB">
              <w:rPr>
                <w:rFonts w:ascii="Times New Roman" w:hAnsi="Times New Roman"/>
                <w:b/>
              </w:rPr>
              <w:t>Wiersz</w:t>
            </w:r>
          </w:p>
        </w:tc>
        <w:tc>
          <w:tcPr>
            <w:tcW w:w="7953" w:type="dxa"/>
            <w:shd w:val="clear" w:color="auto" w:fill="BFBFBF" w:themeFill="background1" w:themeFillShade="BF"/>
          </w:tcPr>
          <w:p w14:paraId="769CDB03" w14:textId="41D62E46" w:rsidR="00F65FA6" w:rsidRPr="00D56CBB" w:rsidRDefault="00F65FA6" w:rsidP="00E02007">
            <w:pPr>
              <w:pStyle w:val="BodyText"/>
              <w:spacing w:after="120"/>
              <w:rPr>
                <w:rFonts w:ascii="Times New Roman" w:hAnsi="Times New Roman" w:cs="Times New Roman"/>
                <w:b/>
              </w:rPr>
            </w:pPr>
            <w:r w:rsidRPr="00D56CBB">
              <w:rPr>
                <w:rFonts w:ascii="Times New Roman" w:hAnsi="Times New Roman"/>
                <w:b/>
              </w:rPr>
              <w:t>Odniesienia prawne</w:t>
            </w:r>
            <w:r w:rsidR="00D56CBB" w:rsidRPr="00D56CBB">
              <w:rPr>
                <w:rFonts w:ascii="Times New Roman" w:hAnsi="Times New Roman"/>
                <w:b/>
              </w:rPr>
              <w:t xml:space="preserve"> i</w:t>
            </w:r>
            <w:r w:rsidR="00D56CBB">
              <w:rPr>
                <w:rFonts w:ascii="Times New Roman" w:hAnsi="Times New Roman"/>
                <w:b/>
              </w:rPr>
              <w:t> </w:t>
            </w:r>
            <w:r w:rsidR="00D56CBB" w:rsidRPr="00D56CBB">
              <w:rPr>
                <w:rFonts w:ascii="Times New Roman" w:hAnsi="Times New Roman"/>
                <w:b/>
              </w:rPr>
              <w:t>ins</w:t>
            </w:r>
            <w:r w:rsidRPr="00D56CBB">
              <w:rPr>
                <w:rFonts w:ascii="Times New Roman" w:hAnsi="Times New Roman"/>
                <w:b/>
              </w:rPr>
              <w:t>trukcje</w:t>
            </w:r>
          </w:p>
        </w:tc>
      </w:tr>
      <w:tr w:rsidR="00F65FA6" w:rsidRPr="00D56CBB" w14:paraId="3355BF5A" w14:textId="77777777" w:rsidTr="00E02007">
        <w:tc>
          <w:tcPr>
            <w:tcW w:w="1063" w:type="dxa"/>
          </w:tcPr>
          <w:p w14:paraId="3DDBD759"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0010</w:t>
            </w:r>
          </w:p>
        </w:tc>
        <w:tc>
          <w:tcPr>
            <w:tcW w:w="7953" w:type="dxa"/>
          </w:tcPr>
          <w:p w14:paraId="35E13A17"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Miesiąc 3</w:t>
            </w:r>
          </w:p>
          <w:p w14:paraId="1C7E4625" w14:textId="77777777"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Dane na ostatni dzień trzeciego miesiąca kwartału, którego dotyczą przedstawione informacje.</w:t>
            </w:r>
          </w:p>
        </w:tc>
      </w:tr>
      <w:tr w:rsidR="00F65FA6" w:rsidRPr="00D56CBB" w14:paraId="7B4ADC45" w14:textId="77777777" w:rsidTr="00E02007">
        <w:tc>
          <w:tcPr>
            <w:tcW w:w="1063" w:type="dxa"/>
          </w:tcPr>
          <w:p w14:paraId="7B9AA53A"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0020</w:t>
            </w:r>
          </w:p>
        </w:tc>
        <w:tc>
          <w:tcPr>
            <w:tcW w:w="7953" w:type="dxa"/>
          </w:tcPr>
          <w:p w14:paraId="76C1917C"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Miesiąc 2</w:t>
            </w:r>
          </w:p>
          <w:p w14:paraId="7AF74624" w14:textId="77777777"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Dane na ostatni dzień drugiego miesiąca kwartału, którego dotyczą przedstawione informacje.</w:t>
            </w:r>
          </w:p>
        </w:tc>
      </w:tr>
      <w:tr w:rsidR="00F65FA6" w:rsidRPr="00D56CBB" w14:paraId="3D6489DB" w14:textId="77777777" w:rsidTr="00E02007">
        <w:tc>
          <w:tcPr>
            <w:tcW w:w="1063" w:type="dxa"/>
          </w:tcPr>
          <w:p w14:paraId="01F13363"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lastRenderedPageBreak/>
              <w:t>0030</w:t>
            </w:r>
          </w:p>
        </w:tc>
        <w:tc>
          <w:tcPr>
            <w:tcW w:w="7953" w:type="dxa"/>
          </w:tcPr>
          <w:p w14:paraId="1D4D1B3C"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Miesiąc 1</w:t>
            </w:r>
          </w:p>
          <w:p w14:paraId="321A7E1A" w14:textId="77777777"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Dane na ostatni dzień pierwszego miesiąca kwartału, którego dotyczą przedstawione informacje.</w:t>
            </w:r>
          </w:p>
        </w:tc>
      </w:tr>
    </w:tbl>
    <w:p w14:paraId="55096B4D" w14:textId="77777777" w:rsidR="00F65FA6" w:rsidRPr="00D56CBB" w:rsidRDefault="00F65FA6" w:rsidP="00F65FA6"/>
    <w:tbl>
      <w:tblPr>
        <w:tblStyle w:val="TableGrid"/>
        <w:tblW w:w="0" w:type="auto"/>
        <w:tblLook w:val="04A0" w:firstRow="1" w:lastRow="0" w:firstColumn="1" w:lastColumn="0" w:noHBand="0" w:noVBand="1"/>
      </w:tblPr>
      <w:tblGrid>
        <w:gridCol w:w="1043"/>
        <w:gridCol w:w="7973"/>
      </w:tblGrid>
      <w:tr w:rsidR="00F65FA6" w:rsidRPr="00D56CBB" w14:paraId="6AF8CFCD" w14:textId="77777777" w:rsidTr="00E02007">
        <w:tc>
          <w:tcPr>
            <w:tcW w:w="1043" w:type="dxa"/>
            <w:shd w:val="clear" w:color="auto" w:fill="BFBFBF" w:themeFill="background1" w:themeFillShade="BF"/>
          </w:tcPr>
          <w:p w14:paraId="65665385" w14:textId="77777777" w:rsidR="00F65FA6" w:rsidRPr="00D56CBB" w:rsidRDefault="00F65FA6" w:rsidP="00E02007">
            <w:pPr>
              <w:pStyle w:val="BodyText"/>
              <w:spacing w:after="120"/>
              <w:rPr>
                <w:rFonts w:ascii="Times New Roman" w:hAnsi="Times New Roman" w:cs="Times New Roman"/>
                <w:b/>
              </w:rPr>
            </w:pPr>
            <w:r w:rsidRPr="00D56CBB">
              <w:rPr>
                <w:rFonts w:ascii="Times New Roman" w:hAnsi="Times New Roman"/>
                <w:b/>
              </w:rPr>
              <w:t>Kolumna</w:t>
            </w:r>
          </w:p>
        </w:tc>
        <w:tc>
          <w:tcPr>
            <w:tcW w:w="7973" w:type="dxa"/>
            <w:shd w:val="clear" w:color="auto" w:fill="BFBFBF" w:themeFill="background1" w:themeFillShade="BF"/>
          </w:tcPr>
          <w:p w14:paraId="219EFA66" w14:textId="01C51076" w:rsidR="00F65FA6" w:rsidRPr="00D56CBB" w:rsidRDefault="00F65FA6" w:rsidP="00E02007">
            <w:pPr>
              <w:pStyle w:val="BodyText"/>
              <w:spacing w:after="120"/>
              <w:rPr>
                <w:rFonts w:ascii="Times New Roman" w:hAnsi="Times New Roman" w:cs="Times New Roman"/>
                <w:b/>
              </w:rPr>
            </w:pPr>
            <w:r w:rsidRPr="00D56CBB">
              <w:rPr>
                <w:rFonts w:ascii="Times New Roman" w:hAnsi="Times New Roman"/>
                <w:b/>
              </w:rPr>
              <w:t>Odniesienia prawne</w:t>
            </w:r>
            <w:r w:rsidR="00D56CBB" w:rsidRPr="00D56CBB">
              <w:rPr>
                <w:rFonts w:ascii="Times New Roman" w:hAnsi="Times New Roman"/>
                <w:b/>
              </w:rPr>
              <w:t xml:space="preserve"> i</w:t>
            </w:r>
            <w:r w:rsidR="00D56CBB">
              <w:rPr>
                <w:rFonts w:ascii="Times New Roman" w:hAnsi="Times New Roman"/>
                <w:b/>
              </w:rPr>
              <w:t> </w:t>
            </w:r>
            <w:r w:rsidR="00D56CBB" w:rsidRPr="00D56CBB">
              <w:rPr>
                <w:rFonts w:ascii="Times New Roman" w:hAnsi="Times New Roman"/>
                <w:b/>
              </w:rPr>
              <w:t>ins</w:t>
            </w:r>
            <w:r w:rsidRPr="00D56CBB">
              <w:rPr>
                <w:rFonts w:ascii="Times New Roman" w:hAnsi="Times New Roman"/>
                <w:b/>
              </w:rPr>
              <w:t>trukcje</w:t>
            </w:r>
          </w:p>
        </w:tc>
      </w:tr>
      <w:tr w:rsidR="00F65FA6" w:rsidRPr="00D56CBB" w14:paraId="57E5CA86" w14:textId="77777777" w:rsidTr="00E02007">
        <w:tc>
          <w:tcPr>
            <w:tcW w:w="1043" w:type="dxa"/>
          </w:tcPr>
          <w:p w14:paraId="6648E6E1"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0010</w:t>
            </w:r>
          </w:p>
        </w:tc>
        <w:tc>
          <w:tcPr>
            <w:tcW w:w="7973" w:type="dxa"/>
          </w:tcPr>
          <w:p w14:paraId="15CE25E0" w14:textId="01FDFAFF"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Działalność bilansowa</w:t>
            </w:r>
            <w:r w:rsidR="00D56CBB" w:rsidRPr="00D56CBB">
              <w:rPr>
                <w:rFonts w:ascii="Times New Roman" w:hAnsi="Times New Roman"/>
                <w:b/>
                <w:u w:val="single"/>
              </w:rPr>
              <w:t xml:space="preserve"> i</w:t>
            </w:r>
            <w:r w:rsidR="00D56CBB">
              <w:rPr>
                <w:rFonts w:ascii="Times New Roman" w:hAnsi="Times New Roman"/>
                <w:b/>
                <w:u w:val="single"/>
              </w:rPr>
              <w:t> </w:t>
            </w:r>
            <w:r w:rsidR="00D56CBB" w:rsidRPr="00D56CBB">
              <w:rPr>
                <w:rFonts w:ascii="Times New Roman" w:hAnsi="Times New Roman"/>
                <w:b/>
                <w:u w:val="single"/>
              </w:rPr>
              <w:t>poz</w:t>
            </w:r>
            <w:r w:rsidRPr="00D56CBB">
              <w:rPr>
                <w:rFonts w:ascii="Times New Roman" w:hAnsi="Times New Roman"/>
                <w:b/>
                <w:u w:val="single"/>
              </w:rPr>
              <w:t>abilansowa obciążona ryzykiem rynkowym</w:t>
            </w:r>
          </w:p>
          <w:p w14:paraId="208FB794" w14:textId="412E40E5"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Art. 325a ust.</w:t>
            </w:r>
            <w:r w:rsidR="00D56CBB" w:rsidRPr="00D56CBB">
              <w:rPr>
                <w:rFonts w:ascii="Times New Roman" w:hAnsi="Times New Roman"/>
              </w:rPr>
              <w:t> </w:t>
            </w:r>
            <w:r w:rsidRPr="00D56CBB">
              <w:rPr>
                <w:rFonts w:ascii="Times New Roman" w:hAnsi="Times New Roman"/>
              </w:rPr>
              <w:t>2 rozporządzenia (UE) nr</w:t>
            </w:r>
            <w:r w:rsidR="00D56CBB" w:rsidRPr="00D56CBB">
              <w:rPr>
                <w:rFonts w:ascii="Times New Roman" w:hAnsi="Times New Roman"/>
              </w:rPr>
              <w:t> </w:t>
            </w:r>
            <w:r w:rsidRPr="00D56CBB">
              <w:rPr>
                <w:rFonts w:ascii="Times New Roman" w:hAnsi="Times New Roman"/>
              </w:rPr>
              <w:t>575/2013.</w:t>
            </w:r>
          </w:p>
          <w:p w14:paraId="44825AE5" w14:textId="673C9D3E"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Instytucje zgłaszają kwotę bezwzględną odzwierciedlającą wielkość prowadzonej przez nie działalności bilansowej</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poz</w:t>
            </w:r>
            <w:r w:rsidRPr="00D56CBB">
              <w:rPr>
                <w:rFonts w:ascii="Times New Roman" w:hAnsi="Times New Roman"/>
              </w:rPr>
              <w:t>abilansowej obciążonej ryzykiem rynkowym obliczoną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 325a ust. 2 rozporządzenia (UE) nr</w:t>
            </w:r>
            <w:r w:rsidR="00D56CBB" w:rsidRPr="00D56CBB">
              <w:rPr>
                <w:rFonts w:ascii="Times New Roman" w:hAnsi="Times New Roman"/>
              </w:rPr>
              <w:t> </w:t>
            </w:r>
            <w:r w:rsidRPr="00D56CBB">
              <w:rPr>
                <w:rFonts w:ascii="Times New Roman" w:hAnsi="Times New Roman"/>
              </w:rPr>
              <w:t xml:space="preserve">575/2013. </w:t>
            </w:r>
          </w:p>
        </w:tc>
      </w:tr>
      <w:tr w:rsidR="00F65FA6" w:rsidRPr="00D56CBB" w14:paraId="5EBC2E16" w14:textId="77777777" w:rsidTr="00E02007">
        <w:tc>
          <w:tcPr>
            <w:tcW w:w="1043" w:type="dxa"/>
          </w:tcPr>
          <w:p w14:paraId="25974D86"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0020 – 0060</w:t>
            </w:r>
          </w:p>
        </w:tc>
        <w:tc>
          <w:tcPr>
            <w:tcW w:w="7973" w:type="dxa"/>
          </w:tcPr>
          <w:p w14:paraId="3885D529"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Podział według portfela</w:t>
            </w:r>
          </w:p>
          <w:p w14:paraId="014F6AAD" w14:textId="4D1FF9A6"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Działalność bilansowa</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poz</w:t>
            </w:r>
            <w:r w:rsidRPr="00D56CBB">
              <w:rPr>
                <w:rFonts w:ascii="Times New Roman" w:hAnsi="Times New Roman"/>
              </w:rPr>
              <w:t xml:space="preserve">abilansowa obciążona ryzykiem rynkowym dzieli się na działalność zaliczaną do portfela handlowego oraz działalność zaliczaną do portfela bankowego. </w:t>
            </w:r>
          </w:p>
        </w:tc>
      </w:tr>
      <w:tr w:rsidR="00F65FA6" w:rsidRPr="00D56CBB" w14:paraId="5E57F79B" w14:textId="77777777" w:rsidTr="00E02007">
        <w:tc>
          <w:tcPr>
            <w:tcW w:w="1043" w:type="dxa"/>
          </w:tcPr>
          <w:p w14:paraId="7440E785"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0020-0040</w:t>
            </w:r>
          </w:p>
        </w:tc>
        <w:tc>
          <w:tcPr>
            <w:tcW w:w="7973" w:type="dxa"/>
          </w:tcPr>
          <w:p w14:paraId="78FEC356"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Portfel handlowy</w:t>
            </w:r>
          </w:p>
          <w:p w14:paraId="6098BB58" w14:textId="1A9E0A13"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Pozycje przypisane do portfela handlowego uwzględnione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obl</w:t>
            </w:r>
            <w:r w:rsidRPr="00D56CBB">
              <w:rPr>
                <w:rFonts w:ascii="Times New Roman" w:hAnsi="Times New Roman"/>
              </w:rPr>
              <w:t>iczeniach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325a ust.</w:t>
            </w:r>
            <w:r w:rsidR="00D56CBB" w:rsidRPr="00D56CBB">
              <w:rPr>
                <w:rFonts w:ascii="Times New Roman" w:hAnsi="Times New Roman"/>
              </w:rPr>
              <w:t> </w:t>
            </w:r>
            <w:r w:rsidRPr="00D56CBB">
              <w:rPr>
                <w:rFonts w:ascii="Times New Roman" w:hAnsi="Times New Roman"/>
              </w:rPr>
              <w:t>2 rozporządzenia (UE) nr</w:t>
            </w:r>
            <w:r w:rsidR="00D56CBB" w:rsidRPr="00D56CBB">
              <w:rPr>
                <w:rFonts w:ascii="Times New Roman" w:hAnsi="Times New Roman"/>
              </w:rPr>
              <w:t> </w:t>
            </w:r>
            <w:r w:rsidRPr="00D56CBB">
              <w:rPr>
                <w:rFonts w:ascii="Times New Roman" w:hAnsi="Times New Roman"/>
              </w:rPr>
              <w:t>575/2013.</w:t>
            </w:r>
          </w:p>
        </w:tc>
      </w:tr>
      <w:tr w:rsidR="00F65FA6" w:rsidRPr="00D56CBB" w14:paraId="63198C07" w14:textId="77777777" w:rsidTr="00E02007">
        <w:tc>
          <w:tcPr>
            <w:tcW w:w="1043" w:type="dxa"/>
          </w:tcPr>
          <w:p w14:paraId="6FC2F0F0"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0030 – 0040</w:t>
            </w:r>
          </w:p>
        </w:tc>
        <w:tc>
          <w:tcPr>
            <w:tcW w:w="7973" w:type="dxa"/>
          </w:tcPr>
          <w:p w14:paraId="24A21C27" w14:textId="6972DBEC"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W tym: działalność zaliczana do portfela handlowego do celów art.</w:t>
            </w:r>
            <w:r w:rsidR="00D56CBB" w:rsidRPr="00D56CBB">
              <w:rPr>
                <w:rFonts w:ascii="Times New Roman" w:hAnsi="Times New Roman"/>
                <w:b/>
                <w:u w:val="single"/>
              </w:rPr>
              <w:t> </w:t>
            </w:r>
            <w:r w:rsidRPr="00D56CBB">
              <w:rPr>
                <w:rFonts w:ascii="Times New Roman" w:hAnsi="Times New Roman"/>
                <w:b/>
                <w:u w:val="single"/>
              </w:rPr>
              <w:t>94 rozporządzenia (UE) nr</w:t>
            </w:r>
            <w:r w:rsidR="00D56CBB" w:rsidRPr="00D56CBB">
              <w:rPr>
                <w:rFonts w:ascii="Times New Roman" w:hAnsi="Times New Roman"/>
                <w:b/>
                <w:u w:val="single"/>
              </w:rPr>
              <w:t> </w:t>
            </w:r>
            <w:r w:rsidRPr="00D56CBB">
              <w:rPr>
                <w:rFonts w:ascii="Times New Roman" w:hAnsi="Times New Roman"/>
                <w:b/>
                <w:u w:val="single"/>
              </w:rPr>
              <w:t>575/2013</w:t>
            </w:r>
          </w:p>
          <w:p w14:paraId="7A1ECC78" w14:textId="572579F7"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Art. 94 ust.</w:t>
            </w:r>
            <w:r w:rsidR="00D56CBB" w:rsidRPr="00D56CBB">
              <w:rPr>
                <w:rFonts w:ascii="Times New Roman" w:hAnsi="Times New Roman"/>
              </w:rPr>
              <w:t> </w:t>
            </w:r>
            <w:r w:rsidRPr="00D56CBB">
              <w:rPr>
                <w:rFonts w:ascii="Times New Roman" w:hAnsi="Times New Roman"/>
              </w:rPr>
              <w:t>3 rozporządzenia (UE) nr</w:t>
            </w:r>
            <w:r w:rsidR="00D56CBB" w:rsidRPr="00D56CBB">
              <w:rPr>
                <w:rFonts w:ascii="Times New Roman" w:hAnsi="Times New Roman"/>
              </w:rPr>
              <w:t> </w:t>
            </w:r>
            <w:r w:rsidRPr="00D56CBB">
              <w:rPr>
                <w:rFonts w:ascii="Times New Roman" w:hAnsi="Times New Roman"/>
              </w:rPr>
              <w:t>575/2013.</w:t>
            </w:r>
          </w:p>
          <w:p w14:paraId="0A9722AA" w14:textId="0042F4F2"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 94 ust. 3 lit. b) rozporządzenia (UE) nr</w:t>
            </w:r>
            <w:r w:rsidR="00D56CBB" w:rsidRPr="00D56CBB">
              <w:rPr>
                <w:rFonts w:ascii="Times New Roman" w:hAnsi="Times New Roman"/>
              </w:rPr>
              <w:t> </w:t>
            </w:r>
            <w:r w:rsidRPr="00D56CBB">
              <w:rPr>
                <w:rFonts w:ascii="Times New Roman" w:hAnsi="Times New Roman"/>
              </w:rPr>
              <w:t>575/2013 instytucje zgłaszają wartości rynkowe na ostatni dzień miesiąca; jeżeli wartości rynkowe nie są dostępne, instytucje zgłaszają wartości godziwe na ten dzień lub, jeżeli wartości rynkowe</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war</w:t>
            </w:r>
            <w:r w:rsidRPr="00D56CBB">
              <w:rPr>
                <w:rFonts w:ascii="Times New Roman" w:hAnsi="Times New Roman"/>
              </w:rPr>
              <w:t xml:space="preserve">tości godziwe nie są dostępne na dany dzień, ostatnią dostępną wartość rynkową lub wartość godziwą. </w:t>
            </w:r>
          </w:p>
        </w:tc>
      </w:tr>
      <w:tr w:rsidR="00F65FA6" w:rsidRPr="00D56CBB" w14:paraId="1BA6F191" w14:textId="77777777" w:rsidTr="00E02007">
        <w:tc>
          <w:tcPr>
            <w:tcW w:w="1043" w:type="dxa"/>
          </w:tcPr>
          <w:p w14:paraId="661DD231"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0030</w:t>
            </w:r>
          </w:p>
        </w:tc>
        <w:tc>
          <w:tcPr>
            <w:tcW w:w="7973" w:type="dxa"/>
          </w:tcPr>
          <w:p w14:paraId="21157FFD"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Ogółem</w:t>
            </w:r>
          </w:p>
          <w:p w14:paraId="50DBCCC0" w14:textId="75B0AFD6"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Art. 94 ust.</w:t>
            </w:r>
            <w:r w:rsidR="00D56CBB" w:rsidRPr="00D56CBB">
              <w:rPr>
                <w:rFonts w:ascii="Times New Roman" w:hAnsi="Times New Roman"/>
              </w:rPr>
              <w:t> </w:t>
            </w:r>
            <w:r w:rsidRPr="00D56CBB">
              <w:rPr>
                <w:rFonts w:ascii="Times New Roman" w:hAnsi="Times New Roman"/>
              </w:rPr>
              <w:t>3 rozporządzenia (UE) nr</w:t>
            </w:r>
            <w:r w:rsidR="00D56CBB" w:rsidRPr="00D56CBB">
              <w:rPr>
                <w:rFonts w:ascii="Times New Roman" w:hAnsi="Times New Roman"/>
              </w:rPr>
              <w:t> </w:t>
            </w:r>
            <w:r w:rsidRPr="00D56CBB">
              <w:rPr>
                <w:rFonts w:ascii="Times New Roman" w:hAnsi="Times New Roman"/>
              </w:rPr>
              <w:t>575/2013.</w:t>
            </w:r>
          </w:p>
          <w:p w14:paraId="1B4AB24D" w14:textId="1D282B8B"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Kwotę bezwzględną pozycji długich</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poz</w:t>
            </w:r>
            <w:r w:rsidRPr="00D56CBB">
              <w:rPr>
                <w:rFonts w:ascii="Times New Roman" w:hAnsi="Times New Roman"/>
              </w:rPr>
              <w:t>ycji krótkich sumuje się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 94 ust. 3 lit. c) rozporządzenia (UE) nr</w:t>
            </w:r>
            <w:r w:rsidR="00D56CBB" w:rsidRPr="00D56CBB">
              <w:rPr>
                <w:rFonts w:ascii="Times New Roman" w:hAnsi="Times New Roman"/>
              </w:rPr>
              <w:t> </w:t>
            </w:r>
            <w:r w:rsidRPr="00D56CBB">
              <w:rPr>
                <w:rFonts w:ascii="Times New Roman" w:hAnsi="Times New Roman"/>
              </w:rPr>
              <w:t>575/2013.</w:t>
            </w:r>
          </w:p>
        </w:tc>
      </w:tr>
      <w:tr w:rsidR="00F65FA6" w:rsidRPr="00D56CBB" w14:paraId="39EFF6D7" w14:textId="77777777" w:rsidTr="00E02007">
        <w:tc>
          <w:tcPr>
            <w:tcW w:w="1043" w:type="dxa"/>
          </w:tcPr>
          <w:p w14:paraId="6E8E06FD"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0040</w:t>
            </w:r>
          </w:p>
        </w:tc>
        <w:tc>
          <w:tcPr>
            <w:tcW w:w="7973" w:type="dxa"/>
          </w:tcPr>
          <w:p w14:paraId="59AF0468"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W % całkowitej kwoty aktywów</w:t>
            </w:r>
          </w:p>
          <w:p w14:paraId="2A48E439" w14:textId="1BA94857"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Art. 94 ust.</w:t>
            </w:r>
            <w:r w:rsidR="00D56CBB" w:rsidRPr="00D56CBB">
              <w:rPr>
                <w:rFonts w:ascii="Times New Roman" w:hAnsi="Times New Roman"/>
              </w:rPr>
              <w:t> </w:t>
            </w:r>
            <w:r w:rsidRPr="00D56CBB">
              <w:rPr>
                <w:rFonts w:ascii="Times New Roman" w:hAnsi="Times New Roman"/>
              </w:rPr>
              <w:t>1 lit.</w:t>
            </w:r>
            <w:r w:rsidR="00D56CBB" w:rsidRPr="00D56CBB">
              <w:rPr>
                <w:rFonts w:ascii="Times New Roman" w:hAnsi="Times New Roman"/>
              </w:rPr>
              <w:t> </w:t>
            </w:r>
            <w:r w:rsidRPr="00D56CBB">
              <w:rPr>
                <w:rFonts w:ascii="Times New Roman" w:hAnsi="Times New Roman"/>
              </w:rPr>
              <w:t>a) rozporządzenia (UE) nr</w:t>
            </w:r>
            <w:r w:rsidR="00D56CBB" w:rsidRPr="00D56CBB">
              <w:rPr>
                <w:rFonts w:ascii="Times New Roman" w:hAnsi="Times New Roman"/>
              </w:rPr>
              <w:t> </w:t>
            </w:r>
            <w:r w:rsidRPr="00D56CBB">
              <w:rPr>
                <w:rFonts w:ascii="Times New Roman" w:hAnsi="Times New Roman"/>
              </w:rPr>
              <w:t>575/2013.</w:t>
            </w:r>
          </w:p>
          <w:p w14:paraId="49681B66" w14:textId="319CF060"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Wielkość działalności zaliczanej do portfela handlowego do celów art. 94 rozporządzenia (UE) nr</w:t>
            </w:r>
            <w:r w:rsidR="00D56CBB" w:rsidRPr="00D56CBB">
              <w:rPr>
                <w:rFonts w:ascii="Times New Roman" w:hAnsi="Times New Roman"/>
              </w:rPr>
              <w:t> </w:t>
            </w:r>
            <w:r w:rsidRPr="00D56CBB">
              <w:rPr>
                <w:rFonts w:ascii="Times New Roman" w:hAnsi="Times New Roman"/>
              </w:rPr>
              <w:t>575/2013 wyraża się jako odsetek całkowitej kwoty aktywów.</w:t>
            </w:r>
          </w:p>
        </w:tc>
      </w:tr>
      <w:tr w:rsidR="00F65FA6" w:rsidRPr="00D56CBB" w14:paraId="2C1E41CE" w14:textId="77777777" w:rsidTr="00E02007">
        <w:tc>
          <w:tcPr>
            <w:tcW w:w="1043" w:type="dxa"/>
          </w:tcPr>
          <w:p w14:paraId="45DD6754"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0050 – 0060</w:t>
            </w:r>
          </w:p>
        </w:tc>
        <w:tc>
          <w:tcPr>
            <w:tcW w:w="7973" w:type="dxa"/>
          </w:tcPr>
          <w:p w14:paraId="59D1D775"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 xml:space="preserve">Portfel bankowy </w:t>
            </w:r>
          </w:p>
          <w:p w14:paraId="62438A74" w14:textId="1DF3F49D"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lastRenderedPageBreak/>
              <w:t>Pozycje przypisane do portfela bankowego uwzględnione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obl</w:t>
            </w:r>
            <w:r w:rsidRPr="00D56CBB">
              <w:rPr>
                <w:rFonts w:ascii="Times New Roman" w:hAnsi="Times New Roman"/>
              </w:rPr>
              <w:t>iczeniach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325a ust.</w:t>
            </w:r>
            <w:r w:rsidR="00D56CBB" w:rsidRPr="00D56CBB">
              <w:rPr>
                <w:rFonts w:ascii="Times New Roman" w:hAnsi="Times New Roman"/>
              </w:rPr>
              <w:t> </w:t>
            </w:r>
            <w:r w:rsidRPr="00D56CBB">
              <w:rPr>
                <w:rFonts w:ascii="Times New Roman" w:hAnsi="Times New Roman"/>
              </w:rPr>
              <w:t>2 rozporządzenia (UE) nr</w:t>
            </w:r>
            <w:r w:rsidR="00D56CBB" w:rsidRPr="00D56CBB">
              <w:rPr>
                <w:rFonts w:ascii="Times New Roman" w:hAnsi="Times New Roman"/>
              </w:rPr>
              <w:t> </w:t>
            </w:r>
            <w:r w:rsidRPr="00D56CBB">
              <w:rPr>
                <w:rFonts w:ascii="Times New Roman" w:hAnsi="Times New Roman"/>
              </w:rPr>
              <w:t>575/2013.</w:t>
            </w:r>
          </w:p>
          <w:p w14:paraId="54237402" w14:textId="68545C64"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Instytucje zgłaszają obciążone ryzykiem rynkowym pozycje zaliczane do portfela bankowego</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pod</w:t>
            </w:r>
            <w:r w:rsidRPr="00D56CBB">
              <w:rPr>
                <w:rFonts w:ascii="Times New Roman" w:hAnsi="Times New Roman"/>
              </w:rPr>
              <w:t>ziale na pozycje obciążone ryzykiem walutowym</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poz</w:t>
            </w:r>
            <w:r w:rsidRPr="00D56CBB">
              <w:rPr>
                <w:rFonts w:ascii="Times New Roman" w:hAnsi="Times New Roman"/>
              </w:rPr>
              <w:t>ycje obciążone ryzykiem cen towarów.</w:t>
            </w:r>
          </w:p>
          <w:p w14:paraId="6F2651D5" w14:textId="219439F0"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Odpowiednie kwoty określa się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 325a ust.</w:t>
            </w:r>
            <w:r w:rsidR="00D56CBB" w:rsidRPr="00D56CBB">
              <w:rPr>
                <w:rFonts w:ascii="Times New Roman" w:hAnsi="Times New Roman"/>
              </w:rPr>
              <w:t> </w:t>
            </w:r>
            <w:r w:rsidRPr="00D56CBB">
              <w:rPr>
                <w:rFonts w:ascii="Times New Roman" w:hAnsi="Times New Roman"/>
              </w:rPr>
              <w:t>2 lit.</w:t>
            </w:r>
            <w:r w:rsidR="00D56CBB" w:rsidRPr="00D56CBB">
              <w:rPr>
                <w:rFonts w:ascii="Times New Roman" w:hAnsi="Times New Roman"/>
              </w:rPr>
              <w:t> </w:t>
            </w:r>
            <w:r w:rsidRPr="00D56CBB">
              <w:rPr>
                <w:rFonts w:ascii="Times New Roman" w:hAnsi="Times New Roman"/>
              </w:rPr>
              <w:t>d) i e) rozporządzenia (UE) nr</w:t>
            </w:r>
            <w:r w:rsidR="00D56CBB" w:rsidRPr="00D56CBB">
              <w:rPr>
                <w:rFonts w:ascii="Times New Roman" w:hAnsi="Times New Roman"/>
              </w:rPr>
              <w:t> </w:t>
            </w:r>
            <w:r w:rsidRPr="00D56CBB">
              <w:rPr>
                <w:rFonts w:ascii="Times New Roman" w:hAnsi="Times New Roman"/>
              </w:rPr>
              <w:t xml:space="preserve">575/2013. </w:t>
            </w:r>
          </w:p>
        </w:tc>
      </w:tr>
      <w:tr w:rsidR="00F65FA6" w:rsidRPr="00D56CBB" w14:paraId="15FBA6A1" w14:textId="77777777" w:rsidTr="00E02007">
        <w:tc>
          <w:tcPr>
            <w:tcW w:w="1043" w:type="dxa"/>
          </w:tcPr>
          <w:p w14:paraId="1FCF4531"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lastRenderedPageBreak/>
              <w:t>0070</w:t>
            </w:r>
          </w:p>
        </w:tc>
        <w:tc>
          <w:tcPr>
            <w:tcW w:w="7973" w:type="dxa"/>
          </w:tcPr>
          <w:p w14:paraId="6D9E3BF8"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W % całkowitej kwoty aktywów</w:t>
            </w:r>
          </w:p>
          <w:p w14:paraId="6A6F8AC2" w14:textId="742076E8"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Art. 325a ust.</w:t>
            </w:r>
            <w:r w:rsidR="00D56CBB" w:rsidRPr="00D56CBB">
              <w:rPr>
                <w:rFonts w:ascii="Times New Roman" w:hAnsi="Times New Roman"/>
              </w:rPr>
              <w:t> </w:t>
            </w:r>
            <w:r w:rsidRPr="00D56CBB">
              <w:rPr>
                <w:rFonts w:ascii="Times New Roman" w:hAnsi="Times New Roman"/>
              </w:rPr>
              <w:t>1 lit.</w:t>
            </w:r>
            <w:r w:rsidR="00D56CBB" w:rsidRPr="00D56CBB">
              <w:rPr>
                <w:rFonts w:ascii="Times New Roman" w:hAnsi="Times New Roman"/>
              </w:rPr>
              <w:t> </w:t>
            </w:r>
            <w:r w:rsidRPr="00D56CBB">
              <w:rPr>
                <w:rFonts w:ascii="Times New Roman" w:hAnsi="Times New Roman"/>
              </w:rPr>
              <w:t>a) rozporządzenia (UE) nr</w:t>
            </w:r>
            <w:r w:rsidR="00D56CBB" w:rsidRPr="00D56CBB">
              <w:rPr>
                <w:rFonts w:ascii="Times New Roman" w:hAnsi="Times New Roman"/>
              </w:rPr>
              <w:t> </w:t>
            </w:r>
            <w:r w:rsidRPr="00D56CBB">
              <w:rPr>
                <w:rFonts w:ascii="Times New Roman" w:hAnsi="Times New Roman"/>
              </w:rPr>
              <w:t>575/2013.</w:t>
            </w:r>
          </w:p>
          <w:p w14:paraId="542B2372" w14:textId="11DECECD"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Wielkość bilansowej</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poz</w:t>
            </w:r>
            <w:r w:rsidRPr="00D56CBB">
              <w:rPr>
                <w:rFonts w:ascii="Times New Roman" w:hAnsi="Times New Roman"/>
              </w:rPr>
              <w:t>abilansowej działalności obciążonej ryzykiem rynkowym wyraża się jako odsetek całkowitej kwoty aktywów.</w:t>
            </w:r>
          </w:p>
        </w:tc>
      </w:tr>
      <w:tr w:rsidR="00F65FA6" w:rsidRPr="00D56CBB" w14:paraId="74752559" w14:textId="77777777" w:rsidTr="00E02007">
        <w:tc>
          <w:tcPr>
            <w:tcW w:w="1043" w:type="dxa"/>
          </w:tcPr>
          <w:p w14:paraId="72343CA3" w14:textId="77777777" w:rsidR="00F65FA6" w:rsidRPr="00D56CBB" w:rsidRDefault="00F65FA6" w:rsidP="00E02007">
            <w:pPr>
              <w:pStyle w:val="BodyText"/>
              <w:spacing w:after="120"/>
              <w:rPr>
                <w:rFonts w:ascii="Times New Roman" w:hAnsi="Times New Roman" w:cs="Times New Roman"/>
              </w:rPr>
            </w:pPr>
            <w:r w:rsidRPr="00D56CBB">
              <w:rPr>
                <w:rFonts w:ascii="Times New Roman" w:hAnsi="Times New Roman"/>
              </w:rPr>
              <w:t>0080</w:t>
            </w:r>
          </w:p>
        </w:tc>
        <w:tc>
          <w:tcPr>
            <w:tcW w:w="7973" w:type="dxa"/>
          </w:tcPr>
          <w:p w14:paraId="5907245C" w14:textId="77777777" w:rsidR="00F65FA6" w:rsidRPr="00D56CBB" w:rsidRDefault="00F65FA6" w:rsidP="00E02007">
            <w:pPr>
              <w:pStyle w:val="Tabelleninhalt"/>
              <w:spacing w:after="120"/>
              <w:rPr>
                <w:rFonts w:ascii="Times New Roman" w:hAnsi="Times New Roman" w:cs="Times New Roman"/>
                <w:b/>
                <w:u w:val="single"/>
              </w:rPr>
            </w:pPr>
            <w:r w:rsidRPr="00D56CBB">
              <w:rPr>
                <w:rFonts w:ascii="Times New Roman" w:hAnsi="Times New Roman"/>
                <w:b/>
                <w:u w:val="single"/>
              </w:rPr>
              <w:t>Całkowite aktywa</w:t>
            </w:r>
          </w:p>
          <w:p w14:paraId="020AD40A" w14:textId="40ED4B51" w:rsidR="00F65FA6" w:rsidRPr="00D56CBB" w:rsidRDefault="00F65FA6" w:rsidP="00E02007">
            <w:pPr>
              <w:pStyle w:val="Tabelleninhalt"/>
              <w:spacing w:after="120"/>
              <w:rPr>
                <w:rFonts w:ascii="Times New Roman" w:hAnsi="Times New Roman" w:cs="Times New Roman"/>
              </w:rPr>
            </w:pPr>
            <w:r w:rsidRPr="00D56CBB">
              <w:rPr>
                <w:rFonts w:ascii="Times New Roman" w:hAnsi="Times New Roman"/>
              </w:rPr>
              <w:t>Art. 94 ust.</w:t>
            </w:r>
            <w:r w:rsidR="00D56CBB" w:rsidRPr="00D56CBB">
              <w:rPr>
                <w:rFonts w:ascii="Times New Roman" w:hAnsi="Times New Roman"/>
              </w:rPr>
              <w:t> </w:t>
            </w:r>
            <w:r w:rsidRPr="00D56CBB">
              <w:rPr>
                <w:rFonts w:ascii="Times New Roman" w:hAnsi="Times New Roman"/>
              </w:rPr>
              <w:t>1 lit.</w:t>
            </w:r>
            <w:r w:rsidR="00D56CBB" w:rsidRPr="00D56CBB">
              <w:rPr>
                <w:rFonts w:ascii="Times New Roman" w:hAnsi="Times New Roman"/>
              </w:rPr>
              <w:t> </w:t>
            </w:r>
            <w:r w:rsidRPr="00D56CBB">
              <w:rPr>
                <w:rFonts w:ascii="Times New Roman" w:hAnsi="Times New Roman"/>
              </w:rPr>
              <w:t>a)</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325a ust.</w:t>
            </w:r>
            <w:r w:rsidR="00D56CBB" w:rsidRPr="00D56CBB">
              <w:rPr>
                <w:rFonts w:ascii="Times New Roman" w:hAnsi="Times New Roman"/>
              </w:rPr>
              <w:t> </w:t>
            </w:r>
            <w:r w:rsidRPr="00D56CBB">
              <w:rPr>
                <w:rFonts w:ascii="Times New Roman" w:hAnsi="Times New Roman"/>
              </w:rPr>
              <w:t>1 lit.</w:t>
            </w:r>
            <w:r w:rsidR="00D56CBB" w:rsidRPr="00D56CBB">
              <w:rPr>
                <w:rFonts w:ascii="Times New Roman" w:hAnsi="Times New Roman"/>
              </w:rPr>
              <w:t> </w:t>
            </w:r>
            <w:r w:rsidRPr="00D56CBB">
              <w:rPr>
                <w:rFonts w:ascii="Times New Roman" w:hAnsi="Times New Roman"/>
              </w:rPr>
              <w:t>a) rozporządzenia (UE) nr</w:t>
            </w:r>
            <w:r w:rsidR="00D56CBB" w:rsidRPr="00D56CBB">
              <w:rPr>
                <w:rFonts w:ascii="Times New Roman" w:hAnsi="Times New Roman"/>
              </w:rPr>
              <w:t> </w:t>
            </w:r>
            <w:r w:rsidRPr="00D56CBB">
              <w:rPr>
                <w:rFonts w:ascii="Times New Roman" w:hAnsi="Times New Roman"/>
              </w:rPr>
              <w:t>575/2013.</w:t>
            </w:r>
          </w:p>
        </w:tc>
      </w:tr>
    </w:tbl>
    <w:p w14:paraId="2C563A95" w14:textId="77777777" w:rsidR="00F65FA6" w:rsidRPr="00D56CBB" w:rsidRDefault="00F65FA6" w:rsidP="00F65FA6">
      <w:pPr>
        <w:rPr>
          <w:rFonts w:ascii="Times New Roman" w:hAnsi="Times New Roman"/>
          <w:sz w:val="24"/>
        </w:rPr>
      </w:pPr>
    </w:p>
    <w:p w14:paraId="3D64E99A" w14:textId="17BF2DB2" w:rsidR="00AB3069" w:rsidRPr="00D56CBB" w:rsidRDefault="003E6AEB" w:rsidP="000059B8">
      <w:pPr>
        <w:pStyle w:val="Instructionsberschrift2"/>
        <w:numPr>
          <w:ilvl w:val="0"/>
          <w:numId w:val="0"/>
        </w:numPr>
        <w:ind w:left="357" w:hanging="357"/>
      </w:pPr>
      <w:r w:rsidRPr="00D56CBB">
        <w:rPr>
          <w:rFonts w:ascii="Times New Roman" w:hAnsi="Times New Roman"/>
          <w:sz w:val="24"/>
        </w:rPr>
        <w:t>9.2 Granica między portfelem handlowym</w:t>
      </w:r>
      <w:r w:rsidR="00D56CBB" w:rsidRPr="00D56CBB">
        <w:rPr>
          <w:rFonts w:ascii="Times New Roman" w:hAnsi="Times New Roman"/>
          <w:sz w:val="24"/>
        </w:rPr>
        <w:t xml:space="preserve"> a</w:t>
      </w:r>
      <w:r w:rsidR="00D56CBB">
        <w:rPr>
          <w:rFonts w:ascii="Times New Roman" w:hAnsi="Times New Roman"/>
          <w:sz w:val="24"/>
        </w:rPr>
        <w:t> </w:t>
      </w:r>
      <w:r w:rsidR="00D56CBB" w:rsidRPr="00D56CBB">
        <w:rPr>
          <w:rFonts w:ascii="Times New Roman" w:hAnsi="Times New Roman"/>
          <w:sz w:val="24"/>
        </w:rPr>
        <w:t>por</w:t>
      </w:r>
      <w:r w:rsidRPr="00D56CBB">
        <w:rPr>
          <w:rFonts w:ascii="Times New Roman" w:hAnsi="Times New Roman"/>
          <w:sz w:val="24"/>
        </w:rPr>
        <w:t>tfelem bankowym (BOU)</w:t>
      </w:r>
      <w:bookmarkEnd w:id="9"/>
    </w:p>
    <w:p w14:paraId="2D9236ED" w14:textId="27F33E1C" w:rsidR="009B2CA6" w:rsidRPr="00D56CBB"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sidRPr="00D56CBB">
        <w:rPr>
          <w:rFonts w:ascii="Times New Roman" w:hAnsi="Times New Roman"/>
          <w:sz w:val="24"/>
        </w:rPr>
        <w:t>9.2.1</w:t>
      </w:r>
      <w:r w:rsidRPr="00D56CBB">
        <w:rPr>
          <w:u w:val="none"/>
        </w:rPr>
        <w:tab/>
      </w:r>
      <w:r w:rsidRPr="00D56CBB">
        <w:rPr>
          <w:rFonts w:ascii="Times New Roman" w:hAnsi="Times New Roman"/>
          <w:sz w:val="24"/>
        </w:rPr>
        <w:t>Uwagi ogólne</w:t>
      </w:r>
      <w:bookmarkEnd w:id="11"/>
    </w:p>
    <w:p w14:paraId="5D51F5A4" w14:textId="2F68E98F" w:rsidR="009B2CA6" w:rsidRPr="00D56CBB" w:rsidRDefault="000B3833" w:rsidP="00660845">
      <w:pPr>
        <w:pStyle w:val="InstructionsText2"/>
        <w:numPr>
          <w:ilvl w:val="0"/>
          <w:numId w:val="0"/>
        </w:numPr>
      </w:pPr>
      <w:r w:rsidRPr="00D56CBB">
        <w:t>209a. Wzór ten stosuje się</w:t>
      </w:r>
      <w:r w:rsidR="00D56CBB" w:rsidRPr="00D56CBB">
        <w:t xml:space="preserve"> w</w:t>
      </w:r>
      <w:r w:rsidR="00D56CBB">
        <w:t> </w:t>
      </w:r>
      <w:r w:rsidR="00D56CBB" w:rsidRPr="00D56CBB">
        <w:t>cel</w:t>
      </w:r>
      <w:r w:rsidRPr="00D56CBB">
        <w:t>u przedstawienia informacji na temat struktury portfela handlowego (BOU1)</w:t>
      </w:r>
      <w:r w:rsidR="00D56CBB" w:rsidRPr="00D56CBB">
        <w:t xml:space="preserve"> w</w:t>
      </w:r>
      <w:r w:rsidR="00D56CBB">
        <w:t> </w:t>
      </w:r>
      <w:r w:rsidR="00D56CBB" w:rsidRPr="00D56CBB">
        <w:t>świ</w:t>
      </w:r>
      <w:r w:rsidRPr="00D56CBB">
        <w:t>etle założeń dotyczących uwzględniania instrumentów</w:t>
      </w:r>
      <w:r w:rsidR="00D56CBB" w:rsidRPr="00D56CBB">
        <w:t xml:space="preserve"> w</w:t>
      </w:r>
      <w:r w:rsidR="00D56CBB">
        <w:t> </w:t>
      </w:r>
      <w:r w:rsidR="00D56CBB" w:rsidRPr="00D56CBB">
        <w:t>por</w:t>
      </w:r>
      <w:r w:rsidRPr="00D56CBB">
        <w:t>tfelach, określonych</w:t>
      </w:r>
      <w:r w:rsidR="00D56CBB" w:rsidRPr="00D56CBB">
        <w:t xml:space="preserve"> w</w:t>
      </w:r>
      <w:r w:rsidR="00D56CBB">
        <w:t> </w:t>
      </w:r>
      <w:r w:rsidR="00D56CBB" w:rsidRPr="00D56CBB">
        <w:t>art</w:t>
      </w:r>
      <w:r w:rsidRPr="00D56CBB">
        <w:t>.</w:t>
      </w:r>
      <w:r w:rsidR="00D56CBB" w:rsidRPr="00D56CBB">
        <w:t> </w:t>
      </w:r>
      <w:r w:rsidRPr="00D56CBB">
        <w:t>104 rozporządzenia (UE) nr</w:t>
      </w:r>
      <w:r w:rsidR="00D56CBB" w:rsidRPr="00D56CBB">
        <w:t> </w:t>
      </w:r>
      <w:r w:rsidRPr="00D56CBB">
        <w:t xml:space="preserve">575/2013. </w:t>
      </w:r>
    </w:p>
    <w:p w14:paraId="6EE2D450" w14:textId="77777777" w:rsidR="00015197" w:rsidRPr="00D56CBB"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sidRPr="00D56CBB">
        <w:rPr>
          <w:rFonts w:ascii="Times New Roman" w:hAnsi="Times New Roman"/>
          <w:sz w:val="24"/>
        </w:rPr>
        <w:t>9.2.2</w:t>
      </w:r>
      <w:r w:rsidRPr="00D56CBB">
        <w:rPr>
          <w:u w:val="none"/>
        </w:rPr>
        <w:tab/>
      </w:r>
      <w:r w:rsidRPr="00D56CBB">
        <w:rPr>
          <w:rFonts w:ascii="Times New Roman" w:hAnsi="Times New Roman"/>
          <w:sz w:val="24"/>
        </w:rPr>
        <w:t>C 90.05 – Granica: portfel handlowy (BOU1)</w:t>
      </w:r>
      <w:bookmarkEnd w:id="12"/>
    </w:p>
    <w:p w14:paraId="642D4D18" w14:textId="1B329C57" w:rsidR="00015197" w:rsidRPr="00D56CBB"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sidRPr="00D56CBB">
        <w:rPr>
          <w:rFonts w:ascii="Times New Roman" w:hAnsi="Times New Roman"/>
          <w:sz w:val="24"/>
        </w:rPr>
        <w:t>9.2.2.1</w:t>
      </w:r>
      <w:r w:rsidRPr="00D56CBB">
        <w:rPr>
          <w:rFonts w:ascii="Times New Roman" w:hAnsi="Times New Roman"/>
          <w:sz w:val="24"/>
          <w:u w:val="none"/>
        </w:rPr>
        <w:t xml:space="preserve"> </w:t>
      </w:r>
      <w:r w:rsidRPr="00D56CBB">
        <w:rPr>
          <w:rFonts w:ascii="Times New Roman" w:hAnsi="Times New Roman"/>
          <w:sz w:val="24"/>
        </w:rPr>
        <w:t>Uwagi ogólne</w:t>
      </w:r>
      <w:bookmarkEnd w:id="13"/>
    </w:p>
    <w:p w14:paraId="4E94C71F" w14:textId="5FD8A737" w:rsidR="00D87969" w:rsidRPr="00D56CBB" w:rsidRDefault="000B3833" w:rsidP="00D53CED">
      <w:pPr>
        <w:pStyle w:val="InstructionsText2"/>
        <w:numPr>
          <w:ilvl w:val="0"/>
          <w:numId w:val="0"/>
        </w:numPr>
      </w:pPr>
      <w:r w:rsidRPr="00D56CBB">
        <w:t>209b. Instytucje zgłaszają</w:t>
      </w:r>
      <w:r w:rsidR="00D56CBB" w:rsidRPr="00D56CBB">
        <w:t xml:space="preserve"> w</w:t>
      </w:r>
      <w:r w:rsidR="00D56CBB">
        <w:t> </w:t>
      </w:r>
      <w:r w:rsidR="00D56CBB" w:rsidRPr="00D56CBB">
        <w:t>tym</w:t>
      </w:r>
      <w:r w:rsidRPr="00D56CBB">
        <w:t xml:space="preserve"> wzorze wszystkie pozycje przypisane do portfela handlowego,</w:t>
      </w:r>
      <w:r w:rsidR="00D56CBB" w:rsidRPr="00D56CBB">
        <w:t xml:space="preserve"> o</w:t>
      </w:r>
      <w:r w:rsidR="00D56CBB">
        <w:t> </w:t>
      </w:r>
      <w:r w:rsidR="00D56CBB" w:rsidRPr="00D56CBB">
        <w:t>któ</w:t>
      </w:r>
      <w:r w:rsidRPr="00D56CBB">
        <w:t>rych mowa</w:t>
      </w:r>
      <w:r w:rsidR="00D56CBB" w:rsidRPr="00D56CBB">
        <w:t xml:space="preserve"> w</w:t>
      </w:r>
      <w:r w:rsidR="00D56CBB">
        <w:t> </w:t>
      </w:r>
      <w:r w:rsidR="00D56CBB" w:rsidRPr="00D56CBB">
        <w:t>art</w:t>
      </w:r>
      <w:r w:rsidRPr="00D56CBB">
        <w:t>.</w:t>
      </w:r>
      <w:r w:rsidR="00D56CBB" w:rsidRPr="00D56CBB">
        <w:t> </w:t>
      </w:r>
      <w:r w:rsidRPr="00D56CBB">
        <w:t>4 ust.</w:t>
      </w:r>
      <w:r w:rsidR="00D56CBB" w:rsidRPr="00D56CBB">
        <w:t> </w:t>
      </w:r>
      <w:r w:rsidRPr="00D56CBB">
        <w:t>1 pkt</w:t>
      </w:r>
      <w:r w:rsidR="00D56CBB" w:rsidRPr="00D56CBB">
        <w:t> </w:t>
      </w:r>
      <w:r w:rsidRPr="00D56CBB">
        <w:t>85 rozporządzenia (UE) nr</w:t>
      </w:r>
      <w:r w:rsidR="00D56CBB" w:rsidRPr="00D56CBB">
        <w:t> </w:t>
      </w:r>
      <w:r w:rsidRPr="00D56CBB">
        <w:t>575/2013,</w:t>
      </w:r>
      <w:r w:rsidR="00D56CBB" w:rsidRPr="00D56CBB">
        <w:t xml:space="preserve"> z</w:t>
      </w:r>
      <w:r w:rsidR="00D56CBB">
        <w:t> </w:t>
      </w:r>
      <w:r w:rsidR="00D56CBB" w:rsidRPr="00D56CBB">
        <w:t>wyj</w:t>
      </w:r>
      <w:r w:rsidRPr="00D56CBB">
        <w:t>ątkiem instrumentów</w:t>
      </w:r>
      <w:r w:rsidR="00D56CBB" w:rsidRPr="00D56CBB">
        <w:t xml:space="preserve"> i</w:t>
      </w:r>
      <w:r w:rsidR="00D56CBB">
        <w:t> </w:t>
      </w:r>
      <w:r w:rsidR="00D56CBB" w:rsidRPr="00D56CBB">
        <w:t>poz</w:t>
      </w:r>
      <w:r w:rsidRPr="00D56CBB">
        <w:t>ycji wyłączonych</w:t>
      </w:r>
      <w:r w:rsidR="00D56CBB" w:rsidRPr="00D56CBB">
        <w:t xml:space="preserve"> z</w:t>
      </w:r>
      <w:r w:rsidR="00D56CBB">
        <w:t> </w:t>
      </w:r>
      <w:r w:rsidR="00D56CBB" w:rsidRPr="00D56CBB">
        <w:t>obl</w:t>
      </w:r>
      <w:r w:rsidRPr="00D56CBB">
        <w:t>iczania progu,</w:t>
      </w:r>
      <w:r w:rsidR="00D56CBB" w:rsidRPr="00D56CBB">
        <w:t xml:space="preserve"> o</w:t>
      </w:r>
      <w:r w:rsidR="00D56CBB">
        <w:t> </w:t>
      </w:r>
      <w:r w:rsidR="00D56CBB" w:rsidRPr="00D56CBB">
        <w:t>któ</w:t>
      </w:r>
      <w:r w:rsidRPr="00D56CBB">
        <w:t>rym mowa</w:t>
      </w:r>
      <w:r w:rsidR="00D56CBB" w:rsidRPr="00D56CBB">
        <w:t xml:space="preserve"> w</w:t>
      </w:r>
      <w:r w:rsidR="00D56CBB">
        <w:t> </w:t>
      </w:r>
      <w:r w:rsidR="00D56CBB" w:rsidRPr="00D56CBB">
        <w:t>art</w:t>
      </w:r>
      <w:r w:rsidRPr="00D56CBB">
        <w:t>.</w:t>
      </w:r>
      <w:r w:rsidR="00D56CBB" w:rsidRPr="00D56CBB">
        <w:t> </w:t>
      </w:r>
      <w:r w:rsidRPr="00D56CBB">
        <w:t>325a rozporządzenia (UE) nr</w:t>
      </w:r>
      <w:r w:rsidR="00D56CBB" w:rsidRPr="00D56CBB">
        <w:t> </w:t>
      </w:r>
      <w:r w:rsidRPr="00D56CBB">
        <w:t>575/2013.</w:t>
      </w:r>
      <w:r w:rsidRPr="00D56CBB">
        <w:br/>
        <w:t>209c.</w:t>
      </w:r>
      <w:r w:rsidRPr="00D56CBB">
        <w:br/>
        <w:t>Na zasadzie odstępstwa od art.</w:t>
      </w:r>
      <w:r w:rsidR="00D56CBB" w:rsidRPr="00D56CBB">
        <w:t> </w:t>
      </w:r>
      <w:r w:rsidRPr="00D56CBB">
        <w:t>21 ust.</w:t>
      </w:r>
      <w:r w:rsidR="00D56CBB" w:rsidRPr="00D56CBB">
        <w:t> </w:t>
      </w:r>
      <w:r w:rsidRPr="00D56CBB">
        <w:t>1 lit.</w:t>
      </w:r>
      <w:r w:rsidR="00D56CBB" w:rsidRPr="00D56CBB">
        <w:t> </w:t>
      </w:r>
      <w:r w:rsidRPr="00D56CBB">
        <w:t>a) rozporządzenia (UE) 2021/451 instytucje zgłaszają wartość zerową</w:t>
      </w:r>
      <w:r w:rsidR="00D56CBB" w:rsidRPr="00D56CBB">
        <w:t xml:space="preserve"> w</w:t>
      </w:r>
      <w:r w:rsidR="00D56CBB">
        <w:t> </w:t>
      </w:r>
      <w:r w:rsidR="00D56CBB" w:rsidRPr="00D56CBB">
        <w:t>wie</w:t>
      </w:r>
      <w:r w:rsidRPr="00D56CBB">
        <w:t>rszach 0010</w:t>
      </w:r>
      <w:r w:rsidR="00D56CBB" w:rsidRPr="00D56CBB">
        <w:t xml:space="preserve"> i</w:t>
      </w:r>
      <w:r w:rsidR="00D56CBB">
        <w:t> </w:t>
      </w:r>
      <w:r w:rsidR="00D56CBB" w:rsidRPr="00D56CBB">
        <w:t>0</w:t>
      </w:r>
      <w:r w:rsidRPr="00D56CBB">
        <w:t>020, odpowiednio</w:t>
      </w:r>
      <w:r w:rsidR="00D56CBB" w:rsidRPr="00D56CBB">
        <w:t xml:space="preserve"> w</w:t>
      </w:r>
      <w:r w:rsidR="00D56CBB">
        <w:t> </w:t>
      </w:r>
      <w:r w:rsidR="00D56CBB" w:rsidRPr="00D56CBB">
        <w:t>kol</w:t>
      </w:r>
      <w:r w:rsidRPr="00D56CBB">
        <w:t>umnach 0020 („Obowiązkowo</w:t>
      </w:r>
      <w:r w:rsidR="00D56CBB" w:rsidRPr="00D56CBB">
        <w:t xml:space="preserve"> w</w:t>
      </w:r>
      <w:r w:rsidR="00D56CBB">
        <w:t> </w:t>
      </w:r>
      <w:r w:rsidR="00D56CBB" w:rsidRPr="00D56CBB">
        <w:t>por</w:t>
      </w:r>
      <w:r w:rsidRPr="00D56CBB">
        <w:t>tfelu handlowym”), 0130 („Instrumenty ujęte</w:t>
      </w:r>
      <w:r w:rsidR="00D56CBB" w:rsidRPr="00D56CBB">
        <w:t xml:space="preserve"> w</w:t>
      </w:r>
      <w:r w:rsidR="00D56CBB">
        <w:t> </w:t>
      </w:r>
      <w:r w:rsidR="00D56CBB" w:rsidRPr="00D56CBB">
        <w:t>por</w:t>
      </w:r>
      <w:r w:rsidRPr="00D56CBB">
        <w:t>tfelu handlowym za zgodą właściwego organu: instrumenty</w:t>
      </w:r>
      <w:r w:rsidR="00D56CBB" w:rsidRPr="00D56CBB">
        <w:t xml:space="preserve"> w</w:t>
      </w:r>
      <w:r w:rsidR="00D56CBB">
        <w:t> </w:t>
      </w:r>
      <w:r w:rsidR="00D56CBB" w:rsidRPr="00D56CBB">
        <w:t>fun</w:t>
      </w:r>
      <w:r w:rsidRPr="00D56CBB">
        <w:t>duszach hedgingowych”)</w:t>
      </w:r>
      <w:r w:rsidR="00D56CBB" w:rsidRPr="00D56CBB">
        <w:t xml:space="preserve"> i</w:t>
      </w:r>
      <w:r w:rsidR="00D56CBB">
        <w:t> </w:t>
      </w:r>
      <w:r w:rsidR="00D56CBB" w:rsidRPr="00D56CBB">
        <w:t>0</w:t>
      </w:r>
      <w:r w:rsidRPr="00D56CBB">
        <w:t>140 („Inne instrumenty”), jeżeli ich portfel handlowy nie zawiera żadnych instrumentów odpowiadających opisowi odpowiedniego pola.</w:t>
      </w:r>
    </w:p>
    <w:p w14:paraId="032CBDD2" w14:textId="553C54FC" w:rsidR="00056154" w:rsidRPr="00D56CBB" w:rsidRDefault="00056154">
      <w:pPr>
        <w:pStyle w:val="InstructionsText2"/>
        <w:numPr>
          <w:ilvl w:val="0"/>
          <w:numId w:val="0"/>
        </w:numPr>
      </w:pPr>
    </w:p>
    <w:p w14:paraId="2C4982B9" w14:textId="526F501C" w:rsidR="009B2CA6" w:rsidRPr="00D56CBB"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sidRPr="00D56CBB">
        <w:rPr>
          <w:rFonts w:ascii="Times New Roman" w:hAnsi="Times New Roman"/>
          <w:sz w:val="24"/>
        </w:rPr>
        <w:t>9.2.2.2 Instrukcje dotyczące poszczególnych pozycji</w:t>
      </w:r>
      <w:bookmarkEnd w:id="14"/>
    </w:p>
    <w:tbl>
      <w:tblPr>
        <w:tblStyle w:val="TableGrid"/>
        <w:tblW w:w="0" w:type="auto"/>
        <w:tblLook w:val="04A0" w:firstRow="1" w:lastRow="0" w:firstColumn="1" w:lastColumn="0" w:noHBand="0" w:noVBand="1"/>
      </w:tblPr>
      <w:tblGrid>
        <w:gridCol w:w="1203"/>
        <w:gridCol w:w="7813"/>
      </w:tblGrid>
      <w:tr w:rsidR="009B2CA6" w:rsidRPr="00D56CBB" w14:paraId="15D9E2A5" w14:textId="77777777">
        <w:tc>
          <w:tcPr>
            <w:tcW w:w="1203" w:type="dxa"/>
            <w:shd w:val="clear" w:color="auto" w:fill="BFBFBF" w:themeFill="background1" w:themeFillShade="BF"/>
          </w:tcPr>
          <w:p w14:paraId="1B28CD80" w14:textId="77777777" w:rsidR="009B2CA6" w:rsidRPr="00D56CBB" w:rsidRDefault="009B2CA6">
            <w:pPr>
              <w:pStyle w:val="BodyText"/>
              <w:spacing w:before="120" w:after="120"/>
              <w:rPr>
                <w:rFonts w:ascii="Times New Roman" w:hAnsi="Times New Roman" w:cs="Times New Roman"/>
                <w:b/>
              </w:rPr>
            </w:pPr>
            <w:r w:rsidRPr="00D56CBB">
              <w:rPr>
                <w:rFonts w:ascii="Times New Roman" w:hAnsi="Times New Roman"/>
                <w:b/>
              </w:rPr>
              <w:t>Kolumna</w:t>
            </w:r>
          </w:p>
        </w:tc>
        <w:tc>
          <w:tcPr>
            <w:tcW w:w="7813" w:type="dxa"/>
            <w:shd w:val="clear" w:color="auto" w:fill="BFBFBF" w:themeFill="background1" w:themeFillShade="BF"/>
          </w:tcPr>
          <w:p w14:paraId="07605642" w14:textId="6FCC7642" w:rsidR="009B2CA6" w:rsidRPr="00D56CBB" w:rsidRDefault="009B2CA6">
            <w:pPr>
              <w:pStyle w:val="BodyText"/>
              <w:spacing w:before="120" w:after="120"/>
              <w:rPr>
                <w:rFonts w:ascii="Times New Roman" w:hAnsi="Times New Roman" w:cs="Times New Roman"/>
                <w:b/>
              </w:rPr>
            </w:pPr>
            <w:r w:rsidRPr="00D56CBB">
              <w:rPr>
                <w:rFonts w:ascii="Times New Roman" w:hAnsi="Times New Roman"/>
                <w:b/>
              </w:rPr>
              <w:t>Odniesienia prawne</w:t>
            </w:r>
            <w:r w:rsidR="00D56CBB" w:rsidRPr="00D56CBB">
              <w:rPr>
                <w:rFonts w:ascii="Times New Roman" w:hAnsi="Times New Roman"/>
                <w:b/>
              </w:rPr>
              <w:t xml:space="preserve"> i</w:t>
            </w:r>
            <w:r w:rsidR="00D56CBB">
              <w:rPr>
                <w:rFonts w:ascii="Times New Roman" w:hAnsi="Times New Roman"/>
                <w:b/>
              </w:rPr>
              <w:t> </w:t>
            </w:r>
            <w:r w:rsidR="00D56CBB" w:rsidRPr="00D56CBB">
              <w:rPr>
                <w:rFonts w:ascii="Times New Roman" w:hAnsi="Times New Roman"/>
                <w:b/>
              </w:rPr>
              <w:t>ins</w:t>
            </w:r>
            <w:r w:rsidRPr="00D56CBB">
              <w:rPr>
                <w:rFonts w:ascii="Times New Roman" w:hAnsi="Times New Roman"/>
                <w:b/>
              </w:rPr>
              <w:t>trukcje</w:t>
            </w:r>
          </w:p>
        </w:tc>
      </w:tr>
      <w:tr w:rsidR="009B2CA6" w:rsidRPr="00D56CBB" w14:paraId="55E2B293" w14:textId="77777777">
        <w:trPr>
          <w:trHeight w:val="70"/>
        </w:trPr>
        <w:tc>
          <w:tcPr>
            <w:tcW w:w="1203" w:type="dxa"/>
          </w:tcPr>
          <w:p w14:paraId="62D87E0D" w14:textId="7B0469E1"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lastRenderedPageBreak/>
              <w:t>0010 – 0150</w:t>
            </w:r>
          </w:p>
        </w:tc>
        <w:tc>
          <w:tcPr>
            <w:tcW w:w="7813" w:type="dxa"/>
            <w:vAlign w:val="bottom"/>
          </w:tcPr>
          <w:p w14:paraId="266895B6" w14:textId="1FEDA4F1"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Portfel handlowy: Pozycje zagregowane: Wartość,</w:t>
            </w:r>
            <w:r w:rsidR="00D56CBB" w:rsidRPr="00D56CBB">
              <w:rPr>
                <w:rFonts w:ascii="Times New Roman" w:hAnsi="Times New Roman"/>
                <w:b/>
                <w:u w:val="single"/>
              </w:rPr>
              <w:t xml:space="preserve"> o</w:t>
            </w:r>
            <w:r w:rsidR="00D56CBB">
              <w:rPr>
                <w:rFonts w:ascii="Times New Roman" w:hAnsi="Times New Roman"/>
                <w:b/>
                <w:u w:val="single"/>
              </w:rPr>
              <w:t> </w:t>
            </w:r>
            <w:r w:rsidR="00D56CBB" w:rsidRPr="00D56CBB">
              <w:rPr>
                <w:rFonts w:ascii="Times New Roman" w:hAnsi="Times New Roman"/>
                <w:b/>
                <w:u w:val="single"/>
              </w:rPr>
              <w:t>któ</w:t>
            </w:r>
            <w:r w:rsidRPr="00D56CBB">
              <w:rPr>
                <w:rFonts w:ascii="Times New Roman" w:hAnsi="Times New Roman"/>
                <w:b/>
                <w:u w:val="single"/>
              </w:rPr>
              <w:t>rej mowa</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art</w:t>
            </w:r>
            <w:r w:rsidRPr="00D56CBB">
              <w:rPr>
                <w:rFonts w:ascii="Times New Roman" w:hAnsi="Times New Roman"/>
                <w:b/>
                <w:u w:val="single"/>
              </w:rPr>
              <w:t>.</w:t>
            </w:r>
            <w:r w:rsidR="00D56CBB" w:rsidRPr="00D56CBB">
              <w:rPr>
                <w:rFonts w:ascii="Times New Roman" w:hAnsi="Times New Roman"/>
                <w:b/>
                <w:u w:val="single"/>
              </w:rPr>
              <w:t> </w:t>
            </w:r>
            <w:r w:rsidRPr="00D56CBB">
              <w:rPr>
                <w:rFonts w:ascii="Times New Roman" w:hAnsi="Times New Roman"/>
                <w:b/>
                <w:u w:val="single"/>
              </w:rPr>
              <w:t>325a rozporządzenia (UE) nr</w:t>
            </w:r>
            <w:r w:rsidR="00D56CBB" w:rsidRPr="00D56CBB">
              <w:rPr>
                <w:rFonts w:ascii="Times New Roman" w:hAnsi="Times New Roman"/>
                <w:b/>
                <w:u w:val="single"/>
              </w:rPr>
              <w:t> </w:t>
            </w:r>
            <w:r w:rsidRPr="00D56CBB">
              <w:rPr>
                <w:rFonts w:ascii="Times New Roman" w:hAnsi="Times New Roman"/>
                <w:b/>
                <w:u w:val="single"/>
              </w:rPr>
              <w:t>575/2013 ((+) dodatnia /(-) ujemna wartość rynkowa netto)</w:t>
            </w:r>
          </w:p>
          <w:p w14:paraId="00ABD96B" w14:textId="706908CB" w:rsidR="009B2CA6" w:rsidRPr="00D56CBB" w:rsidRDefault="009B2CA6" w:rsidP="00056154">
            <w:pPr>
              <w:pStyle w:val="BodyText"/>
              <w:spacing w:before="120" w:after="120"/>
              <w:rPr>
                <w:rFonts w:ascii="Times New Roman" w:hAnsi="Times New Roman" w:cs="Times New Roman"/>
              </w:rPr>
            </w:pPr>
            <w:r w:rsidRPr="00D56CBB">
              <w:rPr>
                <w:rFonts w:ascii="Times New Roman" w:hAnsi="Times New Roman"/>
              </w:rPr>
              <w:t>Art. 4 ust.</w:t>
            </w:r>
            <w:r w:rsidR="00D56CBB" w:rsidRPr="00D56CBB">
              <w:rPr>
                <w:rFonts w:ascii="Times New Roman" w:hAnsi="Times New Roman"/>
              </w:rPr>
              <w:t> </w:t>
            </w:r>
            <w:r w:rsidRPr="00D56CBB">
              <w:rPr>
                <w:rFonts w:ascii="Times New Roman" w:hAnsi="Times New Roman"/>
              </w:rPr>
              <w:t>1 pkt</w:t>
            </w:r>
            <w:r w:rsidR="00D56CBB" w:rsidRPr="00D56CBB">
              <w:rPr>
                <w:rFonts w:ascii="Times New Roman" w:hAnsi="Times New Roman"/>
              </w:rPr>
              <w:t> </w:t>
            </w:r>
            <w:r w:rsidRPr="00D56CBB">
              <w:rPr>
                <w:rFonts w:ascii="Times New Roman" w:hAnsi="Times New Roman"/>
              </w:rPr>
              <w:t>86, art.</w:t>
            </w:r>
            <w:r w:rsidR="00D56CBB" w:rsidRPr="00D56CBB">
              <w:rPr>
                <w:rFonts w:ascii="Times New Roman" w:hAnsi="Times New Roman"/>
              </w:rPr>
              <w:t> </w:t>
            </w:r>
            <w:r w:rsidRPr="00D56CBB">
              <w:rPr>
                <w:rFonts w:ascii="Times New Roman" w:hAnsi="Times New Roman"/>
              </w:rPr>
              <w:t>104, art.</w:t>
            </w:r>
            <w:r w:rsidR="00D56CBB" w:rsidRPr="00D56CBB">
              <w:rPr>
                <w:rFonts w:ascii="Times New Roman" w:hAnsi="Times New Roman"/>
              </w:rPr>
              <w:t> </w:t>
            </w:r>
            <w:r w:rsidRPr="00D56CBB">
              <w:rPr>
                <w:rFonts w:ascii="Times New Roman" w:hAnsi="Times New Roman"/>
              </w:rPr>
              <w:t>325a ust.</w:t>
            </w:r>
            <w:r w:rsidR="00D56CBB" w:rsidRPr="00D56CBB">
              <w:rPr>
                <w:rFonts w:ascii="Times New Roman" w:hAnsi="Times New Roman"/>
              </w:rPr>
              <w:t> </w:t>
            </w:r>
            <w:r w:rsidRPr="00D56CBB">
              <w:rPr>
                <w:rFonts w:ascii="Times New Roman" w:hAnsi="Times New Roman"/>
              </w:rPr>
              <w:t>2 lit.</w:t>
            </w:r>
            <w:r w:rsidR="00D56CBB" w:rsidRPr="00D56CBB">
              <w:rPr>
                <w:rFonts w:ascii="Times New Roman" w:hAnsi="Times New Roman"/>
              </w:rPr>
              <w:t> </w:t>
            </w:r>
            <w:r w:rsidRPr="00D56CBB">
              <w:rPr>
                <w:rFonts w:ascii="Times New Roman" w:hAnsi="Times New Roman"/>
              </w:rPr>
              <w:t>a) rozporządzenia (UE) nr</w:t>
            </w:r>
            <w:r w:rsidR="00D56CBB" w:rsidRPr="00D56CBB">
              <w:rPr>
                <w:rFonts w:ascii="Times New Roman" w:hAnsi="Times New Roman"/>
              </w:rPr>
              <w:t> </w:t>
            </w:r>
            <w:r w:rsidRPr="00D56CBB">
              <w:rPr>
                <w:rFonts w:ascii="Times New Roman" w:hAnsi="Times New Roman"/>
              </w:rPr>
              <w:t>575/2013.</w:t>
            </w:r>
          </w:p>
          <w:p w14:paraId="467A1E21" w14:textId="57593C9A" w:rsidR="0061609C" w:rsidRPr="00D56CBB" w:rsidRDefault="0061609C" w:rsidP="00056154">
            <w:pPr>
              <w:pStyle w:val="BodyText"/>
              <w:spacing w:before="120" w:after="120"/>
              <w:rPr>
                <w:rFonts w:ascii="Times New Roman" w:hAnsi="Times New Roman" w:cs="Times New Roman"/>
              </w:rPr>
            </w:pPr>
            <w:r w:rsidRPr="00D56CBB">
              <w:t>Instytucje zgłaszają odrębnie informacje dotyczące zagregowanych pozycji długich</w:t>
            </w:r>
            <w:r w:rsidR="00D56CBB" w:rsidRPr="00D56CBB">
              <w:t xml:space="preserve"> i</w:t>
            </w:r>
            <w:r w:rsidR="00D56CBB">
              <w:t> </w:t>
            </w:r>
            <w:r w:rsidR="00D56CBB" w:rsidRPr="00D56CBB">
              <w:t>zag</w:t>
            </w:r>
            <w:r w:rsidRPr="00D56CBB">
              <w:t>regowanych pozycji krótkich. Instytucje ustalają wartość zagregowanej pozycji długiej (krótkiej) zgodnie</w:t>
            </w:r>
            <w:r w:rsidR="00D56CBB" w:rsidRPr="00D56CBB">
              <w:t xml:space="preserve"> z</w:t>
            </w:r>
            <w:r w:rsidR="00D56CBB">
              <w:t> </w:t>
            </w:r>
            <w:r w:rsidR="00D56CBB" w:rsidRPr="00D56CBB">
              <w:t>art</w:t>
            </w:r>
            <w:r w:rsidRPr="00D56CBB">
              <w:t>.</w:t>
            </w:r>
            <w:r w:rsidR="00D56CBB" w:rsidRPr="00D56CBB">
              <w:t> </w:t>
            </w:r>
            <w:r w:rsidRPr="00D56CBB">
              <w:t>325a ust.</w:t>
            </w:r>
            <w:r w:rsidR="00D56CBB" w:rsidRPr="00D56CBB">
              <w:t> </w:t>
            </w:r>
            <w:r w:rsidRPr="00D56CBB">
              <w:t>2 rozporządzenia (UE) nr</w:t>
            </w:r>
            <w:r w:rsidR="00D56CBB" w:rsidRPr="00D56CBB">
              <w:t> </w:t>
            </w:r>
            <w:r w:rsidRPr="00D56CBB">
              <w:t>575/2013,</w:t>
            </w:r>
            <w:r w:rsidR="00D56CBB" w:rsidRPr="00D56CBB">
              <w:t xml:space="preserve"> z</w:t>
            </w:r>
            <w:r w:rsidR="00D56CBB">
              <w:t> </w:t>
            </w:r>
            <w:r w:rsidR="00D56CBB" w:rsidRPr="00D56CBB">
              <w:t>zas</w:t>
            </w:r>
            <w:r w:rsidRPr="00D56CBB">
              <w:t>tosowaniem następującego odstępstwa: Jeżeli wartość zagregowanej pozycji długiej (krótkiej) odpowiada dodatniej wartości rynkowej netto, we wzorze tym zgłasza się wartość dodatnią; jeżeli wartość zagregowanej pozycji długiej (krótkiej) odpowiada ujemnej wartości rynkowej netto, zgłasza się wartość ujemną;</w:t>
            </w:r>
          </w:p>
        </w:tc>
      </w:tr>
      <w:tr w:rsidR="009B2CA6" w:rsidRPr="00D56CBB" w14:paraId="508C4AB7" w14:textId="77777777">
        <w:tc>
          <w:tcPr>
            <w:tcW w:w="1203" w:type="dxa"/>
          </w:tcPr>
          <w:p w14:paraId="502BC619" w14:textId="735ED871"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0010</w:t>
            </w:r>
          </w:p>
        </w:tc>
        <w:tc>
          <w:tcPr>
            <w:tcW w:w="7813" w:type="dxa"/>
            <w:vAlign w:val="bottom"/>
          </w:tcPr>
          <w:p w14:paraId="3A5B9DDA" w14:textId="02E8227E" w:rsidR="009B2CA6" w:rsidRPr="00D56CBB" w:rsidRDefault="0061609C">
            <w:pPr>
              <w:pStyle w:val="BodyText"/>
              <w:spacing w:before="120" w:after="120"/>
              <w:rPr>
                <w:rFonts w:ascii="Times New Roman" w:hAnsi="Times New Roman" w:cs="Times New Roman"/>
                <w:b/>
                <w:u w:val="single"/>
              </w:rPr>
            </w:pPr>
            <w:r w:rsidRPr="00D56CBB">
              <w:rPr>
                <w:rFonts w:ascii="Times New Roman" w:hAnsi="Times New Roman"/>
                <w:b/>
                <w:u w:val="single"/>
              </w:rPr>
              <w:t>Pozycje zagregowane –</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tym</w:t>
            </w:r>
            <w:r w:rsidRPr="00D56CBB">
              <w:rPr>
                <w:rFonts w:ascii="Times New Roman" w:hAnsi="Times New Roman"/>
                <w:b/>
                <w:u w:val="single"/>
              </w:rPr>
              <w:t>:</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wal</w:t>
            </w:r>
            <w:r w:rsidRPr="00D56CBB">
              <w:rPr>
                <w:rFonts w:ascii="Times New Roman" w:hAnsi="Times New Roman"/>
                <w:b/>
                <w:u w:val="single"/>
              </w:rPr>
              <w:t>ucie obcej</w:t>
            </w:r>
          </w:p>
          <w:p w14:paraId="67C375D5" w14:textId="5909CDF0"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Instrumenty zgłasza się</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tej</w:t>
            </w:r>
            <w:r w:rsidRPr="00D56CBB">
              <w:rPr>
                <w:rFonts w:ascii="Times New Roman" w:hAnsi="Times New Roman"/>
              </w:rPr>
              <w:t xml:space="preserve"> kolumnie, jeżeli są one denominowane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wal</w:t>
            </w:r>
            <w:r w:rsidRPr="00D56CBB">
              <w:rPr>
                <w:rFonts w:ascii="Times New Roman" w:hAnsi="Times New Roman"/>
              </w:rPr>
              <w:t>ucie innej niż waluta sprawozdawcza, jeżeli ich instrument bazowy jest denominowany</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tak</w:t>
            </w:r>
            <w:r w:rsidRPr="00D56CBB">
              <w:rPr>
                <w:rFonts w:ascii="Times New Roman" w:hAnsi="Times New Roman"/>
              </w:rPr>
              <w:t>iej walucie lub jeżeli ich instrumentem bazowym jest pozycja walutowa.</w:t>
            </w:r>
          </w:p>
        </w:tc>
      </w:tr>
      <w:tr w:rsidR="009B2CA6" w:rsidRPr="00D56CBB" w14:paraId="03CCA48F" w14:textId="77777777">
        <w:tc>
          <w:tcPr>
            <w:tcW w:w="1203" w:type="dxa"/>
          </w:tcPr>
          <w:p w14:paraId="311B1C42" w14:textId="2702B590"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0020 – 0120</w:t>
            </w:r>
          </w:p>
        </w:tc>
        <w:tc>
          <w:tcPr>
            <w:tcW w:w="7813" w:type="dxa"/>
            <w:vAlign w:val="bottom"/>
          </w:tcPr>
          <w:p w14:paraId="7817D847" w14:textId="7495C3BC" w:rsidR="009B2CA6" w:rsidRPr="00D56CBB" w:rsidRDefault="0061609C">
            <w:pPr>
              <w:pStyle w:val="BodyText"/>
              <w:spacing w:before="120" w:after="120"/>
              <w:rPr>
                <w:rFonts w:ascii="Times New Roman" w:hAnsi="Times New Roman" w:cs="Times New Roman"/>
                <w:b/>
                <w:u w:val="single"/>
              </w:rPr>
            </w:pPr>
            <w:r w:rsidRPr="00D56CBB">
              <w:rPr>
                <w:rFonts w:ascii="Times New Roman" w:hAnsi="Times New Roman"/>
                <w:b/>
                <w:u w:val="single"/>
              </w:rPr>
              <w:t>Pozycje zagregowane – Obowiązkowo</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por</w:t>
            </w:r>
            <w:r w:rsidRPr="00D56CBB">
              <w:rPr>
                <w:rFonts w:ascii="Times New Roman" w:hAnsi="Times New Roman"/>
                <w:b/>
                <w:u w:val="single"/>
              </w:rPr>
              <w:t>tfelu handlowym</w:t>
            </w:r>
          </w:p>
          <w:p w14:paraId="45D126DC" w14:textId="141FAC3D"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Jeżeli instrument spełnia więcej niż jeden warunek,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któ</w:t>
            </w:r>
            <w:r w:rsidRPr="00D56CBB">
              <w:rPr>
                <w:rFonts w:ascii="Times New Roman" w:hAnsi="Times New Roman"/>
              </w:rPr>
              <w:t>rym musi zostać ujęty</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por</w:t>
            </w:r>
            <w:r w:rsidRPr="00D56CBB">
              <w:rPr>
                <w:rFonts w:ascii="Times New Roman" w:hAnsi="Times New Roman"/>
              </w:rPr>
              <w:t>tfelu handlowym, instytucje zgłaszają go</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tej z</w:t>
            </w:r>
            <w:r w:rsidR="00D56CBB">
              <w:rPr>
                <w:rFonts w:ascii="Times New Roman" w:hAnsi="Times New Roman"/>
              </w:rPr>
              <w:t> </w:t>
            </w:r>
            <w:r w:rsidR="00D56CBB" w:rsidRPr="00D56CBB">
              <w:rPr>
                <w:rFonts w:ascii="Times New Roman" w:hAnsi="Times New Roman"/>
              </w:rPr>
              <w:t>kol</w:t>
            </w:r>
            <w:r w:rsidRPr="00D56CBB">
              <w:rPr>
                <w:rFonts w:ascii="Times New Roman" w:hAnsi="Times New Roman"/>
              </w:rPr>
              <w:t>umn 0030–0120, którą uznają za najbardziej odpowiednią. Instrumenty zaklasyfikowane jako przeznaczone do obrotu zgodnie ze standardami rachunkowości zgłasza się</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kol</w:t>
            </w:r>
            <w:r w:rsidRPr="00D56CBB">
              <w:rPr>
                <w:rFonts w:ascii="Times New Roman" w:hAnsi="Times New Roman"/>
              </w:rPr>
              <w:t>umnie 0120 wyłącznie wówczas, gdy nie można ich przypisać do żadnej</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kol</w:t>
            </w:r>
            <w:r w:rsidRPr="00D56CBB">
              <w:rPr>
                <w:rFonts w:ascii="Times New Roman" w:hAnsi="Times New Roman"/>
              </w:rPr>
              <w:t>umn 0030–0110.</w:t>
            </w:r>
          </w:p>
        </w:tc>
      </w:tr>
      <w:tr w:rsidR="009B2CA6" w:rsidRPr="00D56CBB" w14:paraId="6AC9BF62" w14:textId="77777777">
        <w:tc>
          <w:tcPr>
            <w:tcW w:w="1203" w:type="dxa"/>
          </w:tcPr>
          <w:p w14:paraId="5CD1C53C" w14:textId="3AE6C82A"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0020</w:t>
            </w:r>
          </w:p>
        </w:tc>
        <w:tc>
          <w:tcPr>
            <w:tcW w:w="7813" w:type="dxa"/>
            <w:vAlign w:val="bottom"/>
          </w:tcPr>
          <w:p w14:paraId="76886CFB" w14:textId="739DDFDB"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Obowiązkowo</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por</w:t>
            </w:r>
            <w:r w:rsidRPr="00D56CBB">
              <w:rPr>
                <w:rFonts w:ascii="Times New Roman" w:hAnsi="Times New Roman"/>
                <w:b/>
                <w:u w:val="single"/>
              </w:rPr>
              <w:t>tfelu handlowym</w:t>
            </w:r>
          </w:p>
        </w:tc>
      </w:tr>
      <w:tr w:rsidR="009B2CA6" w:rsidRPr="00D56CBB" w14:paraId="1DB81A60" w14:textId="77777777">
        <w:tc>
          <w:tcPr>
            <w:tcW w:w="1203" w:type="dxa"/>
          </w:tcPr>
          <w:p w14:paraId="58C00983" w14:textId="4299CC1F"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0030</w:t>
            </w:r>
          </w:p>
        </w:tc>
        <w:tc>
          <w:tcPr>
            <w:tcW w:w="7813" w:type="dxa"/>
          </w:tcPr>
          <w:p w14:paraId="5A39CA9E" w14:textId="584E66B9"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Instrumenty</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alt</w:t>
            </w:r>
            <w:r w:rsidRPr="00D56CBB">
              <w:rPr>
                <w:rFonts w:ascii="Times New Roman" w:hAnsi="Times New Roman"/>
                <w:b/>
                <w:u w:val="single"/>
              </w:rPr>
              <w:t>ernatywnym korelacyjnym portfelu handlowym</w:t>
            </w:r>
          </w:p>
          <w:p w14:paraId="761EFC0B" w14:textId="28EDE50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a)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6F489832" w14:textId="77777777">
        <w:tc>
          <w:tcPr>
            <w:tcW w:w="1203" w:type="dxa"/>
          </w:tcPr>
          <w:p w14:paraId="3AD88966" w14:textId="2138AB70"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0040</w:t>
            </w:r>
          </w:p>
        </w:tc>
        <w:tc>
          <w:tcPr>
            <w:tcW w:w="7813" w:type="dxa"/>
          </w:tcPr>
          <w:p w14:paraId="201BF48F" w14:textId="6B662E7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Instrumenty, które skutkowałyby powstaniem krótkiej pozycji kredytowej lub kapitałowej netto</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por</w:t>
            </w:r>
            <w:r w:rsidRPr="00D56CBB">
              <w:rPr>
                <w:rFonts w:ascii="Times New Roman" w:hAnsi="Times New Roman"/>
                <w:b/>
                <w:u w:val="single"/>
              </w:rPr>
              <w:t>tfelu bankowym</w:t>
            </w:r>
          </w:p>
          <w:p w14:paraId="6B81D801" w14:textId="43F15F7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b)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2681A203" w14:textId="77777777">
        <w:tc>
          <w:tcPr>
            <w:tcW w:w="1203" w:type="dxa"/>
          </w:tcPr>
          <w:p w14:paraId="4F039D7D" w14:textId="1615A9ED"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0050</w:t>
            </w:r>
          </w:p>
        </w:tc>
        <w:tc>
          <w:tcPr>
            <w:tcW w:w="7813" w:type="dxa"/>
          </w:tcPr>
          <w:p w14:paraId="58BDB0D5" w14:textId="7777777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Instrumenty wynikające ze zobowiązań do gwarantowania emisji papierów wartościowych</w:t>
            </w:r>
          </w:p>
          <w:p w14:paraId="0035AEDA" w14:textId="18D19F9A"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c)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0F150DD0" w14:textId="77777777">
        <w:tc>
          <w:tcPr>
            <w:tcW w:w="1203" w:type="dxa"/>
          </w:tcPr>
          <w:p w14:paraId="56310523" w14:textId="5824B274"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0060</w:t>
            </w:r>
          </w:p>
        </w:tc>
        <w:tc>
          <w:tcPr>
            <w:tcW w:w="7813" w:type="dxa"/>
          </w:tcPr>
          <w:p w14:paraId="319EF2D9" w14:textId="006B518F"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Instrumenty wynikające</w:t>
            </w:r>
            <w:r w:rsidR="00D56CBB" w:rsidRPr="00D56CBB">
              <w:rPr>
                <w:rFonts w:ascii="Times New Roman" w:hAnsi="Times New Roman"/>
                <w:b/>
                <w:u w:val="single"/>
              </w:rPr>
              <w:t xml:space="preserve"> z</w:t>
            </w:r>
            <w:r w:rsidR="00D56CBB">
              <w:rPr>
                <w:rFonts w:ascii="Times New Roman" w:hAnsi="Times New Roman"/>
                <w:b/>
                <w:u w:val="single"/>
              </w:rPr>
              <w:t> </w:t>
            </w:r>
            <w:r w:rsidR="00D56CBB" w:rsidRPr="00D56CBB">
              <w:rPr>
                <w:rFonts w:ascii="Times New Roman" w:hAnsi="Times New Roman"/>
                <w:b/>
                <w:u w:val="single"/>
              </w:rPr>
              <w:t>dzi</w:t>
            </w:r>
            <w:r w:rsidRPr="00D56CBB">
              <w:rPr>
                <w:rFonts w:ascii="Times New Roman" w:hAnsi="Times New Roman"/>
                <w:b/>
                <w:u w:val="single"/>
              </w:rPr>
              <w:t>ałalności animatora rynku</w:t>
            </w:r>
          </w:p>
          <w:p w14:paraId="39D72E39" w14:textId="7A6EB0F9"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e)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3EEE4A44" w14:textId="77777777">
        <w:tc>
          <w:tcPr>
            <w:tcW w:w="1203" w:type="dxa"/>
          </w:tcPr>
          <w:p w14:paraId="35BF9484" w14:textId="12DEDF50"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lastRenderedPageBreak/>
              <w:t>0070</w:t>
            </w:r>
          </w:p>
        </w:tc>
        <w:tc>
          <w:tcPr>
            <w:tcW w:w="7813" w:type="dxa"/>
          </w:tcPr>
          <w:p w14:paraId="11B16F63" w14:textId="7777777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Przedsiębiorstwa zbiorowego inwestowania</w:t>
            </w:r>
          </w:p>
          <w:p w14:paraId="5F0ADDDD" w14:textId="10769C0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f)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39B1FCD7" w14:textId="77777777">
        <w:tc>
          <w:tcPr>
            <w:tcW w:w="1203" w:type="dxa"/>
          </w:tcPr>
          <w:p w14:paraId="56A3EA85" w14:textId="5D6B9DAD"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0080</w:t>
            </w:r>
          </w:p>
        </w:tc>
        <w:tc>
          <w:tcPr>
            <w:tcW w:w="7813" w:type="dxa"/>
          </w:tcPr>
          <w:p w14:paraId="6968C5A8" w14:textId="7777777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Instrumenty kapitałowe notowane na rynku regulowanym</w:t>
            </w:r>
          </w:p>
          <w:p w14:paraId="7373B9F6" w14:textId="6F9A874D"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g)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2C868D17" w14:textId="77777777">
        <w:tc>
          <w:tcPr>
            <w:tcW w:w="1203" w:type="dxa"/>
          </w:tcPr>
          <w:p w14:paraId="7C3DA249" w14:textId="2DCB2DC7"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0090</w:t>
            </w:r>
          </w:p>
        </w:tc>
        <w:tc>
          <w:tcPr>
            <w:tcW w:w="7813" w:type="dxa"/>
          </w:tcPr>
          <w:p w14:paraId="6387D715" w14:textId="17BF1BDF"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Transakcje finansowane</w:t>
            </w:r>
            <w:r w:rsidR="00D56CBB" w:rsidRPr="00D56CBB">
              <w:rPr>
                <w:rFonts w:ascii="Times New Roman" w:hAnsi="Times New Roman"/>
                <w:b/>
                <w:u w:val="single"/>
              </w:rPr>
              <w:t xml:space="preserve"> z</w:t>
            </w:r>
            <w:r w:rsidR="00D56CBB">
              <w:rPr>
                <w:rFonts w:ascii="Times New Roman" w:hAnsi="Times New Roman"/>
                <w:b/>
                <w:u w:val="single"/>
              </w:rPr>
              <w:t> </w:t>
            </w:r>
            <w:r w:rsidR="00D56CBB" w:rsidRPr="00D56CBB">
              <w:rPr>
                <w:rFonts w:ascii="Times New Roman" w:hAnsi="Times New Roman"/>
                <w:b/>
                <w:u w:val="single"/>
              </w:rPr>
              <w:t>uży</w:t>
            </w:r>
            <w:r w:rsidRPr="00D56CBB">
              <w:rPr>
                <w:rFonts w:ascii="Times New Roman" w:hAnsi="Times New Roman"/>
                <w:b/>
                <w:u w:val="single"/>
              </w:rPr>
              <w:t>ciem papierów wartościowych związane</w:t>
            </w:r>
            <w:r w:rsidR="00D56CBB" w:rsidRPr="00D56CBB">
              <w:rPr>
                <w:rFonts w:ascii="Times New Roman" w:hAnsi="Times New Roman"/>
                <w:b/>
                <w:u w:val="single"/>
              </w:rPr>
              <w:t xml:space="preserve"> z</w:t>
            </w:r>
            <w:r w:rsidR="00D56CBB">
              <w:rPr>
                <w:rFonts w:ascii="Times New Roman" w:hAnsi="Times New Roman"/>
                <w:b/>
                <w:u w:val="single"/>
              </w:rPr>
              <w:t> </w:t>
            </w:r>
            <w:r w:rsidR="00D56CBB" w:rsidRPr="00D56CBB">
              <w:rPr>
                <w:rFonts w:ascii="Times New Roman" w:hAnsi="Times New Roman"/>
                <w:b/>
                <w:u w:val="single"/>
              </w:rPr>
              <w:t>dzi</w:t>
            </w:r>
            <w:r w:rsidRPr="00D56CBB">
              <w:rPr>
                <w:rFonts w:ascii="Times New Roman" w:hAnsi="Times New Roman"/>
                <w:b/>
                <w:u w:val="single"/>
              </w:rPr>
              <w:t>ałalnością handlową</w:t>
            </w:r>
          </w:p>
          <w:p w14:paraId="6D53378A" w14:textId="3BADDC4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h)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51E19E34" w14:textId="77777777">
        <w:tc>
          <w:tcPr>
            <w:tcW w:w="1203" w:type="dxa"/>
          </w:tcPr>
          <w:p w14:paraId="40DF6AD2" w14:textId="66A7EFB3"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0100</w:t>
            </w:r>
          </w:p>
        </w:tc>
        <w:tc>
          <w:tcPr>
            <w:tcW w:w="7813" w:type="dxa"/>
          </w:tcPr>
          <w:p w14:paraId="5611CE5C" w14:textId="676496DD"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Opcje lub inne instrumenty pochodne wbudowane</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zob</w:t>
            </w:r>
            <w:r w:rsidRPr="00D56CBB">
              <w:rPr>
                <w:rFonts w:ascii="Times New Roman" w:hAnsi="Times New Roman"/>
                <w:b/>
                <w:u w:val="single"/>
              </w:rPr>
              <w:t>owiązania własne instytucji (w podziale)</w:t>
            </w:r>
          </w:p>
          <w:p w14:paraId="0426719F" w14:textId="776DA17F"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i) oraz art.</w:t>
            </w:r>
            <w:r w:rsidR="00D56CBB" w:rsidRPr="00D56CBB">
              <w:rPr>
                <w:rFonts w:ascii="Times New Roman" w:hAnsi="Times New Roman"/>
              </w:rPr>
              <w:t> </w:t>
            </w:r>
            <w:r w:rsidRPr="00D56CBB">
              <w:rPr>
                <w:rFonts w:ascii="Times New Roman" w:hAnsi="Times New Roman"/>
              </w:rPr>
              <w:t>104 ust.</w:t>
            </w:r>
            <w:r w:rsidR="00D56CBB" w:rsidRPr="00D56CBB">
              <w:rPr>
                <w:rFonts w:ascii="Times New Roman" w:hAnsi="Times New Roman"/>
              </w:rPr>
              <w:t> </w:t>
            </w:r>
            <w:r w:rsidRPr="00D56CBB">
              <w:rPr>
                <w:rFonts w:ascii="Times New Roman" w:hAnsi="Times New Roman"/>
              </w:rPr>
              <w:t>2 akapit trzeci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0BD2C394" w14:textId="77777777">
        <w:tc>
          <w:tcPr>
            <w:tcW w:w="1203" w:type="dxa"/>
          </w:tcPr>
          <w:p w14:paraId="577F08A1" w14:textId="53A3A002"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0110</w:t>
            </w:r>
          </w:p>
        </w:tc>
        <w:tc>
          <w:tcPr>
            <w:tcW w:w="7813" w:type="dxa"/>
          </w:tcPr>
          <w:p w14:paraId="3F7AFD3A" w14:textId="65DD446B"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Zobowiązania własne instytucji</w:t>
            </w:r>
            <w:r w:rsidR="00D56CBB" w:rsidRPr="00D56CBB">
              <w:rPr>
                <w:rFonts w:ascii="Times New Roman" w:hAnsi="Times New Roman"/>
                <w:b/>
                <w:u w:val="single"/>
              </w:rPr>
              <w:t xml:space="preserve"> z</w:t>
            </w:r>
            <w:r w:rsidR="00D56CBB">
              <w:rPr>
                <w:rFonts w:ascii="Times New Roman" w:hAnsi="Times New Roman"/>
                <w:b/>
                <w:u w:val="single"/>
              </w:rPr>
              <w:t> </w:t>
            </w:r>
            <w:r w:rsidR="00D56CBB" w:rsidRPr="00D56CBB">
              <w:rPr>
                <w:rFonts w:ascii="Times New Roman" w:hAnsi="Times New Roman"/>
                <w:b/>
                <w:u w:val="single"/>
              </w:rPr>
              <w:t>wbu</w:t>
            </w:r>
            <w:r w:rsidRPr="00D56CBB">
              <w:rPr>
                <w:rFonts w:ascii="Times New Roman" w:hAnsi="Times New Roman"/>
                <w:b/>
                <w:u w:val="single"/>
              </w:rPr>
              <w:t>dowanymi opcjami lub innymi instrumentami pochodnymi (bez podziału)</w:t>
            </w:r>
          </w:p>
          <w:p w14:paraId="6C5173C2" w14:textId="59E43522"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i) oraz art.</w:t>
            </w:r>
            <w:r w:rsidR="00D56CBB" w:rsidRPr="00D56CBB">
              <w:rPr>
                <w:rFonts w:ascii="Times New Roman" w:hAnsi="Times New Roman"/>
              </w:rPr>
              <w:t> </w:t>
            </w:r>
            <w:r w:rsidRPr="00D56CBB">
              <w:rPr>
                <w:rFonts w:ascii="Times New Roman" w:hAnsi="Times New Roman"/>
              </w:rPr>
              <w:t>104 ust.</w:t>
            </w:r>
            <w:r w:rsidR="00D56CBB" w:rsidRPr="00D56CBB">
              <w:rPr>
                <w:rFonts w:ascii="Times New Roman" w:hAnsi="Times New Roman"/>
              </w:rPr>
              <w:t> </w:t>
            </w:r>
            <w:r w:rsidRPr="00D56CBB">
              <w:rPr>
                <w:rFonts w:ascii="Times New Roman" w:hAnsi="Times New Roman"/>
              </w:rPr>
              <w:t>2 akapit czwarty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5BD829B0" w14:textId="77777777">
        <w:tc>
          <w:tcPr>
            <w:tcW w:w="1203" w:type="dxa"/>
          </w:tcPr>
          <w:p w14:paraId="2FA5C009" w14:textId="473E61D7"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0120</w:t>
            </w:r>
          </w:p>
        </w:tc>
        <w:tc>
          <w:tcPr>
            <w:tcW w:w="7813" w:type="dxa"/>
          </w:tcPr>
          <w:p w14:paraId="04C4E6C0" w14:textId="4E8CE281"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Instrumenty zaklasyfikowane jako przeznaczone do obrotu zgodnie ze standardami rachunkowości (nieujęte</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pop</w:t>
            </w:r>
            <w:r w:rsidRPr="00D56CBB">
              <w:rPr>
                <w:rFonts w:ascii="Times New Roman" w:hAnsi="Times New Roman"/>
                <w:b/>
                <w:u w:val="single"/>
              </w:rPr>
              <w:t>rzednich kolumnach)</w:t>
            </w:r>
          </w:p>
          <w:p w14:paraId="10D50030" w14:textId="1B2DD1F0"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d) rozporządzenia (UE) nr</w:t>
            </w:r>
            <w:r w:rsidR="00D56CBB" w:rsidRPr="00D56CBB">
              <w:rPr>
                <w:rFonts w:ascii="Times New Roman" w:hAnsi="Times New Roman"/>
              </w:rPr>
              <w:t> </w:t>
            </w:r>
            <w:r w:rsidRPr="00D56CBB">
              <w:rPr>
                <w:rFonts w:ascii="Times New Roman" w:hAnsi="Times New Roman"/>
              </w:rPr>
              <w:t>575/2013.</w:t>
            </w:r>
          </w:p>
          <w:p w14:paraId="5674D9E6" w14:textId="4CD9E0C4"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Instrumenty zaklasyfikowane jako przeznaczone do obrotu zgodnie ze standardami rachunkowości zgłasza się</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tej</w:t>
            </w:r>
            <w:r w:rsidRPr="00D56CBB">
              <w:rPr>
                <w:rFonts w:ascii="Times New Roman" w:hAnsi="Times New Roman"/>
              </w:rPr>
              <w:t xml:space="preserve"> kolumnie wyłącznie, jeżeli nie zostały jeszcze zgłoszone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kol</w:t>
            </w:r>
            <w:r w:rsidRPr="00D56CBB">
              <w:rPr>
                <w:rFonts w:ascii="Times New Roman" w:hAnsi="Times New Roman"/>
              </w:rPr>
              <w:t>umnach 0030–0110.</w:t>
            </w:r>
          </w:p>
        </w:tc>
      </w:tr>
      <w:tr w:rsidR="009B2CA6" w:rsidRPr="00D56CBB" w14:paraId="2E034E64" w14:textId="77777777">
        <w:tc>
          <w:tcPr>
            <w:tcW w:w="1203" w:type="dxa"/>
          </w:tcPr>
          <w:p w14:paraId="0EC43CAD" w14:textId="3F3C4B46"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 xml:space="preserve">0130 </w:t>
            </w:r>
          </w:p>
        </w:tc>
        <w:tc>
          <w:tcPr>
            <w:tcW w:w="7813" w:type="dxa"/>
          </w:tcPr>
          <w:p w14:paraId="1958765E" w14:textId="2CE2876F" w:rsidR="009B2CA6" w:rsidRPr="00D56CBB" w:rsidRDefault="0061609C">
            <w:pPr>
              <w:pStyle w:val="BodyText"/>
              <w:spacing w:before="120" w:after="120"/>
              <w:rPr>
                <w:rFonts w:ascii="Times New Roman" w:hAnsi="Times New Roman" w:cs="Times New Roman"/>
                <w:b/>
                <w:u w:val="single"/>
              </w:rPr>
            </w:pPr>
            <w:r w:rsidRPr="00D56CBB">
              <w:rPr>
                <w:rFonts w:ascii="Times New Roman" w:hAnsi="Times New Roman"/>
                <w:b/>
                <w:u w:val="single"/>
              </w:rPr>
              <w:t>Pozycje zagregowane – Instrumenty ujęte</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por</w:t>
            </w:r>
            <w:r w:rsidRPr="00D56CBB">
              <w:rPr>
                <w:rFonts w:ascii="Times New Roman" w:hAnsi="Times New Roman"/>
                <w:b/>
                <w:u w:val="single"/>
              </w:rPr>
              <w:t>tfelu handlowym za zgodą właściwego organu: instrumenty</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fun</w:t>
            </w:r>
            <w:r w:rsidRPr="00D56CBB">
              <w:rPr>
                <w:rFonts w:ascii="Times New Roman" w:hAnsi="Times New Roman"/>
                <w:b/>
                <w:u w:val="single"/>
              </w:rPr>
              <w:t>duszach hedgingowych</w:t>
            </w:r>
          </w:p>
          <w:p w14:paraId="71C1AC7E" w14:textId="1096C543"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4a rozporządzenia (UE) nr</w:t>
            </w:r>
            <w:r w:rsidR="00D56CBB" w:rsidRPr="00D56CBB">
              <w:rPr>
                <w:rFonts w:ascii="Times New Roman" w:hAnsi="Times New Roman"/>
              </w:rPr>
              <w:t> </w:t>
            </w:r>
            <w:r w:rsidRPr="00D56CBB">
              <w:rPr>
                <w:rFonts w:ascii="Times New Roman" w:hAnsi="Times New Roman"/>
              </w:rPr>
              <w:t>575/2013.</w:t>
            </w:r>
          </w:p>
        </w:tc>
      </w:tr>
      <w:tr w:rsidR="009B2CA6" w:rsidRPr="00D56CBB" w14:paraId="58C0F140" w14:textId="77777777">
        <w:tc>
          <w:tcPr>
            <w:tcW w:w="1203" w:type="dxa"/>
          </w:tcPr>
          <w:p w14:paraId="4FE32C77" w14:textId="078AEE3E"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0140 – 0150</w:t>
            </w:r>
          </w:p>
        </w:tc>
        <w:tc>
          <w:tcPr>
            <w:tcW w:w="7813" w:type="dxa"/>
          </w:tcPr>
          <w:p w14:paraId="592DBEC6" w14:textId="54D13645" w:rsidR="009B2CA6" w:rsidRPr="00D56CBB" w:rsidRDefault="0061609C">
            <w:pPr>
              <w:pStyle w:val="BodyText"/>
              <w:spacing w:before="120" w:after="120"/>
              <w:rPr>
                <w:rFonts w:ascii="Times New Roman" w:hAnsi="Times New Roman" w:cs="Times New Roman"/>
                <w:b/>
                <w:u w:val="single"/>
              </w:rPr>
            </w:pPr>
            <w:r w:rsidRPr="00D56CBB">
              <w:rPr>
                <w:rFonts w:ascii="Times New Roman" w:hAnsi="Times New Roman"/>
                <w:b/>
                <w:u w:val="single"/>
              </w:rPr>
              <w:t>Pozycje zagregowane – Inne instrumenty</w:t>
            </w:r>
          </w:p>
          <w:p w14:paraId="4AFCA133" w14:textId="2EE89DBD"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Instrumenty zgłasza się</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tej</w:t>
            </w:r>
            <w:r w:rsidRPr="00D56CBB">
              <w:rPr>
                <w:rFonts w:ascii="Times New Roman" w:hAnsi="Times New Roman"/>
              </w:rPr>
              <w:t xml:space="preserve"> kolumnie, jeżeli są przypisane do portfela handlowego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4 ust.</w:t>
            </w:r>
            <w:r w:rsidR="00D56CBB" w:rsidRPr="00D56CBB">
              <w:rPr>
                <w:rFonts w:ascii="Times New Roman" w:hAnsi="Times New Roman"/>
              </w:rPr>
              <w:t> </w:t>
            </w:r>
            <w:r w:rsidRPr="00D56CBB">
              <w:rPr>
                <w:rFonts w:ascii="Times New Roman" w:hAnsi="Times New Roman"/>
              </w:rPr>
              <w:t>1 pkt</w:t>
            </w:r>
            <w:r w:rsidR="00D56CBB" w:rsidRPr="00D56CBB">
              <w:rPr>
                <w:rFonts w:ascii="Times New Roman" w:hAnsi="Times New Roman"/>
              </w:rPr>
              <w:t> </w:t>
            </w:r>
            <w:r w:rsidRPr="00D56CBB">
              <w:rPr>
                <w:rFonts w:ascii="Times New Roman" w:hAnsi="Times New Roman"/>
              </w:rPr>
              <w:t>85 rozporządzenia (UE) nr</w:t>
            </w:r>
            <w:r w:rsidR="00D56CBB" w:rsidRPr="00D56CBB">
              <w:rPr>
                <w:rFonts w:ascii="Times New Roman" w:hAnsi="Times New Roman"/>
              </w:rPr>
              <w:t> </w:t>
            </w:r>
            <w:r w:rsidRPr="00D56CBB">
              <w:rPr>
                <w:rFonts w:ascii="Times New Roman" w:hAnsi="Times New Roman"/>
              </w:rPr>
              <w:t>575/2013</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nie</w:t>
            </w:r>
            <w:r w:rsidRPr="00D56CBB">
              <w:rPr>
                <w:rFonts w:ascii="Times New Roman" w:hAnsi="Times New Roman"/>
              </w:rPr>
              <w:t xml:space="preserve"> zostały zgłoszone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żad</w:t>
            </w:r>
            <w:r w:rsidRPr="00D56CBB">
              <w:rPr>
                <w:rFonts w:ascii="Times New Roman" w:hAnsi="Times New Roman"/>
              </w:rPr>
              <w:t>nej</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kol</w:t>
            </w:r>
            <w:r w:rsidRPr="00D56CBB">
              <w:rPr>
                <w:rFonts w:ascii="Times New Roman" w:hAnsi="Times New Roman"/>
              </w:rPr>
              <w:t>umn 0020–0130.</w:t>
            </w:r>
          </w:p>
        </w:tc>
      </w:tr>
      <w:tr w:rsidR="009B2CA6" w:rsidRPr="00D56CBB" w14:paraId="2F8F4937" w14:textId="77777777">
        <w:tc>
          <w:tcPr>
            <w:tcW w:w="1203" w:type="dxa"/>
          </w:tcPr>
          <w:p w14:paraId="7CF40847" w14:textId="77E27C63"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0140</w:t>
            </w:r>
          </w:p>
        </w:tc>
        <w:tc>
          <w:tcPr>
            <w:tcW w:w="7813" w:type="dxa"/>
          </w:tcPr>
          <w:p w14:paraId="38EE7871" w14:textId="7777777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Inne instrumenty</w:t>
            </w:r>
          </w:p>
        </w:tc>
      </w:tr>
      <w:tr w:rsidR="009B2CA6" w:rsidRPr="00D56CBB" w14:paraId="64544C3C" w14:textId="77777777">
        <w:tc>
          <w:tcPr>
            <w:tcW w:w="1203" w:type="dxa"/>
          </w:tcPr>
          <w:p w14:paraId="26F8855E" w14:textId="46CAE730" w:rsidR="009B2CA6" w:rsidRPr="00D56CBB" w:rsidRDefault="009B2CA6">
            <w:pPr>
              <w:pStyle w:val="BodyText"/>
              <w:spacing w:before="120" w:after="120"/>
              <w:rPr>
                <w:rFonts w:ascii="Times New Roman" w:hAnsi="Times New Roman" w:cs="Times New Roman"/>
              </w:rPr>
            </w:pPr>
            <w:r w:rsidRPr="00D56CBB">
              <w:rPr>
                <w:rFonts w:ascii="Times New Roman" w:hAnsi="Times New Roman"/>
              </w:rPr>
              <w:t>0150</w:t>
            </w:r>
          </w:p>
        </w:tc>
        <w:tc>
          <w:tcPr>
            <w:tcW w:w="7813" w:type="dxa"/>
          </w:tcPr>
          <w:p w14:paraId="27213E71" w14:textId="21839713"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Inne instrumenty –</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tym</w:t>
            </w:r>
            <w:r w:rsidRPr="00D56CBB">
              <w:rPr>
                <w:rFonts w:ascii="Times New Roman" w:hAnsi="Times New Roman"/>
                <w:b/>
                <w:u w:val="single"/>
              </w:rPr>
              <w:t>: Instrumenty zaklasyfikowane do portfela handlowego ze względu na brak dowodów uzasadniających zaklasyfikowanie do portfela bankowego</w:t>
            </w:r>
          </w:p>
          <w:p w14:paraId="41653FFB" w14:textId="271ABAAA"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rPr>
              <w:t>Art. 104 ust. 6 zdanie drugie rozporządzenia (UE) nr</w:t>
            </w:r>
            <w:r w:rsidR="00D56CBB" w:rsidRPr="00D56CBB">
              <w:rPr>
                <w:rFonts w:ascii="Times New Roman" w:hAnsi="Times New Roman"/>
              </w:rPr>
              <w:t> </w:t>
            </w:r>
            <w:r w:rsidRPr="00D56CBB">
              <w:rPr>
                <w:rFonts w:ascii="Times New Roman" w:hAnsi="Times New Roman"/>
              </w:rPr>
              <w:t>575/2013.</w:t>
            </w:r>
          </w:p>
        </w:tc>
      </w:tr>
    </w:tbl>
    <w:p w14:paraId="10FD81A7" w14:textId="77777777" w:rsidR="009B2CA6" w:rsidRPr="00D56CBB" w:rsidRDefault="009B2CA6" w:rsidP="009B2CA6">
      <w:pPr>
        <w:pStyle w:val="body"/>
        <w:spacing w:before="0" w:after="0"/>
        <w:rPr>
          <w:rFonts w:ascii="Times New Roman" w:hAnsi="Times New Roman" w:cs="Times New Roman"/>
        </w:rPr>
      </w:pPr>
    </w:p>
    <w:tbl>
      <w:tblPr>
        <w:tblStyle w:val="TableGrid"/>
        <w:tblW w:w="0" w:type="auto"/>
        <w:tblLook w:val="04A0" w:firstRow="1" w:lastRow="0" w:firstColumn="1" w:lastColumn="0" w:noHBand="0" w:noVBand="1"/>
      </w:tblPr>
      <w:tblGrid>
        <w:gridCol w:w="1203"/>
        <w:gridCol w:w="7813"/>
      </w:tblGrid>
      <w:tr w:rsidR="009B2CA6" w:rsidRPr="00D56CBB" w14:paraId="098F6BB4" w14:textId="77777777">
        <w:tc>
          <w:tcPr>
            <w:tcW w:w="1203" w:type="dxa"/>
            <w:shd w:val="clear" w:color="auto" w:fill="BFBFBF" w:themeFill="background1" w:themeFillShade="BF"/>
          </w:tcPr>
          <w:p w14:paraId="68638DB3" w14:textId="77777777" w:rsidR="009B2CA6" w:rsidRPr="00D56CBB" w:rsidRDefault="009B2CA6">
            <w:pPr>
              <w:pStyle w:val="BodyText"/>
              <w:spacing w:before="120" w:after="120"/>
              <w:rPr>
                <w:rFonts w:ascii="Times New Roman" w:hAnsi="Times New Roman" w:cs="Times New Roman"/>
                <w:b/>
              </w:rPr>
            </w:pPr>
            <w:r w:rsidRPr="00D56CBB">
              <w:rPr>
                <w:rFonts w:ascii="Times New Roman" w:hAnsi="Times New Roman"/>
                <w:b/>
              </w:rPr>
              <w:lastRenderedPageBreak/>
              <w:t>Wiersz</w:t>
            </w:r>
          </w:p>
        </w:tc>
        <w:tc>
          <w:tcPr>
            <w:tcW w:w="7813" w:type="dxa"/>
            <w:shd w:val="clear" w:color="auto" w:fill="BFBFBF" w:themeFill="background1" w:themeFillShade="BF"/>
          </w:tcPr>
          <w:p w14:paraId="4E400868" w14:textId="017E9FB9" w:rsidR="009B2CA6" w:rsidRPr="00D56CBB" w:rsidRDefault="009B2CA6">
            <w:pPr>
              <w:pStyle w:val="BodyText"/>
              <w:spacing w:before="120" w:after="120"/>
              <w:rPr>
                <w:rFonts w:ascii="Times New Roman" w:hAnsi="Times New Roman" w:cs="Times New Roman"/>
                <w:b/>
              </w:rPr>
            </w:pPr>
            <w:r w:rsidRPr="00D56CBB">
              <w:rPr>
                <w:rFonts w:ascii="Times New Roman" w:hAnsi="Times New Roman"/>
                <w:b/>
              </w:rPr>
              <w:t>Odniesienia prawne</w:t>
            </w:r>
            <w:r w:rsidR="00D56CBB" w:rsidRPr="00D56CBB">
              <w:rPr>
                <w:rFonts w:ascii="Times New Roman" w:hAnsi="Times New Roman"/>
                <w:b/>
              </w:rPr>
              <w:t xml:space="preserve"> i</w:t>
            </w:r>
            <w:r w:rsidR="00D56CBB">
              <w:rPr>
                <w:rFonts w:ascii="Times New Roman" w:hAnsi="Times New Roman"/>
                <w:b/>
              </w:rPr>
              <w:t> </w:t>
            </w:r>
            <w:r w:rsidR="00D56CBB" w:rsidRPr="00D56CBB">
              <w:rPr>
                <w:rFonts w:ascii="Times New Roman" w:hAnsi="Times New Roman"/>
                <w:b/>
              </w:rPr>
              <w:t>ins</w:t>
            </w:r>
            <w:r w:rsidRPr="00D56CBB">
              <w:rPr>
                <w:rFonts w:ascii="Times New Roman" w:hAnsi="Times New Roman"/>
                <w:b/>
              </w:rPr>
              <w:t>trukcje</w:t>
            </w:r>
          </w:p>
        </w:tc>
      </w:tr>
      <w:tr w:rsidR="009C1D1D" w:rsidRPr="00D56CBB" w14:paraId="7134C634" w14:textId="77777777">
        <w:trPr>
          <w:trHeight w:val="70"/>
        </w:trPr>
        <w:tc>
          <w:tcPr>
            <w:tcW w:w="1203" w:type="dxa"/>
          </w:tcPr>
          <w:p w14:paraId="0369C832" w14:textId="5442AEC0" w:rsidR="009C1D1D" w:rsidRPr="00D56CBB" w:rsidRDefault="00A17954">
            <w:pPr>
              <w:pStyle w:val="BodyText"/>
              <w:spacing w:before="120" w:after="120"/>
              <w:rPr>
                <w:rFonts w:ascii="Times New Roman" w:hAnsi="Times New Roman" w:cs="Times New Roman"/>
              </w:rPr>
            </w:pPr>
            <w:r w:rsidRPr="00D56CBB">
              <w:rPr>
                <w:rFonts w:ascii="Times New Roman" w:hAnsi="Times New Roman"/>
              </w:rPr>
              <w:t>0010-0020</w:t>
            </w:r>
          </w:p>
        </w:tc>
        <w:tc>
          <w:tcPr>
            <w:tcW w:w="7813" w:type="dxa"/>
            <w:vAlign w:val="bottom"/>
          </w:tcPr>
          <w:p w14:paraId="0C31E542" w14:textId="3989CC05" w:rsidR="009C1D1D" w:rsidRPr="00D56CBB" w:rsidRDefault="00A17954">
            <w:pPr>
              <w:pStyle w:val="BodyText"/>
              <w:spacing w:before="120" w:after="120"/>
              <w:rPr>
                <w:rFonts w:ascii="Times New Roman" w:hAnsi="Times New Roman" w:cs="Times New Roman"/>
                <w:b/>
                <w:u w:val="single"/>
              </w:rPr>
            </w:pPr>
            <w:r w:rsidRPr="00D56CBB">
              <w:rPr>
                <w:rFonts w:ascii="Times New Roman" w:hAnsi="Times New Roman"/>
                <w:b/>
                <w:u w:val="single"/>
              </w:rPr>
              <w:t>Wszystkie instrumenty</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por</w:t>
            </w:r>
            <w:r w:rsidRPr="00D56CBB">
              <w:rPr>
                <w:rFonts w:ascii="Times New Roman" w:hAnsi="Times New Roman"/>
                <w:b/>
                <w:u w:val="single"/>
              </w:rPr>
              <w:t>tfelu handlowym uwzględnione</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pro</w:t>
            </w:r>
            <w:r w:rsidRPr="00D56CBB">
              <w:rPr>
                <w:rFonts w:ascii="Times New Roman" w:hAnsi="Times New Roman"/>
                <w:b/>
                <w:u w:val="single"/>
              </w:rPr>
              <w:t>gu określonym</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art</w:t>
            </w:r>
            <w:r w:rsidRPr="00D56CBB">
              <w:rPr>
                <w:rFonts w:ascii="Times New Roman" w:hAnsi="Times New Roman"/>
                <w:b/>
                <w:u w:val="single"/>
              </w:rPr>
              <w:t>.</w:t>
            </w:r>
            <w:r w:rsidR="00D56CBB" w:rsidRPr="00D56CBB">
              <w:rPr>
                <w:rFonts w:ascii="Times New Roman" w:hAnsi="Times New Roman"/>
                <w:b/>
                <w:u w:val="single"/>
              </w:rPr>
              <w:t> </w:t>
            </w:r>
            <w:r w:rsidRPr="00D56CBB">
              <w:rPr>
                <w:rFonts w:ascii="Times New Roman" w:hAnsi="Times New Roman"/>
                <w:b/>
                <w:u w:val="single"/>
              </w:rPr>
              <w:t>325a rozporządzenia (UE) nr</w:t>
            </w:r>
            <w:r w:rsidR="00D56CBB" w:rsidRPr="00D56CBB">
              <w:rPr>
                <w:rFonts w:ascii="Times New Roman" w:hAnsi="Times New Roman"/>
                <w:b/>
                <w:u w:val="single"/>
              </w:rPr>
              <w:t> </w:t>
            </w:r>
            <w:r w:rsidRPr="00D56CBB">
              <w:rPr>
                <w:rFonts w:ascii="Times New Roman" w:hAnsi="Times New Roman"/>
                <w:b/>
                <w:u w:val="single"/>
              </w:rPr>
              <w:t>575/2013</w:t>
            </w:r>
          </w:p>
        </w:tc>
      </w:tr>
      <w:tr w:rsidR="009B2CA6" w:rsidRPr="00D56CBB" w14:paraId="225F200D" w14:textId="77777777" w:rsidTr="00723BA8">
        <w:trPr>
          <w:trHeight w:val="70"/>
        </w:trPr>
        <w:tc>
          <w:tcPr>
            <w:tcW w:w="1203" w:type="dxa"/>
          </w:tcPr>
          <w:p w14:paraId="5E239DC6" w14:textId="25A2560E" w:rsidR="009B2CA6" w:rsidRPr="00D56CBB" w:rsidRDefault="00A17954">
            <w:pPr>
              <w:pStyle w:val="BodyText"/>
              <w:spacing w:before="120" w:after="120"/>
              <w:rPr>
                <w:rFonts w:ascii="Times New Roman" w:hAnsi="Times New Roman" w:cs="Times New Roman"/>
              </w:rPr>
            </w:pPr>
            <w:r w:rsidRPr="00D56CBB">
              <w:rPr>
                <w:rFonts w:ascii="Times New Roman" w:hAnsi="Times New Roman"/>
              </w:rPr>
              <w:t>0030-0040</w:t>
            </w:r>
          </w:p>
        </w:tc>
        <w:tc>
          <w:tcPr>
            <w:tcW w:w="7813" w:type="dxa"/>
          </w:tcPr>
          <w:p w14:paraId="63B321D7" w14:textId="77777777" w:rsidR="00A17954" w:rsidRPr="00D56CBB" w:rsidRDefault="009B2CA6" w:rsidP="00627775">
            <w:pPr>
              <w:pStyle w:val="BodyText"/>
              <w:spacing w:before="120" w:after="120"/>
              <w:rPr>
                <w:rFonts w:ascii="Times New Roman" w:hAnsi="Times New Roman" w:cs="Times New Roman"/>
                <w:b/>
                <w:u w:val="single"/>
              </w:rPr>
            </w:pPr>
            <w:r w:rsidRPr="00D56CBB">
              <w:rPr>
                <w:rFonts w:ascii="Times New Roman" w:hAnsi="Times New Roman"/>
                <w:b/>
                <w:u w:val="single"/>
              </w:rPr>
              <w:t>Instrumenty, dla których głównym czynnikiem ryzyka jest ogólne ryzyko stopy procentowej lub ryzyko spreadu kredytowego</w:t>
            </w:r>
          </w:p>
          <w:p w14:paraId="1768966A" w14:textId="77777777" w:rsidR="009B2CA6" w:rsidRPr="00D56CBB" w:rsidRDefault="009B2CA6" w:rsidP="00627775">
            <w:pPr>
              <w:pStyle w:val="BodyText"/>
              <w:spacing w:before="120" w:after="120"/>
              <w:rPr>
                <w:rFonts w:ascii="Times New Roman" w:hAnsi="Times New Roman" w:cs="Times New Roman"/>
                <w:b/>
                <w:u w:val="single"/>
              </w:rPr>
            </w:pPr>
          </w:p>
        </w:tc>
      </w:tr>
      <w:tr w:rsidR="009B2CA6" w:rsidRPr="00D56CBB" w14:paraId="2557F02B" w14:textId="77777777" w:rsidTr="00723BA8">
        <w:trPr>
          <w:trHeight w:val="70"/>
        </w:trPr>
        <w:tc>
          <w:tcPr>
            <w:tcW w:w="1203" w:type="dxa"/>
          </w:tcPr>
          <w:p w14:paraId="365D4766" w14:textId="5FCC0FF4" w:rsidR="009B2CA6" w:rsidRPr="00D56CBB" w:rsidRDefault="00A17954">
            <w:pPr>
              <w:pStyle w:val="BodyText"/>
              <w:spacing w:before="120" w:after="120"/>
              <w:rPr>
                <w:rFonts w:ascii="Times New Roman" w:hAnsi="Times New Roman" w:cs="Times New Roman"/>
              </w:rPr>
            </w:pPr>
            <w:r w:rsidRPr="00D56CBB">
              <w:rPr>
                <w:rFonts w:ascii="Times New Roman" w:hAnsi="Times New Roman"/>
              </w:rPr>
              <w:t>0050-0060</w:t>
            </w:r>
          </w:p>
        </w:tc>
        <w:tc>
          <w:tcPr>
            <w:tcW w:w="7813" w:type="dxa"/>
          </w:tcPr>
          <w:p w14:paraId="3388E222" w14:textId="77777777" w:rsidR="009B2CA6" w:rsidRPr="00D56CBB" w:rsidRDefault="009B2CA6" w:rsidP="00627775">
            <w:pPr>
              <w:pStyle w:val="BodyText"/>
              <w:spacing w:before="120" w:after="120"/>
              <w:rPr>
                <w:rFonts w:ascii="Times New Roman" w:hAnsi="Times New Roman" w:cs="Times New Roman"/>
                <w:b/>
                <w:u w:val="single"/>
              </w:rPr>
            </w:pPr>
            <w:r w:rsidRPr="00D56CBB">
              <w:rPr>
                <w:rFonts w:ascii="Times New Roman" w:hAnsi="Times New Roman"/>
                <w:b/>
                <w:u w:val="single"/>
              </w:rPr>
              <w:t>Instrumenty, dla których głównym czynnikiem ryzyka jest ryzyko cen akcji</w:t>
            </w:r>
          </w:p>
        </w:tc>
      </w:tr>
      <w:tr w:rsidR="009B2CA6" w:rsidRPr="00D56CBB" w14:paraId="615194B9" w14:textId="77777777" w:rsidTr="00723BA8">
        <w:trPr>
          <w:trHeight w:val="70"/>
        </w:trPr>
        <w:tc>
          <w:tcPr>
            <w:tcW w:w="1203" w:type="dxa"/>
          </w:tcPr>
          <w:p w14:paraId="39A575D7" w14:textId="6612F010" w:rsidR="009B2CA6" w:rsidRPr="00D56CBB" w:rsidRDefault="00A17954">
            <w:pPr>
              <w:pStyle w:val="BodyText"/>
              <w:spacing w:before="120" w:after="120"/>
              <w:rPr>
                <w:rFonts w:ascii="Times New Roman" w:hAnsi="Times New Roman" w:cs="Times New Roman"/>
              </w:rPr>
            </w:pPr>
            <w:r w:rsidRPr="00D56CBB">
              <w:rPr>
                <w:rFonts w:ascii="Times New Roman" w:hAnsi="Times New Roman"/>
              </w:rPr>
              <w:t>0070-0080</w:t>
            </w:r>
          </w:p>
        </w:tc>
        <w:tc>
          <w:tcPr>
            <w:tcW w:w="7813" w:type="dxa"/>
          </w:tcPr>
          <w:p w14:paraId="1BA6993E" w14:textId="77777777" w:rsidR="009B2CA6" w:rsidRPr="00D56CBB" w:rsidRDefault="009B2CA6" w:rsidP="00627775">
            <w:pPr>
              <w:pStyle w:val="BodyText"/>
              <w:spacing w:before="120" w:after="120"/>
              <w:rPr>
                <w:rFonts w:ascii="Times New Roman" w:hAnsi="Times New Roman" w:cs="Times New Roman"/>
                <w:b/>
                <w:u w:val="single"/>
              </w:rPr>
            </w:pPr>
            <w:r w:rsidRPr="00D56CBB">
              <w:rPr>
                <w:rFonts w:ascii="Times New Roman" w:hAnsi="Times New Roman"/>
                <w:b/>
                <w:u w:val="single"/>
              </w:rPr>
              <w:t>Instrumenty, dla których głównym czynnikiem ryzyka jest ryzyko walutowe</w:t>
            </w:r>
          </w:p>
        </w:tc>
      </w:tr>
      <w:tr w:rsidR="009B2CA6" w:rsidRPr="00D56CBB" w14:paraId="6C784F43" w14:textId="77777777" w:rsidTr="00723BA8">
        <w:trPr>
          <w:trHeight w:val="70"/>
        </w:trPr>
        <w:tc>
          <w:tcPr>
            <w:tcW w:w="1203" w:type="dxa"/>
          </w:tcPr>
          <w:p w14:paraId="11C355B3" w14:textId="7F907F02" w:rsidR="009B2CA6" w:rsidRPr="00D56CBB" w:rsidRDefault="00A17954">
            <w:pPr>
              <w:pStyle w:val="BodyText"/>
              <w:spacing w:before="120" w:after="120"/>
              <w:rPr>
                <w:rFonts w:ascii="Times New Roman" w:hAnsi="Times New Roman" w:cs="Times New Roman"/>
              </w:rPr>
            </w:pPr>
            <w:r w:rsidRPr="00D56CBB">
              <w:rPr>
                <w:rFonts w:ascii="Times New Roman" w:hAnsi="Times New Roman"/>
              </w:rPr>
              <w:t>0090-0100</w:t>
            </w:r>
          </w:p>
        </w:tc>
        <w:tc>
          <w:tcPr>
            <w:tcW w:w="7813" w:type="dxa"/>
          </w:tcPr>
          <w:p w14:paraId="0DBB7B5D" w14:textId="77777777" w:rsidR="009B2CA6" w:rsidRPr="00D56CBB" w:rsidRDefault="009B2CA6" w:rsidP="00627775">
            <w:pPr>
              <w:pStyle w:val="BodyText"/>
              <w:spacing w:before="120" w:after="120"/>
              <w:rPr>
                <w:rFonts w:ascii="Times New Roman" w:hAnsi="Times New Roman" w:cs="Times New Roman"/>
                <w:b/>
                <w:u w:val="single"/>
              </w:rPr>
            </w:pPr>
            <w:r w:rsidRPr="00D56CBB">
              <w:rPr>
                <w:rFonts w:ascii="Times New Roman" w:hAnsi="Times New Roman"/>
                <w:b/>
                <w:u w:val="single"/>
              </w:rPr>
              <w:t>Instrumenty, dla których głównym czynnikiem ryzyka jest ryzyko cen towarów</w:t>
            </w:r>
          </w:p>
        </w:tc>
      </w:tr>
      <w:tr w:rsidR="009B2CA6" w:rsidRPr="00D56CBB" w14:paraId="621D668A" w14:textId="77777777">
        <w:trPr>
          <w:trHeight w:val="70"/>
        </w:trPr>
        <w:tc>
          <w:tcPr>
            <w:tcW w:w="1203" w:type="dxa"/>
          </w:tcPr>
          <w:p w14:paraId="5E85AB2F" w14:textId="7FA64DA7" w:rsidR="009B2CA6" w:rsidRPr="00D56CBB" w:rsidRDefault="00A17954">
            <w:pPr>
              <w:pStyle w:val="BodyText"/>
              <w:spacing w:before="120" w:after="120"/>
              <w:rPr>
                <w:rFonts w:ascii="Times New Roman" w:hAnsi="Times New Roman" w:cs="Times New Roman"/>
              </w:rPr>
            </w:pPr>
            <w:r w:rsidRPr="00D56CBB">
              <w:rPr>
                <w:rFonts w:ascii="Times New Roman" w:hAnsi="Times New Roman"/>
              </w:rPr>
              <w:t>0110-0120</w:t>
            </w:r>
          </w:p>
        </w:tc>
        <w:tc>
          <w:tcPr>
            <w:tcW w:w="7813" w:type="dxa"/>
            <w:vAlign w:val="bottom"/>
          </w:tcPr>
          <w:p w14:paraId="05743526" w14:textId="2E9CE9AD" w:rsidR="00A17954" w:rsidRPr="00D56CBB" w:rsidRDefault="00D35757" w:rsidP="00A17954">
            <w:pPr>
              <w:pStyle w:val="BodyText"/>
              <w:spacing w:before="120" w:after="120"/>
              <w:rPr>
                <w:rFonts w:ascii="Times New Roman" w:hAnsi="Times New Roman" w:cs="Times New Roman"/>
                <w:b/>
                <w:u w:val="single"/>
              </w:rPr>
            </w:pPr>
            <w:r w:rsidRPr="00D56CBB">
              <w:rPr>
                <w:rFonts w:ascii="Times New Roman" w:hAnsi="Times New Roman"/>
                <w:b/>
                <w:u w:val="single"/>
              </w:rPr>
              <w:t>Inne instrumenty</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por</w:t>
            </w:r>
            <w:r w:rsidRPr="00D56CBB">
              <w:rPr>
                <w:rFonts w:ascii="Times New Roman" w:hAnsi="Times New Roman"/>
                <w:b/>
                <w:u w:val="single"/>
              </w:rPr>
              <w:t>tfelu handlowym,</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tym</w:t>
            </w:r>
            <w:r w:rsidRPr="00D56CBB">
              <w:rPr>
                <w:rFonts w:ascii="Times New Roman" w:hAnsi="Times New Roman"/>
                <w:b/>
                <w:u w:val="single"/>
              </w:rPr>
              <w:t xml:space="preserve"> instrumenty, dla których głównym czynnikiem ryzyka jest ryzyko rezydualne</w:t>
            </w:r>
          </w:p>
          <w:p w14:paraId="49050F01" w14:textId="5834AC10" w:rsidR="009B2CA6" w:rsidRPr="00D56CBB" w:rsidRDefault="00D35757">
            <w:pPr>
              <w:pStyle w:val="BodyText"/>
              <w:spacing w:before="120" w:after="120"/>
              <w:rPr>
                <w:rFonts w:hint="eastAsia"/>
              </w:rPr>
            </w:pPr>
            <w:r w:rsidRPr="00D56CBB">
              <w:t>Instytucje zgłaszają</w:t>
            </w:r>
            <w:r w:rsidR="00D56CBB" w:rsidRPr="00D56CBB">
              <w:t xml:space="preserve"> w</w:t>
            </w:r>
            <w:r w:rsidR="00D56CBB">
              <w:t> </w:t>
            </w:r>
            <w:r w:rsidR="00D56CBB" w:rsidRPr="00D56CBB">
              <w:t>tyc</w:t>
            </w:r>
            <w:r w:rsidRPr="00D56CBB">
              <w:t>h wierszach każdy instrument przypisany do portfela handlowego,</w:t>
            </w:r>
            <w:r w:rsidR="00D56CBB" w:rsidRPr="00D56CBB">
              <w:t xml:space="preserve"> w</w:t>
            </w:r>
            <w:r w:rsidR="00D56CBB">
              <w:t> </w:t>
            </w:r>
            <w:r w:rsidR="00D56CBB" w:rsidRPr="00D56CBB">
              <w:t>prz</w:t>
            </w:r>
            <w:r w:rsidRPr="00D56CBB">
              <w:t>ypadku którego głównym czynnikiem ryzyka nie jest jeden</w:t>
            </w:r>
            <w:r w:rsidR="00D56CBB" w:rsidRPr="00D56CBB">
              <w:t xml:space="preserve"> z</w:t>
            </w:r>
            <w:r w:rsidR="00D56CBB">
              <w:t> </w:t>
            </w:r>
            <w:r w:rsidR="00D56CBB" w:rsidRPr="00D56CBB">
              <w:t>czy</w:t>
            </w:r>
            <w:r w:rsidRPr="00D56CBB">
              <w:t>nników ryzyka,</w:t>
            </w:r>
            <w:r w:rsidR="00D56CBB" w:rsidRPr="00D56CBB">
              <w:t xml:space="preserve"> o</w:t>
            </w:r>
            <w:r w:rsidR="00D56CBB">
              <w:t> </w:t>
            </w:r>
            <w:r w:rsidR="00D56CBB" w:rsidRPr="00D56CBB">
              <w:t>któ</w:t>
            </w:r>
            <w:r w:rsidRPr="00D56CBB">
              <w:t>rych mowa</w:t>
            </w:r>
            <w:r w:rsidR="00D56CBB" w:rsidRPr="00D56CBB">
              <w:t xml:space="preserve"> w</w:t>
            </w:r>
            <w:r w:rsidR="00D56CBB">
              <w:t> </w:t>
            </w:r>
            <w:r w:rsidR="00D56CBB" w:rsidRPr="00D56CBB">
              <w:t>wie</w:t>
            </w:r>
            <w:r w:rsidRPr="00D56CBB">
              <w:t>rszach 0030–0100</w:t>
            </w:r>
            <w:r w:rsidR="00D56CBB" w:rsidRPr="00D56CBB">
              <w:t>. W</w:t>
            </w:r>
            <w:r w:rsidR="00D56CBB">
              <w:t> </w:t>
            </w:r>
            <w:r w:rsidR="00D56CBB" w:rsidRPr="00D56CBB">
              <w:t>wie</w:t>
            </w:r>
            <w:r w:rsidRPr="00D56CBB">
              <w:t xml:space="preserve">rszach tych uwzględnia się co najmniej instrumenty, dla których głównym czynnikiem ryzyka jest ryzyko rezydualne. </w:t>
            </w:r>
          </w:p>
        </w:tc>
      </w:tr>
      <w:tr w:rsidR="009B2CA6" w:rsidRPr="00D56CBB" w14:paraId="461D04B3" w14:textId="77777777">
        <w:trPr>
          <w:trHeight w:val="70"/>
        </w:trPr>
        <w:tc>
          <w:tcPr>
            <w:tcW w:w="1203" w:type="dxa"/>
          </w:tcPr>
          <w:p w14:paraId="1CF3996C" w14:textId="0F9E87BA" w:rsidR="009B2CA6" w:rsidRPr="00D56CBB" w:rsidRDefault="00546BA6">
            <w:pPr>
              <w:pStyle w:val="BodyText"/>
              <w:spacing w:before="120" w:after="120"/>
              <w:rPr>
                <w:rFonts w:ascii="Times New Roman" w:hAnsi="Times New Roman" w:cs="Times New Roman"/>
              </w:rPr>
            </w:pPr>
            <w:r w:rsidRPr="00D56CBB">
              <w:rPr>
                <w:rFonts w:ascii="Times New Roman" w:hAnsi="Times New Roman"/>
              </w:rPr>
              <w:t>0130-0140</w:t>
            </w:r>
          </w:p>
        </w:tc>
        <w:tc>
          <w:tcPr>
            <w:tcW w:w="7813" w:type="dxa"/>
            <w:vAlign w:val="bottom"/>
          </w:tcPr>
          <w:p w14:paraId="48517D2E" w14:textId="77777777" w:rsidR="009B2CA6" w:rsidRPr="00D56CBB" w:rsidRDefault="009B2CA6">
            <w:pPr>
              <w:pStyle w:val="BodyText"/>
              <w:spacing w:before="120" w:after="120"/>
              <w:rPr>
                <w:rFonts w:ascii="Times New Roman" w:hAnsi="Times New Roman" w:cs="Times New Roman"/>
                <w:b/>
                <w:u w:val="single"/>
              </w:rPr>
            </w:pPr>
            <w:r w:rsidRPr="00D56CBB">
              <w:rPr>
                <w:rFonts w:ascii="Times New Roman" w:hAnsi="Times New Roman"/>
                <w:b/>
                <w:u w:val="single"/>
              </w:rPr>
              <w:t>Pozycja uzupełniająca: instrumenty zaklasyfikowane jako przeznaczone do obrotu zgodnie ze standardami rachunkowości</w:t>
            </w:r>
          </w:p>
          <w:p w14:paraId="3A1B5873" w14:textId="35645A2E" w:rsidR="009B2CA6" w:rsidRPr="00D56CBB" w:rsidRDefault="009B2CA6" w:rsidP="00723BA8">
            <w:pPr>
              <w:pStyle w:val="BodyText"/>
              <w:spacing w:before="120" w:after="120"/>
              <w:rPr>
                <w:rFonts w:ascii="Times New Roman" w:hAnsi="Times New Roman" w:cs="Times New Roman"/>
              </w:rPr>
            </w:pPr>
            <w:r w:rsidRPr="00D56CBB">
              <w:rPr>
                <w:rFonts w:ascii="Times New Roman" w:hAnsi="Times New Roman"/>
              </w:rPr>
              <w:t>Art. 104 ust.</w:t>
            </w:r>
            <w:r w:rsidR="00D56CBB" w:rsidRPr="00D56CBB">
              <w:rPr>
                <w:rFonts w:ascii="Times New Roman" w:hAnsi="Times New Roman"/>
              </w:rPr>
              <w:t> </w:t>
            </w:r>
            <w:r w:rsidRPr="00D56CBB">
              <w:rPr>
                <w:rFonts w:ascii="Times New Roman" w:hAnsi="Times New Roman"/>
              </w:rPr>
              <w:t>2 akapit pierwszy lit.</w:t>
            </w:r>
            <w:r w:rsidR="00D56CBB" w:rsidRPr="00D56CBB">
              <w:rPr>
                <w:rFonts w:ascii="Times New Roman" w:hAnsi="Times New Roman"/>
              </w:rPr>
              <w:t> </w:t>
            </w:r>
            <w:r w:rsidRPr="00D56CBB">
              <w:rPr>
                <w:rFonts w:ascii="Times New Roman" w:hAnsi="Times New Roman"/>
              </w:rPr>
              <w:t>d) rozporządzenia (UE) nr</w:t>
            </w:r>
            <w:r w:rsidR="00D56CBB" w:rsidRPr="00D56CBB">
              <w:rPr>
                <w:rFonts w:ascii="Times New Roman" w:hAnsi="Times New Roman"/>
              </w:rPr>
              <w:t> </w:t>
            </w:r>
            <w:r w:rsidRPr="00D56CBB">
              <w:rPr>
                <w:rFonts w:ascii="Times New Roman" w:hAnsi="Times New Roman"/>
              </w:rPr>
              <w:t>575/2013.</w:t>
            </w:r>
          </w:p>
        </w:tc>
      </w:tr>
    </w:tbl>
    <w:p w14:paraId="59860518" w14:textId="5FCC674D" w:rsidR="00AB3069" w:rsidRPr="00D56CBB" w:rsidRDefault="00201582" w:rsidP="000059B8">
      <w:pPr>
        <w:pStyle w:val="Instructionsberschrift2"/>
        <w:numPr>
          <w:ilvl w:val="0"/>
          <w:numId w:val="0"/>
        </w:numPr>
        <w:ind w:left="357" w:hanging="357"/>
      </w:pPr>
      <w:bookmarkStart w:id="15" w:name="_Toc151714544"/>
      <w:r w:rsidRPr="00D56CBB">
        <w:rPr>
          <w:rFonts w:ascii="Times New Roman" w:hAnsi="Times New Roman"/>
          <w:sz w:val="24"/>
        </w:rPr>
        <w:t>9.3 C 24.01 – Granica portfela handlowego – Przeklasyfikowania między portfelami (MOV)</w:t>
      </w:r>
      <w:bookmarkEnd w:id="15"/>
    </w:p>
    <w:p w14:paraId="36E171AE" w14:textId="77777777" w:rsidR="00F65FA6" w:rsidRPr="00D56CBB" w:rsidRDefault="00F65FA6" w:rsidP="00F65FA6">
      <w:pPr>
        <w:pStyle w:val="Instructionsberschrift2"/>
        <w:numPr>
          <w:ilvl w:val="0"/>
          <w:numId w:val="0"/>
        </w:numPr>
        <w:ind w:left="357" w:hanging="357"/>
        <w:rPr>
          <w:rFonts w:ascii="Times New Roman" w:hAnsi="Times New Roman" w:cs="Times New Roman"/>
          <w:sz w:val="24"/>
          <w:u w:val="none"/>
        </w:rPr>
      </w:pPr>
      <w:r w:rsidRPr="00D56CBB">
        <w:rPr>
          <w:rFonts w:ascii="Times New Roman" w:hAnsi="Times New Roman"/>
          <w:sz w:val="24"/>
          <w:u w:val="none"/>
        </w:rPr>
        <w:t>9.3.1</w:t>
      </w:r>
      <w:r w:rsidRPr="00D56CBB">
        <w:rPr>
          <w:u w:val="none"/>
        </w:rPr>
        <w:tab/>
      </w:r>
      <w:r w:rsidRPr="00D56CBB">
        <w:rPr>
          <w:rFonts w:ascii="Times New Roman" w:hAnsi="Times New Roman"/>
          <w:sz w:val="24"/>
          <w:u w:val="none"/>
        </w:rPr>
        <w:t>Uwagi ogólne</w:t>
      </w:r>
    </w:p>
    <w:p w14:paraId="01D302B5" w14:textId="4F5B67E8" w:rsidR="00F65FA6" w:rsidRPr="00D56CBB" w:rsidRDefault="00F65FA6" w:rsidP="00F65FA6">
      <w:pPr>
        <w:pStyle w:val="InstructionsText2"/>
        <w:numPr>
          <w:ilvl w:val="0"/>
          <w:numId w:val="61"/>
        </w:numPr>
        <w:spacing w:line="259" w:lineRule="auto"/>
      </w:pPr>
      <w:r w:rsidRPr="00D56CBB">
        <w:t>Wzór ten stosuje się</w:t>
      </w:r>
      <w:r w:rsidR="00D56CBB" w:rsidRPr="00D56CBB">
        <w:t xml:space="preserve"> w</w:t>
      </w:r>
      <w:r w:rsidR="00D56CBB">
        <w:t> </w:t>
      </w:r>
      <w:r w:rsidR="00D56CBB" w:rsidRPr="00D56CBB">
        <w:t>cel</w:t>
      </w:r>
      <w:r w:rsidRPr="00D56CBB">
        <w:t>u przedstawienia informacji na temat przeklasyfikowania pozycji zgodnie</w:t>
      </w:r>
      <w:r w:rsidR="00D56CBB" w:rsidRPr="00D56CBB">
        <w:t xml:space="preserve"> z</w:t>
      </w:r>
      <w:r w:rsidR="00D56CBB">
        <w:t> </w:t>
      </w:r>
      <w:r w:rsidR="00D56CBB" w:rsidRPr="00D56CBB">
        <w:t>art</w:t>
      </w:r>
      <w:r w:rsidRPr="00D56CBB">
        <w:t>.</w:t>
      </w:r>
      <w:r w:rsidR="00D56CBB" w:rsidRPr="00D56CBB">
        <w:t> </w:t>
      </w:r>
      <w:r w:rsidRPr="00D56CBB">
        <w:t>104a rozporządzenia (UE) nr</w:t>
      </w:r>
      <w:r w:rsidR="00D56CBB" w:rsidRPr="00D56CBB">
        <w:t> </w:t>
      </w:r>
      <w:r w:rsidRPr="00D56CBB">
        <w:t xml:space="preserve">575/2013. </w:t>
      </w:r>
    </w:p>
    <w:p w14:paraId="171B977F" w14:textId="11055EE6" w:rsidR="00F65FA6" w:rsidRPr="00D56CBB" w:rsidRDefault="00F65FA6" w:rsidP="00F65FA6">
      <w:pPr>
        <w:pStyle w:val="InstructionsText2"/>
        <w:numPr>
          <w:ilvl w:val="0"/>
          <w:numId w:val="61"/>
        </w:numPr>
        <w:spacing w:line="259" w:lineRule="auto"/>
      </w:pPr>
      <w:r w:rsidRPr="00D56CBB">
        <w:t>Przeklasyfikowania zgłasza się</w:t>
      </w:r>
      <w:r w:rsidR="00D56CBB" w:rsidRPr="00D56CBB">
        <w:t xml:space="preserve"> w</w:t>
      </w:r>
      <w:r w:rsidR="00D56CBB">
        <w:t> </w:t>
      </w:r>
      <w:r w:rsidR="00D56CBB" w:rsidRPr="00D56CBB">
        <w:t>tym</w:t>
      </w:r>
      <w:r w:rsidRPr="00D56CBB">
        <w:t xml:space="preserve"> wzorze wyłącznie</w:t>
      </w:r>
      <w:r w:rsidR="00D56CBB" w:rsidRPr="00D56CBB">
        <w:t xml:space="preserve"> w</w:t>
      </w:r>
      <w:r w:rsidR="00D56CBB">
        <w:t> </w:t>
      </w:r>
      <w:r w:rsidR="00D56CBB" w:rsidRPr="00D56CBB">
        <w:t>nas</w:t>
      </w:r>
      <w:r w:rsidRPr="00D56CBB">
        <w:t>tępujących dwóch przypadkach:</w:t>
      </w:r>
    </w:p>
    <w:p w14:paraId="188FB065" w14:textId="1E43754D" w:rsidR="00F65FA6" w:rsidRPr="00D56CBB" w:rsidRDefault="00F65FA6" w:rsidP="00F65FA6">
      <w:pPr>
        <w:pStyle w:val="InstructionsText2"/>
        <w:numPr>
          <w:ilvl w:val="1"/>
          <w:numId w:val="61"/>
        </w:numPr>
        <w:spacing w:line="259" w:lineRule="auto"/>
      </w:pPr>
      <w:r w:rsidRPr="00D56CBB">
        <w:t>jeżeli właściwy organ udzielił zezwolenia na przeklasyfikowanie pozycji portfela handlowego na pozycję portfela bankowego lub odwrotnie;</w:t>
      </w:r>
    </w:p>
    <w:p w14:paraId="5B6EC138" w14:textId="462BE59F" w:rsidR="00F65FA6" w:rsidRPr="00D56CBB" w:rsidRDefault="00F65FA6" w:rsidP="00F65FA6">
      <w:pPr>
        <w:pStyle w:val="InstructionsText2"/>
        <w:numPr>
          <w:ilvl w:val="1"/>
          <w:numId w:val="61"/>
        </w:numPr>
        <w:spacing w:line="259" w:lineRule="auto"/>
      </w:pPr>
      <w:r w:rsidRPr="00D56CBB">
        <w:t>jeżeli przeklasyfikowanie spełnia warunki określone</w:t>
      </w:r>
      <w:r w:rsidR="00D56CBB" w:rsidRPr="00D56CBB">
        <w:t xml:space="preserve"> w</w:t>
      </w:r>
      <w:r w:rsidR="00D56CBB">
        <w:t> </w:t>
      </w:r>
      <w:r w:rsidR="00D56CBB" w:rsidRPr="00D56CBB">
        <w:t>art</w:t>
      </w:r>
      <w:r w:rsidRPr="00D56CBB">
        <w:t>.</w:t>
      </w:r>
      <w:r w:rsidR="00D56CBB" w:rsidRPr="00D56CBB">
        <w:t> </w:t>
      </w:r>
      <w:r w:rsidRPr="00D56CBB">
        <w:t>104a ust.</w:t>
      </w:r>
      <w:r w:rsidR="00D56CBB" w:rsidRPr="00D56CBB">
        <w:t> </w:t>
      </w:r>
      <w:r w:rsidRPr="00D56CBB">
        <w:t>6 rozporządzenia (UE) nr</w:t>
      </w:r>
      <w:r w:rsidR="00D56CBB" w:rsidRPr="00D56CBB">
        <w:t> </w:t>
      </w:r>
      <w:r w:rsidRPr="00D56CBB">
        <w:t>575/2013</w:t>
      </w:r>
      <w:r w:rsidR="00D56CBB" w:rsidRPr="00D56CBB">
        <w:t xml:space="preserve"> i</w:t>
      </w:r>
      <w:r w:rsidR="00D56CBB">
        <w:t> </w:t>
      </w:r>
      <w:r w:rsidR="00D56CBB" w:rsidRPr="00D56CBB">
        <w:t>moż</w:t>
      </w:r>
      <w:r w:rsidRPr="00D56CBB">
        <w:t>e zostać dokonane bez wyraźnego zezwolenia właściwego organu.</w:t>
      </w:r>
    </w:p>
    <w:p w14:paraId="42F779D4" w14:textId="77777777" w:rsidR="00F65FA6" w:rsidRPr="00D56CBB" w:rsidRDefault="00F65FA6" w:rsidP="00F65FA6">
      <w:pPr>
        <w:pStyle w:val="InstructionsText2"/>
        <w:numPr>
          <w:ilvl w:val="0"/>
          <w:numId w:val="61"/>
        </w:numPr>
        <w:spacing w:line="259" w:lineRule="auto"/>
      </w:pPr>
      <w:r w:rsidRPr="00D56CBB">
        <w:lastRenderedPageBreak/>
        <w:t>We wzorze zgłasza się następujące instrumenty przeklasyfikowane:</w:t>
      </w:r>
    </w:p>
    <w:p w14:paraId="2B0996DA" w14:textId="7A323786" w:rsidR="00F65FA6" w:rsidRPr="00D56CBB" w:rsidRDefault="00F65FA6" w:rsidP="00F65FA6">
      <w:pPr>
        <w:pStyle w:val="InstructionsText2"/>
        <w:numPr>
          <w:ilvl w:val="1"/>
          <w:numId w:val="61"/>
        </w:numPr>
        <w:spacing w:line="259" w:lineRule="auto"/>
      </w:pPr>
      <w:r w:rsidRPr="00D56CBB">
        <w:t>instrumenty przeklasyfikowane</w:t>
      </w:r>
      <w:r w:rsidR="00D56CBB" w:rsidRPr="00D56CBB">
        <w:t xml:space="preserve"> w</w:t>
      </w:r>
      <w:r w:rsidR="00D56CBB">
        <w:t> </w:t>
      </w:r>
      <w:r w:rsidR="00D56CBB" w:rsidRPr="00D56CBB">
        <w:t>tra</w:t>
      </w:r>
      <w:r w:rsidRPr="00D56CBB">
        <w:t>kcie kwartału, którego dotyczy zgłoszenie. We wzorze zgłasza się wszystkie instrumenty przeklasyfikowane</w:t>
      </w:r>
      <w:r w:rsidR="00D56CBB" w:rsidRPr="00D56CBB">
        <w:t xml:space="preserve"> w</w:t>
      </w:r>
      <w:r w:rsidR="00D56CBB">
        <w:t> </w:t>
      </w:r>
      <w:r w:rsidR="00D56CBB" w:rsidRPr="00D56CBB">
        <w:t>tra</w:t>
      </w:r>
      <w:r w:rsidRPr="00D56CBB">
        <w:t>kcie danego kwartału, niezależnie od tego, czy przeklasyfikowanie prowadzi do obniżenia wymogów</w:t>
      </w:r>
      <w:r w:rsidR="00D56CBB" w:rsidRPr="00D56CBB">
        <w:t xml:space="preserve"> w</w:t>
      </w:r>
      <w:r w:rsidR="00D56CBB">
        <w:t> </w:t>
      </w:r>
      <w:r w:rsidR="00D56CBB" w:rsidRPr="00D56CBB">
        <w:t>zak</w:t>
      </w:r>
      <w:r w:rsidRPr="00D56CBB">
        <w:t>resie funduszy własnych. Instrument przeklasyfikowany</w:t>
      </w:r>
      <w:r w:rsidR="00D56CBB" w:rsidRPr="00D56CBB">
        <w:t xml:space="preserve"> w</w:t>
      </w:r>
      <w:r w:rsidR="00D56CBB">
        <w:t> </w:t>
      </w:r>
      <w:r w:rsidR="00D56CBB" w:rsidRPr="00D56CBB">
        <w:t>tra</w:t>
      </w:r>
      <w:r w:rsidRPr="00D56CBB">
        <w:t>kcie danego kwartału zgłasza się również wówczas, gdy między dniem przeklasyfikowania</w:t>
      </w:r>
      <w:r w:rsidR="00D56CBB" w:rsidRPr="00D56CBB">
        <w:t xml:space="preserve"> a</w:t>
      </w:r>
      <w:r w:rsidR="00D56CBB">
        <w:t> </w:t>
      </w:r>
      <w:r w:rsidR="00D56CBB" w:rsidRPr="00D56CBB">
        <w:t>dni</w:t>
      </w:r>
      <w:r w:rsidRPr="00D56CBB">
        <w:t>em odniesienia zgłoszenia zaprzestano ujmowania instrumentu lub jego termin zapadalności upłynął;</w:t>
      </w:r>
    </w:p>
    <w:p w14:paraId="29ED050F" w14:textId="5BC9183C" w:rsidR="00F65FA6" w:rsidRPr="00D56CBB" w:rsidRDefault="00F65FA6" w:rsidP="00F65FA6">
      <w:pPr>
        <w:pStyle w:val="InstructionsText2"/>
        <w:numPr>
          <w:ilvl w:val="1"/>
          <w:numId w:val="61"/>
        </w:numPr>
        <w:spacing w:line="259" w:lineRule="auto"/>
      </w:pPr>
      <w:r w:rsidRPr="00D56CBB">
        <w:t>instrumenty przeklasyfikowane</w:t>
      </w:r>
      <w:r w:rsidR="00D56CBB" w:rsidRPr="00D56CBB">
        <w:t xml:space="preserve"> w</w:t>
      </w:r>
      <w:r w:rsidR="00D56CBB">
        <w:t> </w:t>
      </w:r>
      <w:r w:rsidR="00D56CBB" w:rsidRPr="00D56CBB">
        <w:t>pop</w:t>
      </w:r>
      <w:r w:rsidRPr="00D56CBB">
        <w:t>rzednich okresach sprawozdawczych, które na dzień odniesienia zgłoszenia nadal podlegają wymogowi</w:t>
      </w:r>
      <w:r w:rsidR="00D56CBB" w:rsidRPr="00D56CBB">
        <w:t xml:space="preserve"> w</w:t>
      </w:r>
      <w:r w:rsidR="00D56CBB">
        <w:t> </w:t>
      </w:r>
      <w:r w:rsidR="00D56CBB" w:rsidRPr="00D56CBB">
        <w:t>zak</w:t>
      </w:r>
      <w:r w:rsidRPr="00D56CBB">
        <w:t>resie funduszy własnych zgodnie</w:t>
      </w:r>
      <w:r w:rsidR="00D56CBB" w:rsidRPr="00D56CBB">
        <w:t xml:space="preserve"> z</w:t>
      </w:r>
      <w:r w:rsidR="00D56CBB">
        <w:t> </w:t>
      </w:r>
      <w:r w:rsidR="00D56CBB" w:rsidRPr="00D56CBB">
        <w:t>art</w:t>
      </w:r>
      <w:r w:rsidRPr="00D56CBB">
        <w:t>.</w:t>
      </w:r>
      <w:r w:rsidR="00D56CBB" w:rsidRPr="00D56CBB">
        <w:t> </w:t>
      </w:r>
      <w:r w:rsidRPr="00D56CBB">
        <w:t>104a ust.</w:t>
      </w:r>
      <w:r w:rsidR="00D56CBB" w:rsidRPr="00D56CBB">
        <w:t> </w:t>
      </w:r>
      <w:r w:rsidRPr="00D56CBB">
        <w:t>3 lit.</w:t>
      </w:r>
      <w:r w:rsidR="00D56CBB" w:rsidRPr="00D56CBB">
        <w:t> </w:t>
      </w:r>
      <w:r w:rsidRPr="00D56CBB">
        <w:t>b) rozporządzenia (UE) nr</w:t>
      </w:r>
      <w:r w:rsidR="00D56CBB" w:rsidRPr="00D56CBB">
        <w:t> </w:t>
      </w:r>
      <w:r w:rsidRPr="00D56CBB">
        <w:t xml:space="preserve">575/2013; </w:t>
      </w:r>
    </w:p>
    <w:p w14:paraId="04E7DE74" w14:textId="70684DCC" w:rsidR="00F65FA6" w:rsidRPr="00D56CBB" w:rsidRDefault="00F65FA6" w:rsidP="00F65FA6">
      <w:pPr>
        <w:pStyle w:val="InstructionsText2"/>
        <w:numPr>
          <w:ilvl w:val="1"/>
          <w:numId w:val="61"/>
        </w:numPr>
        <w:spacing w:line="259" w:lineRule="auto"/>
      </w:pPr>
      <w:r w:rsidRPr="00D56CBB">
        <w:t>instrumenty przeklasyfikowane</w:t>
      </w:r>
      <w:r w:rsidR="00D56CBB" w:rsidRPr="00D56CBB">
        <w:t xml:space="preserve"> w</w:t>
      </w:r>
      <w:r w:rsidR="00D56CBB">
        <w:t> </w:t>
      </w:r>
      <w:r w:rsidR="00D56CBB" w:rsidRPr="00D56CBB">
        <w:t>pop</w:t>
      </w:r>
      <w:r w:rsidRPr="00D56CBB">
        <w:t>rzednich okresach sprawozdawczych, które na poprzedni dzień odniesienia podlegały wymogowi</w:t>
      </w:r>
      <w:r w:rsidR="00D56CBB" w:rsidRPr="00D56CBB">
        <w:t xml:space="preserve"> w</w:t>
      </w:r>
      <w:r w:rsidR="00D56CBB">
        <w:t> </w:t>
      </w:r>
      <w:r w:rsidR="00D56CBB" w:rsidRPr="00D56CBB">
        <w:t>zak</w:t>
      </w:r>
      <w:r w:rsidRPr="00D56CBB">
        <w:t>resie funduszy własnych zgodnie</w:t>
      </w:r>
      <w:r w:rsidR="00D56CBB" w:rsidRPr="00D56CBB">
        <w:t xml:space="preserve"> z</w:t>
      </w:r>
      <w:r w:rsidR="00D56CBB">
        <w:t> </w:t>
      </w:r>
      <w:r w:rsidR="00D56CBB" w:rsidRPr="00D56CBB">
        <w:t>art</w:t>
      </w:r>
      <w:r w:rsidRPr="00D56CBB">
        <w:t>.</w:t>
      </w:r>
      <w:r w:rsidR="00D56CBB" w:rsidRPr="00D56CBB">
        <w:t> </w:t>
      </w:r>
      <w:r w:rsidRPr="00D56CBB">
        <w:t>104a ust.</w:t>
      </w:r>
      <w:r w:rsidR="00D56CBB" w:rsidRPr="00D56CBB">
        <w:t> </w:t>
      </w:r>
      <w:r w:rsidRPr="00D56CBB">
        <w:t>3 lit.</w:t>
      </w:r>
      <w:r w:rsidR="00D56CBB" w:rsidRPr="00D56CBB">
        <w:t> </w:t>
      </w:r>
      <w:r w:rsidRPr="00D56CBB">
        <w:t>b) rozporządzenia (UE) nr</w:t>
      </w:r>
      <w:r w:rsidR="00D56CBB" w:rsidRPr="00D56CBB">
        <w:t> </w:t>
      </w:r>
      <w:r w:rsidRPr="00D56CBB">
        <w:t>575/2013, jeżeli decyzja właściwego organu zezwalająca na uznanie obniżenia wymogów</w:t>
      </w:r>
      <w:r w:rsidR="00D56CBB" w:rsidRPr="00D56CBB">
        <w:t xml:space="preserve"> w</w:t>
      </w:r>
      <w:r w:rsidR="00D56CBB">
        <w:t> </w:t>
      </w:r>
      <w:r w:rsidR="00D56CBB" w:rsidRPr="00D56CBB">
        <w:t>zak</w:t>
      </w:r>
      <w:r w:rsidRPr="00D56CBB">
        <w:t>resie funduszy własnych staje się skuteczna</w:t>
      </w:r>
      <w:r w:rsidR="00D56CBB" w:rsidRPr="00D56CBB">
        <w:t xml:space="preserve"> w</w:t>
      </w:r>
      <w:r w:rsidR="00D56CBB">
        <w:t> </w:t>
      </w:r>
      <w:r w:rsidR="00D56CBB" w:rsidRPr="00D56CBB">
        <w:t>kwa</w:t>
      </w:r>
      <w:r w:rsidRPr="00D56CBB">
        <w:t>rtale, którego dotyczy zgłoszenie.</w:t>
      </w:r>
    </w:p>
    <w:p w14:paraId="4E4DBEFD" w14:textId="77777777" w:rsidR="00F65FA6" w:rsidRPr="00D56CBB" w:rsidRDefault="00F65FA6" w:rsidP="00F65FA6">
      <w:pPr>
        <w:pStyle w:val="InstructionsText2"/>
        <w:numPr>
          <w:ilvl w:val="0"/>
          <w:numId w:val="61"/>
        </w:numPr>
        <w:spacing w:line="259" w:lineRule="auto"/>
      </w:pPr>
      <w:r w:rsidRPr="00D56CBB">
        <w:t>Instytucje zgłaszają informacje na temat przeklasyfikowania odrębnie dla każdego instrumentu, który został przeklasyfikowany.</w:t>
      </w:r>
    </w:p>
    <w:p w14:paraId="17A4C841" w14:textId="0B1A163E" w:rsidR="00F65FA6" w:rsidRPr="00D56CBB" w:rsidDel="00BC604C" w:rsidRDefault="00F65FA6" w:rsidP="00F65FA6">
      <w:pPr>
        <w:pStyle w:val="InstructionsText2"/>
        <w:numPr>
          <w:ilvl w:val="0"/>
          <w:numId w:val="61"/>
        </w:numPr>
        <w:spacing w:line="259" w:lineRule="auto"/>
      </w:pPr>
      <w:r w:rsidRPr="00D56CBB">
        <w:t>Pole „Grupa kompensacyjna” stosuje się</w:t>
      </w:r>
      <w:r w:rsidR="00D56CBB" w:rsidRPr="00D56CBB">
        <w:t xml:space="preserve"> w</w:t>
      </w:r>
      <w:r w:rsidR="00D56CBB">
        <w:t> </w:t>
      </w:r>
      <w:r w:rsidR="00D56CBB" w:rsidRPr="00D56CBB">
        <w:t>cel</w:t>
      </w:r>
      <w:r w:rsidRPr="00D56CBB">
        <w:t xml:space="preserve">u wskazania grupy kompensacyjnej obejmującej podmiot, który posiadał pozycję na dzień odniesienia bądź na dzień zapadalności lub zaprzestania ujmowania, stosownie do przypadku. </w:t>
      </w:r>
    </w:p>
    <w:p w14:paraId="27A31F03" w14:textId="77777777" w:rsidR="00F65FA6" w:rsidRPr="00D56CBB" w:rsidRDefault="00F65FA6" w:rsidP="00F65FA6">
      <w:pPr>
        <w:pStyle w:val="Instructionsberschrift2"/>
        <w:numPr>
          <w:ilvl w:val="0"/>
          <w:numId w:val="0"/>
        </w:numPr>
        <w:ind w:left="357" w:hanging="357"/>
        <w:rPr>
          <w:rFonts w:ascii="Times New Roman" w:hAnsi="Times New Roman" w:cs="Times New Roman"/>
          <w:sz w:val="24"/>
          <w:u w:val="none"/>
        </w:rPr>
      </w:pPr>
      <w:r w:rsidRPr="00D56CBB">
        <w:rPr>
          <w:rFonts w:ascii="Times New Roman" w:hAnsi="Times New Roman"/>
          <w:sz w:val="24"/>
          <w:u w:val="none"/>
        </w:rPr>
        <w:t>9.3.2</w:t>
      </w:r>
      <w:r w:rsidRPr="00D56CBB">
        <w:tab/>
      </w:r>
      <w:r w:rsidRPr="00D56CBB">
        <w:rPr>
          <w:rFonts w:ascii="Times New Roman" w:hAnsi="Times New Roman"/>
          <w:sz w:val="24"/>
          <w:u w:val="none"/>
        </w:rPr>
        <w:t>Instrukcje dotyczące poszczególnych pozycji</w:t>
      </w:r>
    </w:p>
    <w:tbl>
      <w:tblPr>
        <w:tblStyle w:val="TableGrid"/>
        <w:tblW w:w="0" w:type="auto"/>
        <w:tblLook w:val="04A0" w:firstRow="1" w:lastRow="0" w:firstColumn="1" w:lastColumn="0" w:noHBand="0" w:noVBand="1"/>
      </w:tblPr>
      <w:tblGrid>
        <w:gridCol w:w="1203"/>
        <w:gridCol w:w="7813"/>
      </w:tblGrid>
      <w:tr w:rsidR="00F65FA6" w:rsidRPr="00D56CBB" w14:paraId="4E787111" w14:textId="77777777" w:rsidTr="00E02007">
        <w:tc>
          <w:tcPr>
            <w:tcW w:w="1203" w:type="dxa"/>
            <w:shd w:val="clear" w:color="auto" w:fill="BFBFBF" w:themeFill="background1" w:themeFillShade="BF"/>
          </w:tcPr>
          <w:p w14:paraId="37E96ED0" w14:textId="77777777" w:rsidR="00F65FA6" w:rsidRPr="00D56CBB" w:rsidRDefault="00F65FA6" w:rsidP="00E02007">
            <w:pPr>
              <w:pStyle w:val="BodyText"/>
              <w:spacing w:before="120" w:after="120"/>
              <w:rPr>
                <w:rFonts w:ascii="Times New Roman" w:hAnsi="Times New Roman" w:cs="Times New Roman"/>
                <w:b/>
              </w:rPr>
            </w:pPr>
            <w:r w:rsidRPr="00D56CBB">
              <w:rPr>
                <w:rFonts w:ascii="Times New Roman" w:hAnsi="Times New Roman"/>
                <w:b/>
              </w:rPr>
              <w:t>Kolumna</w:t>
            </w:r>
          </w:p>
        </w:tc>
        <w:tc>
          <w:tcPr>
            <w:tcW w:w="7813" w:type="dxa"/>
            <w:shd w:val="clear" w:color="auto" w:fill="BFBFBF" w:themeFill="background1" w:themeFillShade="BF"/>
          </w:tcPr>
          <w:p w14:paraId="114CE84C" w14:textId="1518632B" w:rsidR="00F65FA6" w:rsidRPr="00D56CBB" w:rsidRDefault="00F65FA6" w:rsidP="00E02007">
            <w:pPr>
              <w:pStyle w:val="BodyText"/>
              <w:spacing w:before="120" w:after="120"/>
              <w:rPr>
                <w:rFonts w:ascii="Times New Roman" w:hAnsi="Times New Roman" w:cs="Times New Roman"/>
                <w:b/>
              </w:rPr>
            </w:pPr>
            <w:r w:rsidRPr="00D56CBB">
              <w:rPr>
                <w:rFonts w:ascii="Times New Roman" w:hAnsi="Times New Roman"/>
                <w:b/>
              </w:rPr>
              <w:t>Odniesienia prawne</w:t>
            </w:r>
            <w:r w:rsidR="00D56CBB" w:rsidRPr="00D56CBB">
              <w:rPr>
                <w:rFonts w:ascii="Times New Roman" w:hAnsi="Times New Roman"/>
                <w:b/>
              </w:rPr>
              <w:t xml:space="preserve"> i</w:t>
            </w:r>
            <w:r w:rsidR="00D56CBB">
              <w:rPr>
                <w:rFonts w:ascii="Times New Roman" w:hAnsi="Times New Roman"/>
                <w:b/>
              </w:rPr>
              <w:t> </w:t>
            </w:r>
            <w:r w:rsidR="00D56CBB" w:rsidRPr="00D56CBB">
              <w:rPr>
                <w:rFonts w:ascii="Times New Roman" w:hAnsi="Times New Roman"/>
                <w:b/>
              </w:rPr>
              <w:t>ins</w:t>
            </w:r>
            <w:r w:rsidRPr="00D56CBB">
              <w:rPr>
                <w:rFonts w:ascii="Times New Roman" w:hAnsi="Times New Roman"/>
                <w:b/>
              </w:rPr>
              <w:t>trukcje</w:t>
            </w:r>
          </w:p>
        </w:tc>
      </w:tr>
      <w:tr w:rsidR="00F65FA6" w:rsidRPr="00D56CBB" w14:paraId="7804A6AA" w14:textId="77777777" w:rsidTr="00E02007">
        <w:trPr>
          <w:trHeight w:val="1408"/>
        </w:trPr>
        <w:tc>
          <w:tcPr>
            <w:tcW w:w="1203" w:type="dxa"/>
          </w:tcPr>
          <w:p w14:paraId="7D96819F"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0010</w:t>
            </w:r>
          </w:p>
        </w:tc>
        <w:tc>
          <w:tcPr>
            <w:tcW w:w="7813" w:type="dxa"/>
            <w:vAlign w:val="bottom"/>
          </w:tcPr>
          <w:p w14:paraId="11F7B8E9" w14:textId="77777777"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Kod przeklasyfikowania</w:t>
            </w:r>
          </w:p>
          <w:p w14:paraId="677D77C4"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Wewnętrzny (alfanumeryczny) kod stosowany przez jednostkę sprawozdawczą do identyfikacji przeklasyfikowanego instrumentu lub do identyfikacji przeklasyfikowania, stosownie do przypadku.</w:t>
            </w:r>
          </w:p>
          <w:p w14:paraId="53689216" w14:textId="256D6F1D"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Każde przeklasyfikowanie zostaje powiązane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inn</w:t>
            </w:r>
            <w:r w:rsidRPr="00D56CBB">
              <w:rPr>
                <w:rFonts w:ascii="Times New Roman" w:hAnsi="Times New Roman"/>
              </w:rPr>
              <w:t>ym kodem przeklasyfikowania. Kod przeklasyfikowania przypisany do jednego</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teg</w:t>
            </w:r>
            <w:r w:rsidRPr="00D56CBB">
              <w:rPr>
                <w:rFonts w:ascii="Times New Roman" w:hAnsi="Times New Roman"/>
              </w:rPr>
              <w:t>o samego przeklasyfikowania jest niepowtarzalny</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sto</w:t>
            </w:r>
            <w:r w:rsidRPr="00D56CBB">
              <w:rPr>
                <w:rFonts w:ascii="Times New Roman" w:hAnsi="Times New Roman"/>
              </w:rPr>
              <w:t>sowany spójnie na przestrzeni czasu i we wszystkich zgłoszeniach.</w:t>
            </w:r>
          </w:p>
          <w:p w14:paraId="6DB947CE" w14:textId="39784070"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rPr>
              <w:t>Stanowi on identyfikator wiersza</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jes</w:t>
            </w:r>
            <w:r w:rsidRPr="00D56CBB">
              <w:rPr>
                <w:rFonts w:ascii="Times New Roman" w:hAnsi="Times New Roman"/>
              </w:rPr>
              <w:t>t niepowtarzalny dla każdego wiersza</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sza</w:t>
            </w:r>
            <w:r w:rsidRPr="00D56CBB">
              <w:rPr>
                <w:rFonts w:ascii="Times New Roman" w:hAnsi="Times New Roman"/>
              </w:rPr>
              <w:t>blonie.</w:t>
            </w:r>
          </w:p>
        </w:tc>
      </w:tr>
      <w:tr w:rsidR="00F65FA6" w:rsidRPr="00D56CBB" w14:paraId="59ECF46A" w14:textId="77777777" w:rsidTr="00E02007">
        <w:tc>
          <w:tcPr>
            <w:tcW w:w="1203" w:type="dxa"/>
          </w:tcPr>
          <w:p w14:paraId="657AB946"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0020</w:t>
            </w:r>
          </w:p>
        </w:tc>
        <w:tc>
          <w:tcPr>
            <w:tcW w:w="7813" w:type="dxa"/>
            <w:vAlign w:val="bottom"/>
          </w:tcPr>
          <w:p w14:paraId="30229377" w14:textId="77777777"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Rodzaj instrumentu</w:t>
            </w:r>
          </w:p>
          <w:p w14:paraId="397FF853" w14:textId="6807F396"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lastRenderedPageBreak/>
              <w:t>Krótki opis instrumentu, który został przeklasyfikowany, umożliwiający zrozumienie charakteru</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głó</w:t>
            </w:r>
            <w:r w:rsidRPr="00D56CBB">
              <w:rPr>
                <w:rFonts w:ascii="Times New Roman" w:hAnsi="Times New Roman"/>
              </w:rPr>
              <w:t xml:space="preserve">wnych cech instrumentu, który został przeklasyfikowany. </w:t>
            </w:r>
          </w:p>
          <w:p w14:paraId="7D66558D" w14:textId="1CF5C8EB"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rPr>
              <w:t>Jeżeli instrument, który został przeklasyfikowany, posiada międzynarodowy kod identyfikujący papier wartościowy („ISIN”), kod ten uwzględnia się</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opi</w:t>
            </w:r>
            <w:r w:rsidRPr="00D56CBB">
              <w:rPr>
                <w:rFonts w:ascii="Times New Roman" w:hAnsi="Times New Roman"/>
              </w:rPr>
              <w:t>sie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uzu</w:t>
            </w:r>
            <w:r w:rsidRPr="00D56CBB">
              <w:rPr>
                <w:rFonts w:ascii="Times New Roman" w:hAnsi="Times New Roman"/>
              </w:rPr>
              <w:t xml:space="preserve">pełnieniu głównych cech instrumentu. </w:t>
            </w:r>
          </w:p>
        </w:tc>
      </w:tr>
      <w:tr w:rsidR="00F65FA6" w:rsidRPr="00D56CBB" w14:paraId="4307D827" w14:textId="77777777" w:rsidTr="00E02007">
        <w:tc>
          <w:tcPr>
            <w:tcW w:w="1203" w:type="dxa"/>
          </w:tcPr>
          <w:p w14:paraId="72695973"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lastRenderedPageBreak/>
              <w:t>0030</w:t>
            </w:r>
          </w:p>
        </w:tc>
        <w:tc>
          <w:tcPr>
            <w:tcW w:w="7813" w:type="dxa"/>
            <w:vAlign w:val="bottom"/>
          </w:tcPr>
          <w:p w14:paraId="4E9993E7" w14:textId="6001E5F5"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Portfel,</w:t>
            </w:r>
            <w:r w:rsidR="00D56CBB" w:rsidRPr="00D56CBB">
              <w:rPr>
                <w:rFonts w:ascii="Times New Roman" w:hAnsi="Times New Roman"/>
                <w:b/>
                <w:u w:val="single"/>
              </w:rPr>
              <w:t xml:space="preserve"> z</w:t>
            </w:r>
            <w:r w:rsidR="00D56CBB">
              <w:rPr>
                <w:rFonts w:ascii="Times New Roman" w:hAnsi="Times New Roman"/>
                <w:b/>
                <w:u w:val="single"/>
              </w:rPr>
              <w:t> </w:t>
            </w:r>
            <w:r w:rsidR="00D56CBB" w:rsidRPr="00D56CBB">
              <w:rPr>
                <w:rFonts w:ascii="Times New Roman" w:hAnsi="Times New Roman"/>
                <w:b/>
                <w:u w:val="single"/>
              </w:rPr>
              <w:t>któ</w:t>
            </w:r>
            <w:r w:rsidRPr="00D56CBB">
              <w:rPr>
                <w:rFonts w:ascii="Times New Roman" w:hAnsi="Times New Roman"/>
                <w:b/>
                <w:u w:val="single"/>
              </w:rPr>
              <w:t>rego instrument przeklasyfikowano</w:t>
            </w:r>
          </w:p>
          <w:p w14:paraId="74CBD9F5" w14:textId="2253B2A2"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Wskazuje się jedną</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nas</w:t>
            </w:r>
            <w:r w:rsidRPr="00D56CBB">
              <w:rPr>
                <w:rFonts w:ascii="Times New Roman" w:hAnsi="Times New Roman"/>
              </w:rPr>
              <w:t>tępujących dwóch opcji:</w:t>
            </w:r>
          </w:p>
          <w:p w14:paraId="4B75926D" w14:textId="66568A87" w:rsidR="00F65FA6" w:rsidRPr="00D56CBB" w:rsidRDefault="00F65FA6" w:rsidP="00F65FA6">
            <w:pPr>
              <w:pStyle w:val="BodyText"/>
              <w:numPr>
                <w:ilvl w:val="0"/>
                <w:numId w:val="60"/>
              </w:numPr>
              <w:spacing w:before="120" w:after="120" w:line="240" w:lineRule="auto"/>
              <w:rPr>
                <w:rFonts w:ascii="Times New Roman" w:hAnsi="Times New Roman" w:cs="Times New Roman"/>
              </w:rPr>
            </w:pPr>
            <w:r w:rsidRPr="00D56CBB">
              <w:rPr>
                <w:rFonts w:ascii="Times New Roman" w:hAnsi="Times New Roman"/>
              </w:rPr>
              <w:t>Portfel handlowy</w:t>
            </w:r>
            <w:r w:rsidRPr="00D56CBB">
              <w:t xml:space="preserve"> </w:t>
            </w:r>
            <w:r w:rsidRPr="00D56CBB">
              <w:br/>
            </w:r>
            <w:r w:rsidRPr="00D56CBB">
              <w:rPr>
                <w:rFonts w:ascii="Times New Roman" w:hAnsi="Times New Roman"/>
              </w:rPr>
              <w:t>Art. 4 ust.</w:t>
            </w:r>
            <w:r w:rsidR="00D56CBB" w:rsidRPr="00D56CBB">
              <w:rPr>
                <w:rFonts w:ascii="Times New Roman" w:hAnsi="Times New Roman"/>
              </w:rPr>
              <w:t> </w:t>
            </w:r>
            <w:r w:rsidRPr="00D56CBB">
              <w:rPr>
                <w:rFonts w:ascii="Times New Roman" w:hAnsi="Times New Roman"/>
              </w:rPr>
              <w:t>1 pkt</w:t>
            </w:r>
            <w:r w:rsidR="00D56CBB" w:rsidRPr="00D56CBB">
              <w:rPr>
                <w:rFonts w:ascii="Times New Roman" w:hAnsi="Times New Roman"/>
              </w:rPr>
              <w:t> </w:t>
            </w:r>
            <w:r w:rsidRPr="00D56CBB">
              <w:rPr>
                <w:rFonts w:ascii="Times New Roman" w:hAnsi="Times New Roman"/>
              </w:rPr>
              <w:t>86 rozporządzenia (UE) nr</w:t>
            </w:r>
            <w:r w:rsidR="00D56CBB" w:rsidRPr="00D56CBB">
              <w:rPr>
                <w:rFonts w:ascii="Times New Roman" w:hAnsi="Times New Roman"/>
              </w:rPr>
              <w:t> </w:t>
            </w:r>
            <w:r w:rsidRPr="00D56CBB">
              <w:rPr>
                <w:rFonts w:ascii="Times New Roman" w:hAnsi="Times New Roman"/>
              </w:rPr>
              <w:t>575/2013.</w:t>
            </w:r>
          </w:p>
          <w:p w14:paraId="787F3457" w14:textId="1ED8F6CF" w:rsidR="00F65FA6" w:rsidRPr="00D56CBB" w:rsidRDefault="00F65FA6" w:rsidP="00F65FA6">
            <w:pPr>
              <w:pStyle w:val="BodyText"/>
              <w:numPr>
                <w:ilvl w:val="0"/>
                <w:numId w:val="60"/>
              </w:numPr>
              <w:spacing w:before="120" w:after="120" w:line="240" w:lineRule="auto"/>
              <w:rPr>
                <w:rFonts w:ascii="Times New Roman" w:hAnsi="Times New Roman" w:cs="Times New Roman"/>
                <w:b/>
                <w:u w:val="single"/>
              </w:rPr>
            </w:pPr>
            <w:r w:rsidRPr="00D56CBB">
              <w:rPr>
                <w:rFonts w:ascii="Times New Roman" w:hAnsi="Times New Roman"/>
              </w:rPr>
              <w:t>Portfel bankowy</w:t>
            </w:r>
            <w:r w:rsidRPr="00D56CBB">
              <w:t xml:space="preserve"> </w:t>
            </w:r>
            <w:r w:rsidRPr="00D56CBB">
              <w:br/>
            </w:r>
            <w:r w:rsidRPr="00D56CBB">
              <w:rPr>
                <w:rFonts w:ascii="Times New Roman" w:hAnsi="Times New Roman"/>
              </w:rPr>
              <w:t>Obejmuje wszystkie pozycje, które nie zostały uwzględnione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por</w:t>
            </w:r>
            <w:r w:rsidRPr="00D56CBB">
              <w:rPr>
                <w:rFonts w:ascii="Times New Roman" w:hAnsi="Times New Roman"/>
              </w:rPr>
              <w:t>tfelu handlowym.</w:t>
            </w:r>
          </w:p>
        </w:tc>
      </w:tr>
      <w:tr w:rsidR="00F65FA6" w:rsidRPr="00D56CBB" w14:paraId="47BC0AA3" w14:textId="77777777" w:rsidTr="00E02007">
        <w:tc>
          <w:tcPr>
            <w:tcW w:w="1203" w:type="dxa"/>
          </w:tcPr>
          <w:p w14:paraId="1EFC3566"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0040</w:t>
            </w:r>
          </w:p>
        </w:tc>
        <w:tc>
          <w:tcPr>
            <w:tcW w:w="7813" w:type="dxa"/>
            <w:vAlign w:val="bottom"/>
          </w:tcPr>
          <w:p w14:paraId="4C994CBE" w14:textId="77777777"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Portfel, do którego instrument przeklasyfikowano</w:t>
            </w:r>
          </w:p>
          <w:p w14:paraId="3021E1D4" w14:textId="0FB61F32"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Wskazuje się jedną</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nas</w:t>
            </w:r>
            <w:r w:rsidRPr="00D56CBB">
              <w:rPr>
                <w:rFonts w:ascii="Times New Roman" w:hAnsi="Times New Roman"/>
              </w:rPr>
              <w:t>tępujących dwóch opcji:</w:t>
            </w:r>
          </w:p>
          <w:p w14:paraId="1EE13C76" w14:textId="163B0685" w:rsidR="00F65FA6" w:rsidRPr="00D56CBB" w:rsidRDefault="00F65FA6" w:rsidP="00F65FA6">
            <w:pPr>
              <w:pStyle w:val="BodyText"/>
              <w:numPr>
                <w:ilvl w:val="0"/>
                <w:numId w:val="60"/>
              </w:numPr>
              <w:spacing w:before="120" w:after="120" w:line="240" w:lineRule="auto"/>
              <w:rPr>
                <w:rFonts w:ascii="Times New Roman" w:hAnsi="Times New Roman" w:cs="Times New Roman"/>
              </w:rPr>
            </w:pPr>
            <w:r w:rsidRPr="00D56CBB">
              <w:rPr>
                <w:rFonts w:ascii="Times New Roman" w:hAnsi="Times New Roman"/>
              </w:rPr>
              <w:t>Portfel handlowy</w:t>
            </w:r>
            <w:r w:rsidRPr="00D56CBB">
              <w:t xml:space="preserve"> </w:t>
            </w:r>
            <w:r w:rsidRPr="00D56CBB">
              <w:br/>
            </w:r>
            <w:r w:rsidRPr="00D56CBB">
              <w:rPr>
                <w:rFonts w:ascii="Times New Roman" w:hAnsi="Times New Roman"/>
              </w:rPr>
              <w:t>Art. 4 ust.</w:t>
            </w:r>
            <w:r w:rsidR="00D56CBB" w:rsidRPr="00D56CBB">
              <w:rPr>
                <w:rFonts w:ascii="Times New Roman" w:hAnsi="Times New Roman"/>
              </w:rPr>
              <w:t> </w:t>
            </w:r>
            <w:r w:rsidRPr="00D56CBB">
              <w:rPr>
                <w:rFonts w:ascii="Times New Roman" w:hAnsi="Times New Roman"/>
              </w:rPr>
              <w:t>1 pkt</w:t>
            </w:r>
            <w:r w:rsidR="00D56CBB" w:rsidRPr="00D56CBB">
              <w:rPr>
                <w:rFonts w:ascii="Times New Roman" w:hAnsi="Times New Roman"/>
              </w:rPr>
              <w:t> </w:t>
            </w:r>
            <w:r w:rsidRPr="00D56CBB">
              <w:rPr>
                <w:rFonts w:ascii="Times New Roman" w:hAnsi="Times New Roman"/>
              </w:rPr>
              <w:t>86 rozporządzenia (UE) nr</w:t>
            </w:r>
            <w:r w:rsidR="00D56CBB" w:rsidRPr="00D56CBB">
              <w:rPr>
                <w:rFonts w:ascii="Times New Roman" w:hAnsi="Times New Roman"/>
              </w:rPr>
              <w:t> </w:t>
            </w:r>
            <w:r w:rsidRPr="00D56CBB">
              <w:rPr>
                <w:rFonts w:ascii="Times New Roman" w:hAnsi="Times New Roman"/>
              </w:rPr>
              <w:t>575/2013.</w:t>
            </w:r>
          </w:p>
          <w:p w14:paraId="41D9486B" w14:textId="5E2EC2CF" w:rsidR="00F65FA6" w:rsidRPr="00D56CBB" w:rsidRDefault="00F65FA6" w:rsidP="00F65FA6">
            <w:pPr>
              <w:pStyle w:val="BodyText"/>
              <w:numPr>
                <w:ilvl w:val="0"/>
                <w:numId w:val="60"/>
              </w:numPr>
              <w:spacing w:before="120" w:after="120" w:line="240" w:lineRule="auto"/>
              <w:rPr>
                <w:rFonts w:ascii="Times New Roman" w:hAnsi="Times New Roman" w:cs="Times New Roman"/>
                <w:b/>
                <w:u w:val="single"/>
              </w:rPr>
            </w:pPr>
            <w:r w:rsidRPr="00D56CBB">
              <w:rPr>
                <w:rFonts w:ascii="Times New Roman" w:hAnsi="Times New Roman"/>
              </w:rPr>
              <w:t>Portfel bankowy</w:t>
            </w:r>
            <w:r w:rsidRPr="00D56CBB">
              <w:t xml:space="preserve"> </w:t>
            </w:r>
            <w:r w:rsidRPr="00D56CBB">
              <w:br/>
            </w:r>
            <w:r w:rsidRPr="00D56CBB">
              <w:rPr>
                <w:rFonts w:ascii="Times New Roman" w:hAnsi="Times New Roman"/>
              </w:rPr>
              <w:t>Obejmuje wszystkie pozycje, które nie zostały uwzględnione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por</w:t>
            </w:r>
            <w:r w:rsidRPr="00D56CBB">
              <w:rPr>
                <w:rFonts w:ascii="Times New Roman" w:hAnsi="Times New Roman"/>
              </w:rPr>
              <w:t>tfelu handlowym.</w:t>
            </w:r>
          </w:p>
        </w:tc>
      </w:tr>
      <w:tr w:rsidR="00F65FA6" w:rsidRPr="00D56CBB" w14:paraId="14476FEB" w14:textId="77777777" w:rsidTr="00E02007">
        <w:tc>
          <w:tcPr>
            <w:tcW w:w="1203" w:type="dxa"/>
          </w:tcPr>
          <w:p w14:paraId="13F0D9EC"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0050</w:t>
            </w:r>
          </w:p>
        </w:tc>
        <w:tc>
          <w:tcPr>
            <w:tcW w:w="7813" w:type="dxa"/>
            <w:vAlign w:val="bottom"/>
          </w:tcPr>
          <w:p w14:paraId="19E4E9E2" w14:textId="77777777"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Powód przeklasyfikowania</w:t>
            </w:r>
          </w:p>
          <w:p w14:paraId="7DED50F3" w14:textId="27A3EC26"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rPr>
              <w:t>Należy wyjaśnić wyjątkowe okoliczności prowadzące do przeklasyfikowania pozycji między portfelami regulacyjnymi. Wyjaśnienie podane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tym</w:t>
            </w:r>
            <w:r w:rsidRPr="00D56CBB">
              <w:rPr>
                <w:rFonts w:ascii="Times New Roman" w:hAnsi="Times New Roman"/>
              </w:rPr>
              <w:t xml:space="preserve"> polu musi być wystarczająco szczegółowe dla uzasadnienia, dlaczego przeklasyfikowanie uznaje się za wyjątkową okoliczność.</w:t>
            </w:r>
          </w:p>
        </w:tc>
      </w:tr>
      <w:tr w:rsidR="00F65FA6" w:rsidRPr="00D56CBB" w14:paraId="490381CE" w14:textId="77777777" w:rsidTr="00E02007">
        <w:tc>
          <w:tcPr>
            <w:tcW w:w="1203" w:type="dxa"/>
          </w:tcPr>
          <w:p w14:paraId="139D44BE"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0060</w:t>
            </w:r>
          </w:p>
        </w:tc>
        <w:tc>
          <w:tcPr>
            <w:tcW w:w="7813" w:type="dxa"/>
            <w:vAlign w:val="bottom"/>
          </w:tcPr>
          <w:p w14:paraId="1362F39C" w14:textId="77777777"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Uprzednie zezwolenie (status)</w:t>
            </w:r>
          </w:p>
          <w:p w14:paraId="56285F31" w14:textId="7BC0AC4B"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Art. 104a ust.</w:t>
            </w:r>
            <w:r w:rsidR="00D56CBB" w:rsidRPr="00D56CBB">
              <w:rPr>
                <w:rFonts w:ascii="Times New Roman" w:hAnsi="Times New Roman"/>
              </w:rPr>
              <w:t> </w:t>
            </w:r>
            <w:r w:rsidRPr="00D56CBB">
              <w:rPr>
                <w:rFonts w:ascii="Times New Roman" w:hAnsi="Times New Roman"/>
              </w:rPr>
              <w:t>2</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6</w:t>
            </w:r>
            <w:r w:rsidRPr="00D56CBB">
              <w:rPr>
                <w:rFonts w:ascii="Times New Roman" w:hAnsi="Times New Roman"/>
              </w:rPr>
              <w:t xml:space="preserve"> rozporządzenia (UE) nr</w:t>
            </w:r>
            <w:r w:rsidR="00D56CBB" w:rsidRPr="00D56CBB">
              <w:rPr>
                <w:rFonts w:ascii="Times New Roman" w:hAnsi="Times New Roman"/>
              </w:rPr>
              <w:t> </w:t>
            </w:r>
            <w:r w:rsidRPr="00D56CBB">
              <w:rPr>
                <w:rFonts w:ascii="Times New Roman" w:hAnsi="Times New Roman"/>
              </w:rPr>
              <w:t>575/2013.</w:t>
            </w:r>
          </w:p>
          <w:p w14:paraId="65D8CB7E" w14:textId="4BAC4219"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rPr>
              <w:t>Jeżeli nie jest wymagane uprzednie zezwolenie właściwego organu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104a ust.</w:t>
            </w:r>
            <w:r w:rsidR="00D56CBB" w:rsidRPr="00D56CBB">
              <w:rPr>
                <w:rFonts w:ascii="Times New Roman" w:hAnsi="Times New Roman"/>
              </w:rPr>
              <w:t> </w:t>
            </w:r>
            <w:r w:rsidRPr="00D56CBB">
              <w:rPr>
                <w:rFonts w:ascii="Times New Roman" w:hAnsi="Times New Roman"/>
              </w:rPr>
              <w:t>6 rozporządzenia (UE) nr</w:t>
            </w:r>
            <w:r w:rsidR="00D56CBB" w:rsidRPr="00D56CBB">
              <w:rPr>
                <w:rFonts w:ascii="Times New Roman" w:hAnsi="Times New Roman"/>
              </w:rPr>
              <w:t> </w:t>
            </w:r>
            <w:r w:rsidRPr="00D56CBB">
              <w:rPr>
                <w:rFonts w:ascii="Times New Roman" w:hAnsi="Times New Roman"/>
              </w:rPr>
              <w:t>575/2013, instytucje podają</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tej</w:t>
            </w:r>
            <w:r w:rsidRPr="00D56CBB">
              <w:rPr>
                <w:rFonts w:ascii="Times New Roman" w:hAnsi="Times New Roman"/>
              </w:rPr>
              <w:t xml:space="preserve"> kolumnie „Uprzednie zezwolenie nie jest wymagane”. Jeżeli uprzednie zezwolenie jest wymagane</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zos</w:t>
            </w:r>
            <w:r w:rsidRPr="00D56CBB">
              <w:rPr>
                <w:rFonts w:ascii="Times New Roman" w:hAnsi="Times New Roman"/>
              </w:rPr>
              <w:t>tało ono uzyskane, należy podać „Uzyskano uprzednie zezwolenie”.</w:t>
            </w:r>
          </w:p>
        </w:tc>
      </w:tr>
      <w:tr w:rsidR="00F65FA6" w:rsidRPr="00D56CBB" w14:paraId="78F1574B" w14:textId="77777777" w:rsidTr="00E02007">
        <w:tc>
          <w:tcPr>
            <w:tcW w:w="1203" w:type="dxa"/>
          </w:tcPr>
          <w:p w14:paraId="26979E4B"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0070</w:t>
            </w:r>
          </w:p>
        </w:tc>
        <w:tc>
          <w:tcPr>
            <w:tcW w:w="7813" w:type="dxa"/>
            <w:vAlign w:val="bottom"/>
          </w:tcPr>
          <w:p w14:paraId="21A070A6" w14:textId="77777777"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Data przeklasyfikowania</w:t>
            </w:r>
          </w:p>
          <w:p w14:paraId="230E5C22" w14:textId="1657C120"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rPr>
              <w:t>Art. 104a ust.</w:t>
            </w:r>
            <w:r w:rsidR="00D56CBB" w:rsidRPr="00D56CBB">
              <w:rPr>
                <w:rFonts w:ascii="Times New Roman" w:hAnsi="Times New Roman"/>
              </w:rPr>
              <w:t> </w:t>
            </w:r>
            <w:r w:rsidRPr="00D56CBB">
              <w:rPr>
                <w:rFonts w:ascii="Times New Roman" w:hAnsi="Times New Roman"/>
              </w:rPr>
              <w:t>2</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104a ust.</w:t>
            </w:r>
            <w:r w:rsidR="00D56CBB" w:rsidRPr="00D56CBB">
              <w:rPr>
                <w:rFonts w:ascii="Times New Roman" w:hAnsi="Times New Roman"/>
              </w:rPr>
              <w:t> </w:t>
            </w:r>
            <w:r w:rsidRPr="00D56CBB">
              <w:rPr>
                <w:rFonts w:ascii="Times New Roman" w:hAnsi="Times New Roman"/>
              </w:rPr>
              <w:t>6 zdanie pierwsze rozporządzenia (UE) nr</w:t>
            </w:r>
            <w:r w:rsidR="00D56CBB" w:rsidRPr="00D56CBB">
              <w:rPr>
                <w:rFonts w:ascii="Times New Roman" w:hAnsi="Times New Roman"/>
              </w:rPr>
              <w:t> </w:t>
            </w:r>
            <w:r w:rsidRPr="00D56CBB">
              <w:rPr>
                <w:rFonts w:ascii="Times New Roman" w:hAnsi="Times New Roman"/>
              </w:rPr>
              <w:t>575/2013.</w:t>
            </w:r>
          </w:p>
        </w:tc>
      </w:tr>
      <w:tr w:rsidR="00F65FA6" w:rsidRPr="00D56CBB" w14:paraId="0E22B962" w14:textId="77777777" w:rsidTr="00E02007">
        <w:tc>
          <w:tcPr>
            <w:tcW w:w="1203" w:type="dxa"/>
          </w:tcPr>
          <w:p w14:paraId="5DAEDB5E"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0080</w:t>
            </w:r>
          </w:p>
        </w:tc>
        <w:tc>
          <w:tcPr>
            <w:tcW w:w="7813" w:type="dxa"/>
            <w:vAlign w:val="bottom"/>
          </w:tcPr>
          <w:p w14:paraId="1822A08F" w14:textId="22133524"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Zwiększenie (+) lub (-) zmniejszenie netto wymogów</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zak</w:t>
            </w:r>
            <w:r w:rsidRPr="00D56CBB">
              <w:rPr>
                <w:rFonts w:ascii="Times New Roman" w:hAnsi="Times New Roman"/>
                <w:b/>
                <w:u w:val="single"/>
              </w:rPr>
              <w:t>resie funduszy własnych</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wyn</w:t>
            </w:r>
            <w:r w:rsidRPr="00D56CBB">
              <w:rPr>
                <w:rFonts w:ascii="Times New Roman" w:hAnsi="Times New Roman"/>
                <w:b/>
                <w:u w:val="single"/>
              </w:rPr>
              <w:t>iku przeklasyfikowania</w:t>
            </w:r>
          </w:p>
          <w:p w14:paraId="037647A6" w14:textId="47A659C1"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lastRenderedPageBreak/>
              <w:t>Zmiana netto kwoty wymogów</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zak</w:t>
            </w:r>
            <w:r w:rsidRPr="00D56CBB">
              <w:rPr>
                <w:rFonts w:ascii="Times New Roman" w:hAnsi="Times New Roman"/>
              </w:rPr>
              <w:t>resie funduszy własnych wynikająca</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prz</w:t>
            </w:r>
            <w:r w:rsidRPr="00D56CBB">
              <w:rPr>
                <w:rFonts w:ascii="Times New Roman" w:hAnsi="Times New Roman"/>
              </w:rPr>
              <w:t>eklasyfikowania pozycji, obliczona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104a ust.</w:t>
            </w:r>
            <w:r w:rsidR="00D56CBB" w:rsidRPr="00D56CBB">
              <w:rPr>
                <w:rFonts w:ascii="Times New Roman" w:hAnsi="Times New Roman"/>
              </w:rPr>
              <w:t> </w:t>
            </w:r>
            <w:r w:rsidRPr="00D56CBB">
              <w:rPr>
                <w:rFonts w:ascii="Times New Roman" w:hAnsi="Times New Roman"/>
              </w:rPr>
              <w:t>4 rozporządzenia (UE) nr</w:t>
            </w:r>
            <w:r w:rsidR="00D56CBB" w:rsidRPr="00D56CBB">
              <w:rPr>
                <w:rFonts w:ascii="Times New Roman" w:hAnsi="Times New Roman"/>
              </w:rPr>
              <w:t> </w:t>
            </w:r>
            <w:r w:rsidRPr="00D56CBB">
              <w:rPr>
                <w:rFonts w:ascii="Times New Roman" w:hAnsi="Times New Roman"/>
              </w:rPr>
              <w:t>575/2013.</w:t>
            </w:r>
          </w:p>
          <w:p w14:paraId="6BA75988" w14:textId="69F9709F"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rPr>
              <w:t>Zwiększenie wymogów</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zak</w:t>
            </w:r>
            <w:r w:rsidRPr="00D56CBB">
              <w:rPr>
                <w:rFonts w:ascii="Times New Roman" w:hAnsi="Times New Roman"/>
              </w:rPr>
              <w:t>resie funduszy własnych wynikające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prz</w:t>
            </w:r>
            <w:r w:rsidRPr="00D56CBB">
              <w:rPr>
                <w:rFonts w:ascii="Times New Roman" w:hAnsi="Times New Roman"/>
              </w:rPr>
              <w:t>eklasyfikowania zgłasza się ze znakiem dodatnim (+), natomiast zmniejszenie wymogów</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zak</w:t>
            </w:r>
            <w:r w:rsidRPr="00D56CBB">
              <w:rPr>
                <w:rFonts w:ascii="Times New Roman" w:hAnsi="Times New Roman"/>
              </w:rPr>
              <w:t>resie funduszy własnych zgłasza się ze znakiem ujemnym (–).</w:t>
            </w:r>
          </w:p>
        </w:tc>
      </w:tr>
      <w:tr w:rsidR="00F65FA6" w:rsidRPr="00D56CBB" w14:paraId="22693EF8" w14:textId="77777777" w:rsidTr="00E02007">
        <w:tc>
          <w:tcPr>
            <w:tcW w:w="1203" w:type="dxa"/>
          </w:tcPr>
          <w:p w14:paraId="652EAB8F"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lastRenderedPageBreak/>
              <w:t>0090</w:t>
            </w:r>
          </w:p>
        </w:tc>
        <w:tc>
          <w:tcPr>
            <w:tcW w:w="7813" w:type="dxa"/>
            <w:vAlign w:val="bottom"/>
          </w:tcPr>
          <w:p w14:paraId="4A786750" w14:textId="0275A470"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Narzut na wymogi</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zak</w:t>
            </w:r>
            <w:r w:rsidRPr="00D56CBB">
              <w:rPr>
                <w:rFonts w:ascii="Times New Roman" w:hAnsi="Times New Roman"/>
                <w:b/>
                <w:u w:val="single"/>
              </w:rPr>
              <w:t>resie funduszy własnych</w:t>
            </w:r>
            <w:r w:rsidR="00D56CBB" w:rsidRPr="00D56CBB">
              <w:rPr>
                <w:rFonts w:ascii="Times New Roman" w:hAnsi="Times New Roman"/>
                <w:b/>
                <w:u w:val="single"/>
              </w:rPr>
              <w:t xml:space="preserve"> z</w:t>
            </w:r>
            <w:r w:rsidR="00D56CBB">
              <w:rPr>
                <w:rFonts w:ascii="Times New Roman" w:hAnsi="Times New Roman"/>
                <w:b/>
                <w:u w:val="single"/>
              </w:rPr>
              <w:t> </w:t>
            </w:r>
            <w:r w:rsidR="00D56CBB" w:rsidRPr="00D56CBB">
              <w:rPr>
                <w:rFonts w:ascii="Times New Roman" w:hAnsi="Times New Roman"/>
                <w:b/>
                <w:u w:val="single"/>
              </w:rPr>
              <w:t>pow</w:t>
            </w:r>
            <w:r w:rsidRPr="00D56CBB">
              <w:rPr>
                <w:rFonts w:ascii="Times New Roman" w:hAnsi="Times New Roman"/>
                <w:b/>
                <w:u w:val="single"/>
              </w:rPr>
              <w:t xml:space="preserve">odu przeklasyfikowania </w:t>
            </w:r>
          </w:p>
          <w:p w14:paraId="08204427" w14:textId="75C99CAF"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Jeżeli zmiana netto kwoty wymogów</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zak</w:t>
            </w:r>
            <w:r w:rsidRPr="00D56CBB">
              <w:rPr>
                <w:rFonts w:ascii="Times New Roman" w:hAnsi="Times New Roman"/>
              </w:rPr>
              <w:t>resie funduszy własnych wynikająca</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prz</w:t>
            </w:r>
            <w:r w:rsidRPr="00D56CBB">
              <w:rPr>
                <w:rFonts w:ascii="Times New Roman" w:hAnsi="Times New Roman"/>
              </w:rPr>
              <w:t>eklasyfikowania pozycji, obliczona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104a ust.</w:t>
            </w:r>
            <w:r w:rsidR="00D56CBB" w:rsidRPr="00D56CBB">
              <w:rPr>
                <w:rFonts w:ascii="Times New Roman" w:hAnsi="Times New Roman"/>
              </w:rPr>
              <w:t> </w:t>
            </w:r>
            <w:r w:rsidRPr="00D56CBB">
              <w:rPr>
                <w:rFonts w:ascii="Times New Roman" w:hAnsi="Times New Roman"/>
              </w:rPr>
              <w:t>4 rozporządzenia (UE) nr</w:t>
            </w:r>
            <w:r w:rsidR="00D56CBB" w:rsidRPr="00D56CBB">
              <w:rPr>
                <w:rFonts w:ascii="Times New Roman" w:hAnsi="Times New Roman"/>
              </w:rPr>
              <w:t> </w:t>
            </w:r>
            <w:r w:rsidRPr="00D56CBB">
              <w:rPr>
                <w:rFonts w:ascii="Times New Roman" w:hAnsi="Times New Roman"/>
              </w:rPr>
              <w:t>575/2013, prowadzi do zmniejszenia wymogów</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zak</w:t>
            </w:r>
            <w:r w:rsidRPr="00D56CBB">
              <w:rPr>
                <w:rFonts w:ascii="Times New Roman" w:hAnsi="Times New Roman"/>
              </w:rPr>
              <w:t>resie funduszy własnych instytucji,</w:t>
            </w:r>
            <w:r w:rsidR="00D56CBB" w:rsidRPr="00D56CBB">
              <w:rPr>
                <w:rFonts w:ascii="Times New Roman" w:hAnsi="Times New Roman"/>
              </w:rPr>
              <w:t xml:space="preserve"> a</w:t>
            </w:r>
            <w:r w:rsidR="00D56CBB">
              <w:rPr>
                <w:rFonts w:ascii="Times New Roman" w:hAnsi="Times New Roman"/>
              </w:rPr>
              <w:t> </w:t>
            </w:r>
            <w:r w:rsidR="00D56CBB" w:rsidRPr="00D56CBB">
              <w:rPr>
                <w:rFonts w:ascii="Times New Roman" w:hAnsi="Times New Roman"/>
              </w:rPr>
              <w:t>wła</w:t>
            </w:r>
            <w:r w:rsidRPr="00D56CBB">
              <w:rPr>
                <w:rFonts w:ascii="Times New Roman" w:hAnsi="Times New Roman"/>
              </w:rPr>
              <w:t>ściwy organ nie zezwolił na uznanie tego zmniejszenia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104a ust.</w:t>
            </w:r>
            <w:r w:rsidR="00D56CBB" w:rsidRPr="00D56CBB">
              <w:rPr>
                <w:rFonts w:ascii="Times New Roman" w:hAnsi="Times New Roman"/>
              </w:rPr>
              <w:t> </w:t>
            </w:r>
            <w:r w:rsidRPr="00D56CBB">
              <w:rPr>
                <w:rFonts w:ascii="Times New Roman" w:hAnsi="Times New Roman"/>
              </w:rPr>
              <w:t>3 lit.</w:t>
            </w:r>
            <w:r w:rsidR="00D56CBB" w:rsidRPr="00D56CBB">
              <w:rPr>
                <w:rFonts w:ascii="Times New Roman" w:hAnsi="Times New Roman"/>
              </w:rPr>
              <w:t> </w:t>
            </w:r>
            <w:r w:rsidRPr="00D56CBB">
              <w:rPr>
                <w:rFonts w:ascii="Times New Roman" w:hAnsi="Times New Roman"/>
              </w:rPr>
              <w:t>b) rozporządzenia (UE) nr</w:t>
            </w:r>
            <w:r w:rsidR="00D56CBB" w:rsidRPr="00D56CBB">
              <w:rPr>
                <w:rFonts w:ascii="Times New Roman" w:hAnsi="Times New Roman"/>
              </w:rPr>
              <w:t> </w:t>
            </w:r>
            <w:r w:rsidRPr="00D56CBB">
              <w:rPr>
                <w:rFonts w:ascii="Times New Roman" w:hAnsi="Times New Roman"/>
              </w:rPr>
              <w:t>575/2013, kwotę zmniejszenia zgłasza się ze znakiem dodatnim; kwota ta stanowi odpowiednio narzut na wymogi</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zak</w:t>
            </w:r>
            <w:r w:rsidRPr="00D56CBB">
              <w:rPr>
                <w:rFonts w:ascii="Times New Roman" w:hAnsi="Times New Roman"/>
              </w:rPr>
              <w:t>resie funduszy własnych dla danego przeklasyfikowania.</w:t>
            </w:r>
          </w:p>
          <w:p w14:paraId="58E348B5" w14:textId="59E3411B"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rPr>
              <w:t>Jeżeli właściwy organ zezwolił na uznanie tego zmniejszenia wymogów</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zak</w:t>
            </w:r>
            <w:r w:rsidRPr="00D56CBB">
              <w:rPr>
                <w:rFonts w:ascii="Times New Roman" w:hAnsi="Times New Roman"/>
              </w:rPr>
              <w:t>resie funduszy własnych zgodnie</w:t>
            </w:r>
            <w:r w:rsidR="00D56CBB" w:rsidRPr="00D56CBB">
              <w:rPr>
                <w:rFonts w:ascii="Times New Roman" w:hAnsi="Times New Roman"/>
              </w:rPr>
              <w:t xml:space="preserve"> z</w:t>
            </w:r>
            <w:r w:rsidR="00D56CBB">
              <w:rPr>
                <w:rFonts w:ascii="Times New Roman" w:hAnsi="Times New Roman"/>
              </w:rPr>
              <w:t> </w:t>
            </w:r>
            <w:r w:rsidR="00D56CBB" w:rsidRPr="00D56CBB">
              <w:rPr>
                <w:rFonts w:ascii="Times New Roman" w:hAnsi="Times New Roman"/>
              </w:rPr>
              <w:t>art</w:t>
            </w:r>
            <w:r w:rsidRPr="00D56CBB">
              <w:rPr>
                <w:rFonts w:ascii="Times New Roman" w:hAnsi="Times New Roman"/>
              </w:rPr>
              <w:t>.</w:t>
            </w:r>
            <w:r w:rsidR="00D56CBB" w:rsidRPr="00D56CBB">
              <w:rPr>
                <w:rFonts w:ascii="Times New Roman" w:hAnsi="Times New Roman"/>
              </w:rPr>
              <w:t> </w:t>
            </w:r>
            <w:r w:rsidRPr="00D56CBB">
              <w:rPr>
                <w:rFonts w:ascii="Times New Roman" w:hAnsi="Times New Roman"/>
              </w:rPr>
              <w:t>104a ust.</w:t>
            </w:r>
            <w:r w:rsidR="00D56CBB" w:rsidRPr="00D56CBB">
              <w:rPr>
                <w:rFonts w:ascii="Times New Roman" w:hAnsi="Times New Roman"/>
              </w:rPr>
              <w:t> </w:t>
            </w:r>
            <w:r w:rsidRPr="00D56CBB">
              <w:rPr>
                <w:rFonts w:ascii="Times New Roman" w:hAnsi="Times New Roman"/>
              </w:rPr>
              <w:t>3 lit.</w:t>
            </w:r>
            <w:r w:rsidR="00D56CBB" w:rsidRPr="00D56CBB">
              <w:rPr>
                <w:rFonts w:ascii="Times New Roman" w:hAnsi="Times New Roman"/>
              </w:rPr>
              <w:t> </w:t>
            </w:r>
            <w:r w:rsidRPr="00D56CBB">
              <w:rPr>
                <w:rFonts w:ascii="Times New Roman" w:hAnsi="Times New Roman"/>
              </w:rPr>
              <w:t>b) rozporządzenia (UE) nr</w:t>
            </w:r>
            <w:r w:rsidR="00D56CBB" w:rsidRPr="00D56CBB">
              <w:rPr>
                <w:rFonts w:ascii="Times New Roman" w:hAnsi="Times New Roman"/>
              </w:rPr>
              <w:t> </w:t>
            </w:r>
            <w:r w:rsidRPr="00D56CBB">
              <w:rPr>
                <w:rFonts w:ascii="Times New Roman" w:hAnsi="Times New Roman"/>
              </w:rPr>
              <w:t>575/2013, nie wypełnia się tej kolumny.</w:t>
            </w:r>
          </w:p>
        </w:tc>
      </w:tr>
      <w:tr w:rsidR="00F65FA6" w:rsidRPr="00D56CBB" w14:paraId="33A66CF2" w14:textId="77777777" w:rsidTr="00E02007">
        <w:tc>
          <w:tcPr>
            <w:tcW w:w="1203" w:type="dxa"/>
          </w:tcPr>
          <w:p w14:paraId="3AA16332"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0100</w:t>
            </w:r>
          </w:p>
        </w:tc>
        <w:tc>
          <w:tcPr>
            <w:tcW w:w="7813" w:type="dxa"/>
            <w:vAlign w:val="bottom"/>
          </w:tcPr>
          <w:p w14:paraId="5C674A5B" w14:textId="77777777"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Termin zapadalności lub przewidywane zaprzestanie ujmowania instrumentu</w:t>
            </w:r>
          </w:p>
          <w:p w14:paraId="019C730F"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 xml:space="preserve">Jeżeli nie przewiduje się zaprzestania ujmowania instrumentu, zgłasza się jego termin zapadalności. </w:t>
            </w:r>
          </w:p>
          <w:p w14:paraId="69F6AC70"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Jeżeli przewiduje się zaprzestanie ujmowania instrumentu przed upływem jego terminu zapadalności, zgłasza się datę tego przewidywanego zaprzestania ujmowania.</w:t>
            </w:r>
          </w:p>
          <w:p w14:paraId="3742220D" w14:textId="35435D66"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Jeżeli znany jest wyłącznie miesiąc</w:t>
            </w:r>
            <w:r w:rsidR="00D56CBB" w:rsidRPr="00D56CBB">
              <w:rPr>
                <w:rFonts w:ascii="Times New Roman" w:hAnsi="Times New Roman"/>
              </w:rPr>
              <w:t xml:space="preserve"> i</w:t>
            </w:r>
            <w:r w:rsidR="00D56CBB">
              <w:rPr>
                <w:rFonts w:ascii="Times New Roman" w:hAnsi="Times New Roman"/>
              </w:rPr>
              <w:t> </w:t>
            </w:r>
            <w:r w:rsidR="00D56CBB" w:rsidRPr="00D56CBB">
              <w:rPr>
                <w:rFonts w:ascii="Times New Roman" w:hAnsi="Times New Roman"/>
              </w:rPr>
              <w:t>rok</w:t>
            </w:r>
            <w:r w:rsidRPr="00D56CBB">
              <w:rPr>
                <w:rFonts w:ascii="Times New Roman" w:hAnsi="Times New Roman"/>
              </w:rPr>
              <w:t xml:space="preserve"> zapadalności lub przewidywanego zaprzestania ujmowania, termin zapadalności lub datę przewidywanego zaprzestania ujmowania instrumentu zgłasza się jako ostatni dzień tego miesiąca. Jeżeli znany jest wyłącznie rok przewidywanego zaprzestania ujmowania, termin zapadalności lub datę przewidywanego zaprzestania ujmowania zgłasza się jako 31 grudnia tego roku.</w:t>
            </w:r>
          </w:p>
          <w:p w14:paraId="7F211819" w14:textId="19834B26"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Jeżeli nie można ustalić terminu zapadalności lub dnia przewidywanego zaprzestania ujmowania instrumentu lub nie są one znane,</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kol</w:t>
            </w:r>
            <w:r w:rsidRPr="00D56CBB">
              <w:rPr>
                <w:rFonts w:ascii="Times New Roman" w:hAnsi="Times New Roman"/>
              </w:rPr>
              <w:t>umnie tej podaje się</w:t>
            </w:r>
            <w:r w:rsidR="00D56CBB" w:rsidRPr="00D56CBB">
              <w:rPr>
                <w:rFonts w:ascii="Times New Roman" w:hAnsi="Times New Roman"/>
              </w:rPr>
              <w:t> </w:t>
            </w:r>
            <w:r w:rsidRPr="00D56CBB">
              <w:rPr>
                <w:rFonts w:ascii="Times New Roman" w:hAnsi="Times New Roman"/>
              </w:rPr>
              <w:t>31 grudnia 9999</w:t>
            </w:r>
            <w:r w:rsidR="00D56CBB" w:rsidRPr="00D56CBB">
              <w:rPr>
                <w:rFonts w:ascii="Times New Roman" w:hAnsi="Times New Roman"/>
              </w:rPr>
              <w:t> </w:t>
            </w:r>
            <w:r w:rsidRPr="00D56CBB">
              <w:rPr>
                <w:rFonts w:ascii="Times New Roman" w:hAnsi="Times New Roman"/>
              </w:rPr>
              <w:t xml:space="preserve">r. </w:t>
            </w:r>
          </w:p>
        </w:tc>
      </w:tr>
      <w:tr w:rsidR="00F65FA6" w:rsidRPr="00D56CBB" w14:paraId="0A30C5DF" w14:textId="77777777" w:rsidTr="00E02007">
        <w:tc>
          <w:tcPr>
            <w:tcW w:w="1203" w:type="dxa"/>
          </w:tcPr>
          <w:p w14:paraId="12AE4F1E" w14:textId="77777777"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0110</w:t>
            </w:r>
          </w:p>
        </w:tc>
        <w:tc>
          <w:tcPr>
            <w:tcW w:w="7813" w:type="dxa"/>
            <w:vAlign w:val="bottom"/>
          </w:tcPr>
          <w:p w14:paraId="441DE526" w14:textId="3D12EABB"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b/>
                <w:u w:val="single"/>
              </w:rPr>
              <w:t>Data, od której właściwy organ zezwala na ujęcie obniżenia wymogów</w:t>
            </w:r>
            <w:r w:rsidR="00D56CBB" w:rsidRPr="00D56CBB">
              <w:rPr>
                <w:rFonts w:ascii="Times New Roman" w:hAnsi="Times New Roman"/>
                <w:b/>
                <w:u w:val="single"/>
              </w:rPr>
              <w:t xml:space="preserve"> w</w:t>
            </w:r>
            <w:r w:rsidR="00D56CBB">
              <w:rPr>
                <w:rFonts w:ascii="Times New Roman" w:hAnsi="Times New Roman"/>
                <w:b/>
                <w:u w:val="single"/>
              </w:rPr>
              <w:t> </w:t>
            </w:r>
            <w:r w:rsidR="00D56CBB" w:rsidRPr="00D56CBB">
              <w:rPr>
                <w:rFonts w:ascii="Times New Roman" w:hAnsi="Times New Roman"/>
                <w:b/>
                <w:u w:val="single"/>
              </w:rPr>
              <w:t>zak</w:t>
            </w:r>
            <w:r w:rsidRPr="00D56CBB">
              <w:rPr>
                <w:rFonts w:ascii="Times New Roman" w:hAnsi="Times New Roman"/>
                <w:b/>
                <w:u w:val="single"/>
              </w:rPr>
              <w:t>resie funduszy własnych</w:t>
            </w:r>
          </w:p>
          <w:p w14:paraId="49ECC5EF" w14:textId="0E80A6E9" w:rsidR="00F65FA6" w:rsidRPr="00D56CBB" w:rsidRDefault="00F65FA6" w:rsidP="00E02007">
            <w:pPr>
              <w:pStyle w:val="BodyText"/>
              <w:spacing w:before="120" w:after="120"/>
              <w:rPr>
                <w:rFonts w:ascii="Times New Roman" w:hAnsi="Times New Roman" w:cs="Times New Roman"/>
              </w:rPr>
            </w:pPr>
            <w:r w:rsidRPr="00D56CBB">
              <w:rPr>
                <w:rFonts w:ascii="Times New Roman" w:hAnsi="Times New Roman"/>
              </w:rPr>
              <w:t>Art. 104a ust.</w:t>
            </w:r>
            <w:r w:rsidR="00D56CBB" w:rsidRPr="00D56CBB">
              <w:rPr>
                <w:rFonts w:ascii="Times New Roman" w:hAnsi="Times New Roman"/>
              </w:rPr>
              <w:t> </w:t>
            </w:r>
            <w:r w:rsidRPr="00D56CBB">
              <w:rPr>
                <w:rFonts w:ascii="Times New Roman" w:hAnsi="Times New Roman"/>
              </w:rPr>
              <w:t>3 lit.</w:t>
            </w:r>
            <w:r w:rsidR="00D56CBB" w:rsidRPr="00D56CBB">
              <w:rPr>
                <w:rFonts w:ascii="Times New Roman" w:hAnsi="Times New Roman"/>
              </w:rPr>
              <w:t> </w:t>
            </w:r>
            <w:r w:rsidRPr="00D56CBB">
              <w:rPr>
                <w:rFonts w:ascii="Times New Roman" w:hAnsi="Times New Roman"/>
              </w:rPr>
              <w:t>b) rozporządzenia (UE) nr</w:t>
            </w:r>
            <w:r w:rsidR="00D56CBB" w:rsidRPr="00D56CBB">
              <w:rPr>
                <w:rFonts w:ascii="Times New Roman" w:hAnsi="Times New Roman"/>
              </w:rPr>
              <w:t> </w:t>
            </w:r>
            <w:r w:rsidRPr="00D56CBB">
              <w:rPr>
                <w:rFonts w:ascii="Times New Roman" w:hAnsi="Times New Roman"/>
              </w:rPr>
              <w:t>575/2013.</w:t>
            </w:r>
          </w:p>
          <w:p w14:paraId="1B724794" w14:textId="6F78634B" w:rsidR="00F65FA6" w:rsidRPr="00D56CBB" w:rsidRDefault="00F65FA6" w:rsidP="00E02007">
            <w:pPr>
              <w:pStyle w:val="BodyText"/>
              <w:spacing w:before="120" w:after="120"/>
              <w:rPr>
                <w:rFonts w:ascii="Times New Roman" w:hAnsi="Times New Roman" w:cs="Times New Roman"/>
                <w:b/>
                <w:u w:val="single"/>
              </w:rPr>
            </w:pPr>
            <w:r w:rsidRPr="00D56CBB">
              <w:rPr>
                <w:rFonts w:ascii="Times New Roman" w:hAnsi="Times New Roman"/>
              </w:rPr>
              <w:lastRenderedPageBreak/>
              <w:t>Nie podaje się żadnej daty, jeżeli przeklasyfikowanie prowadzi do zwiększenia netto wymogów</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zak</w:t>
            </w:r>
            <w:r w:rsidRPr="00D56CBB">
              <w:rPr>
                <w:rFonts w:ascii="Times New Roman" w:hAnsi="Times New Roman"/>
              </w:rPr>
              <w:t>resie funduszy własnych,</w:t>
            </w:r>
            <w:r w:rsidR="00D56CBB" w:rsidRPr="00D56CBB">
              <w:rPr>
                <w:rFonts w:ascii="Times New Roman" w:hAnsi="Times New Roman"/>
              </w:rPr>
              <w:t xml:space="preserve"> a</w:t>
            </w:r>
            <w:r w:rsidR="00D56CBB">
              <w:rPr>
                <w:rFonts w:ascii="Times New Roman" w:hAnsi="Times New Roman"/>
              </w:rPr>
              <w:t> </w:t>
            </w:r>
            <w:r w:rsidR="00D56CBB" w:rsidRPr="00D56CBB">
              <w:rPr>
                <w:rFonts w:ascii="Times New Roman" w:hAnsi="Times New Roman"/>
              </w:rPr>
              <w:t>wła</w:t>
            </w:r>
            <w:r w:rsidRPr="00D56CBB">
              <w:rPr>
                <w:rFonts w:ascii="Times New Roman" w:hAnsi="Times New Roman"/>
              </w:rPr>
              <w:t>ściwy organ nie zezwolił na ujęcie zmniejszenia wymogów</w:t>
            </w:r>
            <w:r w:rsidR="00D56CBB" w:rsidRPr="00D56CBB">
              <w:rPr>
                <w:rFonts w:ascii="Times New Roman" w:hAnsi="Times New Roman"/>
              </w:rPr>
              <w:t xml:space="preserve"> w</w:t>
            </w:r>
            <w:r w:rsidR="00D56CBB">
              <w:rPr>
                <w:rFonts w:ascii="Times New Roman" w:hAnsi="Times New Roman"/>
              </w:rPr>
              <w:t> </w:t>
            </w:r>
            <w:r w:rsidR="00D56CBB" w:rsidRPr="00D56CBB">
              <w:rPr>
                <w:rFonts w:ascii="Times New Roman" w:hAnsi="Times New Roman"/>
              </w:rPr>
              <w:t>zak</w:t>
            </w:r>
            <w:r w:rsidRPr="00D56CBB">
              <w:rPr>
                <w:rFonts w:ascii="Times New Roman" w:hAnsi="Times New Roman"/>
              </w:rPr>
              <w:t>resie funduszy własnych.”</w:t>
            </w:r>
          </w:p>
        </w:tc>
      </w:tr>
    </w:tbl>
    <w:p w14:paraId="0C23ABF8" w14:textId="77777777" w:rsidR="00F65FA6" w:rsidRPr="00D56CBB" w:rsidRDefault="00F65FA6" w:rsidP="00F65FA6">
      <w:pPr>
        <w:pStyle w:val="body"/>
        <w:rPr>
          <w:rFonts w:ascii="Times New Roman" w:hAnsi="Times New Roman" w:cs="Times New Roman"/>
        </w:rPr>
      </w:pPr>
    </w:p>
    <w:p w14:paraId="18DC5971" w14:textId="77777777" w:rsidR="00522E00" w:rsidRPr="00D56CBB" w:rsidRDefault="00522E00" w:rsidP="00F65FA6">
      <w:pPr>
        <w:pStyle w:val="body"/>
        <w:rPr>
          <w:rStyle w:val="InstructionsTabelleText"/>
          <w:rFonts w:ascii="Times New Roman" w:hAnsi="Times New Roman"/>
          <w:sz w:val="24"/>
        </w:rPr>
      </w:pPr>
    </w:p>
    <w:sectPr w:rsidR="00522E00" w:rsidRPr="00D56CBB"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Pr="00D56CBB" w:rsidRDefault="00F72086" w:rsidP="00D946DB">
      <w:pPr>
        <w:spacing w:before="0" w:after="0"/>
      </w:pPr>
      <w:r w:rsidRPr="00D56CBB">
        <w:separator/>
      </w:r>
    </w:p>
  </w:endnote>
  <w:endnote w:type="continuationSeparator" w:id="0">
    <w:p w14:paraId="7E78B2E2" w14:textId="77777777" w:rsidR="00F72086" w:rsidRPr="00D56CBB" w:rsidRDefault="00F72086" w:rsidP="00D946DB">
      <w:pPr>
        <w:spacing w:before="0" w:after="0"/>
      </w:pPr>
      <w:r w:rsidRPr="00D56CBB">
        <w:continuationSeparator/>
      </w:r>
    </w:p>
  </w:endnote>
  <w:endnote w:type="continuationNotice" w:id="1">
    <w:p w14:paraId="23302D77" w14:textId="77777777" w:rsidR="00F72086" w:rsidRPr="00D56CBB"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D56CBB" w:rsidRDefault="00C3070C">
    <w:pPr>
      <w:pStyle w:val="Footer"/>
      <w:framePr w:wrap="auto" w:vAnchor="text" w:hAnchor="margin" w:xAlign="right" w:y="1"/>
      <w:rPr>
        <w:rStyle w:val="PageNumber"/>
        <w:szCs w:val="22"/>
      </w:rPr>
    </w:pPr>
    <w:r w:rsidRPr="00D56CBB">
      <w:rPr>
        <w:rStyle w:val="PageNumber"/>
      </w:rPr>
      <w:fldChar w:fldCharType="begin"/>
    </w:r>
    <w:r w:rsidRPr="00D56CBB">
      <w:rPr>
        <w:rStyle w:val="PageNumber"/>
      </w:rPr>
      <w:instrText xml:space="preserve">PAGE  </w:instrText>
    </w:r>
    <w:r w:rsidRPr="00D56CBB">
      <w:rPr>
        <w:rStyle w:val="PageNumber"/>
      </w:rPr>
      <w:fldChar w:fldCharType="separate"/>
    </w:r>
    <w:r w:rsidRPr="00D56CBB">
      <w:rPr>
        <w:rStyle w:val="PageNumber"/>
      </w:rPr>
      <w:t>183</w:t>
    </w:r>
    <w:r w:rsidRPr="00D56CBB">
      <w:rPr>
        <w:rStyle w:val="PageNumber"/>
      </w:rPr>
      <w:fldChar w:fldCharType="end"/>
    </w:r>
  </w:p>
  <w:p w14:paraId="468B5799" w14:textId="77777777" w:rsidR="00C3070C" w:rsidRPr="00D56CBB"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D56CBB" w:rsidRDefault="00C3070C">
    <w:pPr>
      <w:pStyle w:val="Footer"/>
      <w:jc w:val="right"/>
      <w:rPr>
        <w:rFonts w:ascii="Times New Roman" w:hAnsi="Times New Roman"/>
        <w:sz w:val="20"/>
        <w:szCs w:val="20"/>
      </w:rPr>
    </w:pPr>
    <w:r w:rsidRPr="00D56CBB">
      <w:rPr>
        <w:rFonts w:ascii="Times New Roman" w:hAnsi="Times New Roman"/>
        <w:sz w:val="20"/>
      </w:rPr>
      <w:fldChar w:fldCharType="begin"/>
    </w:r>
    <w:r w:rsidRPr="00D56CBB">
      <w:rPr>
        <w:rFonts w:ascii="Times New Roman" w:hAnsi="Times New Roman"/>
        <w:sz w:val="20"/>
      </w:rPr>
      <w:instrText xml:space="preserve"> PAGE   \* MERGEFORMAT </w:instrText>
    </w:r>
    <w:r w:rsidRPr="00D56CBB">
      <w:rPr>
        <w:rFonts w:ascii="Times New Roman" w:hAnsi="Times New Roman"/>
        <w:sz w:val="20"/>
      </w:rPr>
      <w:fldChar w:fldCharType="separate"/>
    </w:r>
    <w:r w:rsidRPr="00D56CBB">
      <w:rPr>
        <w:rFonts w:ascii="Times New Roman" w:hAnsi="Times New Roman"/>
        <w:sz w:val="20"/>
      </w:rPr>
      <w:t>42</w:t>
    </w:r>
    <w:r w:rsidRPr="00D56CBB">
      <w:rPr>
        <w:rFonts w:ascii="Times New Roman" w:hAnsi="Times New Roman"/>
        <w:sz w:val="20"/>
      </w:rPr>
      <w:fldChar w:fldCharType="end"/>
    </w:r>
  </w:p>
  <w:p w14:paraId="416ED6B6" w14:textId="77777777" w:rsidR="00C3070C" w:rsidRPr="00D56CBB"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Pr="00D56CBB" w:rsidRDefault="00F72086" w:rsidP="00D946DB">
      <w:pPr>
        <w:spacing w:before="0" w:after="0"/>
      </w:pPr>
      <w:r w:rsidRPr="00D56CBB">
        <w:separator/>
      </w:r>
    </w:p>
  </w:footnote>
  <w:footnote w:type="continuationSeparator" w:id="0">
    <w:p w14:paraId="6C737719" w14:textId="77777777" w:rsidR="00F72086" w:rsidRPr="00D56CBB" w:rsidRDefault="00F72086" w:rsidP="00D946DB">
      <w:pPr>
        <w:spacing w:before="0" w:after="0"/>
      </w:pPr>
      <w:r w:rsidRPr="00D56CBB">
        <w:continuationSeparator/>
      </w:r>
    </w:p>
  </w:footnote>
  <w:footnote w:type="continuationNotice" w:id="1">
    <w:p w14:paraId="190DCB3C" w14:textId="77777777" w:rsidR="00F72086" w:rsidRPr="00D56CBB"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D56CBB" w:rsidRDefault="00C3070C">
    <w:pPr>
      <w:pStyle w:val="Header"/>
    </w:pPr>
    <w:r w:rsidRPr="00D56CBB">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UNB – Standardowe wykorzystani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EUNB – Standardowe wykorzystanie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D56CBB" w:rsidRDefault="00C3070C">
    <w:pPr>
      <w:pStyle w:val="Header"/>
    </w:pPr>
    <w:r w:rsidRPr="00D56CBB">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UNB – Standardowe wykorzystani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EUNB – Standardowe wykorzystanie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D56CBB" w:rsidRDefault="00C3070C">
    <w:pPr>
      <w:rPr>
        <w:rFonts w:ascii="Arial" w:hAnsi="Arial" w:cs="Arial"/>
      </w:rPr>
    </w:pPr>
    <w:r w:rsidRPr="00D56CBB">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UNB – Standardowe wykorzystani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EUNB – Standardowe wykorzystanie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993"/>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AAF"/>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6CBB"/>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aliases w:val="Title 2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l-P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pl-PL"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4.xml><?xml version="1.0" encoding="utf-8"?>
<ds:datastoreItem xmlns:ds="http://schemas.openxmlformats.org/officeDocument/2006/customXml" ds:itemID="{07A38D51-7F5E-4EC6-B966-21855FD75E6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2405</Words>
  <Characters>15465</Characters>
  <Application>Microsoft Office Word</Application>
  <DocSecurity>0</DocSecurity>
  <Lines>396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SIWIEC Justyna (DGT)</cp:lastModifiedBy>
  <cp:revision>5</cp:revision>
  <dcterms:created xsi:type="dcterms:W3CDTF">2024-06-19T18:09:00Z</dcterms:created>
  <dcterms:modified xsi:type="dcterms:W3CDTF">2025-01-27T14:09:00Z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2025-01-27T14:09:38Z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af8d6dc7-bd2d-4403-8a87-f582e64e2181</vt:lpwstr>
  </property>
  <property fmtid="{D5CDD505-2E9C-101B-9397-08002B2CF9AE}" pid="9" name="MSIP_Label_6bd9ddd1-4d20-43f6-abfa-fc3c07406f94_ContentBits">
    <vt:lpwstr>0</vt:lpwstr>
  </property>
</Properties>
</file>