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HU</w:t>
      </w:r>
      <w:r>
        <w:rPr>
          <w:b/>
          <w:sz w:val="24"/>
          <w:rFonts w:ascii="Times New Roman" w:hAnsi="Times New Roman"/>
        </w:rPr>
        <w:br/>
      </w:r>
      <w:r>
        <w:rPr>
          <w:b/>
          <w:sz w:val="24"/>
          <w:rFonts w:ascii="Times New Roman" w:hAnsi="Times New Roman"/>
        </w:rPr>
        <w:t xml:space="preserve">VIII. MELLÉKLET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„XXI. MELLÉKLET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ÚTMUTATÓ A XX. MELLÉKLET KIEGYENSÚLYOZÓ KAPACITÁS KONCENTRÁCIÓJÁRA VONATKOZÓ TÁBLÁJÁNAK (C71.00) KITÖLTÉSÉHEZ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A kiegyensúlyozó kapacitás koncentrációja kibocsátónként/partnerenként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Az adatot szolgáltató intézmény kiegyensúlyozó kapacitásának koncentrációjára vonatkozó, a tíz legnagyobb eszközállomány vagy az intézmény rendelkezésére bocsátott likviditási hitelkeret alapján bontott adatoknak a C 71.00-es táblában történő megadásához az intézményeknek az e mellékletben található útmutatót kell alkalmazniuk.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Amennyiben egy kibocsátóhoz vagy partnerhez egynél több terméktípus, pénznem vagy hitelminőségi besorolás tartozik, a teljes összeget kell megadni.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Itt a kiegyensúlyozó kapacitás koncentrációjának legnagyobb részét kitevő terméktípust, pénznemet vagy hitelminőségi besorolást kell feltüntetni.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C 71.00-es táblában megadott kiegyensúlyozó kapacitásnak meg kell egyeznie a C 66.01-es táblában feltüntetett adattal, azzal a fenntartással, hogy a C 71.00-es táblában kiegyensúlyozó kapacitásként jelentett eszközöknek meg nem terhelt eszközöknek kell lenniük,</w:t>
      </w:r>
      <w:r>
        <w:t xml:space="preserve"> </w:t>
      </w:r>
      <w:r>
        <w:rPr>
          <w:sz w:val="24"/>
          <w:rFonts w:ascii="Times New Roman" w:hAnsi="Times New Roman"/>
        </w:rPr>
        <w:t xml:space="preserve">amelyek az intézmény rendelkezésére állnak, hogy azokat az adatszolgáltatási vonatkozási időpontban készpénzre válthassa.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C 71.00-es adatszolgáltatási táblában feltüntetendő, jelentős pénznemek szerinti koncentrációk kiszámításához az intézményeknek az összes pénznemben megállapított koncentrációt kell használniuk.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Amennyiben egy kibocsátó vagy partner egymással kapcsolatban álló ügyfelek több csoportjához tartozik, csak egyszer kell jelenteni abban a csoportban, amelyik esetében nagyobb a kiegyensúlyozó kapacitás koncentrációja.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Amennyiben a kibocsátó vagy partner központi bank, a kiegyensúlyozó kapacitás hozzá tartozó koncentrációját nem kell jelenteni ebben a táblában, csak a 0120-as sorban.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Abban az esetben, ha egy intézmény valamely központi banknál standard likviditási műveletek céljából előzetesen rendelkezésre bocsátott eszközökkel rendelkezik, és amennyiben ezek az eszközök a meg nem terhelt kiegyensúlyozó kapacitás tíz legfőbb kibocsátója vagy partnere alá tartoznak, az intézmény az eredeti kibocsátót és az eredeti terméktípust tünteti fel.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Oszlop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Jogszabályi hivatkozások és útmutató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Kibocsátó neve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intézmény részére meg nem terhelt eszközöket kibocsátó, illetve le nem hívott, folyósítási kötelezettséget tartalmazó likviditási hitelkeretet rendelkezésre tartó tíz legfőbb kibocsátó vagy partner nevét a 0010-es oszlopban csökkenő sorrendben kell feltüntetni.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legnagyobb tételt az 1.01., a sorrendben utána következőt az 1.02. sorban kell megadni, és így tovább.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egymással kapcsolatban álló ügyfelek csoportját alkotó kibocsátókat és partnereket egyetlen koncentrációként kell megadni.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kibocsátó vagy a partner neveként annak a jogi személynek a teljes nevét kell feltüntetni, amely az eszközöket kibocsátotta, illetőleg a likviditási hitelkereteket nyújtotta, a nemzeti társasági jognak megfelelő társasági forma megjelölésével együtt.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LEI-kód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Ez a kód a partner jogalany-azonosító kódja.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Kibocsátó ágazata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Minden kibocsátóhoz vagy partnerhez ágazatot kell rendelni a pénzügyi beszámolás (FINREP) következő gazdasági ágazati osztályai alapján (e végrehajtási rendelet V. mellékletének 1. része):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i. államháztartások;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ii. hitelintézetek;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iii. egyéb pénzügyi vállalatok;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iv. nem pénzügyi vállalatok;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v. háztartások.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Egymással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kapcsolatban álló ügyfelek csoportja esetében nem kell ágazatot feltüntetni.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Kibocsátó székhelye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 kibocsátó vagy partner bejegyzése szerinti ország ISO 3166-1 alpha-2 kódját kell alkalmazni, ideértve a nemzetközi szervezetek esetében</w:t>
            </w:r>
            <w:r>
              <w:rPr>
                <w:sz w:val="24"/>
                <w:rFonts w:ascii="Times New Roman" w:hAnsi="Times New Roman"/>
              </w:rPr>
              <w:t xml:space="preserve"> az Eurostat fizetésimérleg kézikönyvének legújabb kiadásában található pszeudo-ISO kódokat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Kapcsolatban álló ügyfelek csoportjai esetében nem kell országot megadni.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Terméktípus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0010-es oszlopban feltüntetett kibocsátókhoz/partnerekhez terméktípust kell rendelni annak a terméknek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megfelelően</w:t>
            </w:r>
            <w:r>
              <w:rPr>
                <w:sz w:val="24"/>
                <w:rFonts w:ascii="Times New Roman" w:hAnsi="Times New Roman"/>
              </w:rPr>
              <w:t xml:space="preserve">, amelyben az intézmény az eszközt tartja, vagy amelyben a készenléti likviditási hitelkeretet a rendelkezésére bocsátották, az alábbi félkövérrel kiemelt kódok alkalmazásával: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(előresorolt kötvény)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alárendelt</w:t>
            </w:r>
            <w:r>
              <w:rPr>
                <w:sz w:val="24"/>
                <w:rFonts w:ascii="Times New Roman" w:hAnsi="Times New Roman"/>
              </w:rPr>
              <w:t xml:space="preserve"> kötvény)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kereskedelmi értékpapír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fedezett kötvény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(ÁÉKBV-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értékpapír</w:t>
            </w:r>
            <w:r>
              <w:rPr>
                <w:sz w:val="24"/>
                <w:rFonts w:ascii="Times New Roman" w:hAnsi="Times New Roman"/>
              </w:rPr>
              <w:t xml:space="preserve">, azaz átruházható értékpapírokkal foglalkozó kollektív befektetési vállalkozásban meglévő részesedést megtestesítő vagy ilyen vállalkozás által kibocsátott pénzügyi instrumentum)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(eszközfedezetű értékpapír)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(hitel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követelés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részvény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Arany (amennyiben fizikailag létező arany, amely egyetlen partnerként kezelhető)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az intézmény rendelkezésére tartott</w:t>
            </w:r>
            <w:r>
              <w:rPr>
                <w:sz w:val="24"/>
                <w:rFonts w:ascii="Times New Roman" w:hAnsi="Times New Roman"/>
              </w:rPr>
              <w:t xml:space="preserve">, le nem hívott, folyósítási kötelezettséget tartalmazó likviditási hitelkeret)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(egyéb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terméktípus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Pénznem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0010-es oszlopban feltüntetett kibocsátókhoz vagy partnerekhez a 0060-as oszlopban ISO-pénznemkódot kell rendelni a kapott eszköz vagy az intézmény rendelkezésére tartott, le nem hívott, folyósítási kötelezettséget tartalmazó likviditási hitelkeret pénznemének megfelelően.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ISO 4217 szerinti hárombetűs pénznemkódot kell megadni.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Amennyiben a kiegyensúlyozó kapacitás koncentrációjához többdevizás hitelkeret is tartozik, a keretet abban a pénznemben kell figyelembe venni, amely a koncentráció fennmaradó részében meghatározó.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 415. cikkének (2) bekezdésében meghatározott, a jelentős pénznemekre vonatkozó külön adatszolgáltatás tekintetében az intézmények értékelik a pénznemet, amelyben az áramlásra várhatóan sor kerül, és a tételt csak ebben a jelentős pénznemben adják meg, összhangban a likviditásfedezetre vonatkozó követelmények jelentős pénznemekben való külön adatszolgáltatásra vonatkozó utasításaival, az (EU) 2021/451 rendeletnek megfelelően.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Hitelminőségi besorolás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szerinti megfelelő hitelminőségi besorolást kell megadni, amelynek meg kell egyeznie a tételek lejárati táblában megadott hitelminőségi besorolásával.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Amennyiben nincs minősítés, a „nem minősített” kategóriát kell megadni.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Piaci érték/névérték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eszközök piaci értéke vagy valós értéke, illetve – adott esetben – az intézménynek nyújtott, le nem hívott likviditási hitelkeret névértéke.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Központi bank által elfogadható biztosítéki érték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adott eszközöknek a jegybanki rendelkezésre állás szabályai szerint megállapított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biztosítéki</w:t>
            </w:r>
            <w:r>
              <w:rPr>
                <w:sz w:val="24"/>
                <w:rFonts w:ascii="Times New Roman" w:hAnsi="Times New Roman"/>
              </w:rPr>
              <w:t xml:space="preserve"> értéke.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(EU) 2015/233 bizottsági végrehajtási rendeletben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</w:t>
            </w:r>
            <w:r>
              <w:rPr>
                <w:sz w:val="24"/>
                <w:rFonts w:ascii="Times New Roman" w:hAnsi="Times New Roman"/>
              </w:rPr>
              <w:t xml:space="preserve"> szereplő olyan pénznemben denominált eszközök esetében, amelynek tekintetében rendkívül szűk a központi bank által elfogadható fedezetek köre, a mezőt üresen kell hagyni.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 xml:space="preserve">* </w:t>
      </w:r>
      <w:r>
        <w:t xml:space="preserve">A Bizottság (EU) 2015/233 végrehajtási rendelete (2015. február 13.) az 575/2013/EU európai parlamenti és tanácsi rendelet értelmében a központi bank által befogadható fedezetek rendkívül szűk körével rendelkező pénznemekre vonatkozó végrehajtás-technikai standardok megállapításáról (HL L 39., 2015.2.14., 11. o.).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hu-HU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hu-HU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hu-HU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hu-HU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hu-HU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hu-HU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u-HU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u-HU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u-H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u-HU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hu-HU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hu-HU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hu-HU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hu-HU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u-HU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u-HU" w:eastAsia="fr-FR"/>
    </w:rPr>
  </w:style>
  <w:style w:type="table" w:styleId="TableGrid">
    <w:name w:val="Table Grid"/>
    <w:basedOn w:val="TableNormal"/>
    <w:uiPriority w:val="59"/>
    <w:rsid w:val="00E05204"/>
    <w:rPr>
      <w:lang w:val="hu-H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hu-HU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0A18E4-2C34-40FE-A205-D72CAA7E0D79}"/>
</file>

<file path=customXml/itemProps4.xml><?xml version="1.0" encoding="utf-8"?>
<ds:datastoreItem xmlns:ds="http://schemas.openxmlformats.org/officeDocument/2006/customXml" ds:itemID="{4D8E4235-A243-4344-B2C3-564F6850EF79}"/>
</file>

<file path=customXml/itemProps5.xml><?xml version="1.0" encoding="utf-8"?>
<ds:datastoreItem xmlns:ds="http://schemas.openxmlformats.org/officeDocument/2006/customXml" ds:itemID="{9D1DE61C-8481-4D2F-9E7C-DB73738E62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ContentTypeId">
    <vt:lpwstr>0x010100A640DC13EB184F4EBE5AA21BE9F247DB</vt:lpwstr>
  </property>
</Properties>
</file>