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C87C" w14:textId="77777777" w:rsidR="00E50DD0" w:rsidRPr="00BA5C71" w:rsidRDefault="00E50DD0" w:rsidP="00E50DD0">
      <w:pPr>
        <w:jc w:val="center"/>
        <w:rPr>
          <w:rFonts w:ascii="Times New Roman" w:hAnsi="Times New Roman"/>
          <w:sz w:val="24"/>
          <w:szCs w:val="22"/>
        </w:rPr>
      </w:pPr>
      <w:r w:rsidRPr="00BA5C71">
        <w:rPr>
          <w:rFonts w:ascii="Times New Roman" w:hAnsi="Times New Roman"/>
          <w:sz w:val="24"/>
        </w:rPr>
        <w:t>PL</w:t>
      </w:r>
    </w:p>
    <w:p w14:paraId="6F8CF8C3" w14:textId="77777777" w:rsidR="00E50DD0" w:rsidRPr="00BA5C71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BA5C71" w:rsidRDefault="00DD798A" w:rsidP="00DD798A">
      <w:pPr>
        <w:jc w:val="center"/>
        <w:rPr>
          <w:rFonts w:ascii="Times New Roman" w:hAnsi="Times New Roman"/>
          <w:sz w:val="24"/>
        </w:rPr>
      </w:pPr>
      <w:r w:rsidRPr="00BA5C71">
        <w:rPr>
          <w:rFonts w:ascii="Times New Roman" w:hAnsi="Times New Roman"/>
          <w:sz w:val="24"/>
        </w:rPr>
        <w:t>ZAŁĄCZNIK II</w:t>
      </w:r>
    </w:p>
    <w:p w14:paraId="33BF0F02" w14:textId="77777777" w:rsidR="00DD798A" w:rsidRPr="00BA5C71" w:rsidRDefault="00DD798A" w:rsidP="00DD798A">
      <w:pPr>
        <w:jc w:val="center"/>
        <w:rPr>
          <w:rFonts w:ascii="Times New Roman" w:hAnsi="Times New Roman"/>
          <w:sz w:val="24"/>
        </w:rPr>
      </w:pPr>
      <w:r w:rsidRPr="00BA5C71">
        <w:rPr>
          <w:rFonts w:ascii="Times New Roman" w:hAnsi="Times New Roman"/>
          <w:sz w:val="24"/>
        </w:rPr>
        <w:t>„ZAŁĄCZNIK II</w:t>
      </w:r>
    </w:p>
    <w:p w14:paraId="43AF84F6" w14:textId="77777777" w:rsidR="00DD798A" w:rsidRPr="00BA5C71" w:rsidRDefault="00DD798A" w:rsidP="00DD798A">
      <w:pPr>
        <w:jc w:val="center"/>
        <w:rPr>
          <w:rFonts w:ascii="Times New Roman" w:hAnsi="Times New Roman"/>
          <w:b/>
          <w:sz w:val="24"/>
        </w:rPr>
      </w:pPr>
      <w:r w:rsidRPr="00BA5C71">
        <w:rPr>
          <w:rFonts w:ascii="Times New Roman" w:hAnsi="Times New Roman"/>
          <w:b/>
          <w:sz w:val="24"/>
        </w:rPr>
        <w:t>INSTRUKCJE DOTYCZĄCE SPRAWOZDAWCZOŚCI W ZAKRESIE FUNDUSZY WŁASNYCH ORAZ WYMOGÓW W ZAKRESIE FUNDUSZY WŁASNYCH</w:t>
      </w:r>
    </w:p>
    <w:p w14:paraId="6B9B322A" w14:textId="77777777" w:rsidR="00E26A90" w:rsidRPr="00BA5C71" w:rsidRDefault="00E26A90"/>
    <w:p w14:paraId="2A45E9E8" w14:textId="77777777" w:rsidR="00A931D0" w:rsidRPr="00BA5C71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BA5C71">
        <w:rPr>
          <w:rStyle w:val="InstructionsTabelleText"/>
          <w:rFonts w:ascii="Times New Roman" w:hAnsi="Times New Roman"/>
          <w:b/>
          <w:sz w:val="24"/>
          <w:u w:val="single"/>
        </w:rPr>
        <w:t>CZĘŚĆ II: INSTRUKCJE DOTYCZĄCE WZORÓW</w:t>
      </w:r>
    </w:p>
    <w:p w14:paraId="572B21DA" w14:textId="77777777" w:rsidR="00A931D0" w:rsidRPr="00BA5C71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A5C71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2CBE875B" w14:textId="77777777" w:rsidR="00A931D0" w:rsidRPr="00BA5C71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A5C71">
        <w:rPr>
          <w:rStyle w:val="InstructionsTabelleText"/>
          <w:rFonts w:ascii="Times New Roman" w:hAnsi="Times New Roman"/>
          <w:sz w:val="24"/>
        </w:rPr>
        <w:t>(…)</w:t>
      </w:r>
    </w:p>
    <w:p w14:paraId="7289C48A" w14:textId="77777777" w:rsidR="00A931D0" w:rsidRPr="00BA5C71" w:rsidRDefault="00A931D0"/>
    <w:p w14:paraId="7D324BFC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 w:rsidRPr="00BA5C71">
        <w:rPr>
          <w:rFonts w:ascii="Times New Roman" w:hAnsi="Times New Roman"/>
          <w:sz w:val="24"/>
        </w:rPr>
        <w:t>C 09.01 – Podział ekspozycji pod względem geograficznym według siedziby dłużnika: ekspozycje według metody standardowej (CR GB 1)</w:t>
      </w:r>
    </w:p>
    <w:p w14:paraId="0D9A10C4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63"/>
      <w:bookmarkStart w:id="1" w:name="_Toc473560914"/>
      <w:bookmarkStart w:id="2" w:name="_Toc151714418"/>
      <w:r w:rsidRPr="00BA5C71">
        <w:rPr>
          <w:rFonts w:ascii="Times New Roman" w:hAnsi="Times New Roman"/>
          <w:sz w:val="24"/>
          <w:u w:val="none"/>
        </w:rPr>
        <w:t>3.4.1.1.</w:t>
      </w:r>
      <w:r w:rsidRPr="00BA5C71">
        <w:tab/>
      </w:r>
      <w:r w:rsidRPr="00BA5C71">
        <w:rPr>
          <w:rFonts w:ascii="Times New Roman" w:hAnsi="Times New Roman"/>
          <w:sz w:val="24"/>
        </w:rPr>
        <w:t>Instrukcje dotyczące poszczególnych pozycji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BA5C71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BA5C71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b/>
                <w:sz w:val="24"/>
              </w:rPr>
              <w:t>Kolumny</w:t>
            </w:r>
          </w:p>
        </w:tc>
      </w:tr>
      <w:tr w:rsidR="009D6580" w:rsidRPr="00BA5C71" w14:paraId="08CE2FB2" w14:textId="77777777" w:rsidTr="00822842">
        <w:tc>
          <w:tcPr>
            <w:tcW w:w="1188" w:type="dxa"/>
          </w:tcPr>
          <w:p w14:paraId="75E0B30C" w14:textId="77777777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4841BFDB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PIERWOTNA EKSPOZYCJA PRZED UWZGLĘDNIENIEM WSPÓŁCZYNNIKÓW KONWERSJI</w:t>
            </w:r>
          </w:p>
          <w:p w14:paraId="1D6A0F00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0010 wzoru CR SA</w:t>
            </w:r>
          </w:p>
        </w:tc>
      </w:tr>
      <w:tr w:rsidR="009D6580" w:rsidRPr="00BA5C71" w14:paraId="5F923D3B" w14:textId="77777777" w:rsidTr="00822842">
        <w:tc>
          <w:tcPr>
            <w:tcW w:w="1188" w:type="dxa"/>
          </w:tcPr>
          <w:p w14:paraId="6908781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04F3B53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Ekspozycje, których dotyczy niewykonanie zobowiązania</w:t>
            </w:r>
          </w:p>
          <w:p w14:paraId="147BD4ED" w14:textId="5A6194F3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Pierwotna ekspozycja przed uwzględnieniem współczynników konwersji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iesieniu do tych ekspozycji, które zostały sklasyfikowane jako „ekspozycje, których dotyczy niewykonanie zobowiązania”, oraz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iesieniu do tych ekspozycji, których dotyczy niewykonanie zobowiązania, które zostały przypisane do kategorii ekspozycji „ekspozycje kapitałowe”,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a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tak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że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iesieniu do tych ekspozycji, których dotyczy niewykonanie zobowiązania, które zostały przypisane do kategorii ekspozycji „ekspozycje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pos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taci jednostek lub udziałów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prz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edsiębiorstwach zbiorowego inwestowania”.</w:t>
            </w:r>
          </w:p>
          <w:p w14:paraId="6DA448AF" w14:textId="5E5779AC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Ta „pozycja uzupełniająca” zawiera dodatkowe informacje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str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ukturze dłużnika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prz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ypadku ekspozycji, których dotyczy niewykonanie zobowiązania. Ekspozycje sklasyfikowane jako „ekspozycje, których dotyczy niewykonanie zobowiązania” zgodnie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art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. 112 lit. j)</w:t>
            </w:r>
            <w:r w:rsidRPr="00BA5C71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zgłasza się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prz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ypadku, gdy dłużnicy zostaliby zgłoszeni, jeżeli ekspozycje te nie zostałyby przypisane do kategorii ekspozycji „ekspozycje, których dotyczy niewykonanie zobowiązania”. </w:t>
            </w:r>
          </w:p>
          <w:p w14:paraId="52855171" w14:textId="3C4E3AB2" w:rsidR="009D6580" w:rsidRPr="00BA5C71" w:rsidRDefault="00123FDD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Informacja ta jest „pozycją uzupełniającą”, dlatego nie wpływa na obliczanie kwot ekspozycji ważonych ryzykiem dla kategorii ekspozycji „ekspozycje, których dotyczy niewykonanie zobowiązania”, „ekspozycje kapitałowe” czy „ekspozycje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pos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taci jednostek lub udziałów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prz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edsiębiorstwach zbiorowego inwestowania” zgodnie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art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. 112 lit. j), p) i o)</w:t>
            </w:r>
            <w:r w:rsidRPr="00BA5C71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D6580" w:rsidRPr="00BA5C71" w14:paraId="12737C01" w14:textId="77777777" w:rsidTr="00822842">
        <w:tc>
          <w:tcPr>
            <w:tcW w:w="1188" w:type="dxa"/>
          </w:tcPr>
          <w:p w14:paraId="0843F0D4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17ABA2D" w14:textId="0DBA5879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Zaobserwowane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dan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ym okresie nowe przypadki niewykonania zobowiązania</w:t>
            </w:r>
          </w:p>
          <w:p w14:paraId="4C451CED" w14:textId="7F94D22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Kwotę pierwotnych ekspozycji, które zostały przeniesione do kategorii „ekspozycji, których dotyczy niewykonanie zobowiązania”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okr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esie trzech miesięcy od ostatniego terminu przekazywania sprawozdania, zgłasza się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iesieniu do kategorii ekspozycji, do której dłużnik należał pierwotnie.</w:t>
            </w:r>
          </w:p>
        </w:tc>
      </w:tr>
      <w:tr w:rsidR="009D6580" w:rsidRPr="00BA5C71" w14:paraId="59173FA8" w14:textId="77777777" w:rsidTr="00822842">
        <w:tc>
          <w:tcPr>
            <w:tcW w:w="1188" w:type="dxa"/>
          </w:tcPr>
          <w:p w14:paraId="7368E5E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640" w:type="dxa"/>
          </w:tcPr>
          <w:p w14:paraId="1A491AA7" w14:textId="5EEC7023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ogólnego ryzyka kredytowego</w:t>
            </w:r>
          </w:p>
          <w:p w14:paraId="019027A7" w14:textId="60DDAAA3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Korekty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ryzyka kredytowego,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110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porządzeniu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 xml:space="preserve">183/2014. </w:t>
            </w:r>
          </w:p>
          <w:p w14:paraId="124DE0E0" w14:textId="1D71B63C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 pozycji tej uwzględnia się korekty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ogólnego ryzyka kredytowego, które kwalifikują się do włączenia do kapitału Tier II, przed zastosowaniem pułapu,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rym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62 lit. c)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  <w:p w14:paraId="50B8B57C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Kwota, którą należy zgłosić, jest kwotą przed skutkami podatkowymi.</w:t>
            </w:r>
          </w:p>
        </w:tc>
      </w:tr>
      <w:tr w:rsidR="009D6580" w:rsidRPr="00BA5C71" w14:paraId="18048AF8" w14:textId="77777777" w:rsidTr="00822842">
        <w:tc>
          <w:tcPr>
            <w:tcW w:w="1188" w:type="dxa"/>
          </w:tcPr>
          <w:p w14:paraId="6BF1FDE0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3DA55F27" w14:textId="42CD544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szczególnego ryzyka kredytowego</w:t>
            </w:r>
          </w:p>
          <w:p w14:paraId="0C4040D9" w14:textId="6172CE1B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Korekty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ryzyka kredytowego,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110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porządzeniu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183/2014.</w:t>
            </w:r>
          </w:p>
        </w:tc>
      </w:tr>
      <w:tr w:rsidR="009D6580" w:rsidRPr="00BA5C71" w14:paraId="1433D694" w14:textId="77777777" w:rsidTr="00822842">
        <w:tc>
          <w:tcPr>
            <w:tcW w:w="1188" w:type="dxa"/>
          </w:tcPr>
          <w:p w14:paraId="0154002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E9754AE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Spisania</w:t>
            </w:r>
          </w:p>
          <w:p w14:paraId="5E984FA2" w14:textId="12B895C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Spisania,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któ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rych mowa w MSSF 9 pkt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5.4.4 i B5.4.9.</w:t>
            </w:r>
          </w:p>
        </w:tc>
      </w:tr>
      <w:tr w:rsidR="009D6580" w:rsidRPr="00BA5C71" w14:paraId="1CFA94CF" w14:textId="77777777" w:rsidTr="00822842">
        <w:tc>
          <w:tcPr>
            <w:tcW w:w="1188" w:type="dxa"/>
          </w:tcPr>
          <w:p w14:paraId="23BBA9F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640" w:type="dxa"/>
          </w:tcPr>
          <w:p w14:paraId="7173ECB3" w14:textId="191AFE3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Dodatkowe korekty wartości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i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inn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 redukcje funduszy własnych</w:t>
            </w:r>
          </w:p>
          <w:p w14:paraId="074C80EC" w14:textId="6FAB05EB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111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2939F77F" w14:textId="77777777" w:rsidTr="00822842">
        <w:tc>
          <w:tcPr>
            <w:tcW w:w="1188" w:type="dxa"/>
          </w:tcPr>
          <w:p w14:paraId="542B901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26434907" w14:textId="66915C53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ryzyka kredytowego/spisania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zaobserwowanych nowych przypadków niewykonania zobowiązania</w:t>
            </w:r>
          </w:p>
          <w:p w14:paraId="7E554B62" w14:textId="0B62EDEE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Suma korekt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tyt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ułu ryzyka kredytowego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spi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sań dla tych ekspozycji, które sklasyfikowano jako „ekspozycje, których dotyczy niewykonanie zobowiązania”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okr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esie trzech miesięcy od ostatniego terminu przekazywania sprawozdania.</w:t>
            </w:r>
          </w:p>
        </w:tc>
      </w:tr>
      <w:tr w:rsidR="009D6580" w:rsidRPr="00BA5C71" w14:paraId="2CA30DE3" w14:textId="77777777" w:rsidTr="00822842">
        <w:tc>
          <w:tcPr>
            <w:tcW w:w="1188" w:type="dxa"/>
          </w:tcPr>
          <w:p w14:paraId="2FD8979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233BFDCE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Wartość ekspozycji</w:t>
            </w:r>
          </w:p>
          <w:p w14:paraId="4F849709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0200 wzoru CR SA</w:t>
            </w:r>
          </w:p>
        </w:tc>
      </w:tr>
      <w:tr w:rsidR="009D6580" w:rsidRPr="00BA5C71" w14:paraId="09BD9174" w14:textId="77777777" w:rsidTr="00822842">
        <w:tc>
          <w:tcPr>
            <w:tcW w:w="1188" w:type="dxa"/>
          </w:tcPr>
          <w:p w14:paraId="06587A3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0B560F31" w14:textId="46CDE534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 EKSPOZYCJI WAŻONEJ RYZYKIEM PRZED UWZGLĘDNIENIEM WSPÓŁCZYNNIKÓW WSPARCIA I PRZED UWZGLĘDNIENIEM NIEDOPASOWANIA WALUTOWEGO</w:t>
            </w:r>
          </w:p>
          <w:p w14:paraId="7F917189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0215 wzoru CR SA</w:t>
            </w:r>
          </w:p>
        </w:tc>
      </w:tr>
      <w:tr w:rsidR="009D6580" w:rsidRPr="00BA5C71" w14:paraId="172392A5" w14:textId="77777777" w:rsidTr="00822842">
        <w:tc>
          <w:tcPr>
            <w:tcW w:w="1188" w:type="dxa"/>
          </w:tcPr>
          <w:p w14:paraId="4881CC3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8640" w:type="dxa"/>
          </w:tcPr>
          <w:p w14:paraId="3683E884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(-) KOREKTA KWOTY EKSPOZYCJI WAŻONEJ RYZYKIEM WYNIKAJĄCA ZE WSPÓŁCZYNNIKA WSPARCIA MŚP</w:t>
            </w:r>
          </w:p>
          <w:p w14:paraId="7D7BF2EE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0216 wzoru CR SA</w:t>
            </w:r>
          </w:p>
        </w:tc>
      </w:tr>
      <w:tr w:rsidR="009D6580" w:rsidRPr="00BA5C71" w14:paraId="7C7A5C85" w14:textId="77777777" w:rsidTr="00822842">
        <w:tc>
          <w:tcPr>
            <w:tcW w:w="1188" w:type="dxa"/>
          </w:tcPr>
          <w:p w14:paraId="4ABD72E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0082</w:t>
            </w:r>
          </w:p>
        </w:tc>
        <w:tc>
          <w:tcPr>
            <w:tcW w:w="8640" w:type="dxa"/>
          </w:tcPr>
          <w:p w14:paraId="60EE9D4D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(-) KOREKTA KWOTY EKSPOZYCJI WAŻONEJ RYZYKIEM WYNIKAJĄCA ZE WSPÓŁCZYNNIKA WSPARCIA INFRASTRUKTURY</w:t>
            </w:r>
          </w:p>
          <w:p w14:paraId="3D157D72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0217 wzoru CR SA</w:t>
            </w:r>
          </w:p>
        </w:tc>
      </w:tr>
      <w:tr w:rsidR="009D6580" w:rsidRPr="00BA5C71" w14:paraId="2271C08F" w14:textId="77777777" w:rsidTr="00822842">
        <w:tc>
          <w:tcPr>
            <w:tcW w:w="1188" w:type="dxa"/>
          </w:tcPr>
          <w:p w14:paraId="7D3C5FE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640" w:type="dxa"/>
          </w:tcPr>
          <w:p w14:paraId="784080AC" w14:textId="77777777" w:rsidR="00AF2BE6" w:rsidRPr="00BA5C71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 EKSPOZYCJI WAŻONEJ RYZYKIEM PO UWZGLĘDNIENIU WSPÓŁCZYNNIKÓW WSPARCIA I PO UWZGLĘDNIENIU NIEDOPASOWANIA WALUTOWEGO</w:t>
            </w:r>
          </w:p>
          <w:p w14:paraId="5F17785F" w14:textId="6397E6C0" w:rsidR="009D6580" w:rsidRPr="00BA5C71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0220 wzoru CR SA</w:t>
            </w:r>
          </w:p>
        </w:tc>
      </w:tr>
    </w:tbl>
    <w:p w14:paraId="00F504F2" w14:textId="77777777" w:rsidR="009D6580" w:rsidRPr="00BA5C71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BA5C71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BA5C71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b/>
                <w:sz w:val="24"/>
              </w:rPr>
              <w:t>Wiersze</w:t>
            </w:r>
          </w:p>
        </w:tc>
      </w:tr>
      <w:tr w:rsidR="009D6580" w:rsidRPr="00BA5C71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rządów centralnych lub banków centralnych</w:t>
            </w:r>
          </w:p>
          <w:p w14:paraId="701FDDD6" w14:textId="6E739FD7" w:rsidR="009D6580" w:rsidRPr="00BA5C71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a)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samorządów regionalnych lub władz lokalnych</w:t>
            </w:r>
          </w:p>
          <w:p w14:paraId="06578FE1" w14:textId="7E36ADF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b)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podmiotów sektora publicznego</w:t>
            </w:r>
          </w:p>
          <w:p w14:paraId="451BD941" w14:textId="46F24058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c)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wielostronnych banków rozwoju</w:t>
            </w:r>
          </w:p>
          <w:p w14:paraId="59A02674" w14:textId="704DDD5C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organizacji międzynarodowych</w:t>
            </w:r>
          </w:p>
          <w:p w14:paraId="17C7FCF4" w14:textId="6725DBCE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e)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instytucji</w:t>
            </w:r>
          </w:p>
          <w:p w14:paraId="153928C3" w14:textId="001FEE80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f)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</w:t>
            </w:r>
          </w:p>
          <w:p w14:paraId="2131631A" w14:textId="039E4BDB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g)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w tym: ekspozycje wobec MŚP</w:t>
            </w:r>
          </w:p>
          <w:p w14:paraId="54A9735B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0020 wzoru CR SA</w:t>
            </w:r>
          </w:p>
        </w:tc>
      </w:tr>
      <w:tr w:rsidR="009D6580" w:rsidRPr="00BA5C71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3BC994EB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w tym: ekspozycje związane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kre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dytowaniem specjalistycznym</w:t>
            </w:r>
          </w:p>
          <w:p w14:paraId="78348E89" w14:textId="64511236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Art. 122a </w:t>
            </w:r>
            <w:r w:rsidRPr="00BA5C71">
              <w:rPr>
                <w:rFonts w:ascii="Times New Roman" w:hAnsi="Times New Roman"/>
                <w:sz w:val="24"/>
              </w:rPr>
              <w:t>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detaliczne</w:t>
            </w:r>
          </w:p>
          <w:p w14:paraId="4C73D393" w14:textId="777D6C7A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h)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w tym: ekspozycje wobec MŚP</w:t>
            </w:r>
          </w:p>
          <w:p w14:paraId="08FE43D7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0020 wzoru CR SA</w:t>
            </w:r>
          </w:p>
        </w:tc>
      </w:tr>
      <w:tr w:rsidR="009D6580" w:rsidRPr="00BA5C71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oraz ekspozycje ADC</w:t>
            </w:r>
          </w:p>
          <w:p w14:paraId="6DD925ED" w14:textId="18FE790D" w:rsidR="009D6580" w:rsidRPr="00BA5C71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20657D" w:rsidRPr="00BA5C71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ekspozycje niebędące ekspozycjami IPRE (zabezpieczone)</w:t>
            </w:r>
          </w:p>
          <w:p w14:paraId="5BC0E4C6" w14:textId="5F815813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ekspozycje niebędące ekspozycjami IPRE (niezabezpieczone)</w:t>
            </w:r>
          </w:p>
          <w:p w14:paraId="607C903E" w14:textId="583159EA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inne – ekspozycje niebędące ekspozycjami IPRE</w:t>
            </w:r>
          </w:p>
          <w:p w14:paraId="311E3CF5" w14:textId="5245D766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ekspozycje IPRE</w:t>
            </w:r>
          </w:p>
          <w:p w14:paraId="2090782C" w14:textId="64D92CBC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mieszkalnych – inne – ekspozycje IPRE</w:t>
            </w:r>
          </w:p>
          <w:p w14:paraId="18E3F7B1" w14:textId="00D9A105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komercyjnych – ekspozycje niebędące ekspozycjami IPRE (zabezpieczone)</w:t>
            </w:r>
          </w:p>
          <w:p w14:paraId="1DD8A6CF" w14:textId="2D56F96D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komercyjnych – ekspozycje niebędące ekspozycjami IPRE (niezabezpieczone)</w:t>
            </w:r>
          </w:p>
          <w:p w14:paraId="37DA45D4" w14:textId="1AC5F0E1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komercyjnych – inne – ekspozycje niebędące ekspozycjami IPRE</w:t>
            </w:r>
          </w:p>
          <w:p w14:paraId="653F8A23" w14:textId="727D9E51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komercyjnych – ekspozycje IPRE</w:t>
            </w:r>
          </w:p>
          <w:p w14:paraId="5C23C6C1" w14:textId="64A934FD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zabezpieczone hipotekami na nieruchomościach komercyjnych – inne – ekspozycje IPRE</w:t>
            </w:r>
          </w:p>
          <w:p w14:paraId="4CFFBC8C" w14:textId="16697C60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20657D" w:rsidRPr="00BA5C71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BA5C71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FormatvorlageInstructionsTabelleText"/>
                <w:rFonts w:ascii="Times New Roman" w:hAnsi="Times New Roman"/>
                <w:sz w:val="24"/>
              </w:rPr>
              <w:t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2D4B2E13" w:rsidR="0020657D" w:rsidRPr="00BA5C71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związane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nab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yciem, zagospodarowaniem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zab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udową gruntu (ADC)</w:t>
            </w:r>
          </w:p>
          <w:p w14:paraId="0CFE246E" w14:textId="00399E0A" w:rsidR="0020657D" w:rsidRPr="00BA5C71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Zob. wzór CR SA</w:t>
            </w:r>
          </w:p>
        </w:tc>
      </w:tr>
      <w:tr w:rsidR="009D6580" w:rsidRPr="00BA5C71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w tym: ekspozycje wobec MŚP</w:t>
            </w:r>
          </w:p>
          <w:p w14:paraId="6A4AA475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0020 wzoru CR SA</w:t>
            </w:r>
          </w:p>
        </w:tc>
      </w:tr>
      <w:tr w:rsidR="009D6580" w:rsidRPr="00BA5C71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Ekspozycje, których dotyczy niewykonanie zobowiązania</w:t>
            </w:r>
          </w:p>
          <w:p w14:paraId="24E89ACE" w14:textId="643987A6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j)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3F8D12AB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ułu długu podporządkowanego</w:t>
            </w:r>
          </w:p>
          <w:p w14:paraId="7F19547A" w14:textId="64F8CCE1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k)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1D69024E" w:rsidR="009D6580" w:rsidRPr="00BA5C71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pos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taci obligacji zabezpieczonych</w:t>
            </w:r>
          </w:p>
          <w:p w14:paraId="68F7689A" w14:textId="2FB165AB" w:rsidR="009D6580" w:rsidRPr="00BA5C71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l)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0130</w:t>
            </w:r>
          </w:p>
          <w:p w14:paraId="7980BCE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28B7C98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tyt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ułu należności od instytucji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berschrif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berschrift"/>
                <w:rFonts w:ascii="Times New Roman" w:hAnsi="Times New Roman"/>
                <w:sz w:val="24"/>
              </w:rPr>
              <w:t>prz</w:t>
            </w: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edsiębiorstw posiadających krótkoterminową ocenę kredytową</w:t>
            </w:r>
          </w:p>
          <w:p w14:paraId="53F92677" w14:textId="674D2B03" w:rsidR="009D6580" w:rsidRPr="00BA5C71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n)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zbiorowego inwestowania</w:t>
            </w:r>
          </w:p>
          <w:p w14:paraId="6BE6CAC2" w14:textId="7DD49451" w:rsidR="009D6580" w:rsidRPr="00BA5C71" w:rsidRDefault="009D6580" w:rsidP="00822842">
            <w:pPr>
              <w:ind w:left="72"/>
              <w:rPr>
                <w:rFonts w:ascii="Times New Roman" w:hAnsi="Times New Roman"/>
                <w:bCs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o)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  <w:p w14:paraId="0FFD53A4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BA5C71">
              <w:rPr>
                <w:rFonts w:ascii="Times New Roman" w:hAnsi="Times New Roman"/>
                <w:sz w:val="24"/>
              </w:rPr>
              <w:t>Suma wierszy 0141–0143</w:t>
            </w:r>
          </w:p>
        </w:tc>
      </w:tr>
      <w:tr w:rsidR="009D6580" w:rsidRPr="00BA5C71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pełnego przeglądu</w:t>
            </w:r>
          </w:p>
          <w:p w14:paraId="00783183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0281 wzoru CR SA</w:t>
            </w:r>
          </w:p>
        </w:tc>
      </w:tr>
      <w:tr w:rsidR="009D6580" w:rsidRPr="00BA5C71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oparta na uprawnieniach</w:t>
            </w:r>
          </w:p>
          <w:p w14:paraId="1FD38657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0282 wzoru CR SA</w:t>
            </w:r>
          </w:p>
        </w:tc>
      </w:tr>
      <w:tr w:rsidR="009D6580" w:rsidRPr="00BA5C71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rezerwowa</w:t>
            </w:r>
          </w:p>
          <w:p w14:paraId="2EA9AADD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0283 wzoru CR SA</w:t>
            </w:r>
          </w:p>
        </w:tc>
      </w:tr>
      <w:tr w:rsidR="009D6580" w:rsidRPr="00BA5C71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kapitałowe</w:t>
            </w:r>
          </w:p>
          <w:p w14:paraId="3170DAFB" w14:textId="3A3CD96A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p)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Inne ekspozycje</w:t>
            </w:r>
          </w:p>
          <w:p w14:paraId="5D708342" w14:textId="7D7CC3AE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112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q)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BA5C71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całkowite</w:t>
            </w:r>
          </w:p>
        </w:tc>
      </w:tr>
    </w:tbl>
    <w:p w14:paraId="2EB3E5B0" w14:textId="77777777" w:rsidR="009D6580" w:rsidRPr="00BA5C71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  <w:bookmarkStart w:id="3" w:name="_Toc292456210"/>
    </w:p>
    <w:p w14:paraId="467F6DC6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360188364"/>
      <w:bookmarkStart w:id="5" w:name="_Toc473560915"/>
      <w:bookmarkStart w:id="6" w:name="_Toc151714419"/>
      <w:r w:rsidRPr="00BA5C71">
        <w:rPr>
          <w:rFonts w:ascii="Times New Roman" w:hAnsi="Times New Roman"/>
          <w:sz w:val="24"/>
          <w:u w:val="none"/>
        </w:rPr>
        <w:t>3.4.2.</w:t>
      </w:r>
      <w:r w:rsidRPr="00BA5C71">
        <w:tab/>
      </w:r>
      <w:r w:rsidRPr="00BA5C71">
        <w:rPr>
          <w:rFonts w:ascii="Times New Roman" w:hAnsi="Times New Roman"/>
          <w:sz w:val="24"/>
        </w:rPr>
        <w:t>C 09.02 – Podział ekspozycji pod względem geograficznym według siedziby dłużnika: ekspozycje według metody IRB</w:t>
      </w:r>
      <w:bookmarkEnd w:id="4"/>
      <w:r w:rsidRPr="00BA5C71">
        <w:rPr>
          <w:rFonts w:ascii="Times New Roman" w:hAnsi="Times New Roman"/>
          <w:sz w:val="24"/>
        </w:rPr>
        <w:t xml:space="preserve"> (CR GB 2)</w:t>
      </w:r>
      <w:bookmarkEnd w:id="5"/>
      <w:bookmarkEnd w:id="6"/>
    </w:p>
    <w:p w14:paraId="21A320CB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7" w:name="_Toc360188365"/>
      <w:bookmarkStart w:id="8" w:name="_Toc473560916"/>
      <w:bookmarkStart w:id="9" w:name="_Toc151714420"/>
      <w:r w:rsidRPr="00BA5C71">
        <w:rPr>
          <w:rFonts w:ascii="Times New Roman" w:hAnsi="Times New Roman"/>
          <w:sz w:val="24"/>
          <w:u w:val="none"/>
        </w:rPr>
        <w:t>3.4.2.1.</w:t>
      </w:r>
      <w:r w:rsidRPr="00BA5C71">
        <w:tab/>
      </w:r>
      <w:r w:rsidRPr="00BA5C71">
        <w:rPr>
          <w:rFonts w:ascii="Times New Roman" w:hAnsi="Times New Roman"/>
          <w:sz w:val="24"/>
        </w:rPr>
        <w:t>Instrukcje dotyczące poszczególnych pozycji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BA5C71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</w:rPr>
              <w:t>Kolumny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BA5C71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BA5C71" w14:paraId="4CF7BB7D" w14:textId="77777777" w:rsidTr="00822842">
        <w:tc>
          <w:tcPr>
            <w:tcW w:w="1188" w:type="dxa"/>
          </w:tcPr>
          <w:p w14:paraId="1DF8677F" w14:textId="77777777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DA72BDB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PIERWOTNA EKSPOZYCJA PRZED UWZGLĘDNIENIEM WSPÓŁCZYNNIKÓW KONWERSJI</w:t>
            </w:r>
          </w:p>
          <w:p w14:paraId="714A5DA7" w14:textId="77777777" w:rsidR="009D6580" w:rsidRPr="00BA5C71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Definicja taka sama jak dla kolumny 0020 wzoru CR IRB</w:t>
            </w:r>
          </w:p>
        </w:tc>
      </w:tr>
      <w:tr w:rsidR="009D6580" w:rsidRPr="00BA5C71" w14:paraId="770F3897" w14:textId="77777777" w:rsidTr="00822842">
        <w:tc>
          <w:tcPr>
            <w:tcW w:w="1188" w:type="dxa"/>
          </w:tcPr>
          <w:p w14:paraId="56E092E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640" w:type="dxa"/>
          </w:tcPr>
          <w:p w14:paraId="0071C394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cechujące się niewykonaniem zobowiązania</w:t>
            </w:r>
          </w:p>
          <w:p w14:paraId="2768B5B2" w14:textId="43D83048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Wartość pierwotnej ekspozycji dla tych ekspozycji, które zostały sklasyfikowane jako ekspozycje, których dotyczy niewykonanie zobowiązania zgodnie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art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. 178</w:t>
            </w:r>
            <w:r w:rsidRPr="00BA5C71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7AD6E18B" w14:textId="77777777" w:rsidTr="00822842">
        <w:tc>
          <w:tcPr>
            <w:tcW w:w="1188" w:type="dxa"/>
          </w:tcPr>
          <w:p w14:paraId="1DFAF6C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FD9DA2E" w14:textId="6C2247D2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Zaobserwowane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dan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ym okresie nowe przypadki niewykonania zobowiązania</w:t>
            </w:r>
          </w:p>
          <w:p w14:paraId="2393DECB" w14:textId="2CAE444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Kwotę pierwotnych ekspozycji, które sklasyfikowano jako „ekspozycje, których dotyczy niewykonanie zobowiązania”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okr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esie trzech miesięcy od ostatniego terminu przekazywania sprawozdania, zgłasza się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odn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iesieniu do kategorii ekspozycji, do której dłużnik należał pierwotnie. </w:t>
            </w:r>
          </w:p>
        </w:tc>
      </w:tr>
      <w:tr w:rsidR="009D6580" w:rsidRPr="00BA5C71" w14:paraId="382342DD" w14:textId="77777777" w:rsidTr="00822842">
        <w:tc>
          <w:tcPr>
            <w:tcW w:w="1188" w:type="dxa"/>
          </w:tcPr>
          <w:p w14:paraId="20977C7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E8FD64C" w14:textId="7AE8463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ogólnego ryzyka kredytowego</w:t>
            </w:r>
          </w:p>
          <w:p w14:paraId="1F1D0A5D" w14:textId="1E4D372F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Korekty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ryzyka kredytowego,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110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porządzeniu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183/2014</w:t>
            </w:r>
          </w:p>
        </w:tc>
      </w:tr>
      <w:tr w:rsidR="009D6580" w:rsidRPr="00BA5C71" w14:paraId="63C2E396" w14:textId="77777777" w:rsidTr="00822842">
        <w:tc>
          <w:tcPr>
            <w:tcW w:w="1188" w:type="dxa"/>
          </w:tcPr>
          <w:p w14:paraId="3BC8F12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26D828FB" w14:textId="3A98E286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szczególnego ryzyka kredytowego</w:t>
            </w:r>
          </w:p>
          <w:p w14:paraId="4DA8E76B" w14:textId="3F230203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Korekty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ryzyka kredytowego,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110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porządzeniu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183/2014</w:t>
            </w:r>
          </w:p>
        </w:tc>
      </w:tr>
      <w:tr w:rsidR="009D6580" w:rsidRPr="00BA5C71" w14:paraId="24582208" w14:textId="77777777" w:rsidTr="00822842">
        <w:tc>
          <w:tcPr>
            <w:tcW w:w="1188" w:type="dxa"/>
          </w:tcPr>
          <w:p w14:paraId="46A1EB0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4CC236D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Spisania</w:t>
            </w:r>
          </w:p>
          <w:p w14:paraId="51BEEB5D" w14:textId="248AE15B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Spisania,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któ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rych mowa w MSSF 9 pkt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5.4.4 i B5.4.9</w:t>
            </w:r>
          </w:p>
        </w:tc>
      </w:tr>
      <w:tr w:rsidR="009D6580" w:rsidRPr="00BA5C71" w14:paraId="615BD0D9" w14:textId="77777777" w:rsidTr="00822842">
        <w:tc>
          <w:tcPr>
            <w:tcW w:w="1188" w:type="dxa"/>
          </w:tcPr>
          <w:p w14:paraId="641E5F2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7C362C1E" w14:textId="495AD714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Korekty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tyt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ułu ryzyka kredytowego/spisania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zaobserwowanych nowych przypadków niewykonania zobowiązania</w:t>
            </w:r>
          </w:p>
          <w:p w14:paraId="454774E2" w14:textId="7EDD022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Suma korekt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tyt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ułu ryzyka kredytowego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spi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sań dla tych ekspozycji, które sklasyfikowano jako „ekspozycje, których dotyczy niewykonanie zobowiązania”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okr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esie trzech miesięcy od ostatniego terminu przekazywania sprawozdania.</w:t>
            </w:r>
          </w:p>
        </w:tc>
      </w:tr>
      <w:tr w:rsidR="009D6580" w:rsidRPr="00BA5C71" w14:paraId="4B7452D7" w14:textId="77777777" w:rsidTr="00822842">
        <w:tc>
          <w:tcPr>
            <w:tcW w:w="1188" w:type="dxa"/>
          </w:tcPr>
          <w:p w14:paraId="1A68115E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256EF248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SKALA RATINGU WEWNĘTRZNEGO/PD PRZYPISANE KLASIE JAKOŚCI LUB PULI DŁUŻNIKA (%)</w:t>
            </w:r>
          </w:p>
          <w:p w14:paraId="2C51714D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0010 wzoru CR IRB</w:t>
            </w:r>
          </w:p>
        </w:tc>
      </w:tr>
      <w:tr w:rsidR="009D6580" w:rsidRPr="00BA5C71" w14:paraId="18989AFE" w14:textId="77777777" w:rsidTr="00822842">
        <w:tc>
          <w:tcPr>
            <w:tcW w:w="1188" w:type="dxa"/>
          </w:tcPr>
          <w:p w14:paraId="489AE0F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B53BEB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ŚREDNIA WARTOŚĆ LGD WAŻONA EKSPOZYCJĄ (%)</w:t>
            </w:r>
          </w:p>
          <w:p w14:paraId="5BC89E8E" w14:textId="1C64FDE8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 0230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240 wzoru CR IRB: średnia wartość LGD ważona ekspozycją (%) dotyczy wszystkich ekspozycji,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tym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ekspozycji wobec dużych podmiotów sektora finansowego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nie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regulowanych podmiotów finansowych. Zastosowanie ma art. 181 ust.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h)</w:t>
            </w:r>
            <w:r w:rsidRPr="00BA5C71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A7794EA" w14:textId="3189564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 przypadku ekspozycji związanych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kre</w:t>
            </w:r>
            <w:r w:rsidRPr="00BA5C71">
              <w:rPr>
                <w:rFonts w:ascii="Times New Roman" w:hAnsi="Times New Roman"/>
                <w:sz w:val="24"/>
              </w:rPr>
              <w:t>dytowaniem specjalistycznym,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prz</w:t>
            </w:r>
            <w:r w:rsidRPr="00BA5C71">
              <w:rPr>
                <w:rFonts w:ascii="Times New Roman" w:hAnsi="Times New Roman"/>
                <w:sz w:val="24"/>
              </w:rPr>
              <w:t>ypadku których wartość PD jest szacunkowa, zgłaszana wartość powinna być szacunkową albo regulacyjną wartością LGD</w:t>
            </w:r>
            <w:r w:rsidR="00BA5C71" w:rsidRPr="00BA5C71">
              <w:rPr>
                <w:rFonts w:ascii="Times New Roman" w:hAnsi="Times New Roman"/>
                <w:sz w:val="24"/>
              </w:rPr>
              <w:t>.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odn</w:t>
            </w:r>
            <w:r w:rsidRPr="00BA5C71">
              <w:rPr>
                <w:rFonts w:ascii="Times New Roman" w:hAnsi="Times New Roman"/>
                <w:sz w:val="24"/>
              </w:rPr>
              <w:t>iesieniu do ekspozycji związanych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kre</w:t>
            </w:r>
            <w:r w:rsidRPr="00BA5C71">
              <w:rPr>
                <w:rFonts w:ascii="Times New Roman" w:hAnsi="Times New Roman"/>
                <w:sz w:val="24"/>
              </w:rPr>
              <w:t>dytowaniem specjalistycznym,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153 ust. 5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 nie zgłasza się danych, ponieważ nie są dostępne.</w:t>
            </w:r>
          </w:p>
        </w:tc>
      </w:tr>
      <w:tr w:rsidR="009D6580" w:rsidRPr="00BA5C71" w14:paraId="66756C12" w14:textId="77777777" w:rsidTr="00822842">
        <w:tc>
          <w:tcPr>
            <w:tcW w:w="1188" w:type="dxa"/>
          </w:tcPr>
          <w:p w14:paraId="317ECEC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68CF6D3A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cechujące się niewykonaniem zobowiązania</w:t>
            </w:r>
          </w:p>
          <w:p w14:paraId="789E281A" w14:textId="06FB5775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Wartość LGD ważona ekspozycją dla tych ekspozycji, które zostały sklasyfikowane jako ekspozycje, których dotyczy niewykonanie zobowiązania</w:t>
            </w:r>
            <w:r w:rsidRPr="00BA5C71">
              <w:rPr>
                <w:rFonts w:ascii="Times New Roman" w:hAnsi="Times New Roman"/>
                <w:sz w:val="24"/>
              </w:rPr>
              <w:t xml:space="preserve">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178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187792F5" w14:textId="77777777" w:rsidTr="00822842">
        <w:tc>
          <w:tcPr>
            <w:tcW w:w="1188" w:type="dxa"/>
          </w:tcPr>
          <w:p w14:paraId="41BFEDD8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0105</w:t>
            </w:r>
          </w:p>
        </w:tc>
        <w:tc>
          <w:tcPr>
            <w:tcW w:w="8640" w:type="dxa"/>
          </w:tcPr>
          <w:p w14:paraId="7B14423E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Wartość ekspozycji</w:t>
            </w:r>
          </w:p>
          <w:p w14:paraId="533E4F5D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0110 wzoru CR IRB W tym:</w:t>
            </w:r>
          </w:p>
        </w:tc>
      </w:tr>
      <w:tr w:rsidR="009D6580" w:rsidRPr="00BA5C71" w14:paraId="48402149" w14:textId="77777777" w:rsidTr="00822842">
        <w:tc>
          <w:tcPr>
            <w:tcW w:w="1188" w:type="dxa"/>
          </w:tcPr>
          <w:p w14:paraId="3E4D7142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FEC9EB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 EKSPOZYCJI WAŻONEJ RYZYKIEM PRZED UWZGLĘDNIENIEM WSPÓŁCZYNNIKÓW WSPARCIA</w:t>
            </w:r>
          </w:p>
          <w:p w14:paraId="38950726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0255 wzoru CR IRB W tym:</w:t>
            </w:r>
          </w:p>
        </w:tc>
      </w:tr>
      <w:tr w:rsidR="009D6580" w:rsidRPr="00BA5C71" w14:paraId="321AA4CE" w14:textId="77777777" w:rsidTr="00822842">
        <w:tc>
          <w:tcPr>
            <w:tcW w:w="1188" w:type="dxa"/>
          </w:tcPr>
          <w:p w14:paraId="5F49B73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2A07E1E7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cechujące się niewykonaniem zobowiązania</w:t>
            </w:r>
          </w:p>
          <w:p w14:paraId="0B72119F" w14:textId="799DF3EB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Kwota ekspozycji ważonej ryzykiem dla tych ekspozycji, które zostały sklasyfikowane jako ekspozycje, których dotyczy niewykonanie zobowiązania zgodnie</w:t>
            </w:r>
            <w:r w:rsidR="00BA5C71" w:rsidRPr="00BA5C71">
              <w:rPr>
                <w:rStyle w:val="InstructionsTabelleText"/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178 ust. 1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4F58B17C" w14:textId="77777777" w:rsidTr="00822842">
        <w:tc>
          <w:tcPr>
            <w:tcW w:w="1188" w:type="dxa"/>
          </w:tcPr>
          <w:p w14:paraId="4331347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0121</w:t>
            </w:r>
          </w:p>
        </w:tc>
        <w:tc>
          <w:tcPr>
            <w:tcW w:w="8640" w:type="dxa"/>
          </w:tcPr>
          <w:p w14:paraId="51B6E44A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(-) KOREKTA KWOTY EKSPOZYCJI WAŻONEJ RYZYKIEM WYNIKAJĄCA ZE WSPÓŁCZYNNIKA WSPARCIA MŚP</w:t>
            </w:r>
          </w:p>
          <w:p w14:paraId="7060DF05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0256 wzoru CR IRB W tym:</w:t>
            </w:r>
          </w:p>
        </w:tc>
      </w:tr>
      <w:tr w:rsidR="009D6580" w:rsidRPr="00BA5C71" w14:paraId="6DA9FCB6" w14:textId="77777777" w:rsidTr="00822842">
        <w:tc>
          <w:tcPr>
            <w:tcW w:w="1188" w:type="dxa"/>
          </w:tcPr>
          <w:p w14:paraId="189DC6D4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0122</w:t>
            </w:r>
          </w:p>
        </w:tc>
        <w:tc>
          <w:tcPr>
            <w:tcW w:w="8640" w:type="dxa"/>
          </w:tcPr>
          <w:p w14:paraId="77E17241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(-) KOREKTA KWOTY EKSPOZYCJI WAŻONEJ RYZYKIEM WYNIKAJĄCA ZE WSPÓŁCZYNNIKA WSPARCIA INFRASTRUKTURY</w:t>
            </w:r>
          </w:p>
          <w:p w14:paraId="1EE90D25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0257 wzoru CR IRB</w:t>
            </w:r>
          </w:p>
        </w:tc>
      </w:tr>
      <w:tr w:rsidR="009D6580" w:rsidRPr="00BA5C71" w14:paraId="0A79EDF4" w14:textId="77777777" w:rsidTr="00822842">
        <w:tc>
          <w:tcPr>
            <w:tcW w:w="1188" w:type="dxa"/>
          </w:tcPr>
          <w:p w14:paraId="2D50BBC4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8640" w:type="dxa"/>
          </w:tcPr>
          <w:p w14:paraId="0D402C8B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 EKSPOZYCJI WAŻONEJ RYZYKIEM PO UWZGLĘDNIENIU WSPÓŁCZYNNIKÓW WSPARCIA</w:t>
            </w:r>
          </w:p>
          <w:p w14:paraId="71F977E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0260 wzoru CR IRB</w:t>
            </w:r>
          </w:p>
        </w:tc>
      </w:tr>
      <w:tr w:rsidR="009D6580" w:rsidRPr="00BA5C71" w14:paraId="058051CC" w14:textId="77777777" w:rsidTr="00822842">
        <w:tc>
          <w:tcPr>
            <w:tcW w:w="1188" w:type="dxa"/>
          </w:tcPr>
          <w:p w14:paraId="02AA680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5E66C6B0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 OCZEKIWANEJ STRATY</w:t>
            </w:r>
          </w:p>
          <w:p w14:paraId="27E1337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Text"/>
                <w:rFonts w:ascii="Times New Roman" w:hAnsi="Times New Roman"/>
                <w:sz w:val="24"/>
              </w:rPr>
              <w:t>Definicja taka sama jak dla kolumny 0280 wzoru CR IRB</w:t>
            </w:r>
          </w:p>
        </w:tc>
      </w:tr>
    </w:tbl>
    <w:p w14:paraId="26CEB25D" w14:textId="77777777" w:rsidR="009D6580" w:rsidRPr="00BA5C71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BA5C71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</w:rPr>
              <w:t>Wiersze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BA5C71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BA5C71" w14:paraId="41D216F1" w14:textId="77777777" w:rsidTr="00822842">
        <w:tc>
          <w:tcPr>
            <w:tcW w:w="1188" w:type="dxa"/>
          </w:tcPr>
          <w:p w14:paraId="12CBEF0E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349EA927" w14:textId="0181FC8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wobec rządów centralnych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i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ban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ków centralnych </w:t>
            </w:r>
          </w:p>
          <w:p w14:paraId="45CC186E" w14:textId="42F39848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a)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samorządów regionalnych lub władz lokalnych</w:t>
            </w:r>
          </w:p>
          <w:p w14:paraId="4864E157" w14:textId="4DF7E9C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3a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wobec samorządów regionalnych lub władz lokalnych</w:t>
            </w:r>
          </w:p>
          <w:p w14:paraId="19FE9B53" w14:textId="2D2B6A55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 aa) pkt (i)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Ekspozycje wobec podmiotów sektora publicznego </w:t>
            </w:r>
          </w:p>
          <w:p w14:paraId="1DE1AAE7" w14:textId="29E16DF1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 aa) pkt (ii)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0C55C95D" w14:textId="77777777" w:rsidTr="00822842">
        <w:tc>
          <w:tcPr>
            <w:tcW w:w="1188" w:type="dxa"/>
          </w:tcPr>
          <w:p w14:paraId="6C8F06F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640" w:type="dxa"/>
          </w:tcPr>
          <w:p w14:paraId="460BDDF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wobec instytucji</w:t>
            </w:r>
          </w:p>
          <w:p w14:paraId="504F46A3" w14:textId="6C76753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b)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2B29BE20" w14:textId="77777777" w:rsidTr="00822842">
        <w:tc>
          <w:tcPr>
            <w:tcW w:w="1188" w:type="dxa"/>
          </w:tcPr>
          <w:p w14:paraId="521AA8B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63C7233C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Ekspozycje wobec przedsiębiorstw </w:t>
            </w:r>
          </w:p>
          <w:p w14:paraId="699F9BD2" w14:textId="08898376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Wszystkie ekspozycje wobec przedsiębiorstw,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c)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55C3FE5A" w14:textId="77777777" w:rsidTr="00822842">
        <w:tc>
          <w:tcPr>
            <w:tcW w:w="1188" w:type="dxa"/>
          </w:tcPr>
          <w:p w14:paraId="198D8F58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6C0F4F0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MŚP</w:t>
            </w:r>
          </w:p>
          <w:p w14:paraId="13819074" w14:textId="37C7B80A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c)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  <w:p w14:paraId="6C8F6FE1" w14:textId="17A18E42" w:rsidR="009D6580" w:rsidRPr="00BA5C71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Dla celów klasyfikacji do tej kategorii subekspozycji jednostki sprawozdawcze stosują definicję MŚP określoną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B56773" w:rsidRPr="00BA5C71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BA5C71" w:rsidRDefault="00B56773" w:rsidP="007400C4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Pr="00BA5C71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dużych przedsiębiorstw</w:t>
            </w:r>
          </w:p>
          <w:p w14:paraId="503F359E" w14:textId="524FC617" w:rsidR="00B56773" w:rsidRPr="00BA5C71" w:rsidRDefault="00B56773" w:rsidP="00B56773">
            <w:pPr>
              <w:rPr>
                <w:rFonts w:ascii="Times New Roman" w:hAnsi="Times New Roman"/>
                <w:bCs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c)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  <w:p w14:paraId="23F8CBD6" w14:textId="0F8B7F49" w:rsidR="00B56773" w:rsidRPr="00BA5C71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Dla celów klasyfikacji do tej kategorii subekspozycji jednostki sprawozdawcze stosują definicję dużego przedsiębiorstwa określoną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142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 pkt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5a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56773" w:rsidRPr="00BA5C71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BA5C71" w:rsidDel="000306F2" w:rsidRDefault="00B56773" w:rsidP="007400C4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57177BA6" w:rsidR="00B56773" w:rsidRPr="00BA5C71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związane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kre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dytowaniem specjalistycznym</w:t>
            </w:r>
          </w:p>
          <w:p w14:paraId="510C1D3E" w14:textId="1CECCB39" w:rsidR="00B56773" w:rsidRPr="00BA5C71" w:rsidDel="000306F2" w:rsidRDefault="00B56773" w:rsidP="007400C4">
            <w:pPr>
              <w:rPr>
                <w:rFonts w:ascii="Times New Roman" w:hAnsi="Times New Roman"/>
                <w:bCs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c) pkt (ii)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1.</w:t>
            </w:r>
          </w:p>
        </w:tc>
      </w:tr>
      <w:tr w:rsidR="00B56773" w:rsidRPr="00BA5C71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00BA5C71" w:rsidRDefault="00B56773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0053–0056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0244836C" w:rsidR="00B56773" w:rsidRPr="00BA5C71" w:rsidRDefault="00B56773" w:rsidP="00B56773">
            <w:pPr>
              <w:rPr>
                <w:rFonts w:ascii="Times New Roman" w:hAnsi="Times New Roman"/>
                <w:b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Kredytowanie specjalistyczne</w:t>
            </w:r>
            <w:r w:rsidRPr="00BA5C71">
              <w:rPr>
                <w:rFonts w:ascii="Times New Roman" w:hAnsi="Times New Roman"/>
                <w:b/>
                <w:sz w:val="24"/>
              </w:rPr>
              <w:t xml:space="preserve"> – rodzaje ekspozycji związanych</w:t>
            </w:r>
            <w:r w:rsidR="00BA5C71" w:rsidRPr="00BA5C71">
              <w:rPr>
                <w:rFonts w:ascii="Times New Roman" w:hAnsi="Times New Roman"/>
                <w:b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b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</w:rPr>
              <w:t>kre</w:t>
            </w:r>
            <w:r w:rsidRPr="00BA5C71">
              <w:rPr>
                <w:rFonts w:ascii="Times New Roman" w:hAnsi="Times New Roman"/>
                <w:b/>
                <w:sz w:val="24"/>
              </w:rPr>
              <w:t>dytowaniem specjalistycznym</w:t>
            </w:r>
          </w:p>
          <w:p w14:paraId="1E4AC942" w14:textId="359AEFD1" w:rsidR="00B56773" w:rsidRPr="00BA5C71" w:rsidRDefault="00B56773" w:rsidP="00822842">
            <w:pPr>
              <w:rPr>
                <w:rFonts w:ascii="Times New Roman" w:hAnsi="Times New Roman"/>
                <w:bCs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Instytucje zgłaszają rodzaje ekspozycji związanych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kre</w:t>
            </w:r>
            <w:r w:rsidRPr="00BA5C71">
              <w:rPr>
                <w:rFonts w:ascii="Times New Roman" w:hAnsi="Times New Roman"/>
                <w:sz w:val="24"/>
              </w:rPr>
              <w:t>dytowaniem specjalistycznym,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8 akapit drugi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odp</w:t>
            </w:r>
            <w:r w:rsidRPr="00BA5C71">
              <w:rPr>
                <w:rFonts w:ascii="Times New Roman" w:hAnsi="Times New Roman"/>
                <w:sz w:val="24"/>
              </w:rPr>
              <w:t>owiednim wierszu: kredytowanie specjalistyczne – „finansowanie typu project finance”, „finansowanie obiektów”, „finansowanie towarów” i „nieruchomości przynoszące dochody” (IPRE).</w:t>
            </w:r>
          </w:p>
        </w:tc>
      </w:tr>
      <w:tr w:rsidR="009D6580" w:rsidRPr="00BA5C71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Nabyte wierzytelności</w:t>
            </w:r>
          </w:p>
          <w:p w14:paraId="40628222" w14:textId="5CD23D23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c) pkt (iii)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F16E4D" w:rsidRPr="00BA5C71" w14:paraId="27B47EEA" w14:textId="77777777" w:rsidTr="00822842">
        <w:tc>
          <w:tcPr>
            <w:tcW w:w="1188" w:type="dxa"/>
          </w:tcPr>
          <w:p w14:paraId="329ABF25" w14:textId="3906F1E5" w:rsidR="00F16E4D" w:rsidRPr="00BA5C71" w:rsidRDefault="00F16E4D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0058</w:t>
            </w:r>
          </w:p>
        </w:tc>
        <w:tc>
          <w:tcPr>
            <w:tcW w:w="8640" w:type="dxa"/>
          </w:tcPr>
          <w:p w14:paraId="27CFAA09" w14:textId="513D8D7F" w:rsidR="00F16E4D" w:rsidRPr="00BA5C71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Inne</w:t>
            </w:r>
          </w:p>
          <w:p w14:paraId="75A3CB20" w14:textId="7C46149B" w:rsidR="00F16E4D" w:rsidRPr="00BA5C71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 I) pkt (i)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3CAC5C4A" w14:textId="77777777" w:rsidTr="00822842">
        <w:tc>
          <w:tcPr>
            <w:tcW w:w="1188" w:type="dxa"/>
          </w:tcPr>
          <w:p w14:paraId="50AFEE2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84F36E4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detaliczne</w:t>
            </w:r>
          </w:p>
          <w:p w14:paraId="61F98691" w14:textId="3A55E1E8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Wszystkie 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3126FC45" w14:textId="77777777" w:rsidTr="00822842">
        <w:tc>
          <w:tcPr>
            <w:tcW w:w="1188" w:type="dxa"/>
          </w:tcPr>
          <w:p w14:paraId="3B5D672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094A84E8" w14:textId="1D426AD8" w:rsidR="009D6580" w:rsidRPr="00BA5C71" w:rsidRDefault="005B37F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detaliczne – zabezpieczone nieruchomością</w:t>
            </w:r>
          </w:p>
          <w:p w14:paraId="35B1F6E7" w14:textId="05DC3F25" w:rsidR="00FD0F61" w:rsidRPr="00BA5C71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 zabezpieczone nieruchomościami,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def</w:t>
            </w:r>
            <w:r w:rsidRPr="00BA5C71">
              <w:rPr>
                <w:rFonts w:ascii="Times New Roman" w:hAnsi="Times New Roman"/>
                <w:sz w:val="24"/>
              </w:rPr>
              <w:t>inicją określoną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4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 pkt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75f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  <w:p w14:paraId="0CD06107" w14:textId="22291817" w:rsidR="009D6580" w:rsidRPr="00BA5C71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D6580" w:rsidRPr="00BA5C71" w14:paraId="49CD7917" w14:textId="77777777" w:rsidTr="00822842">
        <w:tc>
          <w:tcPr>
            <w:tcW w:w="1188" w:type="dxa"/>
          </w:tcPr>
          <w:p w14:paraId="3FA8BBC8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4738C3E5" w14:textId="186F9DD4" w:rsidR="009D6580" w:rsidRPr="00BA5C71" w:rsidRDefault="00FD0F61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MŚP</w:t>
            </w:r>
          </w:p>
          <w:p w14:paraId="67BFF2AB" w14:textId="542EEC75" w:rsidR="009D6580" w:rsidRPr="00BA5C71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 zgłoszone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>ycjach B.6.1–B.6.4,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</w:t>
            </w:r>
            <w:r w:rsidRPr="00BA5C71">
              <w:rPr>
                <w:rFonts w:ascii="Times New Roman" w:hAnsi="Times New Roman"/>
                <w:sz w:val="24"/>
              </w:rPr>
              <w:t>zabezpieczone nieruchomościami,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def</w:t>
            </w:r>
            <w:r w:rsidRPr="00BA5C71">
              <w:rPr>
                <w:rFonts w:ascii="Times New Roman" w:hAnsi="Times New Roman"/>
                <w:sz w:val="24"/>
              </w:rPr>
              <w:t>inicją określoną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4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 pkt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75f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zwi</w:t>
            </w:r>
            <w:r w:rsidRPr="00BA5C71">
              <w:rPr>
                <w:rFonts w:ascii="Times New Roman" w:hAnsi="Times New Roman"/>
                <w:sz w:val="24"/>
              </w:rPr>
              <w:t>ązku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9D6580" w:rsidRPr="00BA5C71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BA5C71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podmiotów niebędących MŚP</w:t>
            </w:r>
          </w:p>
          <w:p w14:paraId="68647661" w14:textId="1FC97F95" w:rsidR="00837F98" w:rsidRPr="00BA5C71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 zgłoszone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>ycjach B.6.1–B.6.4,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</w:t>
            </w:r>
            <w:r w:rsidRPr="00BA5C71">
              <w:rPr>
                <w:rFonts w:ascii="Times New Roman" w:hAnsi="Times New Roman"/>
                <w:sz w:val="24"/>
              </w:rPr>
              <w:t>zabezpieczone nieruchomościami,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def</w:t>
            </w:r>
            <w:r w:rsidRPr="00BA5C71">
              <w:rPr>
                <w:rFonts w:ascii="Times New Roman" w:hAnsi="Times New Roman"/>
                <w:sz w:val="24"/>
              </w:rPr>
              <w:t>inicją określoną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4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 pkt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75f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575/2013, 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zwi</w:t>
            </w:r>
            <w:r w:rsidRPr="00BA5C71">
              <w:rPr>
                <w:rFonts w:ascii="Times New Roman" w:hAnsi="Times New Roman"/>
                <w:sz w:val="24"/>
              </w:rPr>
              <w:t>ązku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  <w:p w14:paraId="34F371DC" w14:textId="683F21EB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BA5C71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BA5C71" w:rsidRDefault="00910F63" w:rsidP="007400C4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BA5C71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zabezpieczone nieruchomościami mieszkalnymi</w:t>
            </w:r>
          </w:p>
          <w:p w14:paraId="3B8B837D" w14:textId="4DAD6343" w:rsidR="00910F63" w:rsidRPr="00BA5C71" w:rsidRDefault="00910F63" w:rsidP="00910F63">
            <w:pPr>
              <w:rPr>
                <w:rFonts w:ascii="Times New Roman" w:hAnsi="Times New Roman"/>
                <w:bCs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d) pkt (ii)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  <w:p w14:paraId="7240267A" w14:textId="77777777" w:rsidR="00910F63" w:rsidRPr="00BA5C71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Za ekspozycje detaliczne zabezpieczone nieruchomościami mieszkalnymi uznaje się wszelkie ekspozycje detaliczne zabezpieczone nieruchomościami mieszkalnymi uznanymi za zabezpieczenie, niezależnie od stosunku wartości zabezpieczenia do wartości ekspozycji lub od celu pożyczki.</w:t>
            </w:r>
          </w:p>
        </w:tc>
      </w:tr>
      <w:tr w:rsidR="009D6580" w:rsidRPr="00BA5C71" w14:paraId="38AD5BBA" w14:textId="77777777" w:rsidTr="00822842">
        <w:tc>
          <w:tcPr>
            <w:tcW w:w="1188" w:type="dxa"/>
          </w:tcPr>
          <w:p w14:paraId="48A5C8D2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1B160106" w14:textId="7C65E11F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kwalifikowane ekspozycje odnawialne</w:t>
            </w:r>
          </w:p>
          <w:p w14:paraId="363209C3" w14:textId="2AD5423D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d) pkt (i)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zwi</w:t>
            </w:r>
            <w:r w:rsidRPr="00BA5C71">
              <w:rPr>
                <w:rFonts w:ascii="Times New Roman" w:hAnsi="Times New Roman"/>
                <w:sz w:val="24"/>
              </w:rPr>
              <w:t>ązku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154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4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26D0338D" w14:textId="77777777" w:rsidTr="00822842">
        <w:tc>
          <w:tcPr>
            <w:tcW w:w="1188" w:type="dxa"/>
          </w:tcPr>
          <w:p w14:paraId="6DA4B8E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63563096" w14:textId="485ECEE6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Nabyte wierzytelności</w:t>
            </w:r>
          </w:p>
          <w:p w14:paraId="7C92CD05" w14:textId="459D8083" w:rsidR="009D6580" w:rsidRPr="00BA5C71" w:rsidRDefault="009D6580" w:rsidP="00822842">
            <w:pPr>
              <w:rPr>
                <w:rFonts w:cs="Calibri"/>
                <w:sz w:val="18"/>
                <w:szCs w:val="18"/>
              </w:rPr>
            </w:pPr>
            <w:r w:rsidRPr="00BA5C71">
              <w:rPr>
                <w:rFonts w:ascii="Times New Roman" w:hAnsi="Times New Roman"/>
                <w:sz w:val="24"/>
              </w:rPr>
              <w:t>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d) pkt (iii)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551F153F" w14:textId="77777777" w:rsidTr="00822842">
        <w:tc>
          <w:tcPr>
            <w:tcW w:w="1188" w:type="dxa"/>
          </w:tcPr>
          <w:p w14:paraId="1C56701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169086" w14:textId="5BA51B7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Inne ekspozycje detaliczne</w:t>
            </w:r>
          </w:p>
          <w:p w14:paraId="6BB335AD" w14:textId="7B9EEFBF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Inne 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d) pkt (iv)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1879AB2D" w14:textId="77777777" w:rsidTr="00822842">
        <w:tc>
          <w:tcPr>
            <w:tcW w:w="1188" w:type="dxa"/>
          </w:tcPr>
          <w:p w14:paraId="247F0534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37F76446" w14:textId="0C2F5C96" w:rsidR="009D6580" w:rsidRPr="00BA5C71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MŚP</w:t>
            </w:r>
          </w:p>
          <w:p w14:paraId="28CE96BD" w14:textId="5EE5D0B0" w:rsidR="009D6580" w:rsidRPr="00BA5C71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Inne 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pkt (iv)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zwi</w:t>
            </w:r>
            <w:r w:rsidRPr="00BA5C71">
              <w:rPr>
                <w:rFonts w:ascii="Times New Roman" w:hAnsi="Times New Roman"/>
                <w:sz w:val="24"/>
              </w:rPr>
              <w:t>ązku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 xml:space="preserve">575/2013). </w:t>
            </w:r>
          </w:p>
        </w:tc>
      </w:tr>
      <w:tr w:rsidR="009D6580" w:rsidRPr="00BA5C71" w14:paraId="6140E6E8" w14:textId="77777777" w:rsidTr="00822842">
        <w:tc>
          <w:tcPr>
            <w:tcW w:w="1188" w:type="dxa"/>
          </w:tcPr>
          <w:p w14:paraId="4DD0078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40BDF108" w14:textId="2B96A314" w:rsidR="009D6580" w:rsidRPr="00BA5C71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 tym: ekspozycje wobec podmiotów niebędących MŚP</w:t>
            </w:r>
          </w:p>
          <w:p w14:paraId="51D486B6" w14:textId="5D54A104" w:rsidR="009D6580" w:rsidRPr="00BA5C71" w:rsidRDefault="00837F98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Inne ekspozycje detaliczne,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d) pkt (iv)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zwi</w:t>
            </w:r>
            <w:r w:rsidRPr="00BA5C71">
              <w:rPr>
                <w:rFonts w:ascii="Times New Roman" w:hAnsi="Times New Roman"/>
                <w:sz w:val="24"/>
              </w:rPr>
              <w:t>ązku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575/2013).</w:t>
            </w:r>
          </w:p>
        </w:tc>
      </w:tr>
      <w:tr w:rsidR="009D6580" w:rsidRPr="00BA5C71" w14:paraId="70A29A85" w14:textId="77777777" w:rsidTr="00822842">
        <w:tc>
          <w:tcPr>
            <w:tcW w:w="1188" w:type="dxa"/>
          </w:tcPr>
          <w:p w14:paraId="5C28748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640" w:type="dxa"/>
          </w:tcPr>
          <w:p w14:paraId="170B9280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Ekspozycje wobec przedsiębiorstw zbiorowego inwestowania</w:t>
            </w:r>
          </w:p>
          <w:p w14:paraId="4237C58D" w14:textId="3FA3C8AA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Art. 147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2 lit. ea)</w:t>
            </w:r>
            <w:r w:rsidRPr="00BA5C71">
              <w:t xml:space="preserve"> </w:t>
            </w:r>
            <w:r w:rsidRPr="00BA5C71">
              <w:rPr>
                <w:rFonts w:ascii="Times New Roman" w:hAnsi="Times New Roman"/>
                <w:sz w:val="24"/>
              </w:rPr>
              <w:t>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72EBDFDD" w14:textId="77777777" w:rsidTr="00822842">
        <w:tc>
          <w:tcPr>
            <w:tcW w:w="1188" w:type="dxa"/>
          </w:tcPr>
          <w:p w14:paraId="290EDA8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0133</w:t>
            </w:r>
          </w:p>
        </w:tc>
        <w:tc>
          <w:tcPr>
            <w:tcW w:w="8640" w:type="dxa"/>
          </w:tcPr>
          <w:p w14:paraId="39E22A69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pełnego przeglądu</w:t>
            </w:r>
          </w:p>
          <w:p w14:paraId="3481CEEB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Definicja taka sama jak dla wiersza 0190 wzoru CR IRB</w:t>
            </w:r>
          </w:p>
        </w:tc>
      </w:tr>
      <w:tr w:rsidR="009D6580" w:rsidRPr="00BA5C71" w14:paraId="6520599F" w14:textId="77777777" w:rsidTr="00822842">
        <w:tc>
          <w:tcPr>
            <w:tcW w:w="1188" w:type="dxa"/>
          </w:tcPr>
          <w:p w14:paraId="5DF820F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0134</w:t>
            </w:r>
          </w:p>
        </w:tc>
        <w:tc>
          <w:tcPr>
            <w:tcW w:w="8640" w:type="dxa"/>
          </w:tcPr>
          <w:p w14:paraId="13156AFE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oparta na uprawnieniach</w:t>
            </w:r>
          </w:p>
          <w:p w14:paraId="37B63BC9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0200 wzoru CR IRB</w:t>
            </w:r>
          </w:p>
        </w:tc>
      </w:tr>
      <w:tr w:rsidR="009D6580" w:rsidRPr="00BA5C71" w14:paraId="57B2C532" w14:textId="77777777" w:rsidTr="00822842">
        <w:tc>
          <w:tcPr>
            <w:tcW w:w="1188" w:type="dxa"/>
          </w:tcPr>
          <w:p w14:paraId="251B0D2B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0135</w:t>
            </w:r>
          </w:p>
        </w:tc>
        <w:tc>
          <w:tcPr>
            <w:tcW w:w="8640" w:type="dxa"/>
          </w:tcPr>
          <w:p w14:paraId="19D4ED63" w14:textId="77777777" w:rsidR="009D6580" w:rsidRPr="00BA5C71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A5C71">
              <w:rPr>
                <w:rStyle w:val="InstructionsTabelleberschrift"/>
                <w:rFonts w:ascii="Times New Roman" w:hAnsi="Times New Roman"/>
                <w:sz w:val="24"/>
              </w:rPr>
              <w:t>Metoda rezerwowa</w:t>
            </w:r>
          </w:p>
          <w:p w14:paraId="18A39C60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Definicja taka sama jak dla wiersza 0210 wzoru CR IRB</w:t>
            </w:r>
          </w:p>
        </w:tc>
      </w:tr>
      <w:bookmarkEnd w:id="3"/>
      <w:tr w:rsidR="009D6580" w:rsidRPr="00BA5C71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kapitałowe</w:t>
            </w:r>
          </w:p>
          <w:p w14:paraId="1A033F11" w14:textId="137F8603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Ekspozycje kapitałowe,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147 ust. 2 lit. e)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</w:t>
            </w:r>
          </w:p>
        </w:tc>
      </w:tr>
      <w:tr w:rsidR="009D6580" w:rsidRPr="00BA5C71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Ekspozycje całkowite</w:t>
            </w:r>
          </w:p>
        </w:tc>
      </w:tr>
    </w:tbl>
    <w:p w14:paraId="77289230" w14:textId="77777777" w:rsidR="009D6580" w:rsidRPr="00BA5C71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60188366"/>
      <w:bookmarkStart w:id="11" w:name="_Toc473560917"/>
      <w:bookmarkStart w:id="12" w:name="_Toc151714421"/>
      <w:r w:rsidRPr="00BA5C71">
        <w:rPr>
          <w:rFonts w:ascii="Times New Roman" w:hAnsi="Times New Roman"/>
          <w:sz w:val="24"/>
          <w:u w:val="none"/>
        </w:rPr>
        <w:t>3.4.3.</w:t>
      </w:r>
      <w:r w:rsidRPr="00BA5C71">
        <w:tab/>
      </w:r>
      <w:r w:rsidRPr="00BA5C71">
        <w:rPr>
          <w:rFonts w:ascii="Times New Roman" w:hAnsi="Times New Roman"/>
          <w:sz w:val="24"/>
        </w:rPr>
        <w:t xml:space="preserve">C 09.04 – Podział ekspozycji kredytowych istotnych do celów obliczania bufora antycyklicznego według państw oraz specyficznego dla instytucji wskaźnika bufora antycyklicznego </w:t>
      </w:r>
      <w:bookmarkEnd w:id="10"/>
      <w:r w:rsidRPr="00BA5C71">
        <w:rPr>
          <w:rFonts w:ascii="Times New Roman" w:hAnsi="Times New Roman"/>
          <w:sz w:val="24"/>
        </w:rPr>
        <w:t>(CCB)</w:t>
      </w:r>
      <w:bookmarkEnd w:id="11"/>
      <w:bookmarkEnd w:id="12"/>
    </w:p>
    <w:p w14:paraId="600FC3A3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360188367"/>
      <w:bookmarkStart w:id="14" w:name="_Toc473560918"/>
      <w:bookmarkStart w:id="15" w:name="_Toc151714422"/>
      <w:r w:rsidRPr="00BA5C71">
        <w:rPr>
          <w:rFonts w:ascii="Times New Roman" w:hAnsi="Times New Roman"/>
          <w:sz w:val="24"/>
          <w:u w:val="none"/>
        </w:rPr>
        <w:t>3.4.3.1.</w:t>
      </w:r>
      <w:r w:rsidRPr="00BA5C71">
        <w:tab/>
      </w:r>
      <w:r w:rsidRPr="00BA5C71">
        <w:rPr>
          <w:rFonts w:ascii="Times New Roman" w:hAnsi="Times New Roman"/>
          <w:sz w:val="24"/>
        </w:rPr>
        <w:t>Uwagi ogólne</w:t>
      </w:r>
      <w:bookmarkEnd w:id="13"/>
      <w:bookmarkEnd w:id="14"/>
      <w:bookmarkEnd w:id="15"/>
    </w:p>
    <w:p w14:paraId="57D13BA6" w14:textId="1E2F5DB4" w:rsidR="009D6580" w:rsidRPr="00BA5C71" w:rsidRDefault="009D6580" w:rsidP="009D6580">
      <w:pPr>
        <w:pStyle w:val="InstructionsText2"/>
        <w:numPr>
          <w:ilvl w:val="0"/>
          <w:numId w:val="0"/>
        </w:numPr>
        <w:ind w:left="993"/>
      </w:pPr>
      <w:r w:rsidRPr="00BA5C71">
        <w:fldChar w:fldCharType="begin"/>
      </w:r>
      <w:r w:rsidRPr="00BA5C71">
        <w:instrText>seq paragraphs</w:instrText>
      </w:r>
      <w:r w:rsidRPr="00BA5C71">
        <w:fldChar w:fldCharType="separate"/>
      </w:r>
      <w:r w:rsidRPr="00BA5C71">
        <w:t>88</w:t>
      </w:r>
      <w:r w:rsidRPr="00BA5C71">
        <w:fldChar w:fldCharType="end"/>
      </w:r>
      <w:r w:rsidRPr="00BA5C71">
        <w:t>.</w:t>
      </w:r>
      <w:r w:rsidRPr="00BA5C71">
        <w:tab/>
        <w:t>Wzór ten służy uzyskaniu większej ilości informacji dotyczących składników specyficznego dla instytucji bufora antycyklicznego. Żądane informacje dotyczą wymogów</w:t>
      </w:r>
      <w:r w:rsidR="00BA5C71" w:rsidRPr="00BA5C71">
        <w:t xml:space="preserve"> w</w:t>
      </w:r>
      <w:r w:rsidR="00BA5C71">
        <w:t> </w:t>
      </w:r>
      <w:r w:rsidR="00BA5C71" w:rsidRPr="00BA5C71">
        <w:t>zak</w:t>
      </w:r>
      <w:r w:rsidRPr="00BA5C71">
        <w:t>resie funduszy własnych określonych zgodnie</w:t>
      </w:r>
      <w:r w:rsidR="00BA5C71" w:rsidRPr="00BA5C71">
        <w:t xml:space="preserve"> z</w:t>
      </w:r>
      <w:r w:rsidR="00BA5C71">
        <w:t> </w:t>
      </w:r>
      <w:r w:rsidR="00BA5C71" w:rsidRPr="00BA5C71">
        <w:t>czę</w:t>
      </w:r>
      <w:r w:rsidRPr="00BA5C71">
        <w:t>ścią trzecią tytuł II i IV rozporządzenia (UE) nr</w:t>
      </w:r>
      <w:r w:rsidR="00BA5C71" w:rsidRPr="00BA5C71">
        <w:t> </w:t>
      </w:r>
      <w:r w:rsidRPr="00BA5C71">
        <w:t>575/2013 oraz lokalizacji geograficznej ekspozycji kredytowych, ekspozycji</w:t>
      </w:r>
      <w:r w:rsidR="00BA5C71" w:rsidRPr="00BA5C71">
        <w:t xml:space="preserve"> z</w:t>
      </w:r>
      <w:r w:rsidR="00BA5C71">
        <w:t> </w:t>
      </w:r>
      <w:r w:rsidR="00BA5C71" w:rsidRPr="00BA5C71">
        <w:t>tyt</w:t>
      </w:r>
      <w:r w:rsidRPr="00BA5C71">
        <w:t>ułu sekurytyzacji oraz ekspozycji zaliczanych do portfela handlowego istotnych do celów obliczania specyficznego dla instytucji bufora antycyklicznego zgodnie</w:t>
      </w:r>
      <w:r w:rsidR="00BA5C71" w:rsidRPr="00BA5C71">
        <w:t xml:space="preserve"> z</w:t>
      </w:r>
      <w:r w:rsidR="00BA5C71">
        <w:t> </w:t>
      </w:r>
      <w:r w:rsidR="00BA5C71" w:rsidRPr="00BA5C71">
        <w:t>art</w:t>
      </w:r>
      <w:r w:rsidRPr="00BA5C71">
        <w:t xml:space="preserve">. 140 dyrektywy 2013/36/UE (odnośne ekspozycje kredytowe). </w:t>
      </w:r>
    </w:p>
    <w:p w14:paraId="10EA3DAD" w14:textId="23D18328" w:rsidR="009D6580" w:rsidRPr="00BA5C71" w:rsidRDefault="009D6580" w:rsidP="009D6580">
      <w:pPr>
        <w:pStyle w:val="InstructionsText2"/>
        <w:numPr>
          <w:ilvl w:val="0"/>
          <w:numId w:val="0"/>
        </w:numPr>
        <w:ind w:left="993"/>
      </w:pPr>
      <w:r w:rsidRPr="00BA5C71">
        <w:fldChar w:fldCharType="begin"/>
      </w:r>
      <w:r w:rsidRPr="00BA5C71">
        <w:instrText>seq paragraphs</w:instrText>
      </w:r>
      <w:r w:rsidRPr="00BA5C71">
        <w:fldChar w:fldCharType="separate"/>
      </w:r>
      <w:r w:rsidRPr="00BA5C71">
        <w:t>89</w:t>
      </w:r>
      <w:r w:rsidRPr="00BA5C71">
        <w:fldChar w:fldCharType="end"/>
      </w:r>
      <w:r w:rsidRPr="00BA5C71">
        <w:t>.</w:t>
      </w:r>
      <w:r w:rsidRPr="00BA5C71">
        <w:tab/>
        <w:t>Informacje przewidziane we wzorze C 09.04 podaje się dla odnośnych ekspozycji kredytowych „razem” dla wszystkich jurysdykcji,</w:t>
      </w:r>
      <w:r w:rsidR="00BA5C71" w:rsidRPr="00BA5C71">
        <w:t xml:space="preserve"> w</w:t>
      </w:r>
      <w:r w:rsidR="00BA5C71">
        <w:t> </w:t>
      </w:r>
      <w:r w:rsidR="00BA5C71" w:rsidRPr="00BA5C71">
        <w:t>któ</w:t>
      </w:r>
      <w:r w:rsidRPr="00BA5C71">
        <w:t>rych zlokalizowane są te ekspozycje, oraz indywidualnie dla każdej</w:t>
      </w:r>
      <w:r w:rsidR="00BA5C71" w:rsidRPr="00BA5C71">
        <w:t xml:space="preserve"> z</w:t>
      </w:r>
      <w:r w:rsidR="00BA5C71">
        <w:t> </w:t>
      </w:r>
      <w:r w:rsidR="00BA5C71" w:rsidRPr="00BA5C71">
        <w:t>jur</w:t>
      </w:r>
      <w:r w:rsidRPr="00BA5C71">
        <w:t>ysdykcji,</w:t>
      </w:r>
      <w:r w:rsidR="00BA5C71" w:rsidRPr="00BA5C71">
        <w:t xml:space="preserve"> w</w:t>
      </w:r>
      <w:r w:rsidR="00BA5C71">
        <w:t> </w:t>
      </w:r>
      <w:r w:rsidR="00BA5C71" w:rsidRPr="00BA5C71">
        <w:t>któ</w:t>
      </w:r>
      <w:r w:rsidRPr="00BA5C71">
        <w:t>rej zlokalizowane są odnośne ekspozycje kredytowe. Łączne dane oraz informacje</w:t>
      </w:r>
      <w:r w:rsidR="00BA5C71" w:rsidRPr="00BA5C71">
        <w:t xml:space="preserve"> o</w:t>
      </w:r>
      <w:r w:rsidR="00BA5C71">
        <w:t> </w:t>
      </w:r>
      <w:r w:rsidR="00BA5C71" w:rsidRPr="00BA5C71">
        <w:t>każ</w:t>
      </w:r>
      <w:r w:rsidRPr="00BA5C71">
        <w:t>dej jurysdykcji zgłasza się</w:t>
      </w:r>
      <w:r w:rsidR="00BA5C71" w:rsidRPr="00BA5C71">
        <w:t xml:space="preserve"> w</w:t>
      </w:r>
      <w:r w:rsidR="00BA5C71">
        <w:t> </w:t>
      </w:r>
      <w:r w:rsidR="00BA5C71" w:rsidRPr="00BA5C71">
        <w:t>oso</w:t>
      </w:r>
      <w:r w:rsidRPr="00BA5C71">
        <w:t xml:space="preserve">bnym wymiarze. </w:t>
      </w:r>
    </w:p>
    <w:p w14:paraId="054CDEAF" w14:textId="5948F19A" w:rsidR="009D6580" w:rsidRPr="00BA5C71" w:rsidRDefault="009D6580" w:rsidP="009D6580">
      <w:pPr>
        <w:pStyle w:val="InstructionsText2"/>
        <w:numPr>
          <w:ilvl w:val="0"/>
          <w:numId w:val="0"/>
        </w:numPr>
        <w:ind w:left="993"/>
      </w:pPr>
      <w:r w:rsidRPr="00BA5C71">
        <w:fldChar w:fldCharType="begin"/>
      </w:r>
      <w:r w:rsidRPr="00BA5C71">
        <w:instrText>seq paragraphs</w:instrText>
      </w:r>
      <w:r w:rsidRPr="00BA5C71">
        <w:fldChar w:fldCharType="separate"/>
      </w:r>
      <w:r w:rsidRPr="00BA5C71">
        <w:t>90</w:t>
      </w:r>
      <w:r w:rsidRPr="00BA5C71">
        <w:fldChar w:fldCharType="end"/>
      </w:r>
      <w:r w:rsidRPr="00BA5C71">
        <w:t>.</w:t>
      </w:r>
      <w:r w:rsidRPr="00BA5C71">
        <w:tab/>
        <w:t>Progu określonego</w:t>
      </w:r>
      <w:r w:rsidR="00BA5C71" w:rsidRPr="00BA5C71">
        <w:t xml:space="preserve"> w</w:t>
      </w:r>
      <w:r w:rsidR="00BA5C71">
        <w:t> </w:t>
      </w:r>
      <w:r w:rsidR="00BA5C71" w:rsidRPr="00BA5C71">
        <w:t>art</w:t>
      </w:r>
      <w:r w:rsidRPr="00BA5C71">
        <w:t>. 5 ust. 5 niniejszego rozporządzenia wykonawczego nie stosuje się przy zgłaszaniu tego podziału.</w:t>
      </w:r>
    </w:p>
    <w:bookmarkStart w:id="16" w:name="_Hlk151650982"/>
    <w:p w14:paraId="710781F7" w14:textId="47C37E0E" w:rsidR="009D6580" w:rsidRPr="00BA5C71" w:rsidRDefault="009D6580" w:rsidP="009D6580">
      <w:pPr>
        <w:pStyle w:val="InstructionsText2"/>
        <w:numPr>
          <w:ilvl w:val="0"/>
          <w:numId w:val="0"/>
        </w:numPr>
        <w:ind w:left="993"/>
      </w:pPr>
      <w:r w:rsidRPr="00BA5C71">
        <w:fldChar w:fldCharType="begin"/>
      </w:r>
      <w:r w:rsidRPr="00BA5C71">
        <w:instrText>seq paragraphs</w:instrText>
      </w:r>
      <w:r w:rsidRPr="00BA5C71">
        <w:fldChar w:fldCharType="separate"/>
      </w:r>
      <w:r w:rsidRPr="00BA5C71">
        <w:t>91</w:t>
      </w:r>
      <w:r w:rsidRPr="00BA5C71">
        <w:fldChar w:fldCharType="end"/>
      </w:r>
      <w:r w:rsidRPr="00BA5C71">
        <w:t>.</w:t>
      </w:r>
      <w:r w:rsidRPr="00BA5C71">
        <w:tab/>
        <w:t>W celu określenia lokalizacji geograficznej ekspozycje przypisuje się do lokalizacji bezpośredniego dłużnika zgodnie</w:t>
      </w:r>
      <w:r w:rsidR="00BA5C71" w:rsidRPr="00BA5C71">
        <w:t xml:space="preserve"> z</w:t>
      </w:r>
      <w:r w:rsidR="00BA5C71">
        <w:t> </w:t>
      </w:r>
      <w:r w:rsidR="00BA5C71" w:rsidRPr="00BA5C71">
        <w:t>roz</w:t>
      </w:r>
      <w:r w:rsidRPr="00BA5C71">
        <w:t>porządzeniem delegowanym Komisji (UE) nr</w:t>
      </w:r>
      <w:r w:rsidR="00BA5C71" w:rsidRPr="00BA5C71">
        <w:t> </w:t>
      </w:r>
      <w:r w:rsidRPr="00BA5C71">
        <w:t>1152/2014</w:t>
      </w:r>
      <w:r w:rsidRPr="00BA5C71">
        <w:footnoteReference w:id="1"/>
      </w:r>
      <w:r w:rsidRPr="00BA5C71">
        <w:t xml:space="preserve">. Techniki ograniczenia ryzyka kredytowego nie </w:t>
      </w:r>
      <w:r w:rsidRPr="00BA5C71">
        <w:lastRenderedPageBreak/>
        <w:t>prowadzą zatem do zmiany przypisania ekspozycji do jej lokalizacji geograficznej do celów zgłoszenia informacji określonych</w:t>
      </w:r>
      <w:r w:rsidR="00BA5C71" w:rsidRPr="00BA5C71">
        <w:t xml:space="preserve"> w</w:t>
      </w:r>
      <w:r w:rsidR="00BA5C71">
        <w:t> </w:t>
      </w:r>
      <w:r w:rsidR="00BA5C71" w:rsidRPr="00BA5C71">
        <w:t>nin</w:t>
      </w:r>
      <w:r w:rsidRPr="00BA5C71">
        <w:t>iejszym wzorze.</w:t>
      </w:r>
    </w:p>
    <w:p w14:paraId="4811C8E1" w14:textId="77777777" w:rsidR="009D6580" w:rsidRPr="00BA5C71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7" w:name="_Toc360188368"/>
      <w:bookmarkStart w:id="18" w:name="_Toc473560919"/>
      <w:bookmarkStart w:id="19" w:name="_Toc151714423"/>
      <w:bookmarkEnd w:id="16"/>
      <w:r w:rsidRPr="00BA5C71">
        <w:rPr>
          <w:rFonts w:ascii="Times New Roman" w:hAnsi="Times New Roman"/>
          <w:sz w:val="24"/>
          <w:u w:val="none"/>
        </w:rPr>
        <w:t>3.4.3.2.</w:t>
      </w:r>
      <w:r w:rsidRPr="00BA5C71">
        <w:tab/>
      </w:r>
      <w:r w:rsidRPr="00BA5C71">
        <w:rPr>
          <w:rFonts w:ascii="Times New Roman" w:hAnsi="Times New Roman"/>
          <w:sz w:val="24"/>
        </w:rPr>
        <w:t>Instrukcje dotyczące poszczególnych pozycji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BA5C71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</w:rPr>
              <w:t>Kolumny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BA5C71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BA5C71" w14:paraId="6B14BCBD" w14:textId="77777777" w:rsidTr="00822842">
        <w:tc>
          <w:tcPr>
            <w:tcW w:w="1697" w:type="dxa"/>
          </w:tcPr>
          <w:p w14:paraId="5CBD6D84" w14:textId="77777777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A1F53D1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Kwota</w:t>
            </w:r>
          </w:p>
          <w:p w14:paraId="4EDF6439" w14:textId="3D6C4342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Wartość odnośnych ekspozycji kredytowych oraz związanych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nim</w:t>
            </w:r>
            <w:r w:rsidRPr="00BA5C71">
              <w:rPr>
                <w:rFonts w:ascii="Times New Roman" w:hAnsi="Times New Roman"/>
                <w:sz w:val="24"/>
              </w:rPr>
              <w:t>i wymogów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własnych, określona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ins</w:t>
            </w:r>
            <w:r w:rsidRPr="00BA5C71">
              <w:rPr>
                <w:rFonts w:ascii="Times New Roman" w:hAnsi="Times New Roman"/>
                <w:sz w:val="24"/>
              </w:rPr>
              <w:t>trukcjami dla danego wiersza.</w:t>
            </w:r>
          </w:p>
        </w:tc>
      </w:tr>
      <w:tr w:rsidR="009D6580" w:rsidRPr="00BA5C71" w14:paraId="29BB3D71" w14:textId="77777777" w:rsidTr="00822842">
        <w:tc>
          <w:tcPr>
            <w:tcW w:w="1697" w:type="dxa"/>
          </w:tcPr>
          <w:p w14:paraId="15999D4B" w14:textId="77777777" w:rsidR="009D6580" w:rsidRPr="00BA5C71" w:rsidRDefault="009D6580" w:rsidP="00822842">
            <w:pPr>
              <w:rPr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4133F8D3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Ujęcie procentowe</w:t>
            </w:r>
          </w:p>
          <w:p w14:paraId="01DD816F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BA5C71" w14:paraId="2A8BD3C1" w14:textId="77777777" w:rsidTr="00822842">
        <w:tc>
          <w:tcPr>
            <w:tcW w:w="1697" w:type="dxa"/>
          </w:tcPr>
          <w:p w14:paraId="0F30E1C9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61529C4E" w14:textId="77777777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Informacje jakościowe</w:t>
            </w:r>
          </w:p>
          <w:p w14:paraId="394356B2" w14:textId="3763CE31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Informacje te zgłasza się wyłącznie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odn</w:t>
            </w:r>
            <w:r w:rsidRPr="00BA5C71">
              <w:rPr>
                <w:rFonts w:ascii="Times New Roman" w:hAnsi="Times New Roman"/>
                <w:sz w:val="24"/>
              </w:rPr>
              <w:t xml:space="preserve">iesieniu do państwa siedziby instytucji (jurysdykcji odpowiadającej państwu członkowskiemu jej pochodzenia) oraz „razem” dla wszystkich państw. </w:t>
            </w:r>
          </w:p>
          <w:p w14:paraId="6761B5E4" w14:textId="5576B7A8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Instytucje zgłaszają {y} albo {n}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ins</w:t>
            </w:r>
            <w:r w:rsidRPr="00BA5C71">
              <w:rPr>
                <w:rFonts w:ascii="Times New Roman" w:hAnsi="Times New Roman"/>
                <w:sz w:val="24"/>
              </w:rPr>
              <w:t>trukcjami dla danego wiersza.</w:t>
            </w:r>
          </w:p>
        </w:tc>
      </w:tr>
    </w:tbl>
    <w:p w14:paraId="51476A7B" w14:textId="77777777" w:rsidR="009D6580" w:rsidRPr="00BA5C71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BA5C71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</w:rPr>
              <w:t>Wiersze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BA5C71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BA5C71" w14:paraId="70661EF5" w14:textId="77777777" w:rsidTr="00822842">
        <w:tc>
          <w:tcPr>
            <w:tcW w:w="1697" w:type="dxa"/>
          </w:tcPr>
          <w:p w14:paraId="563EAAB9" w14:textId="77777777" w:rsidR="009D6580" w:rsidRPr="00BA5C71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0010–0020</w:t>
            </w:r>
          </w:p>
        </w:tc>
        <w:tc>
          <w:tcPr>
            <w:tcW w:w="8131" w:type="dxa"/>
          </w:tcPr>
          <w:p w14:paraId="3D2862FC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Odnośne ekspozycje kredytowe – ryzyko kredytowe</w:t>
            </w:r>
          </w:p>
          <w:p w14:paraId="516A26FA" w14:textId="089DB178" w:rsidR="009D6580" w:rsidRPr="00BA5C71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Odnośne ekspozycje kredytowe,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a) dyrektywy 2013/36/UE.</w:t>
            </w:r>
          </w:p>
        </w:tc>
      </w:tr>
      <w:tr w:rsidR="009D6580" w:rsidRPr="00BA5C71" w14:paraId="527A1F7E" w14:textId="77777777" w:rsidTr="00822842">
        <w:tc>
          <w:tcPr>
            <w:tcW w:w="1697" w:type="dxa"/>
          </w:tcPr>
          <w:p w14:paraId="18BE8A8D" w14:textId="77777777" w:rsidR="009D6580" w:rsidRPr="00BA5C71" w:rsidRDefault="009D6580" w:rsidP="00822842">
            <w:pPr>
              <w:rPr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0D60C47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Wartość ekspozycji według metody standardowej</w:t>
            </w:r>
          </w:p>
          <w:p w14:paraId="0EA1DD75" w14:textId="078A75B5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Wartość ekspozycji obliczona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111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odpowiednich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 xml:space="preserve">. 140 ust. 4 lit. a) dyrektywy 2013/36/UE. </w:t>
            </w:r>
          </w:p>
          <w:p w14:paraId="72B986ED" w14:textId="47F2B9A7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Wartość ekspozycji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pozycji sekurytyzacyjnych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por</w:t>
            </w:r>
            <w:r w:rsidRPr="00BA5C71">
              <w:rPr>
                <w:rFonts w:ascii="Times New Roman" w:hAnsi="Times New Roman"/>
                <w:sz w:val="24"/>
              </w:rPr>
              <w:t>tfelu bankowym wyłącza się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wiersza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zgł</w:t>
            </w:r>
            <w:r w:rsidRPr="00BA5C71">
              <w:rPr>
                <w:rFonts w:ascii="Times New Roman" w:hAnsi="Times New Roman"/>
                <w:sz w:val="24"/>
              </w:rPr>
              <w:t>asza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wie</w:t>
            </w:r>
            <w:r w:rsidRPr="00BA5C71">
              <w:rPr>
                <w:rFonts w:ascii="Times New Roman" w:hAnsi="Times New Roman"/>
                <w:sz w:val="24"/>
              </w:rPr>
              <w:t>rszu 0055.</w:t>
            </w:r>
          </w:p>
        </w:tc>
      </w:tr>
      <w:tr w:rsidR="009D6580" w:rsidRPr="00BA5C71" w14:paraId="367F78C6" w14:textId="77777777" w:rsidTr="00822842">
        <w:tc>
          <w:tcPr>
            <w:tcW w:w="1697" w:type="dxa"/>
          </w:tcPr>
          <w:p w14:paraId="3217061B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385211C6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Wartość ekspozycji według metody IRB</w:t>
            </w:r>
          </w:p>
          <w:p w14:paraId="3F80BC36" w14:textId="6A9D5194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Wartość ekspozycji obliczona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166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odpowiednich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 xml:space="preserve">. 140 ust. 4 lit. a) dyrektywy 2013/36/UE. </w:t>
            </w:r>
          </w:p>
          <w:p w14:paraId="48C130F1" w14:textId="4DE3F683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Wartość ekspozycji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pozycji sekurytyzacyjnych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por</w:t>
            </w:r>
            <w:r w:rsidRPr="00BA5C71">
              <w:rPr>
                <w:rFonts w:ascii="Times New Roman" w:hAnsi="Times New Roman"/>
                <w:sz w:val="24"/>
              </w:rPr>
              <w:t>tfelu bankowym wyłącza się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wiersza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zgł</w:t>
            </w:r>
            <w:r w:rsidRPr="00BA5C71">
              <w:rPr>
                <w:rFonts w:ascii="Times New Roman" w:hAnsi="Times New Roman"/>
                <w:sz w:val="24"/>
              </w:rPr>
              <w:t>asza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wie</w:t>
            </w:r>
            <w:r w:rsidRPr="00BA5C71">
              <w:rPr>
                <w:rFonts w:ascii="Times New Roman" w:hAnsi="Times New Roman"/>
                <w:sz w:val="24"/>
              </w:rPr>
              <w:t>rszu 0055.</w:t>
            </w:r>
          </w:p>
        </w:tc>
      </w:tr>
      <w:tr w:rsidR="009D6580" w:rsidRPr="00BA5C71" w14:paraId="613420F2" w14:textId="77777777" w:rsidTr="00822842">
        <w:tc>
          <w:tcPr>
            <w:tcW w:w="1697" w:type="dxa"/>
          </w:tcPr>
          <w:p w14:paraId="53491AFF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0030–0040</w:t>
            </w:r>
          </w:p>
        </w:tc>
        <w:tc>
          <w:tcPr>
            <w:tcW w:w="8131" w:type="dxa"/>
          </w:tcPr>
          <w:p w14:paraId="369D8506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Odnośne ekspozycje kredytowe – ryzyko rynkowe</w:t>
            </w:r>
          </w:p>
          <w:p w14:paraId="54050F98" w14:textId="45D21FEC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Odnośne ekspozycje kredytowe,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b) dyrektywy 2013/36/UE.</w:t>
            </w:r>
          </w:p>
        </w:tc>
      </w:tr>
      <w:tr w:rsidR="009D6580" w:rsidRPr="00BA5C71" w14:paraId="670769C5" w14:textId="77777777" w:rsidTr="00822842">
        <w:tc>
          <w:tcPr>
            <w:tcW w:w="1697" w:type="dxa"/>
          </w:tcPr>
          <w:p w14:paraId="27E0BEE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131" w:type="dxa"/>
          </w:tcPr>
          <w:p w14:paraId="740784D8" w14:textId="2BF61A0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Suma pozycji długich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i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kró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tkich dotyczących ekspozycji zaliczonych do portfela handlowego według metody standardowej</w:t>
            </w:r>
          </w:p>
          <w:p w14:paraId="5F803AC4" w14:textId="1762A60C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Suma długich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kró</w:t>
            </w:r>
            <w:r w:rsidRPr="00BA5C71">
              <w:rPr>
                <w:rFonts w:ascii="Times New Roman" w:hAnsi="Times New Roman"/>
                <w:sz w:val="24"/>
              </w:rPr>
              <w:t>tkich pozycji netto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327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odnośnych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 b) dyrektywy 2013/36/UE podlegających wymogom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na podstawie części trzeciej tytuł IV rozdział 2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 xml:space="preserve">575/2013: </w:t>
            </w:r>
          </w:p>
          <w:p w14:paraId="555B6B69" w14:textId="47B0FE52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instrumentów dłużnych innych niż sekurytyzacja;</w:t>
            </w:r>
          </w:p>
          <w:p w14:paraId="2F347ECD" w14:textId="37EFC461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pozycji sekurytyzacyjnych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por</w:t>
            </w:r>
            <w:r w:rsidRPr="00BA5C71">
              <w:rPr>
                <w:rFonts w:ascii="Times New Roman" w:hAnsi="Times New Roman"/>
                <w:sz w:val="24"/>
              </w:rPr>
              <w:t>tfelu handlowym;</w:t>
            </w:r>
          </w:p>
          <w:p w14:paraId="0BF14848" w14:textId="5FADA52A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korelacyjnego portfela handlowego;</w:t>
            </w:r>
          </w:p>
          <w:p w14:paraId="426EA269" w14:textId="51EBA8F8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ekspozycje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tyt</w:t>
            </w:r>
            <w:r w:rsidRPr="00BA5C71">
              <w:rPr>
                <w:rFonts w:ascii="Times New Roman" w:hAnsi="Times New Roman"/>
                <w:sz w:val="24"/>
              </w:rPr>
              <w:t>ułu udziałowych papierów wartościowych;</w:t>
            </w:r>
          </w:p>
          <w:p w14:paraId="29596F16" w14:textId="418D9CC0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ekspozycje wobec przedsiębiorstw zbiorowego inwestowania, jeżeli wymogi kapitałowe zostały obliczone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348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1B5F6FE5" w14:textId="77777777" w:rsidTr="00822842">
        <w:tc>
          <w:tcPr>
            <w:tcW w:w="1697" w:type="dxa"/>
          </w:tcPr>
          <w:p w14:paraId="22718F0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31" w:type="dxa"/>
          </w:tcPr>
          <w:p w14:paraId="79898916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Wartość ekspozycji zaliczonych do portfela handlowego według metody modeli wewnętrznych</w:t>
            </w:r>
          </w:p>
          <w:p w14:paraId="2C5D0701" w14:textId="458F2C5A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Dla odnośnych ekspozycji kredytowych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 b) dyrektywy 2013/36/UE podlegających wymogom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na podstawie części trzeciej tytuł IV rozdział 2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5</w:t>
            </w:r>
            <w:r w:rsidRPr="00BA5C71">
              <w:rPr>
                <w:rFonts w:ascii="Times New Roman" w:hAnsi="Times New Roman"/>
                <w:sz w:val="24"/>
              </w:rPr>
              <w:t xml:space="preserve">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należy zgłosić sumę poniższych wartości:</w:t>
            </w:r>
          </w:p>
          <w:p w14:paraId="07E28E81" w14:textId="188C6FE5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Calibri" w:hAnsi="Calibri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wartości godziwej pozycji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ins</w:t>
            </w:r>
            <w:r w:rsidRPr="00BA5C71">
              <w:rPr>
                <w:rFonts w:ascii="Times New Roman" w:hAnsi="Times New Roman"/>
                <w:sz w:val="24"/>
              </w:rPr>
              <w:t>trumentach innych niż instrumenty pochodne, odpowiadających odnośnym ekspozycjom kredytowym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 b) dyrektywy 2013/36/UE, określonym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104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  <w:p w14:paraId="198195E0" w14:textId="61B765B0" w:rsidR="009D6580" w:rsidRPr="00BA5C71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Calibri" w:hAnsi="Calibri"/>
                <w:sz w:val="24"/>
              </w:rPr>
              <w:t>-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wartości referencyjnej instrumentów pochodnych, które reprezentują odpowiednie ekspozycje kredytowe,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b) dyrektywy 2013/36/UE.</w:t>
            </w:r>
          </w:p>
        </w:tc>
      </w:tr>
      <w:tr w:rsidR="009D6580" w:rsidRPr="00BA5C71" w14:paraId="6BA1E71E" w14:textId="77777777" w:rsidTr="00822842">
        <w:tc>
          <w:tcPr>
            <w:tcW w:w="1697" w:type="dxa"/>
          </w:tcPr>
          <w:p w14:paraId="37545C8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131" w:type="dxa"/>
          </w:tcPr>
          <w:p w14:paraId="3A6EE463" w14:textId="2A19A783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Odnośne ekspozycje kredytowe – pozycje sekurytyzacyjne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por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tfelu bankowym</w:t>
            </w:r>
          </w:p>
          <w:p w14:paraId="4B3C8407" w14:textId="133A6696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Wartość ekspozycji obliczona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248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odpowiednich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 c) dyrektywy 2013/36/UE.</w:t>
            </w:r>
          </w:p>
        </w:tc>
      </w:tr>
      <w:tr w:rsidR="009D6580" w:rsidRPr="00BA5C71" w14:paraId="2A6651FC" w14:textId="77777777" w:rsidTr="00822842">
        <w:tc>
          <w:tcPr>
            <w:tcW w:w="1697" w:type="dxa"/>
          </w:tcPr>
          <w:p w14:paraId="3D2C5D4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0070–0110</w:t>
            </w:r>
          </w:p>
        </w:tc>
        <w:tc>
          <w:tcPr>
            <w:tcW w:w="8131" w:type="dxa"/>
          </w:tcPr>
          <w:p w14:paraId="6A03AF3B" w14:textId="2C85F4FD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funduszy własnych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i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wag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i</w:t>
            </w:r>
          </w:p>
        </w:tc>
      </w:tr>
      <w:tr w:rsidR="009D6580" w:rsidRPr="00BA5C71" w14:paraId="5C042A5F" w14:textId="77777777" w:rsidTr="00822842">
        <w:tc>
          <w:tcPr>
            <w:tcW w:w="1697" w:type="dxa"/>
          </w:tcPr>
          <w:p w14:paraId="32640B70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31" w:type="dxa"/>
          </w:tcPr>
          <w:p w14:paraId="431787D4" w14:textId="03E762AE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Łączne 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funduszy własnych dla CCB</w:t>
            </w:r>
          </w:p>
          <w:p w14:paraId="78C29612" w14:textId="4F6F3380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Suma wierszy 0080, 0090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0</w:t>
            </w:r>
            <w:r w:rsidRPr="00BA5C71">
              <w:rPr>
                <w:rFonts w:ascii="Times New Roman" w:hAnsi="Times New Roman"/>
                <w:sz w:val="24"/>
              </w:rPr>
              <w:t>100.</w:t>
            </w:r>
          </w:p>
        </w:tc>
      </w:tr>
      <w:tr w:rsidR="009D6580" w:rsidRPr="00BA5C71" w14:paraId="7D74E37B" w14:textId="77777777" w:rsidTr="00822842">
        <w:tc>
          <w:tcPr>
            <w:tcW w:w="1697" w:type="dxa"/>
          </w:tcPr>
          <w:p w14:paraId="26DA65D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31" w:type="dxa"/>
          </w:tcPr>
          <w:p w14:paraId="2381AF17" w14:textId="594E4023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resie funduszy własnych dla odnośnych ekspozycji kredytowych – ryzyko kredytowe </w:t>
            </w:r>
          </w:p>
          <w:p w14:paraId="4126D1DC" w14:textId="5AD2F45D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obliczone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II rozdziały 1–4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dział 6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odnośnych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140 ust. 4 lit. a) dyrektywy 2013/36/UE,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>ym państwie.</w:t>
            </w:r>
          </w:p>
          <w:p w14:paraId="094DA9DC" w14:textId="392284ED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dla pozycji sekurytyzacyjnych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por</w:t>
            </w:r>
            <w:r w:rsidRPr="00BA5C71">
              <w:rPr>
                <w:rFonts w:ascii="Times New Roman" w:hAnsi="Times New Roman"/>
                <w:sz w:val="24"/>
              </w:rPr>
              <w:t>tfelu bankowym wyłącza się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wiersza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zgł</w:t>
            </w:r>
            <w:r w:rsidRPr="00BA5C71">
              <w:rPr>
                <w:rFonts w:ascii="Times New Roman" w:hAnsi="Times New Roman"/>
                <w:sz w:val="24"/>
              </w:rPr>
              <w:t>asza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wie</w:t>
            </w:r>
            <w:r w:rsidRPr="00BA5C71">
              <w:rPr>
                <w:rFonts w:ascii="Times New Roman" w:hAnsi="Times New Roman"/>
                <w:sz w:val="24"/>
              </w:rPr>
              <w:t>rszu 0100.</w:t>
            </w:r>
          </w:p>
          <w:p w14:paraId="037A1499" w14:textId="0C26D966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wynoszą 8 % kwoty ekspozycji ważonej ryzykiem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II rozdziały 1–4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roz</w:t>
            </w:r>
            <w:r w:rsidRPr="00BA5C71">
              <w:rPr>
                <w:rFonts w:ascii="Times New Roman" w:hAnsi="Times New Roman"/>
                <w:sz w:val="24"/>
              </w:rPr>
              <w:t>dział 6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6CE5DB0E" w14:textId="77777777" w:rsidTr="00822842">
        <w:tc>
          <w:tcPr>
            <w:tcW w:w="1697" w:type="dxa"/>
          </w:tcPr>
          <w:p w14:paraId="0847E4D7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131" w:type="dxa"/>
          </w:tcPr>
          <w:p w14:paraId="4922C906" w14:textId="48048CC5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resie funduszy własnych dla odnośnych ekspozycji kredytowych – ryzyko rynkowe </w:t>
            </w:r>
          </w:p>
          <w:p w14:paraId="5686B881" w14:textId="318400BA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obliczone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IV rozdział 2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ryzyka szczególnego lub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IV rozdział 5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dodatkowego ryzyka niewykonania zobowiązań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ryz</w:t>
            </w:r>
            <w:r w:rsidRPr="00BA5C71">
              <w:rPr>
                <w:rFonts w:ascii="Times New Roman" w:hAnsi="Times New Roman"/>
                <w:sz w:val="24"/>
              </w:rPr>
              <w:t>yka migracji dla odnośnych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4 lit. b) dyrektywy 2013/36/UE,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 xml:space="preserve">ym państwie. </w:t>
            </w:r>
          </w:p>
          <w:p w14:paraId="09611817" w14:textId="1419100C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dla odnośnych ekspozycji kredytowych według ram ryzyka rynkowego obejmują m.in. 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dla pozycji sekurytyzacyjnych obliczone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IV rozdział 2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oraz 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dla ekspozycji wobec przedsiębiorstw zbiorowego inwestowania, określone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348 tego rozporządzenia.</w:t>
            </w:r>
          </w:p>
        </w:tc>
      </w:tr>
      <w:tr w:rsidR="009D6580" w:rsidRPr="00BA5C71" w14:paraId="655D63DC" w14:textId="77777777" w:rsidTr="00822842">
        <w:tc>
          <w:tcPr>
            <w:tcW w:w="1697" w:type="dxa"/>
          </w:tcPr>
          <w:p w14:paraId="4911AAD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31" w:type="dxa"/>
          </w:tcPr>
          <w:p w14:paraId="45D3AC3C" w14:textId="45A0C31B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funduszy własnych dla odnośnych ekspozycji kredytowych – pozycje sekurytyzacyjne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por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tfelu bankowym</w:t>
            </w:r>
          </w:p>
          <w:p w14:paraId="64834120" w14:textId="3B042E6F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obliczone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II rozdział 5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 dla odnośnych ekspozycji kredytowych,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o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mowa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140 ust. 4 lit. c) dyrektywy 2013/36/UE,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>ym państwie.</w:t>
            </w:r>
          </w:p>
          <w:p w14:paraId="1A6665D5" w14:textId="28F4A8A9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wynoszą 8 % kwoty ekspozycji ważonej ryzykiem obliczonej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czę</w:t>
            </w:r>
            <w:r w:rsidRPr="00BA5C71">
              <w:rPr>
                <w:rFonts w:ascii="Times New Roman" w:hAnsi="Times New Roman"/>
                <w:sz w:val="24"/>
              </w:rPr>
              <w:t>ścią trzecią tytuł II rozdział 5 rozporządzenia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D6580" w:rsidRPr="00BA5C71" w14:paraId="4015A9D7" w14:textId="77777777" w:rsidTr="00822842">
        <w:tc>
          <w:tcPr>
            <w:tcW w:w="1697" w:type="dxa"/>
          </w:tcPr>
          <w:p w14:paraId="4ACCD3B3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31" w:type="dxa"/>
          </w:tcPr>
          <w:p w14:paraId="2EE25FA2" w14:textId="5F0AF41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Wymogi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zak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resie funduszy własnych: wagi</w:t>
            </w:r>
          </w:p>
          <w:p w14:paraId="3D7B8904" w14:textId="0D3E130C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Wagę stosowaną do wskaźnika bufora antycyklicznego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każ</w:t>
            </w:r>
            <w:r w:rsidRPr="00BA5C71">
              <w:rPr>
                <w:rFonts w:ascii="Times New Roman" w:hAnsi="Times New Roman"/>
                <w:sz w:val="24"/>
              </w:rPr>
              <w:t>dym państwie oblicza się jako współczynnik wymogów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własnych, określony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nas</w:t>
            </w:r>
            <w:r w:rsidRPr="00BA5C71">
              <w:rPr>
                <w:rFonts w:ascii="Times New Roman" w:hAnsi="Times New Roman"/>
                <w:sz w:val="24"/>
              </w:rPr>
              <w:t>tępujący sposób:</w:t>
            </w:r>
          </w:p>
          <w:p w14:paraId="47443D03" w14:textId="60DF58BD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1.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Licznik: łączne 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własnych, które dotyczą odnośnych ekspozycji kredytowych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 xml:space="preserve">ym państwie [r0070; c0010; arkusz dotyczący danego państwa], </w:t>
            </w:r>
          </w:p>
          <w:p w14:paraId="1FE57EC6" w14:textId="624EF1A5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2.</w:t>
            </w:r>
            <w:r w:rsidRPr="00BA5C71">
              <w:tab/>
            </w:r>
            <w:r w:rsidRPr="00BA5C71">
              <w:rPr>
                <w:rFonts w:ascii="Times New Roman" w:hAnsi="Times New Roman"/>
                <w:sz w:val="24"/>
              </w:rPr>
              <w:t>Mianownik: łączne wymogi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własnych, które dotyczą odnośnych ekspozycji kredytowych istotnych do celów obliczania bufora antycyklicznego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140 ust.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4 dyrektywy 2013/36/UE [r0070; c0010; „Razem”].</w:t>
            </w:r>
          </w:p>
          <w:p w14:paraId="423D2DDF" w14:textId="2790F041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Informacji na temat wag dla wymogów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 nie zgłasza się jako wartość „Razem” dla wszystkich państw.</w:t>
            </w:r>
          </w:p>
        </w:tc>
      </w:tr>
      <w:tr w:rsidR="009D6580" w:rsidRPr="00BA5C71" w14:paraId="5C4BC14D" w14:textId="77777777" w:rsidTr="00822842">
        <w:tc>
          <w:tcPr>
            <w:tcW w:w="1697" w:type="dxa"/>
          </w:tcPr>
          <w:p w14:paraId="1A21712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0120–0140</w:t>
            </w:r>
          </w:p>
        </w:tc>
        <w:tc>
          <w:tcPr>
            <w:tcW w:w="8131" w:type="dxa"/>
          </w:tcPr>
          <w:p w14:paraId="0FFF9D8C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Wskaźniki bufora antycyklicznego</w:t>
            </w:r>
          </w:p>
        </w:tc>
      </w:tr>
      <w:tr w:rsidR="009D6580" w:rsidRPr="00BA5C71" w14:paraId="3D2AE883" w14:textId="77777777" w:rsidTr="00822842">
        <w:tc>
          <w:tcPr>
            <w:tcW w:w="1697" w:type="dxa"/>
          </w:tcPr>
          <w:p w14:paraId="61437EB6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131" w:type="dxa"/>
          </w:tcPr>
          <w:p w14:paraId="756100DA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Wskaźnik bufora antycyklicznego określony przez wyznaczony organ</w:t>
            </w:r>
          </w:p>
          <w:p w14:paraId="256AAB40" w14:textId="43CB9F7F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Wskaźnik bufora antycyklicznego określony dla danego państwa przez wyznaczony organ tego państwa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136, 137, 139, art. 140 ust. 2 lit. a) i c) oraz art. 140 ust. 3 lit. b) dyrektywy 2013/36/UE.</w:t>
            </w:r>
          </w:p>
          <w:p w14:paraId="08387A10" w14:textId="77777777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Wiersz ten pozostawia się niewypełniony, jeżeli dla danego państwa wyznaczony organ tego państwa nie określił wskaźnika bufora antycyklicznego.</w:t>
            </w:r>
          </w:p>
          <w:p w14:paraId="79AF7A0C" w14:textId="180E1441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Nie zgłasza się wskaźników bufora antycyklicznego określonych przez wyznaczony organ, które na sprawozdawczy dzień odniesienia nie mają jeszcze zastosowania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>ym państwie.</w:t>
            </w:r>
          </w:p>
          <w:p w14:paraId="5BEA0E13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 xml:space="preserve">Informacji na temat wskaźnika bufora antycyklicznego określonego przez wyznaczony organ nie zgłasza się jako wartość „Razem” dla wszystkich krajów. </w:t>
            </w:r>
          </w:p>
        </w:tc>
      </w:tr>
      <w:tr w:rsidR="009D6580" w:rsidRPr="00BA5C71" w14:paraId="01E6253D" w14:textId="77777777" w:rsidTr="00822842">
        <w:tc>
          <w:tcPr>
            <w:tcW w:w="1697" w:type="dxa"/>
          </w:tcPr>
          <w:p w14:paraId="3226BBDD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131" w:type="dxa"/>
          </w:tcPr>
          <w:p w14:paraId="1301D1B3" w14:textId="10877D03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Wskaźnik bufora antycyklicznego mający zastosowanie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pań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stwie,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 w</w:t>
            </w:r>
            <w:r w:rsidR="00BA5C71">
              <w:rPr>
                <w:rFonts w:ascii="Times New Roman" w:hAnsi="Times New Roman"/>
                <w:b/>
                <w:sz w:val="24"/>
                <w:u w:val="single"/>
              </w:rPr>
              <w:t> </w:t>
            </w:r>
            <w:r w:rsidR="00BA5C71" w:rsidRPr="00BA5C71">
              <w:rPr>
                <w:rFonts w:ascii="Times New Roman" w:hAnsi="Times New Roman"/>
                <w:b/>
                <w:sz w:val="24"/>
                <w:u w:val="single"/>
              </w:rPr>
              <w:t>któ</w:t>
            </w: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rym mieści się instytucja</w:t>
            </w:r>
          </w:p>
          <w:p w14:paraId="47D66D49" w14:textId="647A1C43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Wskaźnik bufora antycyklicznego mający zastosowanie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dan</w:t>
            </w:r>
            <w:r w:rsidRPr="00BA5C71">
              <w:rPr>
                <w:rFonts w:ascii="Times New Roman" w:hAnsi="Times New Roman"/>
                <w:sz w:val="24"/>
              </w:rPr>
              <w:t>ym państwie, który został ustalony przez wyznaczony organ państwa siedziby instytucji,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137, 138, 139, art. 140 ust. 2 lit. b)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140 ust. 3 lit. a) dyrektywy 2013/36/UE. Nie zgłasza się wskaźników bufora antycyklicznego, które na sprawozdawczy dzień odniesienia nie mają jeszcze zastosowania.</w:t>
            </w:r>
          </w:p>
          <w:p w14:paraId="082B5846" w14:textId="5F67ACDC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Informacji na temat wskaźnika bufora antycyklicznego mającego zastosowanie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pań</w:t>
            </w:r>
            <w:r w:rsidRPr="00BA5C71">
              <w:rPr>
                <w:rFonts w:ascii="Times New Roman" w:hAnsi="Times New Roman"/>
                <w:sz w:val="24"/>
              </w:rPr>
              <w:t>stwie,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rym mieści się instytucja, nie zgłasza się jako wartość „Razem” dla wszystkich państw.</w:t>
            </w:r>
          </w:p>
        </w:tc>
      </w:tr>
      <w:tr w:rsidR="009D6580" w:rsidRPr="00BA5C71" w14:paraId="3FF424DB" w14:textId="77777777" w:rsidTr="00822842">
        <w:tc>
          <w:tcPr>
            <w:tcW w:w="1697" w:type="dxa"/>
          </w:tcPr>
          <w:p w14:paraId="752F444A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31" w:type="dxa"/>
          </w:tcPr>
          <w:p w14:paraId="315BAE64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 xml:space="preserve">Specyficzny dla instytucji wskaźnik bufora antycyklicznego </w:t>
            </w:r>
          </w:p>
          <w:p w14:paraId="253E0547" w14:textId="12AF116F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Specyficzny dla instytucji wskaźnik bufora antycyklicznego obliczony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 xml:space="preserve">. 140 ust. 1 dyrektywy 2013/36/UE. </w:t>
            </w:r>
          </w:p>
          <w:p w14:paraId="575D2B31" w14:textId="299D58F5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Specyficzny dla instytucji wskaźnik bufora antycyklicznego oblicza się jako średnią ważoną wskaźników bufora antycyklicznego mających zastosowanie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jur</w:t>
            </w:r>
            <w:r w:rsidRPr="00BA5C71">
              <w:rPr>
                <w:rFonts w:ascii="Times New Roman" w:hAnsi="Times New Roman"/>
                <w:sz w:val="24"/>
              </w:rPr>
              <w:t>ysdykcjach,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któ</w:t>
            </w:r>
            <w:r w:rsidRPr="00BA5C71">
              <w:rPr>
                <w:rFonts w:ascii="Times New Roman" w:hAnsi="Times New Roman"/>
                <w:sz w:val="24"/>
              </w:rPr>
              <w:t>rych odnośne ekspozycje kredytowe instytucji się znajdują lub są stosowane do celów art. 140 na mocy art. 139 ust. 2 lub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3 dyrektywy 2013/36/UE. Odnośny wskaźnik bufora antycyklicznego zgłasza się, stosownie do przypadku,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>ycji [r0120; c0020; arkusz dotyczący danego państwa] lub [r0130; c0020; arkusz dotyczący danego państwa], stosownie do przypadku.</w:t>
            </w:r>
          </w:p>
          <w:p w14:paraId="2C4ECBB2" w14:textId="27A9C163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trike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Wagę stosowaną do wskaźnika bufora antycyklicznego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każ</w:t>
            </w:r>
            <w:r w:rsidRPr="00BA5C71">
              <w:rPr>
                <w:rFonts w:ascii="Times New Roman" w:hAnsi="Times New Roman"/>
                <w:sz w:val="24"/>
              </w:rPr>
              <w:t>dym państwie stanowi udział wymogów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łąc</w:t>
            </w:r>
            <w:r w:rsidRPr="00BA5C71">
              <w:rPr>
                <w:rFonts w:ascii="Times New Roman" w:hAnsi="Times New Roman"/>
                <w:sz w:val="24"/>
              </w:rPr>
              <w:t>znych wymogach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zak</w:t>
            </w:r>
            <w:r w:rsidRPr="00BA5C71">
              <w:rPr>
                <w:rFonts w:ascii="Times New Roman" w:hAnsi="Times New Roman"/>
                <w:sz w:val="24"/>
              </w:rPr>
              <w:t>resie funduszy własnych; podlega ona zgłoszeniu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 xml:space="preserve">ycji [r0110; c0020; arkusz dotyczący danego państwa]. </w:t>
            </w:r>
          </w:p>
          <w:p w14:paraId="65E93DC9" w14:textId="123863ED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Informacje na temat specyficznego dla instytucji wskaźnika bufora antycyklicznego zgłasza się wyłącznie jako wartość „Razem” dla wszystkich państw,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a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nie</w:t>
            </w:r>
            <w:r w:rsidRPr="00BA5C71">
              <w:rPr>
                <w:rFonts w:ascii="Times New Roman" w:hAnsi="Times New Roman"/>
                <w:sz w:val="24"/>
              </w:rPr>
              <w:t xml:space="preserve"> osobno dla każdego państwa.</w:t>
            </w:r>
          </w:p>
        </w:tc>
      </w:tr>
      <w:tr w:rsidR="009D6580" w:rsidRPr="00BA5C71" w14:paraId="0CA64D03" w14:textId="77777777" w:rsidTr="00822842">
        <w:tc>
          <w:tcPr>
            <w:tcW w:w="1697" w:type="dxa"/>
          </w:tcPr>
          <w:p w14:paraId="1436C16C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0150–0160</w:t>
            </w:r>
          </w:p>
        </w:tc>
        <w:tc>
          <w:tcPr>
            <w:tcW w:w="8131" w:type="dxa"/>
          </w:tcPr>
          <w:p w14:paraId="13A71A3D" w14:textId="77777777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Zastosowanie 2-procentowego progu</w:t>
            </w:r>
          </w:p>
        </w:tc>
      </w:tr>
      <w:tr w:rsidR="009D6580" w:rsidRPr="00BA5C71" w14:paraId="4C39701D" w14:textId="77777777" w:rsidTr="00822842">
        <w:tc>
          <w:tcPr>
            <w:tcW w:w="1697" w:type="dxa"/>
          </w:tcPr>
          <w:p w14:paraId="62E51E1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31" w:type="dxa"/>
          </w:tcPr>
          <w:p w14:paraId="0ABF51F0" w14:textId="77777777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Zastosowanie 2-procentowego progu dla ogólnej ekspozycji kredytowej</w:t>
            </w:r>
            <w:r w:rsidRPr="00BA5C71">
              <w:rPr>
                <w:rFonts w:ascii="Times New Roman" w:hAnsi="Times New Roman"/>
                <w:sz w:val="24"/>
              </w:rPr>
              <w:t xml:space="preserve"> </w:t>
            </w:r>
          </w:p>
          <w:p w14:paraId="68B71CE8" w14:textId="679E9FAF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2 ust. 5 lit. b) rozporządzenia delegowanego Komisji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1152/2014 zagraniczne ogólne ekspozycje kredytowe, które łącznie nie przekraczają 2 % łącznych ogólnych ekspozycji kredytowych, ekspozycji zaliczonych do portfela handlowego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eks</w:t>
            </w:r>
            <w:r w:rsidRPr="00BA5C71">
              <w:rPr>
                <w:rFonts w:ascii="Times New Roman" w:hAnsi="Times New Roman"/>
                <w:sz w:val="24"/>
              </w:rPr>
              <w:t>pozycji sekurytyzacyjnych tej instytucji, można przypisać państwu członkowskiemu pochodzenia instytucji. Łączne ogólne ekspozycje kredytowe, ekspozycje zaliczone do portfela handlowego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eks</w:t>
            </w:r>
            <w:r w:rsidRPr="00BA5C71">
              <w:rPr>
                <w:rFonts w:ascii="Times New Roman" w:hAnsi="Times New Roman"/>
                <w:sz w:val="24"/>
              </w:rPr>
              <w:t>pozycje sekurytyzacyjne oblicza się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wyk</w:t>
            </w:r>
            <w:r w:rsidRPr="00BA5C71">
              <w:rPr>
                <w:rFonts w:ascii="Times New Roman" w:hAnsi="Times New Roman"/>
                <w:sz w:val="24"/>
              </w:rPr>
              <w:t>luczeniem ogólnych ekspozycji kredytowych zlokalizowanych 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2 ust. 5 lit. a)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2 ust. 4 rozporządzenia delegowanego Komisji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1152/2014.</w:t>
            </w:r>
          </w:p>
          <w:p w14:paraId="53DCDD60" w14:textId="5EA46332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Jeżeli instytucja skorzysta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odstępstwa, we wzorze dla jurysdykcji odpowiadającej państwu członkowskiemu jej pochodzenia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>ycji „Razem” dla wszystkich państw wpisuje „y”.</w:t>
            </w:r>
          </w:p>
          <w:p w14:paraId="5B2597B2" w14:textId="4A4D72B5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Jeżeli instytucja nie skorzysta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odstępstwa,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odp</w:t>
            </w:r>
            <w:r w:rsidRPr="00BA5C71">
              <w:rPr>
                <w:rFonts w:ascii="Times New Roman" w:hAnsi="Times New Roman"/>
                <w:sz w:val="24"/>
              </w:rPr>
              <w:t>owiedniej komórce wpisuje „n”.</w:t>
            </w:r>
          </w:p>
        </w:tc>
      </w:tr>
      <w:tr w:rsidR="009D6580" w:rsidRPr="00BA5C71" w14:paraId="7179BBF6" w14:textId="77777777" w:rsidTr="00822842">
        <w:tc>
          <w:tcPr>
            <w:tcW w:w="1697" w:type="dxa"/>
          </w:tcPr>
          <w:p w14:paraId="528EEA51" w14:textId="77777777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8131" w:type="dxa"/>
          </w:tcPr>
          <w:p w14:paraId="4FC000D6" w14:textId="77777777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b/>
                <w:sz w:val="24"/>
                <w:u w:val="single"/>
              </w:rPr>
              <w:t>Zastosowanie 2-procentowego progu dla ekspozycji zaliczonej do portfela handlowego</w:t>
            </w:r>
          </w:p>
          <w:p w14:paraId="13ED02AA" w14:textId="09B976E9" w:rsidR="009D6580" w:rsidRPr="00BA5C71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Zgodnie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art</w:t>
            </w:r>
            <w:r w:rsidRPr="00BA5C71">
              <w:rPr>
                <w:rFonts w:ascii="Times New Roman" w:hAnsi="Times New Roman"/>
                <w:sz w:val="24"/>
              </w:rPr>
              <w:t>. 3 ust. 3 rozporządzenia delegowanego Komisji (UE) nr</w:t>
            </w:r>
            <w:r w:rsidR="00BA5C71" w:rsidRPr="00BA5C71">
              <w:rPr>
                <w:rFonts w:ascii="Times New Roman" w:hAnsi="Times New Roman"/>
                <w:sz w:val="24"/>
              </w:rPr>
              <w:t> </w:t>
            </w:r>
            <w:r w:rsidRPr="00BA5C71">
              <w:rPr>
                <w:rFonts w:ascii="Times New Roman" w:hAnsi="Times New Roman"/>
                <w:sz w:val="24"/>
              </w:rPr>
              <w:t>1152/2014 instytucje mogą przypisać ekspozycje zaliczone do portfela handlowego państwu członkowskiemu pochodzenia instytucji, jeżeli łączne ekspozycje zaliczone do portfela handlowego nie przekraczają 2 % ich łącznych ogólnych ekspozycji kredytowych, ekspozycji zaliczonych do portfela handlowego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i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eks</w:t>
            </w:r>
            <w:r w:rsidRPr="00BA5C71">
              <w:rPr>
                <w:rFonts w:ascii="Times New Roman" w:hAnsi="Times New Roman"/>
                <w:sz w:val="24"/>
              </w:rPr>
              <w:t>pozycji sekurytyzacyjnych.</w:t>
            </w:r>
          </w:p>
          <w:p w14:paraId="068BDCF9" w14:textId="5A374004" w:rsidR="009D6580" w:rsidRPr="00BA5C71" w:rsidRDefault="009D6580" w:rsidP="00822842">
            <w:pPr>
              <w:rPr>
                <w:rFonts w:ascii="Times New Roman" w:hAnsi="Times New Roman"/>
                <w:sz w:val="24"/>
              </w:rPr>
            </w:pPr>
            <w:r w:rsidRPr="00BA5C71">
              <w:rPr>
                <w:rFonts w:ascii="Times New Roman" w:hAnsi="Times New Roman"/>
                <w:sz w:val="24"/>
              </w:rPr>
              <w:t>Jeżeli instytucja skorzysta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odstępstwa, we wzorze dla jurysdykcji odpowiadającej państwu członkowskiemu jej pochodzenia oraz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poz</w:t>
            </w:r>
            <w:r w:rsidRPr="00BA5C71">
              <w:rPr>
                <w:rFonts w:ascii="Times New Roman" w:hAnsi="Times New Roman"/>
                <w:sz w:val="24"/>
              </w:rPr>
              <w:t>ycji „Razem” dla wszystkich państw wpisuje „y”.</w:t>
            </w:r>
          </w:p>
          <w:p w14:paraId="3EA8EC30" w14:textId="42911D9A" w:rsidR="009D6580" w:rsidRPr="00BA5C71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BA5C71">
              <w:rPr>
                <w:rFonts w:ascii="Times New Roman" w:hAnsi="Times New Roman"/>
                <w:sz w:val="24"/>
              </w:rPr>
              <w:t>Jeżeli instytucja nie skorzysta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z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teg</w:t>
            </w:r>
            <w:r w:rsidRPr="00BA5C71">
              <w:rPr>
                <w:rFonts w:ascii="Times New Roman" w:hAnsi="Times New Roman"/>
                <w:sz w:val="24"/>
              </w:rPr>
              <w:t>o odstępstwa,</w:t>
            </w:r>
            <w:r w:rsidR="00BA5C71" w:rsidRPr="00BA5C71">
              <w:rPr>
                <w:rFonts w:ascii="Times New Roman" w:hAnsi="Times New Roman"/>
                <w:sz w:val="24"/>
              </w:rPr>
              <w:t xml:space="preserve"> w</w:t>
            </w:r>
            <w:r w:rsidR="00BA5C71">
              <w:rPr>
                <w:rFonts w:ascii="Times New Roman" w:hAnsi="Times New Roman"/>
                <w:sz w:val="24"/>
              </w:rPr>
              <w:t> </w:t>
            </w:r>
            <w:r w:rsidR="00BA5C71" w:rsidRPr="00BA5C71">
              <w:rPr>
                <w:rFonts w:ascii="Times New Roman" w:hAnsi="Times New Roman"/>
                <w:sz w:val="24"/>
              </w:rPr>
              <w:t>odp</w:t>
            </w:r>
            <w:r w:rsidRPr="00BA5C71">
              <w:rPr>
                <w:rFonts w:ascii="Times New Roman" w:hAnsi="Times New Roman"/>
                <w:sz w:val="24"/>
              </w:rPr>
              <w:t>owiedniej komórce wpisuje „n”.</w:t>
            </w:r>
          </w:p>
        </w:tc>
      </w:tr>
    </w:tbl>
    <w:p w14:paraId="41871259" w14:textId="77777777" w:rsidR="009D6580" w:rsidRPr="00BA5C71" w:rsidRDefault="009D6580"/>
    <w:p w14:paraId="6D451BBA" w14:textId="77777777" w:rsidR="009D6580" w:rsidRPr="00BA5C71" w:rsidRDefault="009D6580"/>
    <w:sectPr w:rsidR="009D6580" w:rsidRPr="00BA5C71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3790" w14:textId="77777777" w:rsidR="00071022" w:rsidRPr="00BA5C71" w:rsidRDefault="00071022" w:rsidP="00E26A90">
      <w:pPr>
        <w:spacing w:after="0"/>
      </w:pPr>
      <w:r w:rsidRPr="00BA5C71">
        <w:separator/>
      </w:r>
    </w:p>
  </w:endnote>
  <w:endnote w:type="continuationSeparator" w:id="0">
    <w:p w14:paraId="0E38E4C2" w14:textId="77777777" w:rsidR="00071022" w:rsidRPr="00BA5C71" w:rsidRDefault="00071022" w:rsidP="00E26A90">
      <w:pPr>
        <w:spacing w:after="0"/>
      </w:pPr>
      <w:r w:rsidRPr="00BA5C7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DF55" w14:textId="77777777" w:rsidR="00071022" w:rsidRPr="00BA5C71" w:rsidRDefault="00071022" w:rsidP="00E26A90">
      <w:pPr>
        <w:spacing w:after="0"/>
      </w:pPr>
      <w:r w:rsidRPr="00BA5C71">
        <w:separator/>
      </w:r>
    </w:p>
  </w:footnote>
  <w:footnote w:type="continuationSeparator" w:id="0">
    <w:p w14:paraId="0EAFC9C2" w14:textId="77777777" w:rsidR="00071022" w:rsidRPr="00BA5C71" w:rsidRDefault="00071022" w:rsidP="00E26A90">
      <w:pPr>
        <w:spacing w:after="0"/>
      </w:pPr>
      <w:r w:rsidRPr="00BA5C71">
        <w:continuationSeparator/>
      </w:r>
    </w:p>
  </w:footnote>
  <w:footnote w:id="1">
    <w:p w14:paraId="662CB3FE" w14:textId="5134D62D" w:rsidR="009D6580" w:rsidRPr="00BA5C71" w:rsidRDefault="009D6580" w:rsidP="009D6580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 w:rsidRPr="00BA5C71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BA5C71">
        <w:tab/>
      </w:r>
      <w:r w:rsidRPr="00BA5C71">
        <w:rPr>
          <w:rFonts w:ascii="Times New Roman" w:hAnsi="Times New Roman"/>
          <w:color w:val="444444"/>
          <w:sz w:val="20"/>
        </w:rPr>
        <w:t>Rozporządzenie delegowane Komisji (UE) nr</w:t>
      </w:r>
      <w:r w:rsidR="00BA5C71" w:rsidRPr="00BA5C71">
        <w:rPr>
          <w:rFonts w:ascii="Times New Roman" w:hAnsi="Times New Roman"/>
          <w:color w:val="444444"/>
          <w:sz w:val="20"/>
        </w:rPr>
        <w:t> </w:t>
      </w:r>
      <w:r w:rsidRPr="00BA5C71">
        <w:rPr>
          <w:rFonts w:ascii="Times New Roman" w:hAnsi="Times New Roman"/>
          <w:color w:val="444444"/>
          <w:sz w:val="20"/>
        </w:rPr>
        <w:t>1152/2014</w:t>
      </w:r>
      <w:r w:rsidR="00BA5C71" w:rsidRPr="00BA5C71">
        <w:rPr>
          <w:rFonts w:ascii="Times New Roman" w:hAnsi="Times New Roman"/>
          <w:color w:val="444444"/>
          <w:sz w:val="20"/>
        </w:rPr>
        <w:t xml:space="preserve"> z</w:t>
      </w:r>
      <w:r w:rsidR="00BA5C71">
        <w:rPr>
          <w:rFonts w:ascii="Times New Roman" w:hAnsi="Times New Roman"/>
          <w:color w:val="444444"/>
          <w:sz w:val="20"/>
        </w:rPr>
        <w:t> </w:t>
      </w:r>
      <w:r w:rsidR="00BA5C71" w:rsidRPr="00BA5C71">
        <w:rPr>
          <w:rFonts w:ascii="Times New Roman" w:hAnsi="Times New Roman"/>
          <w:color w:val="444444"/>
          <w:sz w:val="20"/>
        </w:rPr>
        <w:t>dni</w:t>
      </w:r>
      <w:r w:rsidRPr="00BA5C71">
        <w:rPr>
          <w:rFonts w:ascii="Times New Roman" w:hAnsi="Times New Roman"/>
          <w:color w:val="444444"/>
          <w:sz w:val="20"/>
        </w:rPr>
        <w:t>a 4 czerwca 2014</w:t>
      </w:r>
      <w:r w:rsidR="00BA5C71" w:rsidRPr="00BA5C71">
        <w:rPr>
          <w:rFonts w:ascii="Times New Roman" w:hAnsi="Times New Roman"/>
          <w:color w:val="444444"/>
          <w:sz w:val="20"/>
        </w:rPr>
        <w:t> </w:t>
      </w:r>
      <w:r w:rsidRPr="00BA5C71">
        <w:rPr>
          <w:rFonts w:ascii="Times New Roman" w:hAnsi="Times New Roman"/>
          <w:color w:val="444444"/>
          <w:sz w:val="20"/>
        </w:rPr>
        <w:t>r. uzupełniające dyrektywę Parlamentu Europejskiego</w:t>
      </w:r>
      <w:r w:rsidR="00BA5C71" w:rsidRPr="00BA5C71">
        <w:rPr>
          <w:rFonts w:ascii="Times New Roman" w:hAnsi="Times New Roman"/>
          <w:color w:val="444444"/>
          <w:sz w:val="20"/>
        </w:rPr>
        <w:t xml:space="preserve"> i</w:t>
      </w:r>
      <w:r w:rsidR="00BA5C71">
        <w:rPr>
          <w:rFonts w:ascii="Times New Roman" w:hAnsi="Times New Roman"/>
          <w:color w:val="444444"/>
          <w:sz w:val="20"/>
        </w:rPr>
        <w:t> </w:t>
      </w:r>
      <w:r w:rsidR="00BA5C71" w:rsidRPr="00BA5C71">
        <w:rPr>
          <w:rFonts w:ascii="Times New Roman" w:hAnsi="Times New Roman"/>
          <w:color w:val="444444"/>
          <w:sz w:val="20"/>
        </w:rPr>
        <w:t>Rad</w:t>
      </w:r>
      <w:r w:rsidRPr="00BA5C71">
        <w:rPr>
          <w:rFonts w:ascii="Times New Roman" w:hAnsi="Times New Roman"/>
          <w:color w:val="444444"/>
          <w:sz w:val="20"/>
        </w:rPr>
        <w:t>y 2013/36/UE</w:t>
      </w:r>
      <w:r w:rsidR="00BA5C71" w:rsidRPr="00BA5C71">
        <w:rPr>
          <w:rFonts w:ascii="Times New Roman" w:hAnsi="Times New Roman"/>
          <w:color w:val="444444"/>
          <w:sz w:val="20"/>
        </w:rPr>
        <w:t xml:space="preserve"> w</w:t>
      </w:r>
      <w:r w:rsidR="00BA5C71">
        <w:rPr>
          <w:rFonts w:ascii="Times New Roman" w:hAnsi="Times New Roman"/>
          <w:color w:val="444444"/>
          <w:sz w:val="20"/>
        </w:rPr>
        <w:t> </w:t>
      </w:r>
      <w:r w:rsidR="00BA5C71" w:rsidRPr="00BA5C71">
        <w:rPr>
          <w:rFonts w:ascii="Times New Roman" w:hAnsi="Times New Roman"/>
          <w:color w:val="444444"/>
          <w:sz w:val="20"/>
        </w:rPr>
        <w:t>odn</w:t>
      </w:r>
      <w:r w:rsidRPr="00BA5C71">
        <w:rPr>
          <w:rFonts w:ascii="Times New Roman" w:hAnsi="Times New Roman"/>
          <w:color w:val="444444"/>
          <w:sz w:val="20"/>
        </w:rPr>
        <w:t>iesieniu do regulacyjnych standardów technicznych dotyczących ustalania lokalizacji geograficznej odnośnych ekspozycji kredytowych na potrzeby obliczania specyficznych dla instytucji wskaźników bufora antycyklicznego (Dz.U. L 309</w:t>
      </w:r>
      <w:r w:rsidR="00BA5C71" w:rsidRPr="00BA5C71">
        <w:rPr>
          <w:rFonts w:ascii="Times New Roman" w:hAnsi="Times New Roman"/>
          <w:color w:val="444444"/>
          <w:sz w:val="20"/>
        </w:rPr>
        <w:t xml:space="preserve"> z</w:t>
      </w:r>
      <w:r w:rsidR="00BA5C71">
        <w:rPr>
          <w:rFonts w:ascii="Times New Roman" w:hAnsi="Times New Roman"/>
          <w:color w:val="444444"/>
          <w:sz w:val="20"/>
        </w:rPr>
        <w:t> </w:t>
      </w:r>
      <w:r w:rsidR="00BA5C71" w:rsidRPr="00BA5C71">
        <w:rPr>
          <w:rFonts w:ascii="Times New Roman" w:hAnsi="Times New Roman"/>
          <w:color w:val="444444"/>
          <w:sz w:val="20"/>
        </w:rPr>
        <w:t>3</w:t>
      </w:r>
      <w:r w:rsidRPr="00BA5C71">
        <w:rPr>
          <w:rFonts w:ascii="Times New Roman" w:hAnsi="Times New Roman"/>
          <w:color w:val="444444"/>
          <w:sz w:val="20"/>
        </w:rPr>
        <w:t>0.10.2014, s.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Pr="00BA5C71" w:rsidRDefault="00E26A90">
    <w:pPr>
      <w:pStyle w:val="Header"/>
    </w:pPr>
    <w:r w:rsidRPr="00BA5C71"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Pr="00BA5C71" w:rsidRDefault="00E26A90">
    <w:pPr>
      <w:pStyle w:val="Header"/>
    </w:pPr>
    <w:r w:rsidRPr="00BA5C71"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Pr="00BA5C71" w:rsidRDefault="00E26A90">
    <w:pPr>
      <w:pStyle w:val="Header"/>
    </w:pPr>
    <w:r w:rsidRPr="00BA5C71"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35336C"/>
    <w:rsid w:val="00381D02"/>
    <w:rsid w:val="003C36D5"/>
    <w:rsid w:val="003D18F9"/>
    <w:rsid w:val="004F241E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B3003C"/>
    <w:rsid w:val="00B56773"/>
    <w:rsid w:val="00B71F25"/>
    <w:rsid w:val="00BA13AD"/>
    <w:rsid w:val="00BA5C71"/>
    <w:rsid w:val="00C04862"/>
    <w:rsid w:val="00D25C41"/>
    <w:rsid w:val="00DD798A"/>
    <w:rsid w:val="00E26A90"/>
    <w:rsid w:val="00E50DD0"/>
    <w:rsid w:val="00EC607D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pl-PL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pl-PL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pl-PL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pl-PL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pl-PL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pl-PL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pl-PL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pl-PL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pl-PL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pl-PL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pl-PL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pl-PL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pl-PL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pl-PL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pl-PL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pl-PL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pl-PL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pl-PL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46E164-3EF3-4D13-A245-F6D7F6D89307}"/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4008</Words>
  <Characters>25529</Characters>
  <Application>Microsoft Office Word</Application>
  <DocSecurity>0</DocSecurity>
  <Lines>671</Lines>
  <Paragraphs>468</Paragraphs>
  <ScaleCrop>false</ScaleCrop>
  <Company/>
  <LinksUpToDate>false</LinksUpToDate>
  <CharactersWithSpaces>29069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2025-01-27T10:25:00Z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2024-12-16T12:12:18Z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c8ea5e3b-280e-4b79-8f6f-7b4152017f86</vt:lpwstr>
  </property>
  <property fmtid="{D5CDD505-2E9C-101B-9397-08002B2CF9AE}" pid="9" name="MSIP_Label_6bd9ddd1-4d20-43f6-abfa-fc3c07406f94_ContentBits">
    <vt:lpwstr>0</vt:lpwstr>
  </property>
</Properties>
</file>