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55CEC" w14:textId="77777777" w:rsidR="004B3EB4" w:rsidRPr="00341868" w:rsidRDefault="004B3EB4" w:rsidP="004B3EB4">
      <w:pPr>
        <w:jc w:val="center"/>
        <w:rPr>
          <w:rFonts w:ascii="Times New Roman" w:hAnsi="Times New Roman"/>
          <w:sz w:val="24"/>
          <w:szCs w:val="22"/>
        </w:rPr>
      </w:pPr>
      <w:bookmarkStart w:id="0" w:name="_Toc360188413"/>
      <w:bookmarkStart w:id="1" w:name="_Toc473561053"/>
      <w:bookmarkStart w:id="2" w:name="_Toc117766050"/>
      <w:r w:rsidRPr="00341868">
        <w:rPr>
          <w:rFonts w:ascii="Times New Roman" w:hAnsi="Times New Roman"/>
          <w:sz w:val="24"/>
        </w:rPr>
        <w:t>DE</w:t>
      </w:r>
    </w:p>
    <w:p w14:paraId="673AA6A5" w14:textId="77777777" w:rsidR="004B3EB4" w:rsidRPr="00341868" w:rsidRDefault="004B3EB4" w:rsidP="004B3EB4">
      <w:pPr>
        <w:rPr>
          <w:rFonts w:asciiTheme="minorHAnsi" w:hAnsiTheme="minorHAnsi"/>
          <w:sz w:val="22"/>
        </w:rPr>
      </w:pPr>
    </w:p>
    <w:p w14:paraId="714F1821" w14:textId="77777777" w:rsidR="009A273F" w:rsidRPr="00341868" w:rsidRDefault="009A273F" w:rsidP="009A273F">
      <w:pPr>
        <w:jc w:val="center"/>
        <w:rPr>
          <w:rFonts w:ascii="Times New Roman" w:hAnsi="Times New Roman"/>
          <w:sz w:val="24"/>
        </w:rPr>
      </w:pPr>
      <w:r w:rsidRPr="00341868">
        <w:rPr>
          <w:rFonts w:ascii="Times New Roman" w:hAnsi="Times New Roman"/>
          <w:sz w:val="24"/>
        </w:rPr>
        <w:t>ANHANG II</w:t>
      </w:r>
    </w:p>
    <w:p w14:paraId="025DAC25" w14:textId="77777777" w:rsidR="009A273F" w:rsidRPr="00341868" w:rsidRDefault="009A273F" w:rsidP="009A273F">
      <w:pPr>
        <w:jc w:val="center"/>
        <w:rPr>
          <w:rFonts w:ascii="Times New Roman" w:hAnsi="Times New Roman"/>
          <w:sz w:val="24"/>
        </w:rPr>
      </w:pPr>
      <w:r w:rsidRPr="00341868">
        <w:rPr>
          <w:rFonts w:ascii="Times New Roman" w:hAnsi="Times New Roman"/>
          <w:sz w:val="24"/>
        </w:rPr>
        <w:t>„ANHANG II</w:t>
      </w:r>
    </w:p>
    <w:p w14:paraId="5EA1A82F" w14:textId="77777777" w:rsidR="009A273F" w:rsidRPr="00341868" w:rsidRDefault="009A273F" w:rsidP="009A273F">
      <w:pPr>
        <w:jc w:val="center"/>
        <w:rPr>
          <w:rFonts w:ascii="Times New Roman" w:hAnsi="Times New Roman"/>
          <w:b/>
          <w:sz w:val="24"/>
        </w:rPr>
      </w:pPr>
      <w:r w:rsidRPr="00341868">
        <w:rPr>
          <w:rFonts w:ascii="Times New Roman" w:hAnsi="Times New Roman"/>
          <w:b/>
          <w:sz w:val="24"/>
        </w:rPr>
        <w:t>ERLÄUTERUNGEN ZU DEN MELDUNGEN ÜBER EIGENMITTEL UND EIGENMITTELANFORDERUNGEN</w:t>
      </w:r>
    </w:p>
    <w:p w14:paraId="7ABDFB60" w14:textId="77777777" w:rsidR="009A273F" w:rsidRPr="00341868" w:rsidRDefault="009A273F" w:rsidP="009A273F"/>
    <w:p w14:paraId="65617CB9" w14:textId="77777777" w:rsidR="009A273F" w:rsidRPr="00341868" w:rsidRDefault="009A273F" w:rsidP="009A273F">
      <w:pPr>
        <w:spacing w:before="0" w:after="0"/>
        <w:jc w:val="left"/>
        <w:rPr>
          <w:rStyle w:val="InstructionsTabelleText"/>
          <w:rFonts w:ascii="Times New Roman" w:hAnsi="Times New Roman"/>
          <w:b/>
          <w:bCs/>
          <w:sz w:val="24"/>
          <w:u w:val="single"/>
        </w:rPr>
      </w:pPr>
      <w:r w:rsidRPr="00341868">
        <w:rPr>
          <w:rStyle w:val="InstructionsTabelleText"/>
          <w:rFonts w:ascii="Times New Roman" w:hAnsi="Times New Roman"/>
          <w:b/>
          <w:sz w:val="24"/>
          <w:u w:val="single"/>
        </w:rPr>
        <w:t>TEIL II: ERLÄUTERUNGEN ZU DEN EINZELNEN MELDEBÖGEN</w:t>
      </w:r>
    </w:p>
    <w:p w14:paraId="67FA9FF1" w14:textId="77777777" w:rsidR="009A273F" w:rsidRPr="00341868" w:rsidRDefault="009A273F" w:rsidP="009A273F">
      <w:pPr>
        <w:spacing w:before="0" w:after="0"/>
        <w:jc w:val="left"/>
        <w:rPr>
          <w:rStyle w:val="InstructionsTabelleText"/>
          <w:rFonts w:ascii="Times New Roman" w:hAnsi="Times New Roman"/>
          <w:sz w:val="24"/>
        </w:rPr>
      </w:pPr>
      <w:r w:rsidRPr="00341868">
        <w:rPr>
          <w:rStyle w:val="InstructionsTabelleText"/>
          <w:rFonts w:ascii="Times New Roman" w:hAnsi="Times New Roman"/>
          <w:sz w:val="24"/>
        </w:rPr>
        <w:t xml:space="preserve"> </w:t>
      </w:r>
    </w:p>
    <w:p w14:paraId="49367E83" w14:textId="77777777" w:rsidR="009A273F" w:rsidRPr="00341868" w:rsidRDefault="009A273F" w:rsidP="009A273F">
      <w:pPr>
        <w:spacing w:before="0" w:after="0"/>
        <w:jc w:val="left"/>
        <w:rPr>
          <w:rStyle w:val="InstructionsTabelleText"/>
          <w:rFonts w:ascii="Times New Roman" w:hAnsi="Times New Roman"/>
          <w:sz w:val="24"/>
        </w:rPr>
      </w:pPr>
      <w:r w:rsidRPr="00341868">
        <w:rPr>
          <w:rStyle w:val="InstructionsTabelleText"/>
          <w:rFonts w:ascii="Times New Roman" w:hAnsi="Times New Roman"/>
          <w:sz w:val="24"/>
        </w:rPr>
        <w:t>(…)</w:t>
      </w:r>
    </w:p>
    <w:p w14:paraId="07BCB996" w14:textId="77777777" w:rsidR="009A273F" w:rsidRPr="00341868" w:rsidRDefault="009A273F" w:rsidP="009A273F">
      <w:pPr>
        <w:spacing w:before="0" w:after="0"/>
        <w:jc w:val="left"/>
        <w:rPr>
          <w:rStyle w:val="InstructionsTabelleText"/>
          <w:rFonts w:ascii="Times New Roman" w:hAnsi="Times New Roman"/>
          <w:sz w:val="24"/>
        </w:rPr>
      </w:pPr>
    </w:p>
    <w:p w14:paraId="2A449DF9" w14:textId="75B5D8AF" w:rsidR="00DD5030" w:rsidRPr="00341868" w:rsidRDefault="00606FB5" w:rsidP="009A273F">
      <w:pPr>
        <w:spacing w:before="0" w:after="0"/>
        <w:jc w:val="left"/>
        <w:rPr>
          <w:rFonts w:ascii="Times New Roman" w:hAnsi="Times New Roman"/>
          <w:sz w:val="24"/>
        </w:rPr>
      </w:pPr>
      <w:r w:rsidRPr="00341868">
        <w:rPr>
          <w:rFonts w:ascii="Times New Roman" w:hAnsi="Times New Roman"/>
          <w:sz w:val="24"/>
        </w:rPr>
        <w:t>5.8.</w:t>
      </w:r>
      <w:r w:rsidRPr="00341868">
        <w:tab/>
      </w:r>
      <w:r w:rsidRPr="00341868">
        <w:rPr>
          <w:rFonts w:ascii="Times New Roman" w:hAnsi="Times New Roman"/>
          <w:sz w:val="24"/>
        </w:rPr>
        <w:t>C 25.01 – RISIKO EINER ANPASSUNG DER KREDITBEWERTUNG</w:t>
      </w:r>
      <w:bookmarkEnd w:id="0"/>
      <w:r w:rsidRPr="00341868">
        <w:rPr>
          <w:rFonts w:ascii="Times New Roman" w:hAnsi="Times New Roman"/>
          <w:sz w:val="24"/>
        </w:rPr>
        <w:t xml:space="preserve"> (CVA)</w:t>
      </w:r>
      <w:bookmarkEnd w:id="1"/>
      <w:bookmarkEnd w:id="2"/>
    </w:p>
    <w:p w14:paraId="33239E01" w14:textId="77777777" w:rsidR="00606FB5" w:rsidRPr="00341868" w:rsidRDefault="00606FB5" w:rsidP="00606FB5">
      <w:pPr>
        <w:pStyle w:val="Instructionsberschrift2"/>
        <w:numPr>
          <w:ilvl w:val="0"/>
          <w:numId w:val="0"/>
        </w:numPr>
        <w:ind w:left="357" w:hanging="357"/>
        <w:rPr>
          <w:rFonts w:ascii="Times New Roman" w:hAnsi="Times New Roman" w:cs="Times New Roman"/>
          <w:sz w:val="24"/>
        </w:rPr>
      </w:pPr>
      <w:bookmarkStart w:id="3" w:name="_Toc360188414"/>
      <w:bookmarkStart w:id="4" w:name="_Toc473561054"/>
      <w:bookmarkStart w:id="5" w:name="_Toc117766051"/>
      <w:bookmarkStart w:id="6" w:name="_Toc310008820"/>
      <w:r w:rsidRPr="00341868">
        <w:rPr>
          <w:rFonts w:ascii="Times New Roman" w:hAnsi="Times New Roman"/>
          <w:sz w:val="24"/>
          <w:u w:val="none"/>
        </w:rPr>
        <w:t>5.8.1.</w:t>
      </w:r>
      <w:r w:rsidRPr="00341868">
        <w:tab/>
      </w:r>
      <w:r w:rsidRPr="00341868">
        <w:rPr>
          <w:rFonts w:ascii="Times New Roman" w:hAnsi="Times New Roman"/>
          <w:sz w:val="24"/>
        </w:rPr>
        <w:t>Erläuterungen zu bestimmten Positionen</w:t>
      </w:r>
      <w:bookmarkEnd w:id="3"/>
      <w:bookmarkEnd w:id="4"/>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844"/>
      </w:tblGrid>
      <w:tr w:rsidR="00680687" w:rsidRPr="00341868" w14:paraId="0110EC19" w14:textId="77777777" w:rsidTr="006A3ADC">
        <w:tc>
          <w:tcPr>
            <w:tcW w:w="9016" w:type="dxa"/>
            <w:gridSpan w:val="2"/>
            <w:shd w:val="clear" w:color="auto" w:fill="CCCCCC"/>
          </w:tcPr>
          <w:p w14:paraId="42563A8C" w14:textId="77777777" w:rsidR="00680687" w:rsidRPr="00341868" w:rsidRDefault="00680687" w:rsidP="006A3ADC">
            <w:pPr>
              <w:rPr>
                <w:rFonts w:ascii="Times New Roman" w:hAnsi="Times New Roman"/>
                <w:b/>
                <w:sz w:val="24"/>
              </w:rPr>
            </w:pPr>
            <w:r w:rsidRPr="00341868">
              <w:rPr>
                <w:rFonts w:ascii="Times New Roman" w:hAnsi="Times New Roman"/>
                <w:b/>
                <w:sz w:val="24"/>
              </w:rPr>
              <w:t>Spalten</w:t>
            </w:r>
          </w:p>
        </w:tc>
      </w:tr>
      <w:tr w:rsidR="00680687" w:rsidRPr="00341868" w14:paraId="22C86396" w14:textId="77777777" w:rsidTr="006A3ADC">
        <w:tc>
          <w:tcPr>
            <w:tcW w:w="1172" w:type="dxa"/>
          </w:tcPr>
          <w:p w14:paraId="013E2964" w14:textId="77777777" w:rsidR="00680687" w:rsidRPr="00341868" w:rsidRDefault="00680687" w:rsidP="006A3ADC">
            <w:pPr>
              <w:rPr>
                <w:rFonts w:ascii="Times New Roman" w:hAnsi="Times New Roman"/>
                <w:sz w:val="24"/>
              </w:rPr>
            </w:pPr>
            <w:r w:rsidRPr="00341868">
              <w:rPr>
                <w:rFonts w:ascii="Times New Roman" w:hAnsi="Times New Roman"/>
                <w:sz w:val="24"/>
              </w:rPr>
              <w:t>0010</w:t>
            </w:r>
          </w:p>
        </w:tc>
        <w:tc>
          <w:tcPr>
            <w:tcW w:w="7844" w:type="dxa"/>
          </w:tcPr>
          <w:p w14:paraId="48C69E8C" w14:textId="77777777" w:rsidR="00680687" w:rsidRPr="00341868" w:rsidRDefault="00680687" w:rsidP="006A3ADC">
            <w:pPr>
              <w:rPr>
                <w:rFonts w:ascii="Times New Roman" w:hAnsi="Times New Roman"/>
                <w:b/>
                <w:bCs/>
                <w:sz w:val="24"/>
                <w:u w:val="single"/>
              </w:rPr>
            </w:pPr>
            <w:r w:rsidRPr="00341868">
              <w:rPr>
                <w:rFonts w:ascii="Times New Roman" w:hAnsi="Times New Roman"/>
                <w:b/>
                <w:sz w:val="24"/>
                <w:u w:val="single"/>
              </w:rPr>
              <w:t>CCR-Risikopositionswert</w:t>
            </w:r>
          </w:p>
          <w:p w14:paraId="06BD2F33" w14:textId="77777777" w:rsidR="00680687" w:rsidRPr="00341868" w:rsidRDefault="00680687" w:rsidP="006A3ADC">
            <w:pPr>
              <w:rPr>
                <w:rFonts w:ascii="Times New Roman" w:hAnsi="Times New Roman"/>
                <w:sz w:val="24"/>
              </w:rPr>
            </w:pPr>
            <w:r w:rsidRPr="00341868">
              <w:rPr>
                <w:rFonts w:ascii="Times New Roman" w:hAnsi="Times New Roman"/>
                <w:sz w:val="24"/>
              </w:rPr>
              <w:t>Nach Teil 3 Titel II Kapitel 4 und 6 der Verordnung (EU) Nr. 575/2013 berechneter Risikopositionswert für das Gegenparteiausfallrisiko (CCR).</w:t>
            </w:r>
          </w:p>
        </w:tc>
      </w:tr>
      <w:tr w:rsidR="00680687" w:rsidRPr="00341868" w14:paraId="117387BA" w14:textId="77777777" w:rsidTr="006A3ADC">
        <w:tc>
          <w:tcPr>
            <w:tcW w:w="1172" w:type="dxa"/>
          </w:tcPr>
          <w:p w14:paraId="7CA143D6" w14:textId="77777777" w:rsidR="00680687" w:rsidRPr="00341868" w:rsidRDefault="00680687" w:rsidP="006A3ADC">
            <w:pPr>
              <w:rPr>
                <w:rFonts w:ascii="Times New Roman" w:hAnsi="Times New Roman"/>
                <w:sz w:val="24"/>
              </w:rPr>
            </w:pPr>
            <w:r w:rsidRPr="00341868">
              <w:rPr>
                <w:rFonts w:ascii="Times New Roman" w:hAnsi="Times New Roman"/>
                <w:sz w:val="24"/>
              </w:rPr>
              <w:t>0020</w:t>
            </w:r>
          </w:p>
        </w:tc>
        <w:tc>
          <w:tcPr>
            <w:tcW w:w="7844" w:type="dxa"/>
          </w:tcPr>
          <w:p w14:paraId="51B45A7C" w14:textId="77777777" w:rsidR="00680687" w:rsidRPr="00341868" w:rsidRDefault="00680687" w:rsidP="006A3ADC">
            <w:pPr>
              <w:rPr>
                <w:rFonts w:ascii="Times New Roman" w:hAnsi="Times New Roman"/>
                <w:b/>
                <w:bCs/>
                <w:sz w:val="24"/>
                <w:u w:val="single"/>
              </w:rPr>
            </w:pPr>
            <w:r w:rsidRPr="00341868">
              <w:rPr>
                <w:rFonts w:ascii="Times New Roman" w:hAnsi="Times New Roman"/>
                <w:b/>
                <w:sz w:val="24"/>
                <w:u w:val="single"/>
              </w:rPr>
              <w:t>Eigenmittelanforderungen für das CCR</w:t>
            </w:r>
          </w:p>
          <w:p w14:paraId="0F0016B3" w14:textId="77777777" w:rsidR="00680687" w:rsidRPr="00341868" w:rsidRDefault="00680687" w:rsidP="006A3ADC">
            <w:pPr>
              <w:rPr>
                <w:rFonts w:ascii="Times New Roman" w:hAnsi="Times New Roman"/>
                <w:sz w:val="24"/>
              </w:rPr>
            </w:pPr>
            <w:r w:rsidRPr="00341868">
              <w:rPr>
                <w:rFonts w:ascii="Times New Roman" w:hAnsi="Times New Roman"/>
                <w:sz w:val="24"/>
              </w:rPr>
              <w:t>Eigenmittelanforderungen für das CCR (Artikel 92 Absatz 4 Buchstaben a und g sowie Teil 3 Titel VI der Verordnung (EU) Nr. 575/2013).</w:t>
            </w:r>
          </w:p>
        </w:tc>
      </w:tr>
      <w:tr w:rsidR="00680687" w:rsidRPr="00341868" w14:paraId="5F978FE1" w14:textId="77777777" w:rsidTr="006A3ADC">
        <w:tc>
          <w:tcPr>
            <w:tcW w:w="1172" w:type="dxa"/>
          </w:tcPr>
          <w:p w14:paraId="182AB4FA" w14:textId="77777777" w:rsidR="00680687" w:rsidRPr="00341868" w:rsidRDefault="00680687" w:rsidP="006A3ADC">
            <w:pPr>
              <w:rPr>
                <w:rFonts w:ascii="Times New Roman" w:hAnsi="Times New Roman"/>
                <w:sz w:val="24"/>
              </w:rPr>
            </w:pPr>
            <w:r w:rsidRPr="00341868">
              <w:rPr>
                <w:rFonts w:ascii="Times New Roman" w:hAnsi="Times New Roman"/>
                <w:sz w:val="24"/>
              </w:rPr>
              <w:t>0030</w:t>
            </w:r>
          </w:p>
        </w:tc>
        <w:tc>
          <w:tcPr>
            <w:tcW w:w="7844" w:type="dxa"/>
          </w:tcPr>
          <w:p w14:paraId="396D9C75" w14:textId="77777777" w:rsidR="00680687" w:rsidRPr="00341868" w:rsidRDefault="00680687" w:rsidP="006A3ADC">
            <w:pPr>
              <w:rPr>
                <w:rFonts w:ascii="Times New Roman" w:hAnsi="Times New Roman"/>
                <w:b/>
                <w:bCs/>
                <w:sz w:val="24"/>
                <w:u w:val="single"/>
              </w:rPr>
            </w:pPr>
            <w:r w:rsidRPr="00341868">
              <w:rPr>
                <w:rFonts w:ascii="Times New Roman" w:hAnsi="Times New Roman"/>
                <w:b/>
                <w:sz w:val="24"/>
                <w:u w:val="single"/>
              </w:rPr>
              <w:t>Nominalbetrag</w:t>
            </w:r>
          </w:p>
          <w:p w14:paraId="3D1812D7" w14:textId="77777777" w:rsidR="00680687" w:rsidRPr="00341868" w:rsidRDefault="00680687" w:rsidP="006A3ADC">
            <w:pPr>
              <w:rPr>
                <w:rFonts w:ascii="Times New Roman" w:hAnsi="Times New Roman"/>
                <w:sz w:val="24"/>
              </w:rPr>
            </w:pPr>
            <w:r w:rsidRPr="00341868">
              <w:rPr>
                <w:rFonts w:ascii="Times New Roman" w:hAnsi="Times New Roman"/>
                <w:sz w:val="24"/>
              </w:rPr>
              <w:t>Summe der Nominalbeträge für Derivate vor etwaigem Netting und ohne etwaige Anpassungen gemäß Artikel 279b der Verordnung (EU) Nr. 575/2013.</w:t>
            </w:r>
          </w:p>
        </w:tc>
      </w:tr>
      <w:tr w:rsidR="00680687" w:rsidRPr="00341868" w14:paraId="26F18ADD" w14:textId="77777777" w:rsidTr="006A3ADC">
        <w:tc>
          <w:tcPr>
            <w:tcW w:w="1172" w:type="dxa"/>
          </w:tcPr>
          <w:p w14:paraId="54779968" w14:textId="77777777" w:rsidR="00680687" w:rsidRPr="00341868" w:rsidRDefault="00680687" w:rsidP="006A3ADC">
            <w:pPr>
              <w:rPr>
                <w:rFonts w:ascii="Times New Roman" w:hAnsi="Times New Roman"/>
                <w:sz w:val="24"/>
              </w:rPr>
            </w:pPr>
            <w:r w:rsidRPr="00341868">
              <w:rPr>
                <w:rFonts w:ascii="Times New Roman" w:hAnsi="Times New Roman"/>
                <w:sz w:val="24"/>
              </w:rPr>
              <w:t>0040</w:t>
            </w:r>
          </w:p>
        </w:tc>
        <w:tc>
          <w:tcPr>
            <w:tcW w:w="7844" w:type="dxa"/>
          </w:tcPr>
          <w:p w14:paraId="0B450F7D" w14:textId="77777777" w:rsidR="00680687" w:rsidRPr="00341868" w:rsidRDefault="00680687" w:rsidP="006A3ADC">
            <w:pPr>
              <w:rPr>
                <w:rFonts w:ascii="Times New Roman" w:hAnsi="Times New Roman"/>
                <w:b/>
                <w:bCs/>
                <w:sz w:val="24"/>
                <w:u w:val="single"/>
              </w:rPr>
            </w:pPr>
            <w:r w:rsidRPr="00341868">
              <w:rPr>
                <w:rFonts w:ascii="Times New Roman" w:hAnsi="Times New Roman"/>
                <w:b/>
                <w:sz w:val="24"/>
                <w:u w:val="single"/>
              </w:rPr>
              <w:t>Eingegangenes CVA-Risiko</w:t>
            </w:r>
          </w:p>
          <w:p w14:paraId="736FE6AE" w14:textId="77777777" w:rsidR="00680687" w:rsidRPr="00341868" w:rsidRDefault="00680687" w:rsidP="006A3ADC">
            <w:pPr>
              <w:rPr>
                <w:rFonts w:ascii="Times New Roman" w:hAnsi="Times New Roman"/>
                <w:sz w:val="24"/>
              </w:rPr>
            </w:pPr>
            <w:r w:rsidRPr="00341868">
              <w:rPr>
                <w:rFonts w:ascii="Times New Roman" w:hAnsi="Times New Roman"/>
                <w:sz w:val="24"/>
              </w:rPr>
              <w:t>Buchmäßige Rückstellungen aufgrund der gesunkenen Kreditwürdigkeit von Gegenparteien bei Derivaten.</w:t>
            </w:r>
          </w:p>
        </w:tc>
      </w:tr>
      <w:tr w:rsidR="00680687" w:rsidRPr="00341868" w14:paraId="31462293" w14:textId="77777777" w:rsidTr="006A3ADC">
        <w:tc>
          <w:tcPr>
            <w:tcW w:w="1172" w:type="dxa"/>
          </w:tcPr>
          <w:p w14:paraId="1B68F842" w14:textId="77777777" w:rsidR="00680687" w:rsidRPr="00341868" w:rsidRDefault="00680687" w:rsidP="006A3ADC">
            <w:pPr>
              <w:rPr>
                <w:rFonts w:ascii="Times New Roman" w:hAnsi="Times New Roman"/>
                <w:sz w:val="24"/>
              </w:rPr>
            </w:pPr>
            <w:r w:rsidRPr="00341868">
              <w:rPr>
                <w:rFonts w:ascii="Times New Roman" w:hAnsi="Times New Roman"/>
                <w:sz w:val="24"/>
              </w:rPr>
              <w:t>0050</w:t>
            </w:r>
          </w:p>
        </w:tc>
        <w:tc>
          <w:tcPr>
            <w:tcW w:w="7844" w:type="dxa"/>
          </w:tcPr>
          <w:p w14:paraId="2508C9C1" w14:textId="77777777" w:rsidR="00680687" w:rsidRPr="00341868" w:rsidRDefault="00680687" w:rsidP="006A3ADC">
            <w:pPr>
              <w:rPr>
                <w:rFonts w:ascii="Times New Roman" w:hAnsi="Times New Roman"/>
                <w:b/>
                <w:bCs/>
                <w:sz w:val="24"/>
                <w:u w:val="single"/>
              </w:rPr>
            </w:pPr>
            <w:r w:rsidRPr="00341868">
              <w:rPr>
                <w:rFonts w:ascii="Times New Roman" w:hAnsi="Times New Roman"/>
                <w:b/>
                <w:sz w:val="24"/>
                <w:u w:val="single"/>
              </w:rPr>
              <w:t>Vereinfachte Behandlung von Derivatepositionen bei OGA</w:t>
            </w:r>
          </w:p>
          <w:p w14:paraId="5D30B96B" w14:textId="77777777" w:rsidR="00680687" w:rsidRPr="00341868" w:rsidRDefault="00680687" w:rsidP="006A3ADC">
            <w:pPr>
              <w:rPr>
                <w:rFonts w:ascii="Times New Roman" w:hAnsi="Times New Roman"/>
                <w:sz w:val="24"/>
              </w:rPr>
            </w:pPr>
            <w:r w:rsidRPr="00341868">
              <w:rPr>
                <w:rFonts w:ascii="Times New Roman" w:hAnsi="Times New Roman"/>
                <w:sz w:val="24"/>
              </w:rPr>
              <w:t>Eigenmittelanforderungen für das Risiko einer Anpassung der Kreditbewertung (CVA) (Artikel 92 Absatz 4 Buchstabe d und Teil 3 Titel VI der Verordnung (EU) Nr. 575/2013), berechnet nach dem in Artikel 132a Absatz 3, Artikel 152 Absatz 3 und Artikel 325j Absatz 1 der Verordnung (EU) Nr. 575/2013 festgelegten vereinfachten Ansatz für Derivatepositionen bei OGA.</w:t>
            </w:r>
          </w:p>
        </w:tc>
      </w:tr>
      <w:tr w:rsidR="00680687" w:rsidRPr="00341868" w14:paraId="30F1E0DD" w14:textId="77777777" w:rsidTr="006A3ADC">
        <w:tc>
          <w:tcPr>
            <w:tcW w:w="1172" w:type="dxa"/>
          </w:tcPr>
          <w:p w14:paraId="6AA94009" w14:textId="77777777" w:rsidR="00680687" w:rsidRPr="00341868" w:rsidRDefault="00680687" w:rsidP="006A3ADC">
            <w:pPr>
              <w:rPr>
                <w:rFonts w:ascii="Times New Roman" w:hAnsi="Times New Roman"/>
                <w:sz w:val="24"/>
              </w:rPr>
            </w:pPr>
            <w:r w:rsidRPr="00341868">
              <w:rPr>
                <w:rFonts w:ascii="Times New Roman" w:hAnsi="Times New Roman"/>
                <w:sz w:val="24"/>
              </w:rPr>
              <w:t>0060</w:t>
            </w:r>
          </w:p>
        </w:tc>
        <w:tc>
          <w:tcPr>
            <w:tcW w:w="7844" w:type="dxa"/>
          </w:tcPr>
          <w:p w14:paraId="7A0A82EA" w14:textId="77777777" w:rsidR="00680687" w:rsidRPr="00341868" w:rsidRDefault="00680687" w:rsidP="006A3ADC">
            <w:pPr>
              <w:rPr>
                <w:rFonts w:ascii="Times New Roman" w:hAnsi="Times New Roman"/>
                <w:b/>
                <w:bCs/>
                <w:sz w:val="24"/>
                <w:u w:val="single"/>
              </w:rPr>
            </w:pPr>
            <w:r w:rsidRPr="00341868">
              <w:rPr>
                <w:rFonts w:ascii="Times New Roman" w:hAnsi="Times New Roman"/>
                <w:b/>
                <w:sz w:val="24"/>
                <w:u w:val="single"/>
              </w:rPr>
              <w:t>Vereinfachter Ansatz</w:t>
            </w:r>
          </w:p>
          <w:p w14:paraId="004D4F8F" w14:textId="77777777" w:rsidR="00680687" w:rsidRPr="00341868" w:rsidRDefault="00680687" w:rsidP="006A3ADC">
            <w:pPr>
              <w:rPr>
                <w:rFonts w:ascii="Times New Roman" w:hAnsi="Times New Roman"/>
                <w:sz w:val="24"/>
              </w:rPr>
            </w:pPr>
            <w:r w:rsidRPr="00341868">
              <w:rPr>
                <w:rFonts w:ascii="Times New Roman" w:hAnsi="Times New Roman"/>
                <w:sz w:val="24"/>
              </w:rPr>
              <w:t>Eigenmittelanforderungen für Geschäfte, die dem in Artikel 385 der Verordnung (EU) Nr. 575/2013 festgelegten vereinfachten Ansatz unterliegen.</w:t>
            </w:r>
          </w:p>
        </w:tc>
      </w:tr>
    </w:tbl>
    <w:p w14:paraId="0617ADF3" w14:textId="77777777" w:rsidR="00341868" w:rsidRDefault="0034186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844"/>
      </w:tblGrid>
      <w:tr w:rsidR="00680687" w:rsidRPr="00341868" w14:paraId="5F75A918" w14:textId="77777777" w:rsidTr="006A3ADC">
        <w:tc>
          <w:tcPr>
            <w:tcW w:w="1172" w:type="dxa"/>
          </w:tcPr>
          <w:p w14:paraId="4A4C55CD" w14:textId="50DE956F" w:rsidR="00680687" w:rsidRPr="00341868" w:rsidRDefault="00680687" w:rsidP="006A3ADC">
            <w:pPr>
              <w:rPr>
                <w:rFonts w:ascii="Times New Roman" w:hAnsi="Times New Roman"/>
                <w:sz w:val="24"/>
              </w:rPr>
            </w:pPr>
            <w:r w:rsidRPr="00341868">
              <w:rPr>
                <w:rFonts w:ascii="Times New Roman" w:hAnsi="Times New Roman"/>
                <w:sz w:val="24"/>
              </w:rPr>
              <w:lastRenderedPageBreak/>
              <w:t>0070</w:t>
            </w:r>
          </w:p>
        </w:tc>
        <w:tc>
          <w:tcPr>
            <w:tcW w:w="7844" w:type="dxa"/>
          </w:tcPr>
          <w:p w14:paraId="6D8487B1" w14:textId="77777777" w:rsidR="00680687" w:rsidRPr="00341868" w:rsidRDefault="00680687" w:rsidP="006A3ADC">
            <w:pPr>
              <w:rPr>
                <w:rFonts w:ascii="Times New Roman" w:hAnsi="Times New Roman"/>
                <w:b/>
                <w:bCs/>
                <w:sz w:val="24"/>
                <w:u w:val="single"/>
              </w:rPr>
            </w:pPr>
            <w:r w:rsidRPr="00341868">
              <w:rPr>
                <w:rFonts w:ascii="Times New Roman" w:hAnsi="Times New Roman"/>
                <w:b/>
                <w:sz w:val="24"/>
                <w:u w:val="single"/>
              </w:rPr>
              <w:t>Reduzierter BA-CVA-Ansatz</w:t>
            </w:r>
          </w:p>
          <w:p w14:paraId="10567290" w14:textId="77777777" w:rsidR="00680687" w:rsidRPr="00341868" w:rsidRDefault="00680687" w:rsidP="006A3ADC">
            <w:pPr>
              <w:rPr>
                <w:rFonts w:ascii="Times New Roman" w:hAnsi="Times New Roman"/>
                <w:sz w:val="24"/>
              </w:rPr>
            </w:pPr>
            <w:r w:rsidRPr="00341868">
              <w:rPr>
                <w:rFonts w:ascii="Times New Roman" w:hAnsi="Times New Roman"/>
                <w:sz w:val="24"/>
              </w:rPr>
              <w:t>Eigenmittelanforderungen für das Risiko einer Anpassung der Kreditbewertung (CVA) (Artikel 92 Absatz 4 Buchstabe d und Teil 3 Titel VI der Verordnung (EU) Nr. 575/2013) entsprechend der Berechnung nach Artikel 384 Absatz 3 für ein Institut, das die in Artikel 384 Absatz 1 Buchstabe b der Verordnung (EU) Nr. 575/2013 festgelegte Bedingung erfüllt.</w:t>
            </w:r>
          </w:p>
        </w:tc>
      </w:tr>
      <w:tr w:rsidR="00680687" w:rsidRPr="00341868" w14:paraId="775123CE" w14:textId="77777777" w:rsidTr="006A3ADC">
        <w:tc>
          <w:tcPr>
            <w:tcW w:w="1172" w:type="dxa"/>
          </w:tcPr>
          <w:p w14:paraId="3FE4F30F" w14:textId="77777777" w:rsidR="00680687" w:rsidRPr="00341868" w:rsidRDefault="00680687" w:rsidP="006A3ADC">
            <w:pPr>
              <w:rPr>
                <w:rFonts w:ascii="Times New Roman" w:hAnsi="Times New Roman"/>
                <w:sz w:val="24"/>
              </w:rPr>
            </w:pPr>
            <w:r w:rsidRPr="00341868">
              <w:rPr>
                <w:rFonts w:ascii="Times New Roman" w:hAnsi="Times New Roman"/>
                <w:sz w:val="24"/>
              </w:rPr>
              <w:t>0080-0110</w:t>
            </w:r>
          </w:p>
        </w:tc>
        <w:tc>
          <w:tcPr>
            <w:tcW w:w="7844" w:type="dxa"/>
          </w:tcPr>
          <w:p w14:paraId="4D4D4B28" w14:textId="77777777" w:rsidR="00680687" w:rsidRPr="00341868" w:rsidRDefault="00680687" w:rsidP="006A3ADC">
            <w:pPr>
              <w:rPr>
                <w:rFonts w:ascii="Times New Roman" w:hAnsi="Times New Roman"/>
                <w:b/>
                <w:bCs/>
                <w:sz w:val="24"/>
                <w:u w:val="single"/>
              </w:rPr>
            </w:pPr>
            <w:r w:rsidRPr="00341868">
              <w:rPr>
                <w:rFonts w:ascii="Times New Roman" w:hAnsi="Times New Roman"/>
                <w:b/>
                <w:sz w:val="24"/>
                <w:u w:val="single"/>
              </w:rPr>
              <w:t>Voller BA-CVA-Ansatz</w:t>
            </w:r>
          </w:p>
          <w:p w14:paraId="29492D07" w14:textId="77777777" w:rsidR="00680687" w:rsidRPr="00341868" w:rsidRDefault="00680687" w:rsidP="006A3ADC">
            <w:pPr>
              <w:rPr>
                <w:rFonts w:ascii="Times New Roman" w:hAnsi="Times New Roman"/>
                <w:b/>
                <w:sz w:val="24"/>
                <w:u w:val="single"/>
              </w:rPr>
            </w:pPr>
            <w:r w:rsidRPr="00341868">
              <w:rPr>
                <w:rFonts w:ascii="Times New Roman" w:hAnsi="Times New Roman"/>
                <w:sz w:val="24"/>
              </w:rPr>
              <w:t>Eigenmittelanforderungen für das Risiko einer Anpassung der Kreditbewertung (CVA) (Artikel 92 Absatz 4 Buchstabe d und Teil 3 Titel VI der Verordnung (EU) Nr. 575/2013) entsprechend der Berechnung nach Artikel 384 Absatz 2 für ein Institut, das die in Artikel 384 Absatz 1 Buchstabe a der Verordnung (EU) Nr. 575/2013 festgelegte Bedingung erfüllt.</w:t>
            </w:r>
          </w:p>
        </w:tc>
      </w:tr>
      <w:tr w:rsidR="00680687" w:rsidRPr="00341868" w14:paraId="5CC39791" w14:textId="77777777" w:rsidTr="006A3ADC">
        <w:tc>
          <w:tcPr>
            <w:tcW w:w="1172" w:type="dxa"/>
          </w:tcPr>
          <w:p w14:paraId="7ED793DD" w14:textId="77777777" w:rsidR="00680687" w:rsidRPr="00341868" w:rsidRDefault="00680687" w:rsidP="006A3ADC">
            <w:pPr>
              <w:rPr>
                <w:rFonts w:ascii="Times New Roman" w:hAnsi="Times New Roman"/>
                <w:sz w:val="24"/>
              </w:rPr>
            </w:pPr>
            <w:r w:rsidRPr="00341868">
              <w:rPr>
                <w:rFonts w:ascii="Times New Roman" w:hAnsi="Times New Roman"/>
                <w:sz w:val="24"/>
              </w:rPr>
              <w:t>0080</w:t>
            </w:r>
          </w:p>
        </w:tc>
        <w:tc>
          <w:tcPr>
            <w:tcW w:w="7844" w:type="dxa"/>
          </w:tcPr>
          <w:p w14:paraId="2F507335" w14:textId="77777777" w:rsidR="00680687" w:rsidRPr="00341868" w:rsidRDefault="00680687" w:rsidP="006A3ADC">
            <w:pPr>
              <w:rPr>
                <w:rFonts w:ascii="Times New Roman" w:hAnsi="Times New Roman"/>
                <w:b/>
                <w:bCs/>
                <w:sz w:val="24"/>
                <w:u w:val="single"/>
              </w:rPr>
            </w:pPr>
            <w:r w:rsidRPr="00341868">
              <w:rPr>
                <w:rFonts w:ascii="Times New Roman" w:hAnsi="Times New Roman"/>
                <w:b/>
                <w:sz w:val="24"/>
                <w:u w:val="single"/>
              </w:rPr>
              <w:t>Nominalwert der CVA-Absicherungen</w:t>
            </w:r>
          </w:p>
          <w:p w14:paraId="3C607DB7" w14:textId="77777777" w:rsidR="00680687" w:rsidRPr="00341868" w:rsidRDefault="00680687" w:rsidP="006A3ADC">
            <w:pPr>
              <w:rPr>
                <w:rFonts w:ascii="Times New Roman" w:hAnsi="Times New Roman"/>
                <w:sz w:val="24"/>
              </w:rPr>
            </w:pPr>
            <w:r w:rsidRPr="00341868">
              <w:rPr>
                <w:rFonts w:ascii="Times New Roman" w:hAnsi="Times New Roman"/>
                <w:sz w:val="24"/>
              </w:rPr>
              <w:t>Nominalwert der anerkennungsfähigen CVA-Absicherungsgeschäfte (Bruttobeträge), die gemäß Artikel 386 der Verordnung (EU) Nr. 575/2013 erfasst werden.</w:t>
            </w:r>
          </w:p>
        </w:tc>
      </w:tr>
      <w:tr w:rsidR="00680687" w:rsidRPr="00341868" w14:paraId="25B5BEC0" w14:textId="77777777" w:rsidTr="006A3ADC">
        <w:tc>
          <w:tcPr>
            <w:tcW w:w="1172" w:type="dxa"/>
          </w:tcPr>
          <w:p w14:paraId="569A7775" w14:textId="77777777" w:rsidR="00680687" w:rsidRPr="00341868" w:rsidRDefault="00680687" w:rsidP="006A3ADC">
            <w:pPr>
              <w:rPr>
                <w:rFonts w:ascii="Times New Roman" w:hAnsi="Times New Roman"/>
                <w:sz w:val="24"/>
              </w:rPr>
            </w:pPr>
            <w:r w:rsidRPr="00341868">
              <w:rPr>
                <w:rFonts w:ascii="Times New Roman" w:hAnsi="Times New Roman"/>
                <w:sz w:val="24"/>
              </w:rPr>
              <w:t>0090</w:t>
            </w:r>
          </w:p>
        </w:tc>
        <w:tc>
          <w:tcPr>
            <w:tcW w:w="7844" w:type="dxa"/>
          </w:tcPr>
          <w:p w14:paraId="7EE59EEA" w14:textId="77777777" w:rsidR="00680687" w:rsidRPr="00341868" w:rsidRDefault="00680687" w:rsidP="006A3ADC">
            <w:pPr>
              <w:rPr>
                <w:rFonts w:ascii="Times New Roman" w:hAnsi="Times New Roman"/>
                <w:sz w:val="24"/>
              </w:rPr>
            </w:pPr>
            <w:r w:rsidRPr="00341868">
              <w:rPr>
                <w:rFonts w:ascii="Times New Roman" w:hAnsi="Times New Roman"/>
                <w:b/>
                <w:sz w:val="24"/>
              </w:rPr>
              <w:t xml:space="preserve">BACVA </w:t>
            </w:r>
            <w:r w:rsidRPr="00341868">
              <w:rPr>
                <w:rFonts w:ascii="Times New Roman" w:hAnsi="Times New Roman"/>
                <w:b/>
                <w:sz w:val="24"/>
                <w:vertAlign w:val="superscript"/>
              </w:rPr>
              <w:t>csr-unbesichert</w:t>
            </w:r>
          </w:p>
          <w:p w14:paraId="4A0E67ED" w14:textId="77777777" w:rsidR="00680687" w:rsidRPr="00341868" w:rsidRDefault="00680687" w:rsidP="006A3ADC">
            <w:pPr>
              <w:rPr>
                <w:rFonts w:ascii="Times New Roman" w:hAnsi="Times New Roman"/>
                <w:sz w:val="24"/>
              </w:rPr>
            </w:pPr>
            <w:r w:rsidRPr="00341868">
              <w:rPr>
                <w:rFonts w:ascii="Times New Roman" w:hAnsi="Times New Roman"/>
                <w:sz w:val="24"/>
              </w:rPr>
              <w:t>BACVAcsr-unbesichert für Geschäfte, die dem Basisansatz unterliegen, entsprechend der Berechnung nach Artikel 384 Absatz 3 für ein Institut, das die in Artikel 384 Absatz 1 Buchstabe b der Verordnung (EU) Nr. 575/2013 festgelegte Bedingung erfüllt.</w:t>
            </w:r>
          </w:p>
        </w:tc>
      </w:tr>
      <w:tr w:rsidR="00680687" w:rsidRPr="00341868" w14:paraId="1E238074" w14:textId="77777777" w:rsidTr="006A3ADC">
        <w:tc>
          <w:tcPr>
            <w:tcW w:w="1172" w:type="dxa"/>
          </w:tcPr>
          <w:p w14:paraId="48638273" w14:textId="77777777" w:rsidR="00680687" w:rsidRPr="00341868" w:rsidDel="00024DEA" w:rsidRDefault="00680687" w:rsidP="006A3ADC">
            <w:pPr>
              <w:rPr>
                <w:rFonts w:ascii="Times New Roman" w:hAnsi="Times New Roman"/>
                <w:sz w:val="24"/>
              </w:rPr>
            </w:pPr>
            <w:r w:rsidRPr="00341868">
              <w:rPr>
                <w:rFonts w:ascii="Times New Roman" w:hAnsi="Times New Roman"/>
                <w:sz w:val="24"/>
              </w:rPr>
              <w:t>0100</w:t>
            </w:r>
          </w:p>
        </w:tc>
        <w:tc>
          <w:tcPr>
            <w:tcW w:w="7844" w:type="dxa"/>
          </w:tcPr>
          <w:p w14:paraId="2C90402F" w14:textId="77777777" w:rsidR="00680687" w:rsidRPr="00341868" w:rsidRDefault="00680687" w:rsidP="006A3ADC">
            <w:pPr>
              <w:rPr>
                <w:rFonts w:ascii="Times New Roman" w:hAnsi="Times New Roman"/>
                <w:b/>
                <w:sz w:val="24"/>
                <w:vertAlign w:val="superscript"/>
              </w:rPr>
            </w:pPr>
            <w:r w:rsidRPr="00341868">
              <w:rPr>
                <w:rFonts w:ascii="Times New Roman" w:hAnsi="Times New Roman"/>
                <w:b/>
                <w:sz w:val="24"/>
              </w:rPr>
              <w:t xml:space="preserve">BACVA </w:t>
            </w:r>
            <w:r w:rsidRPr="00341868">
              <w:rPr>
                <w:rFonts w:ascii="Times New Roman" w:hAnsi="Times New Roman"/>
                <w:b/>
                <w:sz w:val="24"/>
                <w:vertAlign w:val="superscript"/>
              </w:rPr>
              <w:t>csr-besichert</w:t>
            </w:r>
          </w:p>
          <w:p w14:paraId="34FB0CB6" w14:textId="77777777" w:rsidR="00680687" w:rsidRPr="00341868" w:rsidDel="00024DEA" w:rsidRDefault="00680687" w:rsidP="006A3ADC">
            <w:pPr>
              <w:rPr>
                <w:rFonts w:ascii="Times New Roman" w:hAnsi="Times New Roman"/>
                <w:b/>
                <w:sz w:val="24"/>
                <w:u w:val="single"/>
              </w:rPr>
            </w:pPr>
            <w:r w:rsidRPr="00341868">
              <w:rPr>
                <w:rFonts w:ascii="Times New Roman" w:hAnsi="Times New Roman"/>
                <w:sz w:val="24"/>
              </w:rPr>
              <w:t xml:space="preserve">BACVAcsr-besichert für Geschäfte, die dem Basisansatz unterliegen, entsprechend der Berechnung nach Artikel 384 Absatz 2 für ein Institut, das die in Artikel 384 Absatz 1 Buchstabe a der Verordnung (EU) Nr. 575/2013 festgelegte Bedingung erfüllt. </w:t>
            </w:r>
          </w:p>
        </w:tc>
      </w:tr>
      <w:tr w:rsidR="00680687" w:rsidRPr="00341868" w14:paraId="00FE8EDC" w14:textId="77777777" w:rsidTr="006A3ADC">
        <w:tc>
          <w:tcPr>
            <w:tcW w:w="1172" w:type="dxa"/>
          </w:tcPr>
          <w:p w14:paraId="5303AFEA" w14:textId="77777777" w:rsidR="00680687" w:rsidRPr="00341868" w:rsidDel="00024DEA" w:rsidRDefault="00680687" w:rsidP="006A3ADC">
            <w:pPr>
              <w:rPr>
                <w:rFonts w:ascii="Times New Roman" w:hAnsi="Times New Roman"/>
                <w:sz w:val="24"/>
              </w:rPr>
            </w:pPr>
            <w:r w:rsidRPr="00341868">
              <w:rPr>
                <w:rFonts w:ascii="Times New Roman" w:hAnsi="Times New Roman"/>
                <w:sz w:val="24"/>
              </w:rPr>
              <w:t>0110</w:t>
            </w:r>
          </w:p>
        </w:tc>
        <w:tc>
          <w:tcPr>
            <w:tcW w:w="7844" w:type="dxa"/>
          </w:tcPr>
          <w:p w14:paraId="4F8092AD" w14:textId="77777777" w:rsidR="00680687" w:rsidRPr="00341868" w:rsidRDefault="00680687" w:rsidP="006A3ADC">
            <w:pPr>
              <w:rPr>
                <w:rFonts w:ascii="Times New Roman" w:hAnsi="Times New Roman"/>
                <w:b/>
                <w:bCs/>
                <w:sz w:val="24"/>
                <w:u w:val="single"/>
              </w:rPr>
            </w:pPr>
            <w:r w:rsidRPr="00341868">
              <w:rPr>
                <w:rFonts w:ascii="Times New Roman" w:hAnsi="Times New Roman"/>
                <w:b/>
                <w:sz w:val="24"/>
                <w:u w:val="single"/>
              </w:rPr>
              <w:t>Eigenmittelanforderungen</w:t>
            </w:r>
          </w:p>
          <w:p w14:paraId="1287DB8E" w14:textId="77777777" w:rsidR="00680687" w:rsidRPr="00341868" w:rsidDel="00024DEA" w:rsidRDefault="00680687" w:rsidP="006A3ADC">
            <w:pPr>
              <w:rPr>
                <w:rFonts w:ascii="Times New Roman" w:hAnsi="Times New Roman"/>
                <w:b/>
                <w:sz w:val="24"/>
                <w:u w:val="single"/>
              </w:rPr>
            </w:pPr>
            <w:r w:rsidRPr="00341868">
              <w:rPr>
                <w:rFonts w:ascii="Times New Roman" w:hAnsi="Times New Roman"/>
                <w:sz w:val="24"/>
              </w:rPr>
              <w:t>Gesamteigenmittelanforderungen für Geschäfte, die dem vollständigen Basisansatz unterliegen, entsprechend der Berechnung nach Artikel 384 Absatz 2 für ein Institut, das die in Artikel 384 Absatz 1 Buchstabe a der Verordnung (EU) Nr. 575/2013 festgelegte Bedingung erfüllt.</w:t>
            </w:r>
          </w:p>
        </w:tc>
      </w:tr>
      <w:tr w:rsidR="00680687" w:rsidRPr="00341868" w14:paraId="4D9D19AA" w14:textId="77777777" w:rsidTr="006A3ADC">
        <w:tc>
          <w:tcPr>
            <w:tcW w:w="1172" w:type="dxa"/>
          </w:tcPr>
          <w:p w14:paraId="40BB5135" w14:textId="77777777" w:rsidR="00680687" w:rsidRPr="00341868" w:rsidDel="00024DEA" w:rsidRDefault="00680687" w:rsidP="006A3ADC">
            <w:pPr>
              <w:rPr>
                <w:rFonts w:ascii="Times New Roman" w:hAnsi="Times New Roman"/>
                <w:sz w:val="24"/>
              </w:rPr>
            </w:pPr>
            <w:r w:rsidRPr="00341868">
              <w:rPr>
                <w:rFonts w:ascii="Times New Roman" w:hAnsi="Times New Roman"/>
                <w:sz w:val="24"/>
              </w:rPr>
              <w:t>0120-0270</w:t>
            </w:r>
          </w:p>
        </w:tc>
        <w:tc>
          <w:tcPr>
            <w:tcW w:w="7844" w:type="dxa"/>
          </w:tcPr>
          <w:p w14:paraId="6D273C70" w14:textId="77777777" w:rsidR="00680687" w:rsidRPr="00341868" w:rsidRDefault="00680687" w:rsidP="006A3ADC">
            <w:pPr>
              <w:rPr>
                <w:rFonts w:ascii="Times New Roman" w:hAnsi="Times New Roman"/>
                <w:b/>
                <w:bCs/>
                <w:sz w:val="24"/>
                <w:u w:val="single"/>
              </w:rPr>
            </w:pPr>
            <w:r w:rsidRPr="00341868">
              <w:rPr>
                <w:rFonts w:ascii="Times New Roman" w:hAnsi="Times New Roman"/>
                <w:b/>
                <w:sz w:val="24"/>
                <w:u w:val="single"/>
              </w:rPr>
              <w:t>SA-CVA-Ansatz</w:t>
            </w:r>
          </w:p>
          <w:p w14:paraId="1546865B" w14:textId="77777777" w:rsidR="00680687" w:rsidRPr="00341868" w:rsidDel="00024DEA" w:rsidRDefault="00680687" w:rsidP="006A3ADC">
            <w:pPr>
              <w:rPr>
                <w:rFonts w:ascii="Times New Roman" w:hAnsi="Times New Roman"/>
                <w:b/>
                <w:sz w:val="24"/>
                <w:u w:val="single"/>
              </w:rPr>
            </w:pPr>
            <w:r w:rsidRPr="00341868">
              <w:rPr>
                <w:rFonts w:ascii="Times New Roman" w:hAnsi="Times New Roman"/>
                <w:sz w:val="24"/>
              </w:rPr>
              <w:t>Eigenmittelanforderungen für das Risiko einer Anpassung der Kreditbewertung (CVA) (Artikel 92 Absatz 4 Buchstabe d und Teil 3 Titel VI der Verordnung (EU) Nr. 575/2013) entsprechend der Berechnung nach Artikel 383, für ein Institut, das die in Artikel 382a Absatz 1 Buchstabe a der Verordnung (EU) Nr. 575/2013 festgelegte Bedingung erfüllt.</w:t>
            </w:r>
          </w:p>
        </w:tc>
      </w:tr>
    </w:tbl>
    <w:p w14:paraId="1F599C5C" w14:textId="77777777" w:rsidR="00341868" w:rsidRDefault="0034186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844"/>
      </w:tblGrid>
      <w:tr w:rsidR="00680687" w:rsidRPr="00341868" w14:paraId="25255F9B" w14:textId="77777777" w:rsidTr="006A3ADC">
        <w:tc>
          <w:tcPr>
            <w:tcW w:w="1172" w:type="dxa"/>
          </w:tcPr>
          <w:p w14:paraId="1EEE68F9" w14:textId="557908F6" w:rsidR="00680687" w:rsidRPr="00341868" w:rsidDel="00024DEA" w:rsidRDefault="00680687" w:rsidP="006A3ADC">
            <w:pPr>
              <w:rPr>
                <w:rFonts w:ascii="Times New Roman" w:hAnsi="Times New Roman"/>
                <w:sz w:val="24"/>
              </w:rPr>
            </w:pPr>
            <w:r w:rsidRPr="00341868">
              <w:rPr>
                <w:rFonts w:ascii="Times New Roman" w:hAnsi="Times New Roman"/>
                <w:sz w:val="24"/>
              </w:rPr>
              <w:lastRenderedPageBreak/>
              <w:t>0120</w:t>
            </w:r>
          </w:p>
        </w:tc>
        <w:tc>
          <w:tcPr>
            <w:tcW w:w="7844" w:type="dxa"/>
          </w:tcPr>
          <w:p w14:paraId="3B3DE69C" w14:textId="77777777" w:rsidR="00680687" w:rsidRPr="00341868" w:rsidRDefault="00680687" w:rsidP="006A3ADC">
            <w:pPr>
              <w:rPr>
                <w:rFonts w:ascii="Times New Roman" w:hAnsi="Times New Roman"/>
                <w:b/>
                <w:bCs/>
                <w:sz w:val="24"/>
                <w:u w:val="single"/>
              </w:rPr>
            </w:pPr>
            <w:r w:rsidRPr="00341868">
              <w:rPr>
                <w:rFonts w:ascii="Times New Roman" w:hAnsi="Times New Roman"/>
                <w:b/>
                <w:sz w:val="24"/>
                <w:u w:val="single"/>
              </w:rPr>
              <w:t>Nominalwert der CVA-Absicherungen</w:t>
            </w:r>
          </w:p>
          <w:p w14:paraId="50C4B375" w14:textId="77777777" w:rsidR="00680687" w:rsidRPr="00341868" w:rsidDel="00024DEA" w:rsidRDefault="00680687" w:rsidP="006A3ADC">
            <w:pPr>
              <w:rPr>
                <w:rFonts w:ascii="Times New Roman" w:hAnsi="Times New Roman"/>
                <w:b/>
                <w:sz w:val="24"/>
                <w:u w:val="single"/>
              </w:rPr>
            </w:pPr>
            <w:r w:rsidRPr="00341868">
              <w:rPr>
                <w:rFonts w:ascii="Times New Roman" w:hAnsi="Times New Roman"/>
                <w:sz w:val="24"/>
              </w:rPr>
              <w:t>Nominalwert der anerkennungsfähigen CVA-Absicherungsgeschäfte, die gemäß Artikel 386 der Verordnung (EU) Nr. 575/2013 erfasst werden.</w:t>
            </w:r>
          </w:p>
        </w:tc>
      </w:tr>
      <w:tr w:rsidR="00680687" w:rsidRPr="00341868" w14:paraId="6842E160" w14:textId="77777777" w:rsidTr="006A3ADC">
        <w:tc>
          <w:tcPr>
            <w:tcW w:w="1172" w:type="dxa"/>
          </w:tcPr>
          <w:p w14:paraId="25D17774" w14:textId="77777777" w:rsidR="00680687" w:rsidRPr="00341868" w:rsidDel="00024DEA" w:rsidRDefault="00680687" w:rsidP="006A3ADC">
            <w:pPr>
              <w:rPr>
                <w:rFonts w:ascii="Times New Roman" w:hAnsi="Times New Roman"/>
                <w:sz w:val="24"/>
              </w:rPr>
            </w:pPr>
            <w:r w:rsidRPr="00341868">
              <w:rPr>
                <w:rFonts w:ascii="Times New Roman" w:hAnsi="Times New Roman"/>
                <w:sz w:val="24"/>
              </w:rPr>
              <w:t>0130</w:t>
            </w:r>
          </w:p>
        </w:tc>
        <w:tc>
          <w:tcPr>
            <w:tcW w:w="7844" w:type="dxa"/>
          </w:tcPr>
          <w:p w14:paraId="6FE0752E" w14:textId="77777777" w:rsidR="00680687" w:rsidRPr="00341868" w:rsidRDefault="00680687" w:rsidP="006A3ADC">
            <w:pPr>
              <w:rPr>
                <w:rFonts w:ascii="Times New Roman" w:hAnsi="Times New Roman"/>
                <w:b/>
                <w:sz w:val="24"/>
                <w:u w:val="single"/>
              </w:rPr>
            </w:pPr>
            <w:r w:rsidRPr="00341868">
              <w:rPr>
                <w:rFonts w:ascii="Times New Roman" w:hAnsi="Times New Roman"/>
                <w:b/>
                <w:sz w:val="24"/>
                <w:u w:val="single"/>
              </w:rPr>
              <w:t>Anzahl der Gegenparteien</w:t>
            </w:r>
          </w:p>
          <w:p w14:paraId="10FC4FF6" w14:textId="77777777" w:rsidR="00680687" w:rsidRPr="00341868" w:rsidRDefault="00680687" w:rsidP="006A3ADC">
            <w:pPr>
              <w:rPr>
                <w:rFonts w:ascii="Times New Roman" w:hAnsi="Times New Roman"/>
                <w:sz w:val="24"/>
              </w:rPr>
            </w:pPr>
            <w:r w:rsidRPr="00341868">
              <w:rPr>
                <w:rFonts w:ascii="Times New Roman" w:hAnsi="Times New Roman"/>
                <w:sz w:val="24"/>
              </w:rPr>
              <w:t>Artikel 445 a Absatz 1 Buchstabe c der Verordnung (EU) Nr. 575/2013</w:t>
            </w:r>
          </w:p>
          <w:p w14:paraId="3A9459B9" w14:textId="77777777" w:rsidR="00680687" w:rsidRPr="00341868" w:rsidDel="00024DEA" w:rsidRDefault="00680687" w:rsidP="006A3ADC">
            <w:pPr>
              <w:rPr>
                <w:rFonts w:ascii="Times New Roman" w:hAnsi="Times New Roman"/>
                <w:sz w:val="24"/>
              </w:rPr>
            </w:pPr>
            <w:r w:rsidRPr="00341868">
              <w:rPr>
                <w:rFonts w:ascii="Times New Roman" w:hAnsi="Times New Roman"/>
                <w:sz w:val="24"/>
              </w:rPr>
              <w:t>Anzahl der Gegenparteien im Sinne von Artikel 383 Absatz 1 der Verordnung (EU) Nr. 575/2013, die in die Berechnung der Eigenmittelanforderungen für das SA-CVA-Risiko einbezogen werden. Die Gesamtzahl ist in Zeile 0010 anzugeben und die Aufschlüsselung nach Art der Gegenpartei in den Zeilen 0170-0220.</w:t>
            </w:r>
          </w:p>
        </w:tc>
      </w:tr>
      <w:tr w:rsidR="00680687" w:rsidRPr="00341868" w14:paraId="03E5B4A8" w14:textId="77777777" w:rsidTr="006A3ADC">
        <w:tc>
          <w:tcPr>
            <w:tcW w:w="1172" w:type="dxa"/>
          </w:tcPr>
          <w:p w14:paraId="68CD118A" w14:textId="77777777" w:rsidR="00680687" w:rsidRPr="00341868" w:rsidDel="00024DEA" w:rsidRDefault="00680687" w:rsidP="006A3ADC">
            <w:pPr>
              <w:rPr>
                <w:rFonts w:ascii="Times New Roman" w:hAnsi="Times New Roman"/>
                <w:sz w:val="24"/>
              </w:rPr>
            </w:pPr>
            <w:r w:rsidRPr="00341868">
              <w:rPr>
                <w:rFonts w:ascii="Times New Roman" w:hAnsi="Times New Roman"/>
                <w:sz w:val="24"/>
              </w:rPr>
              <w:t>0140-0250</w:t>
            </w:r>
          </w:p>
        </w:tc>
        <w:tc>
          <w:tcPr>
            <w:tcW w:w="7844" w:type="dxa"/>
          </w:tcPr>
          <w:p w14:paraId="1E26CA07" w14:textId="77777777" w:rsidR="00680687" w:rsidRPr="00341868" w:rsidRDefault="00680687" w:rsidP="006A3ADC">
            <w:pPr>
              <w:rPr>
                <w:rFonts w:ascii="Times New Roman" w:hAnsi="Times New Roman"/>
                <w:b/>
                <w:sz w:val="24"/>
                <w:u w:val="single"/>
              </w:rPr>
            </w:pPr>
            <w:r w:rsidRPr="00341868">
              <w:rPr>
                <w:rFonts w:ascii="Times New Roman" w:hAnsi="Times New Roman"/>
                <w:b/>
                <w:sz w:val="24"/>
                <w:u w:val="single"/>
              </w:rPr>
              <w:t>Eigenmittelanforderungen für Netting-Sätze beim SA-CVA-Ansatz</w:t>
            </w:r>
          </w:p>
          <w:p w14:paraId="512141CA" w14:textId="72FCFDDA" w:rsidR="00680687" w:rsidRPr="00341868" w:rsidDel="00024DEA" w:rsidRDefault="00680687" w:rsidP="006A3ADC">
            <w:pPr>
              <w:rPr>
                <w:rFonts w:ascii="Times New Roman" w:hAnsi="Times New Roman"/>
                <w:b/>
                <w:sz w:val="24"/>
                <w:u w:val="single"/>
              </w:rPr>
            </w:pPr>
            <w:r w:rsidRPr="00341868">
              <w:rPr>
                <w:rFonts w:ascii="Times New Roman" w:hAnsi="Times New Roman"/>
                <w:sz w:val="24"/>
              </w:rPr>
              <w:t>Eigenmittelanforderungen für das SA-CVA-Risiko nach Artikel 383 der Verordnung (EU) Nr. 575/2013, inklusive Aufschlüsselung nach Risikoklassen im Sinne von Artikel 383 Absatz 2 Nummer 1 der genannten Verordnung, sowie für jede Risikoklasse die Eigenmittelanforderungen für Delta- und Vega-Risiken nach Maßgabe von Artikel 383 Absatz 3 und Artikel 383b der Verordnung (EU) Nr. 575/2013.</w:t>
            </w:r>
          </w:p>
        </w:tc>
      </w:tr>
      <w:tr w:rsidR="00680687" w:rsidRPr="00341868" w14:paraId="1BC8EFF8" w14:textId="77777777" w:rsidTr="006A3ADC">
        <w:tc>
          <w:tcPr>
            <w:tcW w:w="1172" w:type="dxa"/>
          </w:tcPr>
          <w:p w14:paraId="1E505571" w14:textId="77777777" w:rsidR="00680687" w:rsidRPr="00341868" w:rsidDel="00024DEA" w:rsidRDefault="00680687" w:rsidP="006A3ADC">
            <w:pPr>
              <w:rPr>
                <w:rFonts w:ascii="Times New Roman" w:hAnsi="Times New Roman"/>
                <w:sz w:val="24"/>
              </w:rPr>
            </w:pPr>
            <w:r w:rsidRPr="00341868">
              <w:rPr>
                <w:rFonts w:ascii="Times New Roman" w:hAnsi="Times New Roman"/>
                <w:sz w:val="24"/>
              </w:rPr>
              <w:t>0140-0150</w:t>
            </w:r>
          </w:p>
        </w:tc>
        <w:tc>
          <w:tcPr>
            <w:tcW w:w="7844" w:type="dxa"/>
          </w:tcPr>
          <w:p w14:paraId="0AEAA3AD" w14:textId="77777777" w:rsidR="00680687" w:rsidRPr="00341868" w:rsidRDefault="00680687" w:rsidP="006A3ADC">
            <w:pPr>
              <w:rPr>
                <w:rFonts w:ascii="Times New Roman" w:hAnsi="Times New Roman"/>
                <w:b/>
                <w:sz w:val="24"/>
                <w:u w:val="single"/>
              </w:rPr>
            </w:pPr>
            <w:r w:rsidRPr="00341868">
              <w:rPr>
                <w:rFonts w:ascii="Times New Roman" w:hAnsi="Times New Roman"/>
                <w:b/>
                <w:sz w:val="24"/>
                <w:u w:val="single"/>
              </w:rPr>
              <w:t>Eigenmittelanforderungen für das Zinsänderungsrisiko</w:t>
            </w:r>
          </w:p>
          <w:p w14:paraId="6695CC3B" w14:textId="01E1C8B9" w:rsidR="00680687" w:rsidRPr="00341868" w:rsidDel="00024DEA" w:rsidRDefault="00680687" w:rsidP="006A3ADC">
            <w:pPr>
              <w:rPr>
                <w:rFonts w:ascii="Times New Roman" w:hAnsi="Times New Roman"/>
                <w:b/>
                <w:sz w:val="24"/>
                <w:u w:val="single"/>
              </w:rPr>
            </w:pPr>
            <w:r w:rsidRPr="00341868">
              <w:rPr>
                <w:rFonts w:ascii="Times New Roman" w:hAnsi="Times New Roman"/>
                <w:sz w:val="24"/>
              </w:rPr>
              <w:t>Artikel 383c, 383i, 383j, 383k, 383l, 383m der Verordnung (EU) Nr. 575/2013.</w:t>
            </w:r>
          </w:p>
        </w:tc>
      </w:tr>
      <w:tr w:rsidR="00680687" w:rsidRPr="00341868" w14:paraId="728092B0" w14:textId="77777777" w:rsidTr="006A3ADC">
        <w:tc>
          <w:tcPr>
            <w:tcW w:w="1172" w:type="dxa"/>
          </w:tcPr>
          <w:p w14:paraId="06AAAC3A" w14:textId="77777777" w:rsidR="00680687" w:rsidRPr="00341868" w:rsidDel="00024DEA" w:rsidRDefault="00680687" w:rsidP="006A3ADC">
            <w:pPr>
              <w:rPr>
                <w:rFonts w:ascii="Times New Roman" w:hAnsi="Times New Roman"/>
                <w:sz w:val="24"/>
              </w:rPr>
            </w:pPr>
            <w:r w:rsidRPr="00341868">
              <w:rPr>
                <w:rFonts w:ascii="Times New Roman" w:hAnsi="Times New Roman"/>
                <w:sz w:val="24"/>
              </w:rPr>
              <w:t>0160-0170</w:t>
            </w:r>
          </w:p>
        </w:tc>
        <w:tc>
          <w:tcPr>
            <w:tcW w:w="7844" w:type="dxa"/>
          </w:tcPr>
          <w:p w14:paraId="5C9DEA36" w14:textId="77777777" w:rsidR="00680687" w:rsidRPr="00341868" w:rsidRDefault="00680687" w:rsidP="006A3ADC">
            <w:pPr>
              <w:rPr>
                <w:rFonts w:ascii="Times New Roman" w:hAnsi="Times New Roman"/>
                <w:b/>
                <w:sz w:val="24"/>
                <w:u w:val="single"/>
              </w:rPr>
            </w:pPr>
            <w:r w:rsidRPr="00341868">
              <w:rPr>
                <w:rFonts w:ascii="Times New Roman" w:hAnsi="Times New Roman"/>
                <w:b/>
                <w:sz w:val="24"/>
                <w:u w:val="single"/>
              </w:rPr>
              <w:t>Eigenmittelanforderungen für das Fremdwährungsrisiko</w:t>
            </w:r>
          </w:p>
          <w:p w14:paraId="312EFBD9" w14:textId="6EA3814A" w:rsidR="00680687" w:rsidRPr="00341868" w:rsidDel="00024DEA" w:rsidRDefault="00680687" w:rsidP="006A3ADC">
            <w:pPr>
              <w:rPr>
                <w:rFonts w:ascii="Times New Roman" w:hAnsi="Times New Roman"/>
                <w:b/>
                <w:sz w:val="24"/>
                <w:u w:val="single"/>
              </w:rPr>
            </w:pPr>
            <w:r w:rsidRPr="00341868">
              <w:rPr>
                <w:rFonts w:ascii="Times New Roman" w:hAnsi="Times New Roman"/>
                <w:sz w:val="24"/>
              </w:rPr>
              <w:t>Artikel 383d, 383i, 383j, 383n, 383o der Verordnung (EU) Nr. 575/2013.</w:t>
            </w:r>
          </w:p>
        </w:tc>
      </w:tr>
      <w:tr w:rsidR="00680687" w:rsidRPr="00341868" w14:paraId="2A26F3BC" w14:textId="77777777" w:rsidTr="006A3ADC">
        <w:tc>
          <w:tcPr>
            <w:tcW w:w="1172" w:type="dxa"/>
          </w:tcPr>
          <w:p w14:paraId="4988687E" w14:textId="77777777" w:rsidR="00680687" w:rsidRPr="00341868" w:rsidDel="00024DEA" w:rsidRDefault="00680687" w:rsidP="006A3ADC">
            <w:pPr>
              <w:rPr>
                <w:rFonts w:ascii="Times New Roman" w:hAnsi="Times New Roman"/>
                <w:sz w:val="24"/>
              </w:rPr>
            </w:pPr>
            <w:r w:rsidRPr="00341868">
              <w:rPr>
                <w:rFonts w:ascii="Times New Roman" w:hAnsi="Times New Roman"/>
                <w:sz w:val="24"/>
              </w:rPr>
              <w:t>0180-0190</w:t>
            </w:r>
          </w:p>
        </w:tc>
        <w:tc>
          <w:tcPr>
            <w:tcW w:w="7844" w:type="dxa"/>
          </w:tcPr>
          <w:p w14:paraId="111D7BAC" w14:textId="77777777" w:rsidR="00680687" w:rsidRPr="00341868" w:rsidRDefault="00680687" w:rsidP="006A3ADC">
            <w:pPr>
              <w:rPr>
                <w:rFonts w:ascii="Times New Roman" w:hAnsi="Times New Roman"/>
                <w:b/>
                <w:sz w:val="24"/>
                <w:u w:val="single"/>
              </w:rPr>
            </w:pPr>
            <w:r w:rsidRPr="00341868">
              <w:rPr>
                <w:rFonts w:ascii="Times New Roman" w:hAnsi="Times New Roman"/>
                <w:b/>
                <w:sz w:val="24"/>
                <w:u w:val="single"/>
              </w:rPr>
              <w:t>Eigenmittelanforderungen für das Gegenpartei-Kreditspreadrisiko</w:t>
            </w:r>
          </w:p>
          <w:p w14:paraId="331E3D6B" w14:textId="1A5FCDC3" w:rsidR="00680687" w:rsidRPr="00341868" w:rsidDel="00024DEA" w:rsidRDefault="00680687" w:rsidP="006A3ADC">
            <w:pPr>
              <w:rPr>
                <w:rFonts w:ascii="Times New Roman" w:hAnsi="Times New Roman"/>
                <w:b/>
                <w:sz w:val="24"/>
                <w:u w:val="single"/>
              </w:rPr>
            </w:pPr>
            <w:r w:rsidRPr="00341868">
              <w:rPr>
                <w:rFonts w:ascii="Times New Roman" w:hAnsi="Times New Roman"/>
                <w:sz w:val="24"/>
              </w:rPr>
              <w:t>Artikel 383e, 383i, 383j, 383p, 383q, 383r der Verordnung (EU) Nr. 575/2013.</w:t>
            </w:r>
          </w:p>
        </w:tc>
      </w:tr>
      <w:tr w:rsidR="00680687" w:rsidRPr="00341868" w14:paraId="589DE234" w14:textId="77777777" w:rsidTr="006A3ADC">
        <w:tc>
          <w:tcPr>
            <w:tcW w:w="1172" w:type="dxa"/>
          </w:tcPr>
          <w:p w14:paraId="3361402D" w14:textId="77777777" w:rsidR="00680687" w:rsidRPr="00341868" w:rsidDel="00024DEA" w:rsidRDefault="00680687" w:rsidP="006A3ADC">
            <w:pPr>
              <w:rPr>
                <w:rFonts w:ascii="Times New Roman" w:hAnsi="Times New Roman"/>
                <w:sz w:val="24"/>
              </w:rPr>
            </w:pPr>
            <w:r w:rsidRPr="00341868">
              <w:rPr>
                <w:rFonts w:ascii="Times New Roman" w:hAnsi="Times New Roman"/>
                <w:sz w:val="24"/>
              </w:rPr>
              <w:t>0200-0210</w:t>
            </w:r>
          </w:p>
        </w:tc>
        <w:tc>
          <w:tcPr>
            <w:tcW w:w="7844" w:type="dxa"/>
          </w:tcPr>
          <w:p w14:paraId="34E7BFC3" w14:textId="77777777" w:rsidR="00680687" w:rsidRPr="00341868" w:rsidRDefault="00680687" w:rsidP="006A3ADC">
            <w:pPr>
              <w:rPr>
                <w:rFonts w:ascii="Times New Roman" w:hAnsi="Times New Roman"/>
                <w:b/>
                <w:sz w:val="24"/>
                <w:u w:val="single"/>
              </w:rPr>
            </w:pPr>
            <w:r w:rsidRPr="00341868">
              <w:rPr>
                <w:rFonts w:ascii="Times New Roman" w:hAnsi="Times New Roman"/>
                <w:b/>
                <w:sz w:val="24"/>
                <w:u w:val="single"/>
              </w:rPr>
              <w:t>Eigenmittelanforderungen für das Referenz-Kreditspreadrisiko</w:t>
            </w:r>
          </w:p>
          <w:p w14:paraId="39B46545" w14:textId="148AEA7F" w:rsidR="00680687" w:rsidRPr="00341868" w:rsidDel="00024DEA" w:rsidRDefault="00680687" w:rsidP="006A3ADC">
            <w:pPr>
              <w:rPr>
                <w:rFonts w:ascii="Times New Roman" w:hAnsi="Times New Roman"/>
                <w:b/>
                <w:sz w:val="24"/>
                <w:u w:val="single"/>
              </w:rPr>
            </w:pPr>
            <w:r w:rsidRPr="00341868">
              <w:rPr>
                <w:rFonts w:ascii="Times New Roman" w:hAnsi="Times New Roman"/>
                <w:sz w:val="24"/>
              </w:rPr>
              <w:t>Artikel 383f, 383i, 383j, 383s, 383u der Verordnung (EU) Nr. 575/2013.</w:t>
            </w:r>
          </w:p>
        </w:tc>
      </w:tr>
      <w:tr w:rsidR="00680687" w:rsidRPr="00341868" w14:paraId="0AA17295" w14:textId="77777777" w:rsidTr="006A3ADC">
        <w:tc>
          <w:tcPr>
            <w:tcW w:w="1172" w:type="dxa"/>
          </w:tcPr>
          <w:p w14:paraId="3BFBD270" w14:textId="77777777" w:rsidR="00680687" w:rsidRPr="00341868" w:rsidRDefault="00680687" w:rsidP="006A3ADC">
            <w:pPr>
              <w:rPr>
                <w:rFonts w:ascii="Times New Roman" w:hAnsi="Times New Roman"/>
                <w:sz w:val="24"/>
              </w:rPr>
            </w:pPr>
            <w:r w:rsidRPr="00341868">
              <w:rPr>
                <w:rFonts w:ascii="Times New Roman" w:hAnsi="Times New Roman"/>
                <w:sz w:val="24"/>
              </w:rPr>
              <w:t>0220-0230</w:t>
            </w:r>
          </w:p>
        </w:tc>
        <w:tc>
          <w:tcPr>
            <w:tcW w:w="7844" w:type="dxa"/>
          </w:tcPr>
          <w:p w14:paraId="46C4DB98" w14:textId="77777777" w:rsidR="00680687" w:rsidRPr="00341868" w:rsidRDefault="00680687" w:rsidP="006A3ADC">
            <w:pPr>
              <w:rPr>
                <w:rFonts w:ascii="Times New Roman" w:hAnsi="Times New Roman"/>
                <w:b/>
                <w:sz w:val="24"/>
                <w:u w:val="single"/>
              </w:rPr>
            </w:pPr>
            <w:r w:rsidRPr="00341868">
              <w:rPr>
                <w:rFonts w:ascii="Times New Roman" w:hAnsi="Times New Roman"/>
                <w:b/>
                <w:sz w:val="24"/>
                <w:u w:val="single"/>
              </w:rPr>
              <w:t>Eigenmittelanforderungen für das Aktienrisiko</w:t>
            </w:r>
          </w:p>
          <w:p w14:paraId="092925F2" w14:textId="74EFD749" w:rsidR="00680687" w:rsidRPr="00341868" w:rsidRDefault="00680687" w:rsidP="006A3ADC">
            <w:pPr>
              <w:rPr>
                <w:rFonts w:ascii="Times New Roman" w:hAnsi="Times New Roman"/>
                <w:b/>
                <w:sz w:val="24"/>
                <w:u w:val="single"/>
              </w:rPr>
            </w:pPr>
            <w:r w:rsidRPr="00341868">
              <w:rPr>
                <w:rFonts w:ascii="Times New Roman" w:hAnsi="Times New Roman"/>
                <w:sz w:val="24"/>
              </w:rPr>
              <w:t>Artikel 383g, 383i, 383j, 383v, 383w der Verordnung (EU) Nr. 575/2013.</w:t>
            </w:r>
          </w:p>
        </w:tc>
      </w:tr>
      <w:tr w:rsidR="00680687" w:rsidRPr="00341868" w14:paraId="63100E64" w14:textId="77777777" w:rsidTr="006A3ADC">
        <w:tc>
          <w:tcPr>
            <w:tcW w:w="1172" w:type="dxa"/>
          </w:tcPr>
          <w:p w14:paraId="6EB58469" w14:textId="77777777" w:rsidR="00680687" w:rsidRPr="00341868" w:rsidDel="00024DEA" w:rsidRDefault="00680687" w:rsidP="006A3ADC">
            <w:pPr>
              <w:rPr>
                <w:rFonts w:ascii="Times New Roman" w:hAnsi="Times New Roman"/>
                <w:sz w:val="24"/>
              </w:rPr>
            </w:pPr>
            <w:r w:rsidRPr="00341868">
              <w:rPr>
                <w:rFonts w:ascii="Times New Roman" w:hAnsi="Times New Roman"/>
                <w:sz w:val="24"/>
              </w:rPr>
              <w:t>0240-0250</w:t>
            </w:r>
          </w:p>
        </w:tc>
        <w:tc>
          <w:tcPr>
            <w:tcW w:w="7844" w:type="dxa"/>
          </w:tcPr>
          <w:p w14:paraId="44A59885" w14:textId="77777777" w:rsidR="00680687" w:rsidRPr="00341868" w:rsidRDefault="00680687" w:rsidP="006A3ADC">
            <w:pPr>
              <w:rPr>
                <w:rFonts w:ascii="Times New Roman" w:hAnsi="Times New Roman"/>
                <w:b/>
                <w:sz w:val="24"/>
                <w:u w:val="single"/>
              </w:rPr>
            </w:pPr>
            <w:r w:rsidRPr="00341868">
              <w:rPr>
                <w:rFonts w:ascii="Times New Roman" w:hAnsi="Times New Roman"/>
                <w:b/>
                <w:sz w:val="24"/>
                <w:u w:val="single"/>
              </w:rPr>
              <w:t>Eigenmittelanforderungen für das Warenpositionsrisiko</w:t>
            </w:r>
          </w:p>
          <w:p w14:paraId="1FD90135" w14:textId="4A1B5A40" w:rsidR="00680687" w:rsidRPr="00341868" w:rsidDel="00024DEA" w:rsidRDefault="00680687" w:rsidP="006A3ADC">
            <w:pPr>
              <w:rPr>
                <w:rFonts w:ascii="Times New Roman" w:hAnsi="Times New Roman"/>
                <w:b/>
                <w:sz w:val="24"/>
                <w:u w:val="single"/>
              </w:rPr>
            </w:pPr>
            <w:r w:rsidRPr="00341868">
              <w:rPr>
                <w:rFonts w:ascii="Times New Roman" w:hAnsi="Times New Roman"/>
                <w:sz w:val="24"/>
              </w:rPr>
              <w:t>Artikel 383h, 383i, 383j, 383x, 383z der Verordnung (EU) Nr. 575/2013.</w:t>
            </w:r>
          </w:p>
        </w:tc>
      </w:tr>
      <w:tr w:rsidR="00680687" w:rsidRPr="00341868" w14:paraId="6E2BE277" w14:textId="77777777" w:rsidTr="006A3ADC">
        <w:tc>
          <w:tcPr>
            <w:tcW w:w="1172" w:type="dxa"/>
          </w:tcPr>
          <w:p w14:paraId="7A04FEBF" w14:textId="77777777" w:rsidR="00680687" w:rsidRPr="00341868" w:rsidDel="00024DEA" w:rsidRDefault="00680687" w:rsidP="006A3ADC">
            <w:pPr>
              <w:rPr>
                <w:rFonts w:ascii="Times New Roman" w:hAnsi="Times New Roman"/>
                <w:sz w:val="24"/>
              </w:rPr>
            </w:pPr>
            <w:r w:rsidRPr="00341868">
              <w:rPr>
                <w:rFonts w:ascii="Times New Roman" w:hAnsi="Times New Roman"/>
                <w:sz w:val="24"/>
              </w:rPr>
              <w:t>0260</w:t>
            </w:r>
          </w:p>
        </w:tc>
        <w:tc>
          <w:tcPr>
            <w:tcW w:w="7844" w:type="dxa"/>
          </w:tcPr>
          <w:p w14:paraId="2CADDF39" w14:textId="77777777" w:rsidR="00680687" w:rsidRPr="00341868" w:rsidRDefault="00680687" w:rsidP="006A3ADC">
            <w:pPr>
              <w:rPr>
                <w:rFonts w:ascii="Times New Roman" w:hAnsi="Times New Roman"/>
                <w:b/>
                <w:sz w:val="24"/>
                <w:u w:val="single"/>
              </w:rPr>
            </w:pPr>
            <w:r w:rsidRPr="00341868">
              <w:rPr>
                <w:rFonts w:ascii="Times New Roman" w:hAnsi="Times New Roman"/>
                <w:b/>
                <w:i/>
                <w:sz w:val="24"/>
                <w:u w:val="single"/>
                <w:vertAlign w:val="superscript"/>
              </w:rPr>
              <w:t>m</w:t>
            </w:r>
            <w:r w:rsidRPr="00341868">
              <w:rPr>
                <w:rFonts w:ascii="Times New Roman" w:hAnsi="Times New Roman"/>
                <w:b/>
                <w:sz w:val="24"/>
                <w:u w:val="single"/>
              </w:rPr>
              <w:t>CVA</w:t>
            </w:r>
          </w:p>
          <w:p w14:paraId="25594EAC" w14:textId="77777777" w:rsidR="00680687" w:rsidRPr="00341868" w:rsidDel="00024DEA" w:rsidRDefault="00680687" w:rsidP="006A3ADC">
            <w:pPr>
              <w:rPr>
                <w:rFonts w:ascii="Times New Roman" w:hAnsi="Times New Roman"/>
                <w:b/>
                <w:sz w:val="24"/>
                <w:u w:val="single"/>
              </w:rPr>
            </w:pPr>
            <w:r w:rsidRPr="00341868">
              <w:rPr>
                <w:rFonts w:ascii="Times New Roman" w:hAnsi="Times New Roman"/>
                <w:sz w:val="24"/>
              </w:rPr>
              <w:t xml:space="preserve">Wert des Multiplikationsfaktors </w:t>
            </w:r>
            <w:r w:rsidRPr="00341868">
              <w:rPr>
                <w:rFonts w:ascii="Times New Roman" w:hAnsi="Times New Roman"/>
                <w:i/>
                <w:iCs/>
                <w:sz w:val="24"/>
                <w:vertAlign w:val="superscript"/>
              </w:rPr>
              <w:t>m</w:t>
            </w:r>
            <w:r w:rsidRPr="00341868">
              <w:rPr>
                <w:rFonts w:ascii="Times New Roman" w:hAnsi="Times New Roman"/>
                <w:i/>
                <w:iCs/>
                <w:sz w:val="24"/>
              </w:rPr>
              <w:t>CVA</w:t>
            </w:r>
            <w:r w:rsidRPr="00341868">
              <w:rPr>
                <w:rFonts w:ascii="Times New Roman" w:hAnsi="Times New Roman"/>
                <w:sz w:val="24"/>
              </w:rPr>
              <w:t xml:space="preserve"> gemäß Artikel 383b Absatz 8 der Verordnung (EU)</w:t>
            </w:r>
            <w:r w:rsidRPr="00341868">
              <w:rPr>
                <w:sz w:val="24"/>
              </w:rPr>
              <w:t xml:space="preserve"> </w:t>
            </w:r>
            <w:r w:rsidRPr="00341868">
              <w:rPr>
                <w:rFonts w:ascii="Times New Roman" w:hAnsi="Times New Roman"/>
                <w:sz w:val="24"/>
              </w:rPr>
              <w:t>Nr. 575/2013. Hier ist der Wert anzugeben, der zur Berechnung der Eigenmittelanforderungen herangezogen wurde (d. h. entweder der Wert 1 oder der von der zuständigen Behörde erhöhte Wert).</w:t>
            </w:r>
          </w:p>
        </w:tc>
      </w:tr>
    </w:tbl>
    <w:p w14:paraId="10D3F6A5" w14:textId="77777777" w:rsidR="00341868" w:rsidRDefault="0034186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844"/>
      </w:tblGrid>
      <w:tr w:rsidR="00680687" w:rsidRPr="00341868" w14:paraId="0FFB4692" w14:textId="77777777" w:rsidTr="006A3ADC">
        <w:tc>
          <w:tcPr>
            <w:tcW w:w="1172" w:type="dxa"/>
          </w:tcPr>
          <w:p w14:paraId="249BE219" w14:textId="4BD04AD7" w:rsidR="00680687" w:rsidRPr="00341868" w:rsidDel="00024DEA" w:rsidRDefault="00680687" w:rsidP="006A3ADC">
            <w:pPr>
              <w:rPr>
                <w:rFonts w:ascii="Times New Roman" w:hAnsi="Times New Roman"/>
                <w:sz w:val="24"/>
              </w:rPr>
            </w:pPr>
            <w:r w:rsidRPr="00341868">
              <w:rPr>
                <w:rFonts w:ascii="Times New Roman" w:hAnsi="Times New Roman"/>
                <w:sz w:val="24"/>
              </w:rPr>
              <w:lastRenderedPageBreak/>
              <w:t>0270</w:t>
            </w:r>
          </w:p>
        </w:tc>
        <w:tc>
          <w:tcPr>
            <w:tcW w:w="7844" w:type="dxa"/>
          </w:tcPr>
          <w:p w14:paraId="0B3D9E18" w14:textId="77777777" w:rsidR="00680687" w:rsidRPr="00341868" w:rsidRDefault="00680687" w:rsidP="006A3ADC">
            <w:pPr>
              <w:rPr>
                <w:rFonts w:ascii="Times New Roman" w:hAnsi="Times New Roman"/>
                <w:b/>
                <w:bCs/>
                <w:sz w:val="24"/>
                <w:u w:val="single"/>
              </w:rPr>
            </w:pPr>
            <w:r w:rsidRPr="00341868">
              <w:rPr>
                <w:rFonts w:ascii="Times New Roman" w:hAnsi="Times New Roman"/>
                <w:b/>
                <w:sz w:val="24"/>
                <w:u w:val="single"/>
              </w:rPr>
              <w:t>Eigenmittelanforderungen</w:t>
            </w:r>
          </w:p>
          <w:p w14:paraId="55E6BD5C" w14:textId="77777777" w:rsidR="00680687" w:rsidRPr="00341868" w:rsidDel="00024DEA" w:rsidRDefault="00680687" w:rsidP="006A3ADC">
            <w:pPr>
              <w:rPr>
                <w:rFonts w:ascii="Times New Roman" w:hAnsi="Times New Roman"/>
                <w:b/>
                <w:sz w:val="24"/>
                <w:u w:val="single"/>
              </w:rPr>
            </w:pPr>
            <w:r w:rsidRPr="00341868">
              <w:rPr>
                <w:rFonts w:ascii="Times New Roman" w:hAnsi="Times New Roman"/>
                <w:sz w:val="24"/>
              </w:rPr>
              <w:t>Nach Artikel 383 der Verordnung Nr. 575/2013 berechnete Eigenmittelanforderungen für Geschäfte, die dem SA-CVA unterliegen.</w:t>
            </w:r>
          </w:p>
        </w:tc>
      </w:tr>
      <w:tr w:rsidR="00680687" w:rsidRPr="00341868" w14:paraId="0F30E639" w14:textId="77777777" w:rsidTr="006A3ADC">
        <w:tc>
          <w:tcPr>
            <w:tcW w:w="1172" w:type="dxa"/>
          </w:tcPr>
          <w:p w14:paraId="35CF01D7" w14:textId="77777777" w:rsidR="00680687" w:rsidRPr="00341868" w:rsidDel="00024DEA" w:rsidRDefault="00680687" w:rsidP="006A3ADC">
            <w:pPr>
              <w:rPr>
                <w:rFonts w:ascii="Times New Roman" w:hAnsi="Times New Roman"/>
                <w:sz w:val="24"/>
              </w:rPr>
            </w:pPr>
            <w:r w:rsidRPr="00341868">
              <w:rPr>
                <w:rFonts w:ascii="Times New Roman" w:hAnsi="Times New Roman"/>
                <w:sz w:val="24"/>
              </w:rPr>
              <w:t>0280</w:t>
            </w:r>
          </w:p>
        </w:tc>
        <w:tc>
          <w:tcPr>
            <w:tcW w:w="7844" w:type="dxa"/>
          </w:tcPr>
          <w:p w14:paraId="618674CA" w14:textId="77777777" w:rsidR="00680687" w:rsidRPr="00341868" w:rsidRDefault="00680687" w:rsidP="006A3ADC">
            <w:pPr>
              <w:rPr>
                <w:rFonts w:ascii="Times New Roman" w:hAnsi="Times New Roman"/>
                <w:b/>
                <w:bCs/>
                <w:sz w:val="24"/>
                <w:u w:val="single"/>
              </w:rPr>
            </w:pPr>
            <w:r w:rsidRPr="00341868">
              <w:rPr>
                <w:rFonts w:ascii="Times New Roman" w:hAnsi="Times New Roman"/>
                <w:b/>
                <w:sz w:val="24"/>
                <w:u w:val="single"/>
              </w:rPr>
              <w:t>EIGENMITTELANFORDERUNGEN INSGESAMT</w:t>
            </w:r>
          </w:p>
          <w:p w14:paraId="7E3B417F" w14:textId="166217C7" w:rsidR="00680687" w:rsidRPr="00341868" w:rsidRDefault="00680687" w:rsidP="006A3ADC">
            <w:pPr>
              <w:rPr>
                <w:rFonts w:ascii="Times New Roman" w:hAnsi="Times New Roman"/>
                <w:sz w:val="24"/>
              </w:rPr>
            </w:pPr>
            <w:r w:rsidRPr="00341868">
              <w:rPr>
                <w:rFonts w:ascii="Times New Roman" w:hAnsi="Times New Roman"/>
                <w:sz w:val="24"/>
              </w:rPr>
              <w:t xml:space="preserve">Artikel 92 Absatz 4 Buchstabe e der Verordnung (EU) Nr. 575/2013. </w:t>
            </w:r>
          </w:p>
          <w:p w14:paraId="424C965B" w14:textId="77777777" w:rsidR="00680687" w:rsidRPr="00341868" w:rsidDel="00024DEA" w:rsidRDefault="00680687" w:rsidP="006A3ADC">
            <w:pPr>
              <w:rPr>
                <w:rFonts w:ascii="Times New Roman" w:hAnsi="Times New Roman"/>
                <w:b/>
                <w:sz w:val="24"/>
                <w:u w:val="single"/>
              </w:rPr>
            </w:pPr>
            <w:r w:rsidRPr="00341868">
              <w:rPr>
                <w:rFonts w:ascii="Times New Roman" w:hAnsi="Times New Roman"/>
                <w:sz w:val="24"/>
              </w:rPr>
              <w:t>Gesamteigenmittelanforderungen für das CVA-Risiko nach einem der in Artikel 382a der Verordnung (EU) Nr. 575/2013 genannten anwendbaren Ansätze.  Falls mehr als ein Ansatz zur Anwendung kommt, ist hier die einfache Summe aller nach den einzelnen Ansätzen ermittelten Eigenmittelanforderungen anzugeben.</w:t>
            </w:r>
          </w:p>
        </w:tc>
      </w:tr>
      <w:tr w:rsidR="00680687" w:rsidRPr="00341868" w14:paraId="460901D5" w14:textId="77777777" w:rsidTr="006A3ADC">
        <w:tc>
          <w:tcPr>
            <w:tcW w:w="1172" w:type="dxa"/>
          </w:tcPr>
          <w:p w14:paraId="61FCBEEB" w14:textId="77777777" w:rsidR="00680687" w:rsidRPr="00341868" w:rsidDel="00024DEA" w:rsidRDefault="00680687" w:rsidP="006A3ADC">
            <w:pPr>
              <w:rPr>
                <w:rFonts w:ascii="Times New Roman" w:hAnsi="Times New Roman"/>
                <w:sz w:val="24"/>
              </w:rPr>
            </w:pPr>
            <w:r w:rsidRPr="00341868">
              <w:rPr>
                <w:rFonts w:ascii="Times New Roman" w:hAnsi="Times New Roman"/>
                <w:sz w:val="24"/>
              </w:rPr>
              <w:t>0290</w:t>
            </w:r>
          </w:p>
        </w:tc>
        <w:tc>
          <w:tcPr>
            <w:tcW w:w="7844" w:type="dxa"/>
          </w:tcPr>
          <w:p w14:paraId="38352FA3" w14:textId="77777777" w:rsidR="00680687" w:rsidRPr="00341868" w:rsidRDefault="00680687" w:rsidP="006A3ADC">
            <w:pPr>
              <w:rPr>
                <w:rFonts w:ascii="Times New Roman" w:hAnsi="Times New Roman"/>
                <w:b/>
                <w:bCs/>
                <w:sz w:val="24"/>
                <w:u w:val="single"/>
              </w:rPr>
            </w:pPr>
            <w:r w:rsidRPr="00341868">
              <w:rPr>
                <w:rFonts w:ascii="Times New Roman" w:hAnsi="Times New Roman"/>
                <w:b/>
                <w:sz w:val="24"/>
                <w:u w:val="single"/>
              </w:rPr>
              <w:t>GESAMTRISIKOBETRÄGE</w:t>
            </w:r>
          </w:p>
          <w:p w14:paraId="6B715A20" w14:textId="77777777" w:rsidR="00680687" w:rsidRPr="00341868" w:rsidRDefault="00680687" w:rsidP="006A3ADC">
            <w:pPr>
              <w:rPr>
                <w:rFonts w:ascii="Times New Roman" w:hAnsi="Times New Roman"/>
                <w:sz w:val="24"/>
              </w:rPr>
            </w:pPr>
            <w:r w:rsidRPr="00341868">
              <w:rPr>
                <w:rFonts w:ascii="Times New Roman" w:hAnsi="Times New Roman"/>
                <w:sz w:val="24"/>
              </w:rPr>
              <w:t>Artikel 92 Absatz 6 der Verordnung (EU) Nr. 575/2013.</w:t>
            </w:r>
          </w:p>
          <w:p w14:paraId="769B7CA0" w14:textId="77777777" w:rsidR="00680687" w:rsidRPr="00341868" w:rsidDel="00024DEA" w:rsidRDefault="00680687" w:rsidP="006A3ADC">
            <w:pPr>
              <w:rPr>
                <w:rFonts w:ascii="Times New Roman" w:hAnsi="Times New Roman"/>
                <w:bCs/>
                <w:sz w:val="24"/>
              </w:rPr>
            </w:pPr>
            <w:r w:rsidRPr="00341868">
              <w:rPr>
                <w:rFonts w:ascii="Times New Roman" w:hAnsi="Times New Roman"/>
                <w:sz w:val="24"/>
              </w:rPr>
              <w:t>Eigenmittelanforderungen multipliziert mit 12,5.</w:t>
            </w:r>
          </w:p>
        </w:tc>
      </w:tr>
      <w:tr w:rsidR="00680687" w:rsidRPr="00341868" w14:paraId="00C49743" w14:textId="77777777" w:rsidTr="006A3ADC">
        <w:tc>
          <w:tcPr>
            <w:tcW w:w="9016" w:type="dxa"/>
            <w:gridSpan w:val="2"/>
            <w:tcBorders>
              <w:left w:val="nil"/>
              <w:right w:val="nil"/>
            </w:tcBorders>
            <w:shd w:val="clear" w:color="auto" w:fill="auto"/>
          </w:tcPr>
          <w:p w14:paraId="62981E05" w14:textId="77777777" w:rsidR="00680687" w:rsidRPr="00341868" w:rsidRDefault="00680687" w:rsidP="006A3ADC">
            <w:pPr>
              <w:rPr>
                <w:rFonts w:ascii="Times New Roman" w:hAnsi="Times New Roman"/>
                <w:b/>
                <w:sz w:val="24"/>
              </w:rPr>
            </w:pPr>
          </w:p>
        </w:tc>
      </w:tr>
      <w:tr w:rsidR="00680687" w:rsidRPr="00341868" w14:paraId="39581B57" w14:textId="77777777" w:rsidTr="006A3ADC">
        <w:tc>
          <w:tcPr>
            <w:tcW w:w="9016" w:type="dxa"/>
            <w:gridSpan w:val="2"/>
            <w:shd w:val="clear" w:color="auto" w:fill="CCCCCC"/>
          </w:tcPr>
          <w:p w14:paraId="10EB98F8" w14:textId="77777777" w:rsidR="00680687" w:rsidRPr="00341868" w:rsidRDefault="00680687" w:rsidP="006A3ADC">
            <w:pPr>
              <w:rPr>
                <w:rFonts w:ascii="Times New Roman" w:hAnsi="Times New Roman"/>
                <w:b/>
                <w:sz w:val="24"/>
              </w:rPr>
            </w:pPr>
            <w:r w:rsidRPr="00341868">
              <w:rPr>
                <w:rFonts w:ascii="Times New Roman" w:hAnsi="Times New Roman"/>
                <w:b/>
                <w:sz w:val="24"/>
              </w:rPr>
              <w:t>Zeilen</w:t>
            </w:r>
          </w:p>
        </w:tc>
      </w:tr>
      <w:tr w:rsidR="00680687" w:rsidRPr="00341868" w14:paraId="7CF1BC60" w14:textId="77777777" w:rsidTr="006A3ADC">
        <w:tc>
          <w:tcPr>
            <w:tcW w:w="1172" w:type="dxa"/>
          </w:tcPr>
          <w:p w14:paraId="041DB542" w14:textId="77777777" w:rsidR="00680687" w:rsidRPr="00341868" w:rsidRDefault="00680687" w:rsidP="006A3ADC">
            <w:pPr>
              <w:rPr>
                <w:rFonts w:ascii="Times New Roman" w:hAnsi="Times New Roman"/>
                <w:sz w:val="24"/>
              </w:rPr>
            </w:pPr>
            <w:r w:rsidRPr="00341868">
              <w:rPr>
                <w:rFonts w:ascii="Times New Roman" w:hAnsi="Times New Roman"/>
                <w:sz w:val="24"/>
              </w:rPr>
              <w:t>0010</w:t>
            </w:r>
          </w:p>
        </w:tc>
        <w:tc>
          <w:tcPr>
            <w:tcW w:w="7844" w:type="dxa"/>
          </w:tcPr>
          <w:p w14:paraId="02BF5C47" w14:textId="77777777" w:rsidR="00680687" w:rsidRPr="00341868" w:rsidRDefault="00680687" w:rsidP="006A3ADC">
            <w:pPr>
              <w:rPr>
                <w:rFonts w:ascii="Times New Roman" w:hAnsi="Times New Roman"/>
                <w:b/>
                <w:bCs/>
                <w:sz w:val="24"/>
                <w:u w:val="single"/>
              </w:rPr>
            </w:pPr>
            <w:r w:rsidRPr="00341868">
              <w:rPr>
                <w:rFonts w:ascii="Times New Roman" w:hAnsi="Times New Roman"/>
                <w:b/>
                <w:sz w:val="24"/>
                <w:u w:val="single"/>
              </w:rPr>
              <w:t>Geschäfte, die den Eigenmittelanforderungen für das CVA-Risiko unterliegen</w:t>
            </w:r>
          </w:p>
          <w:p w14:paraId="0243C539" w14:textId="77777777" w:rsidR="00680687" w:rsidRPr="00341868" w:rsidRDefault="00680687" w:rsidP="006A3ADC">
            <w:pPr>
              <w:rPr>
                <w:rFonts w:ascii="Times New Roman" w:hAnsi="Times New Roman"/>
                <w:sz w:val="24"/>
              </w:rPr>
            </w:pPr>
            <w:r w:rsidRPr="00341868">
              <w:rPr>
                <w:rFonts w:ascii="Times New Roman" w:hAnsi="Times New Roman"/>
                <w:sz w:val="24"/>
              </w:rPr>
              <w:t>Artikel 382 der Verordnung (EU) Nr. 575/2013.</w:t>
            </w:r>
          </w:p>
        </w:tc>
      </w:tr>
      <w:tr w:rsidR="00680687" w:rsidRPr="00341868" w14:paraId="25F63C9E" w14:textId="77777777" w:rsidTr="006A3ADC">
        <w:tc>
          <w:tcPr>
            <w:tcW w:w="1172" w:type="dxa"/>
          </w:tcPr>
          <w:p w14:paraId="60D4A734" w14:textId="77777777" w:rsidR="00680687" w:rsidRPr="00341868" w:rsidRDefault="00680687" w:rsidP="006A3ADC">
            <w:pPr>
              <w:rPr>
                <w:rFonts w:ascii="Times New Roman" w:hAnsi="Times New Roman"/>
                <w:sz w:val="24"/>
              </w:rPr>
            </w:pPr>
            <w:r w:rsidRPr="00341868">
              <w:rPr>
                <w:rFonts w:ascii="Times New Roman" w:hAnsi="Times New Roman"/>
                <w:sz w:val="24"/>
              </w:rPr>
              <w:t>0020</w:t>
            </w:r>
          </w:p>
        </w:tc>
        <w:tc>
          <w:tcPr>
            <w:tcW w:w="7844" w:type="dxa"/>
          </w:tcPr>
          <w:p w14:paraId="591F63A9" w14:textId="77777777" w:rsidR="00680687" w:rsidRPr="00341868" w:rsidRDefault="00680687" w:rsidP="006A3ADC">
            <w:pPr>
              <w:rPr>
                <w:rFonts w:ascii="Times New Roman" w:hAnsi="Times New Roman"/>
                <w:b/>
                <w:bCs/>
                <w:sz w:val="24"/>
                <w:u w:val="single"/>
              </w:rPr>
            </w:pPr>
            <w:r w:rsidRPr="00341868">
              <w:rPr>
                <w:rFonts w:ascii="Times New Roman" w:hAnsi="Times New Roman"/>
                <w:b/>
                <w:sz w:val="24"/>
                <w:u w:val="single"/>
              </w:rPr>
              <w:t>Davon: ausschließlich Derivate</w:t>
            </w:r>
          </w:p>
          <w:p w14:paraId="243F2835" w14:textId="77777777" w:rsidR="00680687" w:rsidRPr="00341868" w:rsidRDefault="00680687" w:rsidP="006A3ADC">
            <w:pPr>
              <w:rPr>
                <w:rFonts w:ascii="Times New Roman" w:hAnsi="Times New Roman"/>
                <w:sz w:val="24"/>
              </w:rPr>
            </w:pPr>
            <w:r w:rsidRPr="00341868">
              <w:rPr>
                <w:rFonts w:ascii="Times New Roman" w:hAnsi="Times New Roman"/>
                <w:sz w:val="24"/>
              </w:rPr>
              <w:t>Derivate, die unter Artikel 382 der Verordnung (EU) Nr. 575/2013 fallen (d h. alle in Zeile 0010 gemeldeten Geschäfte mit Ausnahme von Wertpapierfinanzierungsgeschäften).</w:t>
            </w:r>
          </w:p>
        </w:tc>
      </w:tr>
      <w:tr w:rsidR="00680687" w:rsidRPr="00341868" w14:paraId="24634A77" w14:textId="77777777" w:rsidTr="006A3ADC">
        <w:tc>
          <w:tcPr>
            <w:tcW w:w="1172" w:type="dxa"/>
          </w:tcPr>
          <w:p w14:paraId="72803830" w14:textId="77777777" w:rsidR="00680687" w:rsidRPr="00341868" w:rsidRDefault="00680687" w:rsidP="006A3ADC">
            <w:pPr>
              <w:rPr>
                <w:rFonts w:ascii="Times New Roman" w:hAnsi="Times New Roman"/>
                <w:sz w:val="24"/>
              </w:rPr>
            </w:pPr>
            <w:r w:rsidRPr="00341868">
              <w:rPr>
                <w:rFonts w:ascii="Times New Roman" w:hAnsi="Times New Roman"/>
                <w:sz w:val="24"/>
              </w:rPr>
              <w:t>0030</w:t>
            </w:r>
          </w:p>
        </w:tc>
        <w:tc>
          <w:tcPr>
            <w:tcW w:w="7844" w:type="dxa"/>
          </w:tcPr>
          <w:p w14:paraId="3BF86B85" w14:textId="77777777" w:rsidR="00680687" w:rsidRPr="00341868" w:rsidRDefault="00680687" w:rsidP="006A3ADC">
            <w:pPr>
              <w:rPr>
                <w:rFonts w:ascii="Times New Roman" w:hAnsi="Times New Roman"/>
                <w:b/>
                <w:bCs/>
                <w:sz w:val="24"/>
                <w:u w:val="single"/>
              </w:rPr>
            </w:pPr>
            <w:r w:rsidRPr="00341868">
              <w:rPr>
                <w:rFonts w:ascii="Times New Roman" w:hAnsi="Times New Roman"/>
                <w:b/>
                <w:sz w:val="24"/>
                <w:u w:val="single"/>
              </w:rPr>
              <w:t>Davon:  Anderweitig ausgenommene Geschäfte, bei denen die Institute die Wahl treffen, sie wieder in die Berechnung der Eigenmittelanforderungen aufzunehmen</w:t>
            </w:r>
          </w:p>
          <w:p w14:paraId="44419E50" w14:textId="77777777" w:rsidR="00680687" w:rsidRPr="00341868" w:rsidRDefault="00680687" w:rsidP="006A3ADC">
            <w:pPr>
              <w:rPr>
                <w:rFonts w:ascii="Times New Roman" w:hAnsi="Times New Roman"/>
                <w:sz w:val="24"/>
              </w:rPr>
            </w:pPr>
            <w:r w:rsidRPr="00341868">
              <w:rPr>
                <w:rFonts w:ascii="Times New Roman" w:hAnsi="Times New Roman"/>
                <w:sz w:val="24"/>
              </w:rPr>
              <w:t>Artikel 382 Absatz 4a der Verordnung (EU) Nr. 575/2013</w:t>
            </w:r>
          </w:p>
        </w:tc>
      </w:tr>
      <w:tr w:rsidR="00680687" w:rsidRPr="00341868" w14:paraId="2AF23E14" w14:textId="77777777" w:rsidTr="006A3ADC">
        <w:tc>
          <w:tcPr>
            <w:tcW w:w="1172" w:type="dxa"/>
          </w:tcPr>
          <w:p w14:paraId="102C842F" w14:textId="77777777" w:rsidR="00680687" w:rsidRPr="00341868" w:rsidRDefault="00680687" w:rsidP="006A3ADC">
            <w:pPr>
              <w:rPr>
                <w:rFonts w:ascii="Times New Roman" w:hAnsi="Times New Roman"/>
                <w:sz w:val="24"/>
              </w:rPr>
            </w:pPr>
            <w:r w:rsidRPr="00341868">
              <w:rPr>
                <w:rFonts w:ascii="Times New Roman" w:hAnsi="Times New Roman"/>
                <w:sz w:val="24"/>
              </w:rPr>
              <w:t>0040-0220</w:t>
            </w:r>
          </w:p>
        </w:tc>
        <w:tc>
          <w:tcPr>
            <w:tcW w:w="7844" w:type="dxa"/>
          </w:tcPr>
          <w:p w14:paraId="16D7C775" w14:textId="77777777" w:rsidR="00680687" w:rsidRPr="00341868" w:rsidRDefault="00680687" w:rsidP="006A3ADC">
            <w:pPr>
              <w:rPr>
                <w:rFonts w:ascii="Times New Roman" w:hAnsi="Times New Roman"/>
                <w:b/>
                <w:bCs/>
                <w:caps/>
                <w:sz w:val="24"/>
                <w:u w:val="single"/>
              </w:rPr>
            </w:pPr>
            <w:r w:rsidRPr="00341868">
              <w:rPr>
                <w:rFonts w:ascii="Times New Roman" w:hAnsi="Times New Roman"/>
                <w:b/>
                <w:caps/>
                <w:sz w:val="24"/>
                <w:u w:val="single"/>
              </w:rPr>
              <w:t>ZUSATZINFORMATIONEN</w:t>
            </w:r>
          </w:p>
          <w:p w14:paraId="6F0B98CF" w14:textId="77777777" w:rsidR="00680687" w:rsidRPr="00341868" w:rsidRDefault="00680687" w:rsidP="006A3ADC">
            <w:pPr>
              <w:rPr>
                <w:rFonts w:ascii="Times New Roman" w:hAnsi="Times New Roman"/>
                <w:sz w:val="24"/>
              </w:rPr>
            </w:pPr>
          </w:p>
        </w:tc>
      </w:tr>
      <w:tr w:rsidR="00680687" w:rsidRPr="00341868" w14:paraId="6AD4731B" w14:textId="77777777" w:rsidTr="006A3ADC">
        <w:tc>
          <w:tcPr>
            <w:tcW w:w="1172" w:type="dxa"/>
          </w:tcPr>
          <w:p w14:paraId="2A4448ED" w14:textId="77777777" w:rsidR="00680687" w:rsidRPr="00341868" w:rsidRDefault="00680687" w:rsidP="006A3ADC">
            <w:pPr>
              <w:rPr>
                <w:rFonts w:ascii="Times New Roman" w:hAnsi="Times New Roman"/>
                <w:sz w:val="24"/>
              </w:rPr>
            </w:pPr>
            <w:r w:rsidRPr="00341868">
              <w:rPr>
                <w:rFonts w:ascii="Times New Roman" w:hAnsi="Times New Roman"/>
                <w:sz w:val="24"/>
              </w:rPr>
              <w:t>0040-0110</w:t>
            </w:r>
          </w:p>
        </w:tc>
        <w:tc>
          <w:tcPr>
            <w:tcW w:w="7844" w:type="dxa"/>
          </w:tcPr>
          <w:p w14:paraId="18AE86C3" w14:textId="77777777" w:rsidR="00680687" w:rsidRPr="00341868" w:rsidRDefault="00680687" w:rsidP="006A3ADC">
            <w:pPr>
              <w:rPr>
                <w:rFonts w:ascii="Times New Roman" w:hAnsi="Times New Roman"/>
                <w:b/>
                <w:bCs/>
                <w:sz w:val="24"/>
                <w:u w:val="single"/>
              </w:rPr>
            </w:pPr>
            <w:r w:rsidRPr="00341868">
              <w:rPr>
                <w:rFonts w:ascii="Times New Roman" w:hAnsi="Times New Roman"/>
                <w:b/>
                <w:sz w:val="24"/>
                <w:u w:val="single"/>
              </w:rPr>
              <w:t>CVA-Ausnahmen: marginale Auswirkung der erneuten Aufnahme in die Berechnung</w:t>
            </w:r>
          </w:p>
          <w:p w14:paraId="7A74B86F" w14:textId="77777777" w:rsidR="00680687" w:rsidRPr="00341868" w:rsidRDefault="00680687" w:rsidP="006A3ADC">
            <w:pPr>
              <w:rPr>
                <w:rFonts w:ascii="Times New Roman" w:hAnsi="Times New Roman"/>
                <w:sz w:val="24"/>
              </w:rPr>
            </w:pPr>
            <w:r w:rsidRPr="00341868">
              <w:rPr>
                <w:rFonts w:ascii="Times New Roman" w:hAnsi="Times New Roman"/>
                <w:sz w:val="24"/>
              </w:rPr>
              <w:t xml:space="preserve">Hier ist – für jede Ausnahmeregelung getrennt – der Grenzeffekt auszuweisen, der sich ergibt, wenn Geschäfte, die unter die CVA-Ausnahmen nach Artikel 382 Absätze 3 und 4 der Verordnung (EU) Nr. 575/2013 fallen, wieder eingerechnet werden. Der Grenzeffekt ist die Differenz in absoluten Zahlen zwischen dem einschlägigen Wert für die in Zeile 0010 auszuweisenden Geschäfte nach Wiedereinrechnung der ausgenommenen Geschäfte und dem einschlägigen Wert für die in Zeile 0010 auszuweisenden Geschäfte. </w:t>
            </w:r>
            <w:r w:rsidRPr="00341868">
              <w:t xml:space="preserve"> </w:t>
            </w:r>
          </w:p>
        </w:tc>
      </w:tr>
      <w:tr w:rsidR="00680687" w:rsidRPr="00341868" w14:paraId="4ED84249" w14:textId="77777777" w:rsidTr="006A3ADC">
        <w:tc>
          <w:tcPr>
            <w:tcW w:w="1172" w:type="dxa"/>
          </w:tcPr>
          <w:p w14:paraId="7350CB84" w14:textId="77777777" w:rsidR="00680687" w:rsidRPr="00341868" w:rsidRDefault="00680687" w:rsidP="006A3ADC">
            <w:pPr>
              <w:rPr>
                <w:rFonts w:ascii="Times New Roman" w:hAnsi="Times New Roman"/>
                <w:sz w:val="24"/>
              </w:rPr>
            </w:pPr>
            <w:r w:rsidRPr="00341868">
              <w:rPr>
                <w:rFonts w:ascii="Times New Roman" w:hAnsi="Times New Roman"/>
                <w:sz w:val="24"/>
              </w:rPr>
              <w:lastRenderedPageBreak/>
              <w:t>0040</w:t>
            </w:r>
          </w:p>
        </w:tc>
        <w:tc>
          <w:tcPr>
            <w:tcW w:w="7844" w:type="dxa"/>
          </w:tcPr>
          <w:p w14:paraId="7D9C78C4" w14:textId="77777777" w:rsidR="00680687" w:rsidRPr="00341868" w:rsidRDefault="00680687" w:rsidP="006A3ADC">
            <w:pPr>
              <w:rPr>
                <w:rFonts w:ascii="Times New Roman" w:hAnsi="Times New Roman"/>
                <w:b/>
                <w:bCs/>
                <w:sz w:val="24"/>
                <w:u w:val="single"/>
              </w:rPr>
            </w:pPr>
            <w:r w:rsidRPr="00341868">
              <w:rPr>
                <w:rFonts w:ascii="Times New Roman" w:hAnsi="Times New Roman"/>
                <w:b/>
                <w:sz w:val="24"/>
                <w:u w:val="single"/>
              </w:rPr>
              <w:t>Alle ausgenommenen Geschäfte</w:t>
            </w:r>
          </w:p>
          <w:p w14:paraId="76D1F41B" w14:textId="77777777" w:rsidR="00680687" w:rsidRPr="00341868" w:rsidRDefault="00680687" w:rsidP="006A3ADC">
            <w:pPr>
              <w:pStyle w:val="Default"/>
              <w:jc w:val="both"/>
              <w:rPr>
                <w:sz w:val="20"/>
                <w:szCs w:val="20"/>
              </w:rPr>
            </w:pPr>
            <w:r w:rsidRPr="00341868">
              <w:rPr>
                <w:rFonts w:ascii="Times New Roman" w:hAnsi="Times New Roman"/>
              </w:rPr>
              <w:t xml:space="preserve">Grenzeffekt der Wiedereinrechnung sämtlicher CVA-Ausnahmen im Sinne von Artikel 382 Absätze 3 und 4 der Verordnung (EU) Nr. 575/2013. </w:t>
            </w:r>
          </w:p>
          <w:p w14:paraId="6F8EA837" w14:textId="77777777" w:rsidR="00680687" w:rsidRPr="00341868" w:rsidRDefault="00680687" w:rsidP="006A3ADC">
            <w:pPr>
              <w:pStyle w:val="Default"/>
              <w:rPr>
                <w:rFonts w:ascii="Times New Roman" w:hAnsi="Times New Roman"/>
              </w:rPr>
            </w:pPr>
            <w:r w:rsidRPr="00341868">
              <w:rPr>
                <w:rFonts w:ascii="Times New Roman" w:hAnsi="Times New Roman"/>
              </w:rPr>
              <w:t>Dies umfasst alle in Zeile 0010 ausgewiesenen Geschäfte ohne Berücksichtigung der in Artikel 382 Absätze 3 und 4 der Verordnung (EU) Nr. 575/2013 festgelegten Ausnahmen.</w:t>
            </w:r>
            <w:r w:rsidRPr="00341868">
              <w:rPr>
                <w:rFonts w:ascii="Times New Roman" w:hAnsi="Times New Roman"/>
                <w:color w:val="auto"/>
              </w:rPr>
              <w:t xml:space="preserve"> So sollten in dieser Zeile alle Geschäfte wiedereinbezogen werden, die nach den vorgenannten Artikeln nicht in die Berechnung der Eigenmittelanforderungen für das CVA-Risiko einfließen. Die für die Zwecke dieser Zeile wiedereinbezogenen Geschäfte umfassen sämtliche Geschäfte, die für die Zwecke der Zeilen 0050 bis 0110 wiedereingerechnet werden. </w:t>
            </w:r>
          </w:p>
        </w:tc>
      </w:tr>
      <w:tr w:rsidR="00680687" w:rsidRPr="00341868" w14:paraId="23ECB2C1" w14:textId="77777777" w:rsidTr="006A3ADC">
        <w:tc>
          <w:tcPr>
            <w:tcW w:w="1172" w:type="dxa"/>
          </w:tcPr>
          <w:p w14:paraId="5973D18B" w14:textId="77777777" w:rsidR="00680687" w:rsidRPr="00341868" w:rsidRDefault="00680687" w:rsidP="006A3ADC">
            <w:pPr>
              <w:rPr>
                <w:rFonts w:ascii="Times New Roman" w:hAnsi="Times New Roman"/>
                <w:sz w:val="24"/>
              </w:rPr>
            </w:pPr>
            <w:r w:rsidRPr="00341868">
              <w:rPr>
                <w:rFonts w:ascii="Times New Roman" w:hAnsi="Times New Roman"/>
                <w:sz w:val="24"/>
              </w:rPr>
              <w:t>0050</w:t>
            </w:r>
          </w:p>
        </w:tc>
        <w:tc>
          <w:tcPr>
            <w:tcW w:w="7844" w:type="dxa"/>
          </w:tcPr>
          <w:p w14:paraId="4B3AB855" w14:textId="77777777" w:rsidR="00680687" w:rsidRPr="00341868" w:rsidRDefault="00680687" w:rsidP="006A3ADC">
            <w:pPr>
              <w:pStyle w:val="Default"/>
              <w:jc w:val="both"/>
              <w:rPr>
                <w:rFonts w:ascii="Times New Roman" w:eastAsia="Times New Roman" w:hAnsi="Times New Roman" w:cs="Times New Roman"/>
                <w:b/>
                <w:bCs/>
                <w:color w:val="auto"/>
                <w:u w:val="single"/>
              </w:rPr>
            </w:pPr>
            <w:r w:rsidRPr="00341868">
              <w:rPr>
                <w:rFonts w:ascii="Times New Roman" w:hAnsi="Times New Roman"/>
                <w:b/>
                <w:color w:val="auto"/>
                <w:u w:val="single"/>
              </w:rPr>
              <w:t>Kundengeschäfte</w:t>
            </w:r>
          </w:p>
          <w:p w14:paraId="26BE71DE" w14:textId="77777777" w:rsidR="00680687" w:rsidRPr="00341868" w:rsidRDefault="00680687" w:rsidP="006A3ADC">
            <w:pPr>
              <w:pStyle w:val="Default"/>
              <w:jc w:val="both"/>
              <w:rPr>
                <w:rFonts w:ascii="Times New Roman" w:hAnsi="Times New Roman"/>
              </w:rPr>
            </w:pPr>
            <w:r w:rsidRPr="00341868">
              <w:rPr>
                <w:rFonts w:ascii="Times New Roman" w:hAnsi="Times New Roman"/>
              </w:rPr>
              <w:t>Grenzeffekt der Wiedereinrechnung von Kundengeschäften im Sinne von Artikel 382 Absatz 3 der Verordnung (EU) Nr. 575/2013.</w:t>
            </w:r>
          </w:p>
          <w:p w14:paraId="73231515" w14:textId="77777777" w:rsidR="00680687" w:rsidRPr="00341868" w:rsidRDefault="00680687" w:rsidP="006A3ADC">
            <w:pPr>
              <w:pStyle w:val="Default"/>
              <w:rPr>
                <w:sz w:val="20"/>
                <w:szCs w:val="20"/>
              </w:rPr>
            </w:pPr>
            <w:r w:rsidRPr="00341868">
              <w:rPr>
                <w:rFonts w:ascii="Times New Roman" w:hAnsi="Times New Roman"/>
              </w:rPr>
              <w:t xml:space="preserve">Grenzeffekt der Wiedereinrechnung von Geschäften zwischen einem Kunden und einem Clearingmitglied, bei denen das Clearingmitglied als Vermittler zwischen dem Kunden und einer qualifizierten zentralen Gegenpartei auftritt und die folglich nach Artikel 382 Absatz 3 der Verordnung (EU) Nr. 575/2013 in Zeile 0010 nicht zu berücksichtigen sind. Nicht wiedereinrechnen sollten Kunden diese Geschäfte, wenn sie die Anforderungen nach Artikel 305 Absätze 2, 3 und 4 der Verordnung (EU) Nr. 575/2013 erfüllen. </w:t>
            </w:r>
          </w:p>
        </w:tc>
      </w:tr>
      <w:tr w:rsidR="00680687" w:rsidRPr="00341868" w14:paraId="08AD2EE8" w14:textId="77777777" w:rsidTr="006A3ADC">
        <w:tc>
          <w:tcPr>
            <w:tcW w:w="1172" w:type="dxa"/>
          </w:tcPr>
          <w:p w14:paraId="4A924DC9" w14:textId="77777777" w:rsidR="00680687" w:rsidRPr="00341868" w:rsidRDefault="00680687" w:rsidP="006A3ADC">
            <w:pPr>
              <w:rPr>
                <w:rFonts w:ascii="Times New Roman" w:hAnsi="Times New Roman"/>
                <w:sz w:val="24"/>
              </w:rPr>
            </w:pPr>
            <w:r w:rsidRPr="00341868">
              <w:rPr>
                <w:rFonts w:ascii="Times New Roman" w:hAnsi="Times New Roman"/>
                <w:sz w:val="24"/>
              </w:rPr>
              <w:t>0060</w:t>
            </w:r>
          </w:p>
        </w:tc>
        <w:tc>
          <w:tcPr>
            <w:tcW w:w="7844" w:type="dxa"/>
          </w:tcPr>
          <w:p w14:paraId="69BEF048" w14:textId="77777777" w:rsidR="00680687" w:rsidRPr="00341868" w:rsidRDefault="00680687" w:rsidP="006A3ADC">
            <w:pPr>
              <w:rPr>
                <w:rFonts w:ascii="Times New Roman" w:hAnsi="Times New Roman"/>
                <w:b/>
                <w:bCs/>
                <w:sz w:val="24"/>
                <w:u w:val="single"/>
              </w:rPr>
            </w:pPr>
            <w:r w:rsidRPr="00341868">
              <w:rPr>
                <w:rFonts w:ascii="Times New Roman" w:hAnsi="Times New Roman"/>
                <w:b/>
                <w:sz w:val="24"/>
                <w:u w:val="single"/>
              </w:rPr>
              <w:t>Geschäfte mit nicht-finanziellen Gegenparteien</w:t>
            </w:r>
          </w:p>
          <w:p w14:paraId="5D14F94F" w14:textId="77777777" w:rsidR="00680687" w:rsidRPr="00341868" w:rsidRDefault="00680687" w:rsidP="006A3ADC">
            <w:pPr>
              <w:rPr>
                <w:rFonts w:ascii="Times New Roman" w:hAnsi="Times New Roman"/>
                <w:sz w:val="24"/>
              </w:rPr>
            </w:pPr>
            <w:r w:rsidRPr="00341868">
              <w:rPr>
                <w:rFonts w:ascii="Times New Roman" w:hAnsi="Times New Roman"/>
              </w:rPr>
              <w:t>Grenzeffekt der Wiedereinrechnung von Geschäften mit nichtfinanziellen Gegenparteien im Sinne von Artikel 382 Absatz 4 Buchstabe a der Verordnung (EU) Nr. 575/2013.</w:t>
            </w:r>
          </w:p>
        </w:tc>
      </w:tr>
      <w:tr w:rsidR="00680687" w:rsidRPr="00341868" w14:paraId="0299633B" w14:textId="77777777" w:rsidTr="006A3ADC">
        <w:tc>
          <w:tcPr>
            <w:tcW w:w="1172" w:type="dxa"/>
          </w:tcPr>
          <w:p w14:paraId="76ED40A3" w14:textId="77777777" w:rsidR="00680687" w:rsidRPr="00341868" w:rsidRDefault="00680687" w:rsidP="006A3ADC">
            <w:pPr>
              <w:rPr>
                <w:rFonts w:ascii="Times New Roman" w:hAnsi="Times New Roman"/>
                <w:sz w:val="24"/>
              </w:rPr>
            </w:pPr>
            <w:r w:rsidRPr="00341868">
              <w:rPr>
                <w:rFonts w:ascii="Times New Roman" w:hAnsi="Times New Roman"/>
                <w:sz w:val="24"/>
              </w:rPr>
              <w:t>0070</w:t>
            </w:r>
          </w:p>
        </w:tc>
        <w:tc>
          <w:tcPr>
            <w:tcW w:w="7844" w:type="dxa"/>
          </w:tcPr>
          <w:p w14:paraId="06D59C90" w14:textId="77777777" w:rsidR="00680687" w:rsidRPr="00341868" w:rsidRDefault="00680687" w:rsidP="006A3ADC">
            <w:pPr>
              <w:rPr>
                <w:rFonts w:ascii="Times New Roman" w:hAnsi="Times New Roman"/>
                <w:b/>
                <w:bCs/>
                <w:sz w:val="24"/>
                <w:u w:val="single"/>
              </w:rPr>
            </w:pPr>
            <w:r w:rsidRPr="00341868">
              <w:rPr>
                <w:rFonts w:ascii="Times New Roman" w:hAnsi="Times New Roman"/>
                <w:b/>
                <w:sz w:val="24"/>
                <w:u w:val="single"/>
              </w:rPr>
              <w:t>Ausschließlich Geschäfte mit nicht-finanziellen Gegenparteien aus der EU</w:t>
            </w:r>
          </w:p>
          <w:p w14:paraId="4BE3F0CA" w14:textId="77777777" w:rsidR="00680687" w:rsidRPr="00341868" w:rsidRDefault="00680687" w:rsidP="006A3ADC">
            <w:pPr>
              <w:rPr>
                <w:rFonts w:ascii="Times New Roman" w:hAnsi="Times New Roman"/>
                <w:sz w:val="24"/>
              </w:rPr>
            </w:pPr>
            <w:r w:rsidRPr="00341868">
              <w:rPr>
                <w:rFonts w:ascii="Times New Roman" w:hAnsi="Times New Roman"/>
                <w:sz w:val="24"/>
              </w:rPr>
              <w:t>Grenzeffekt der Wiedereinrechnung von Geschäften mit nicht-finanziellen Gegenparteien ausschließlich aus der EU. Dies umfasst alle in Zeile 0060 gemeldeten Geschäfte abzüglich der in Zeile 0080 gemeldeten Geschäfte.</w:t>
            </w:r>
          </w:p>
        </w:tc>
      </w:tr>
      <w:tr w:rsidR="00680687" w:rsidRPr="00341868" w14:paraId="3731030D" w14:textId="77777777" w:rsidTr="006A3ADC">
        <w:tc>
          <w:tcPr>
            <w:tcW w:w="1172" w:type="dxa"/>
          </w:tcPr>
          <w:p w14:paraId="51808CD9" w14:textId="77777777" w:rsidR="00680687" w:rsidRPr="00341868" w:rsidRDefault="00680687" w:rsidP="006A3ADC">
            <w:pPr>
              <w:rPr>
                <w:rFonts w:ascii="Times New Roman" w:hAnsi="Times New Roman"/>
                <w:sz w:val="24"/>
              </w:rPr>
            </w:pPr>
            <w:r w:rsidRPr="00341868">
              <w:rPr>
                <w:rFonts w:ascii="Times New Roman" w:hAnsi="Times New Roman"/>
                <w:sz w:val="24"/>
              </w:rPr>
              <w:t>0080</w:t>
            </w:r>
          </w:p>
        </w:tc>
        <w:tc>
          <w:tcPr>
            <w:tcW w:w="7844" w:type="dxa"/>
          </w:tcPr>
          <w:p w14:paraId="4BA84670" w14:textId="77777777" w:rsidR="00680687" w:rsidRPr="00341868" w:rsidRDefault="00680687" w:rsidP="006A3ADC">
            <w:pPr>
              <w:rPr>
                <w:rFonts w:ascii="Times New Roman" w:hAnsi="Times New Roman"/>
                <w:b/>
                <w:bCs/>
                <w:sz w:val="24"/>
                <w:u w:val="single"/>
              </w:rPr>
            </w:pPr>
            <w:r w:rsidRPr="00341868">
              <w:rPr>
                <w:rFonts w:ascii="Times New Roman" w:hAnsi="Times New Roman"/>
                <w:b/>
                <w:sz w:val="24"/>
                <w:u w:val="single"/>
              </w:rPr>
              <w:t>Ausschließlich Geschäfte mit nicht-finanziellen Gegenparteien aus Drittländern</w:t>
            </w:r>
          </w:p>
          <w:p w14:paraId="11A30CDC" w14:textId="77777777" w:rsidR="00680687" w:rsidRPr="00341868" w:rsidRDefault="00680687" w:rsidP="006A3ADC">
            <w:pPr>
              <w:rPr>
                <w:rFonts w:ascii="Times New Roman" w:hAnsi="Times New Roman"/>
                <w:b/>
                <w:sz w:val="24"/>
                <w:u w:val="single"/>
              </w:rPr>
            </w:pPr>
            <w:r w:rsidRPr="00341868">
              <w:rPr>
                <w:rFonts w:ascii="Times New Roman" w:hAnsi="Times New Roman"/>
                <w:sz w:val="24"/>
              </w:rPr>
              <w:t xml:space="preserve">Grenzeffekt der Wiedereinrechnung von Geschäften mit nicht-finanziellen Gegenparteien ausschließlich aus Drittländern. </w:t>
            </w:r>
            <w:r w:rsidRPr="00341868">
              <w:rPr>
                <w:rFonts w:ascii="Times New Roman" w:hAnsi="Times New Roman"/>
              </w:rPr>
              <w:t>Dies umfasst alle in Zeile 0060 gemeldeten Geschäfte abzüglich der in Zeile 0070 gemeldeten Geschäfte.</w:t>
            </w:r>
          </w:p>
        </w:tc>
      </w:tr>
      <w:tr w:rsidR="00680687" w:rsidRPr="00341868" w14:paraId="18A77771" w14:textId="77777777" w:rsidTr="006A3ADC">
        <w:tc>
          <w:tcPr>
            <w:tcW w:w="1172" w:type="dxa"/>
          </w:tcPr>
          <w:p w14:paraId="6E4EED3A" w14:textId="77777777" w:rsidR="00680687" w:rsidRPr="00341868" w:rsidRDefault="00680687" w:rsidP="006A3ADC">
            <w:pPr>
              <w:rPr>
                <w:rFonts w:ascii="Times New Roman" w:hAnsi="Times New Roman"/>
                <w:sz w:val="24"/>
              </w:rPr>
            </w:pPr>
            <w:r w:rsidRPr="00341868">
              <w:rPr>
                <w:rFonts w:ascii="Times New Roman" w:hAnsi="Times New Roman"/>
                <w:sz w:val="24"/>
              </w:rPr>
              <w:t>0090</w:t>
            </w:r>
          </w:p>
        </w:tc>
        <w:tc>
          <w:tcPr>
            <w:tcW w:w="7844" w:type="dxa"/>
          </w:tcPr>
          <w:p w14:paraId="64EFAC4D" w14:textId="77777777" w:rsidR="00680687" w:rsidRPr="00341868" w:rsidRDefault="00680687" w:rsidP="006A3ADC">
            <w:pPr>
              <w:rPr>
                <w:rFonts w:ascii="Times New Roman" w:hAnsi="Times New Roman"/>
                <w:b/>
                <w:bCs/>
                <w:sz w:val="24"/>
                <w:u w:val="single"/>
              </w:rPr>
            </w:pPr>
            <w:r w:rsidRPr="00341868">
              <w:rPr>
                <w:rFonts w:ascii="Times New Roman" w:hAnsi="Times New Roman"/>
                <w:b/>
                <w:sz w:val="24"/>
                <w:u w:val="single"/>
              </w:rPr>
              <w:t>Gruppeninterne Geschäfte</w:t>
            </w:r>
          </w:p>
          <w:p w14:paraId="59B1E4E8" w14:textId="77777777" w:rsidR="00680687" w:rsidRPr="00341868" w:rsidRDefault="00680687" w:rsidP="006A3ADC">
            <w:pPr>
              <w:rPr>
                <w:rFonts w:ascii="Times New Roman" w:hAnsi="Times New Roman"/>
                <w:sz w:val="24"/>
              </w:rPr>
            </w:pPr>
            <w:r w:rsidRPr="00341868">
              <w:rPr>
                <w:rFonts w:ascii="Times New Roman" w:hAnsi="Times New Roman"/>
              </w:rPr>
              <w:t>Grenzeffekt der Wiedereinrechnung von gruppeninternen Geschäften im Sinne von Artikel 382 Absatz 4 Buchstabe b der Verordnung (EU) Nr. 575/2013</w:t>
            </w:r>
          </w:p>
        </w:tc>
      </w:tr>
      <w:tr w:rsidR="00680687" w:rsidRPr="00341868" w14:paraId="31EEAE35" w14:textId="77777777" w:rsidTr="006A3ADC">
        <w:tc>
          <w:tcPr>
            <w:tcW w:w="1172" w:type="dxa"/>
          </w:tcPr>
          <w:p w14:paraId="6B9DF7C0" w14:textId="77777777" w:rsidR="00680687" w:rsidRPr="00341868" w:rsidRDefault="00680687" w:rsidP="006A3ADC">
            <w:pPr>
              <w:rPr>
                <w:rFonts w:ascii="Times New Roman" w:hAnsi="Times New Roman"/>
                <w:sz w:val="24"/>
              </w:rPr>
            </w:pPr>
            <w:r w:rsidRPr="00341868">
              <w:rPr>
                <w:rFonts w:ascii="Times New Roman" w:hAnsi="Times New Roman"/>
                <w:sz w:val="24"/>
              </w:rPr>
              <w:t>0100</w:t>
            </w:r>
          </w:p>
        </w:tc>
        <w:tc>
          <w:tcPr>
            <w:tcW w:w="7844" w:type="dxa"/>
          </w:tcPr>
          <w:p w14:paraId="26366874" w14:textId="77777777" w:rsidR="00680687" w:rsidRPr="00341868" w:rsidRDefault="00680687" w:rsidP="006A3ADC">
            <w:pPr>
              <w:rPr>
                <w:rFonts w:ascii="Times New Roman" w:hAnsi="Times New Roman"/>
                <w:b/>
                <w:bCs/>
                <w:sz w:val="24"/>
                <w:u w:val="single"/>
              </w:rPr>
            </w:pPr>
            <w:r w:rsidRPr="00341868">
              <w:rPr>
                <w:rFonts w:ascii="Times New Roman" w:hAnsi="Times New Roman"/>
                <w:b/>
                <w:sz w:val="24"/>
                <w:u w:val="single"/>
              </w:rPr>
              <w:t xml:space="preserve">Geschäfte mit Pensionsfonds als Gegenpartei </w:t>
            </w:r>
          </w:p>
          <w:p w14:paraId="1051EC9B" w14:textId="77777777" w:rsidR="00680687" w:rsidRPr="00341868" w:rsidRDefault="00680687" w:rsidP="006A3ADC">
            <w:pPr>
              <w:rPr>
                <w:rFonts w:ascii="Times New Roman" w:hAnsi="Times New Roman"/>
                <w:b/>
                <w:bCs/>
                <w:sz w:val="24"/>
                <w:u w:val="single"/>
              </w:rPr>
            </w:pPr>
            <w:r w:rsidRPr="00341868">
              <w:rPr>
                <w:rFonts w:ascii="Times New Roman" w:hAnsi="Times New Roman"/>
                <w:sz w:val="24"/>
              </w:rPr>
              <w:t xml:space="preserve">Grenzeffekt der Wiedereinrechnung von Geschäften mit Pensionsfonds als Gegenpartei, die während des in Artikel 89 Absatz 1 der Verordnung (EU) Nr. 648/2012 festgelegten Übergangszeitraums abgeschlossen wurden und nach Artikel 382 Absatz 4 Unterabsatz 2 der Verordnung (EU) Nr. 575/2013 von den Eigenmittelanforderungen für das CVA-Risiko ausgenommen sind. Die in Artikel 382 Absatz 4 Buchstabe c der Verordnung (EU) Nr. 575/2013 genannten Geschäfte, die nicht während des in Artikel 89 Absatz 1 der </w:t>
            </w:r>
            <w:r w:rsidRPr="00341868">
              <w:rPr>
                <w:rFonts w:ascii="Times New Roman" w:hAnsi="Times New Roman"/>
                <w:sz w:val="24"/>
              </w:rPr>
              <w:lastRenderedPageBreak/>
              <w:t>Verordnung (EU) Nr. 648/2012 festgelegten Übergangszeitraums abgeschlossen wurden, gelten nicht als ausgenommene Geschäfte, da der Übergangszeitraum für die Anwendung dieser Ausnahme abgelaufen ist.</w:t>
            </w:r>
          </w:p>
        </w:tc>
      </w:tr>
      <w:tr w:rsidR="00680687" w:rsidRPr="00341868" w14:paraId="672E6D90" w14:textId="77777777" w:rsidTr="006A3ADC">
        <w:tc>
          <w:tcPr>
            <w:tcW w:w="1172" w:type="dxa"/>
          </w:tcPr>
          <w:p w14:paraId="2C9DEE10" w14:textId="77777777" w:rsidR="00680687" w:rsidRPr="00341868" w:rsidRDefault="00680687" w:rsidP="006A3ADC">
            <w:pPr>
              <w:rPr>
                <w:rFonts w:ascii="Times New Roman" w:hAnsi="Times New Roman"/>
                <w:sz w:val="24"/>
              </w:rPr>
            </w:pPr>
            <w:r w:rsidRPr="00341868">
              <w:rPr>
                <w:rFonts w:ascii="Times New Roman" w:hAnsi="Times New Roman"/>
                <w:sz w:val="24"/>
              </w:rPr>
              <w:lastRenderedPageBreak/>
              <w:t>0110</w:t>
            </w:r>
          </w:p>
        </w:tc>
        <w:tc>
          <w:tcPr>
            <w:tcW w:w="7844" w:type="dxa"/>
          </w:tcPr>
          <w:p w14:paraId="41C2A83D" w14:textId="77777777" w:rsidR="00680687" w:rsidRPr="00341868" w:rsidRDefault="00680687" w:rsidP="006A3ADC">
            <w:pPr>
              <w:rPr>
                <w:rFonts w:ascii="Times New Roman" w:hAnsi="Times New Roman"/>
                <w:b/>
                <w:bCs/>
                <w:sz w:val="24"/>
                <w:u w:val="single"/>
              </w:rPr>
            </w:pPr>
            <w:r w:rsidRPr="00341868">
              <w:rPr>
                <w:rFonts w:ascii="Times New Roman" w:hAnsi="Times New Roman"/>
                <w:b/>
                <w:sz w:val="24"/>
                <w:u w:val="single"/>
              </w:rPr>
              <w:t>Geschäfte mit Staaten als Gegenpartei</w:t>
            </w:r>
          </w:p>
          <w:p w14:paraId="63BD107D" w14:textId="77777777" w:rsidR="00680687" w:rsidRPr="00341868" w:rsidRDefault="00680687" w:rsidP="006A3ADC">
            <w:pPr>
              <w:rPr>
                <w:rFonts w:ascii="Times New Roman" w:hAnsi="Times New Roman"/>
                <w:sz w:val="24"/>
              </w:rPr>
            </w:pPr>
            <w:r w:rsidRPr="00341868">
              <w:rPr>
                <w:rFonts w:ascii="Times New Roman" w:hAnsi="Times New Roman"/>
              </w:rPr>
              <w:t>Grenzeffekt der Wiedereinrechnung von Geschäften mit Staaten als Gegenparteien im Sinne von Artikel 382 Absatz 4 Buchstabe d der Verordnung (EU) Nr. 575/2013.</w:t>
            </w:r>
          </w:p>
        </w:tc>
      </w:tr>
      <w:tr w:rsidR="00680687" w:rsidRPr="00341868" w14:paraId="2FAF19E8" w14:textId="77777777" w:rsidTr="006A3ADC">
        <w:tc>
          <w:tcPr>
            <w:tcW w:w="1172" w:type="dxa"/>
          </w:tcPr>
          <w:p w14:paraId="7B2E2B90" w14:textId="77777777" w:rsidR="00680687" w:rsidRPr="00341868" w:rsidRDefault="00680687" w:rsidP="006A3ADC">
            <w:pPr>
              <w:rPr>
                <w:rFonts w:ascii="Times New Roman" w:hAnsi="Times New Roman"/>
                <w:sz w:val="24"/>
              </w:rPr>
            </w:pPr>
            <w:r w:rsidRPr="00341868">
              <w:rPr>
                <w:rFonts w:ascii="Times New Roman" w:hAnsi="Times New Roman"/>
                <w:sz w:val="24"/>
              </w:rPr>
              <w:t>0120</w:t>
            </w:r>
          </w:p>
        </w:tc>
        <w:tc>
          <w:tcPr>
            <w:tcW w:w="7844" w:type="dxa"/>
          </w:tcPr>
          <w:p w14:paraId="354A35FD" w14:textId="77777777" w:rsidR="00680687" w:rsidRPr="00341868" w:rsidRDefault="00680687" w:rsidP="006A3ADC">
            <w:pPr>
              <w:rPr>
                <w:rFonts w:ascii="Times New Roman" w:hAnsi="Times New Roman"/>
                <w:b/>
                <w:bCs/>
                <w:sz w:val="24"/>
                <w:u w:val="single"/>
              </w:rPr>
            </w:pPr>
            <w:r w:rsidRPr="00341868">
              <w:rPr>
                <w:rFonts w:ascii="Times New Roman" w:hAnsi="Times New Roman"/>
                <w:b/>
                <w:sz w:val="24"/>
                <w:u w:val="single"/>
              </w:rPr>
              <w:t xml:space="preserve">CVA-Absicherungen ausgenommener Geschäfte, die nicht den Eigenmittelanforderungen für das CVA-Risiko unterliegen </w:t>
            </w:r>
          </w:p>
          <w:p w14:paraId="7B05FC5B" w14:textId="77777777" w:rsidR="00680687" w:rsidRPr="00341868" w:rsidRDefault="00680687" w:rsidP="006A3ADC">
            <w:pPr>
              <w:rPr>
                <w:rFonts w:ascii="Times New Roman" w:hAnsi="Times New Roman"/>
                <w:sz w:val="24"/>
              </w:rPr>
            </w:pPr>
            <w:r w:rsidRPr="00341868">
              <w:rPr>
                <w:rFonts w:ascii="Times New Roman" w:hAnsi="Times New Roman"/>
                <w:sz w:val="24"/>
              </w:rPr>
              <w:t xml:space="preserve">CVA-Absicherungen ausgenommener Geschäfte, die nicht unter die Eigenmittelanforderungen für das CVA-Risiko fallen und die den Eigenmittelanforderungen für das Marktrisiko unterliegen. </w:t>
            </w:r>
          </w:p>
        </w:tc>
      </w:tr>
      <w:tr w:rsidR="00680687" w:rsidRPr="00341868" w14:paraId="01CC7562" w14:textId="77777777" w:rsidTr="006A3ADC">
        <w:tc>
          <w:tcPr>
            <w:tcW w:w="1172" w:type="dxa"/>
          </w:tcPr>
          <w:p w14:paraId="6B81B404" w14:textId="77777777" w:rsidR="00680687" w:rsidRPr="00341868" w:rsidRDefault="00680687" w:rsidP="006A3ADC">
            <w:pPr>
              <w:rPr>
                <w:rFonts w:ascii="Times New Roman" w:hAnsi="Times New Roman"/>
                <w:sz w:val="24"/>
              </w:rPr>
            </w:pPr>
            <w:r w:rsidRPr="00341868">
              <w:rPr>
                <w:rFonts w:ascii="Times New Roman" w:hAnsi="Times New Roman"/>
                <w:sz w:val="24"/>
              </w:rPr>
              <w:t>0130</w:t>
            </w:r>
          </w:p>
        </w:tc>
        <w:tc>
          <w:tcPr>
            <w:tcW w:w="7844" w:type="dxa"/>
          </w:tcPr>
          <w:p w14:paraId="69E3FC61" w14:textId="77777777" w:rsidR="00680687" w:rsidRPr="00341868" w:rsidRDefault="00680687" w:rsidP="006A3ADC">
            <w:pPr>
              <w:rPr>
                <w:rFonts w:ascii="Times New Roman" w:hAnsi="Times New Roman"/>
                <w:b/>
                <w:bCs/>
                <w:sz w:val="24"/>
                <w:u w:val="single"/>
              </w:rPr>
            </w:pPr>
            <w:r w:rsidRPr="00341868">
              <w:rPr>
                <w:rFonts w:ascii="Times New Roman" w:hAnsi="Times New Roman"/>
                <w:b/>
                <w:sz w:val="24"/>
                <w:u w:val="single"/>
              </w:rPr>
              <w:t xml:space="preserve">Summe der nicht zentral geclearten SFTs, die zu Bilanzierungszwecken zum beizulegenden Zeitwert bewertet werden, außer ausgenommene Geschäfte </w:t>
            </w:r>
          </w:p>
          <w:p w14:paraId="6A560A0D" w14:textId="042E0D75" w:rsidR="00680687" w:rsidRPr="00341868" w:rsidRDefault="00680687" w:rsidP="006A3ADC">
            <w:pPr>
              <w:rPr>
                <w:rFonts w:ascii="Times New Roman" w:hAnsi="Times New Roman"/>
                <w:sz w:val="24"/>
              </w:rPr>
            </w:pPr>
            <w:r w:rsidRPr="00341868">
              <w:rPr>
                <w:rFonts w:ascii="Times New Roman" w:hAnsi="Times New Roman"/>
                <w:sz w:val="24"/>
              </w:rPr>
              <w:t>Zu Bilanzierungszwecken zum beizulegenden Zeitwert bewertete SFTs, die nach Artikel 382 Absatz 2 der Verordnung (EU) Nr. 575/2013 unter die Eigenmittelanforderungen für das CVA-Risiko fallen würden, unabhängig davon, ob die aus ihnen erwachsenden CVA-Risikopositionen wesentlich sind. SFTs, die nach Artikel 382 Absätze 3 und 4 der Verordnung (EU) Nr. 575/2013 von den Eigenmittelanforderungen für das CVA-Risiko ausgenommen sind, sollten bei den Berechnungen unberücksichtigt bleiben, es sei denn, das Institut würde diese Geschäfte nach Artikel 382 Absatz 4a der Verordnung (EU) Nr. 575/2013 in die Berechnung der Eigenmittelanforderungen für das CVA-Risiko einbeziehen.</w:t>
            </w:r>
          </w:p>
        </w:tc>
      </w:tr>
      <w:tr w:rsidR="00680687" w:rsidRPr="00341868" w14:paraId="51558923" w14:textId="77777777" w:rsidTr="006A3ADC">
        <w:tc>
          <w:tcPr>
            <w:tcW w:w="1172" w:type="dxa"/>
          </w:tcPr>
          <w:p w14:paraId="1BBFF038" w14:textId="77777777" w:rsidR="00680687" w:rsidRPr="00341868" w:rsidRDefault="00680687" w:rsidP="006A3ADC">
            <w:pPr>
              <w:rPr>
                <w:rFonts w:ascii="Times New Roman" w:hAnsi="Times New Roman"/>
                <w:sz w:val="24"/>
              </w:rPr>
            </w:pPr>
            <w:r w:rsidRPr="00341868">
              <w:rPr>
                <w:rFonts w:ascii="Times New Roman" w:hAnsi="Times New Roman"/>
                <w:sz w:val="24"/>
              </w:rPr>
              <w:t>0140-0160</w:t>
            </w:r>
          </w:p>
        </w:tc>
        <w:tc>
          <w:tcPr>
            <w:tcW w:w="7844" w:type="dxa"/>
          </w:tcPr>
          <w:p w14:paraId="2D6F4FFE" w14:textId="77777777" w:rsidR="00680687" w:rsidRPr="00341868" w:rsidRDefault="00680687" w:rsidP="006A3ADC">
            <w:pPr>
              <w:rPr>
                <w:rFonts w:ascii="Times New Roman" w:hAnsi="Times New Roman"/>
                <w:b/>
                <w:bCs/>
                <w:sz w:val="24"/>
                <w:u w:val="single"/>
              </w:rPr>
            </w:pPr>
            <w:r w:rsidRPr="00341868">
              <w:rPr>
                <w:rFonts w:ascii="Times New Roman" w:hAnsi="Times New Roman"/>
                <w:b/>
                <w:sz w:val="24"/>
                <w:u w:val="single"/>
              </w:rPr>
              <w:t>CVA-Absicherungen</w:t>
            </w:r>
          </w:p>
          <w:p w14:paraId="225C7DDF" w14:textId="77777777" w:rsidR="00680687" w:rsidRPr="00341868" w:rsidRDefault="00680687" w:rsidP="006A3ADC">
            <w:pPr>
              <w:rPr>
                <w:rFonts w:ascii="Times New Roman" w:hAnsi="Times New Roman"/>
                <w:b/>
                <w:bCs/>
                <w:caps/>
                <w:sz w:val="24"/>
                <w:u w:val="single"/>
              </w:rPr>
            </w:pPr>
            <w:r w:rsidRPr="00341868">
              <w:rPr>
                <w:rFonts w:ascii="Times New Roman" w:hAnsi="Times New Roman"/>
                <w:sz w:val="24"/>
              </w:rPr>
              <w:t>Artikel 386 der Verordnung (EU) Nr. 575/2013</w:t>
            </w:r>
          </w:p>
        </w:tc>
      </w:tr>
      <w:tr w:rsidR="00680687" w:rsidRPr="00341868" w14:paraId="0F486D81" w14:textId="77777777" w:rsidTr="006A3ADC">
        <w:tc>
          <w:tcPr>
            <w:tcW w:w="1172" w:type="dxa"/>
          </w:tcPr>
          <w:p w14:paraId="597AD53C" w14:textId="77777777" w:rsidR="00680687" w:rsidRPr="00341868" w:rsidRDefault="00680687" w:rsidP="006A3ADC">
            <w:pPr>
              <w:rPr>
                <w:rFonts w:ascii="Times New Roman" w:hAnsi="Times New Roman"/>
                <w:sz w:val="24"/>
              </w:rPr>
            </w:pPr>
            <w:r w:rsidRPr="00341868">
              <w:rPr>
                <w:rFonts w:ascii="Times New Roman" w:hAnsi="Times New Roman"/>
                <w:sz w:val="24"/>
              </w:rPr>
              <w:t>0140</w:t>
            </w:r>
          </w:p>
        </w:tc>
        <w:tc>
          <w:tcPr>
            <w:tcW w:w="7844" w:type="dxa"/>
          </w:tcPr>
          <w:p w14:paraId="5853509D" w14:textId="77777777" w:rsidR="00680687" w:rsidRPr="00341868" w:rsidRDefault="00680687" w:rsidP="006A3ADC">
            <w:pPr>
              <w:rPr>
                <w:rFonts w:ascii="Times New Roman" w:hAnsi="Times New Roman"/>
                <w:b/>
                <w:bCs/>
                <w:sz w:val="24"/>
                <w:u w:val="single"/>
              </w:rPr>
            </w:pPr>
            <w:r w:rsidRPr="00341868">
              <w:rPr>
                <w:rFonts w:ascii="Times New Roman" w:hAnsi="Times New Roman"/>
                <w:b/>
                <w:sz w:val="24"/>
                <w:u w:val="single"/>
              </w:rPr>
              <w:t>Einzeladressen-Kreditausfallswaps</w:t>
            </w:r>
          </w:p>
        </w:tc>
      </w:tr>
      <w:tr w:rsidR="00680687" w:rsidRPr="00341868" w14:paraId="2EFC56DA" w14:textId="77777777" w:rsidTr="006A3ADC">
        <w:tc>
          <w:tcPr>
            <w:tcW w:w="1172" w:type="dxa"/>
          </w:tcPr>
          <w:p w14:paraId="689DB8DD" w14:textId="77777777" w:rsidR="00680687" w:rsidRPr="00341868" w:rsidRDefault="00680687" w:rsidP="006A3ADC">
            <w:pPr>
              <w:rPr>
                <w:rFonts w:ascii="Times New Roman" w:hAnsi="Times New Roman"/>
                <w:sz w:val="24"/>
              </w:rPr>
            </w:pPr>
            <w:r w:rsidRPr="00341868">
              <w:rPr>
                <w:rFonts w:ascii="Times New Roman" w:hAnsi="Times New Roman"/>
                <w:sz w:val="24"/>
              </w:rPr>
              <w:t>0150</w:t>
            </w:r>
          </w:p>
        </w:tc>
        <w:tc>
          <w:tcPr>
            <w:tcW w:w="7844" w:type="dxa"/>
          </w:tcPr>
          <w:p w14:paraId="05C9EFAC" w14:textId="77777777" w:rsidR="00680687" w:rsidRPr="00341868" w:rsidRDefault="00680687" w:rsidP="006A3ADC">
            <w:pPr>
              <w:rPr>
                <w:rFonts w:ascii="Times New Roman" w:hAnsi="Times New Roman"/>
                <w:b/>
                <w:bCs/>
                <w:sz w:val="24"/>
                <w:u w:val="single"/>
              </w:rPr>
            </w:pPr>
            <w:r w:rsidRPr="00341868">
              <w:rPr>
                <w:rFonts w:ascii="Times New Roman" w:hAnsi="Times New Roman"/>
                <w:b/>
                <w:sz w:val="24"/>
                <w:u w:val="single"/>
              </w:rPr>
              <w:t>Index-CDS</w:t>
            </w:r>
          </w:p>
        </w:tc>
      </w:tr>
      <w:tr w:rsidR="00680687" w:rsidRPr="00341868" w14:paraId="0756472C" w14:textId="77777777" w:rsidTr="006A3ADC">
        <w:tc>
          <w:tcPr>
            <w:tcW w:w="1172" w:type="dxa"/>
          </w:tcPr>
          <w:p w14:paraId="219CB9F8" w14:textId="77777777" w:rsidR="00680687" w:rsidRPr="00341868" w:rsidRDefault="00680687" w:rsidP="006A3ADC">
            <w:pPr>
              <w:rPr>
                <w:rFonts w:ascii="Times New Roman" w:hAnsi="Times New Roman"/>
                <w:sz w:val="24"/>
              </w:rPr>
            </w:pPr>
            <w:r w:rsidRPr="00341868">
              <w:rPr>
                <w:rFonts w:ascii="Times New Roman" w:hAnsi="Times New Roman"/>
                <w:sz w:val="24"/>
              </w:rPr>
              <w:t>0160</w:t>
            </w:r>
          </w:p>
        </w:tc>
        <w:tc>
          <w:tcPr>
            <w:tcW w:w="7844" w:type="dxa"/>
          </w:tcPr>
          <w:p w14:paraId="14973198" w14:textId="77777777" w:rsidR="00680687" w:rsidRPr="00341868" w:rsidRDefault="00680687" w:rsidP="006A3ADC">
            <w:pPr>
              <w:rPr>
                <w:rFonts w:ascii="Times New Roman" w:hAnsi="Times New Roman"/>
                <w:b/>
                <w:bCs/>
                <w:sz w:val="24"/>
                <w:u w:val="single"/>
              </w:rPr>
            </w:pPr>
            <w:r w:rsidRPr="00341868">
              <w:rPr>
                <w:rFonts w:ascii="Times New Roman" w:hAnsi="Times New Roman"/>
                <w:b/>
                <w:sz w:val="24"/>
                <w:u w:val="single"/>
              </w:rPr>
              <w:t>Sonstige Derivate, die als CVA-Risikoabsicherung eingestuft sind</w:t>
            </w:r>
          </w:p>
        </w:tc>
      </w:tr>
      <w:tr w:rsidR="00680687" w:rsidRPr="00341868" w14:paraId="3769678C" w14:textId="77777777" w:rsidTr="006A3ADC">
        <w:tc>
          <w:tcPr>
            <w:tcW w:w="1172" w:type="dxa"/>
          </w:tcPr>
          <w:p w14:paraId="13F52A3F" w14:textId="77777777" w:rsidR="00680687" w:rsidRPr="00341868" w:rsidRDefault="00680687" w:rsidP="006A3ADC">
            <w:pPr>
              <w:rPr>
                <w:rFonts w:ascii="Times New Roman" w:hAnsi="Times New Roman"/>
                <w:sz w:val="24"/>
              </w:rPr>
            </w:pPr>
            <w:r w:rsidRPr="00341868">
              <w:rPr>
                <w:rFonts w:ascii="Times New Roman" w:hAnsi="Times New Roman"/>
                <w:sz w:val="24"/>
              </w:rPr>
              <w:t>0170-0220</w:t>
            </w:r>
          </w:p>
        </w:tc>
        <w:tc>
          <w:tcPr>
            <w:tcW w:w="7844" w:type="dxa"/>
          </w:tcPr>
          <w:p w14:paraId="3F625C66" w14:textId="77777777" w:rsidR="00680687" w:rsidRPr="00341868" w:rsidRDefault="00680687" w:rsidP="006A3ADC">
            <w:pPr>
              <w:rPr>
                <w:rFonts w:ascii="Times New Roman" w:hAnsi="Times New Roman"/>
                <w:b/>
                <w:bCs/>
                <w:sz w:val="24"/>
                <w:u w:val="single"/>
              </w:rPr>
            </w:pPr>
            <w:r w:rsidRPr="00341868">
              <w:rPr>
                <w:rFonts w:ascii="Times New Roman" w:hAnsi="Times New Roman"/>
                <w:b/>
                <w:sz w:val="24"/>
                <w:u w:val="single"/>
              </w:rPr>
              <w:t>Arten der Gegenparteien bei Geschäften, die unter den SA-CVA-Ansatz fallen</w:t>
            </w:r>
          </w:p>
          <w:p w14:paraId="3B7F80A8" w14:textId="77777777" w:rsidR="00680687" w:rsidRPr="00341868" w:rsidRDefault="00680687" w:rsidP="006A3ADC">
            <w:pPr>
              <w:rPr>
                <w:rFonts w:ascii="Times New Roman" w:hAnsi="Times New Roman"/>
                <w:sz w:val="24"/>
              </w:rPr>
            </w:pPr>
            <w:r w:rsidRPr="00341868">
              <w:rPr>
                <w:rFonts w:ascii="Times New Roman" w:hAnsi="Times New Roman"/>
                <w:sz w:val="24"/>
              </w:rPr>
              <w:t>Artikel 445a Absatz 1 Buchstabe c der Verordnung (EU) Nr. 575/2013</w:t>
            </w:r>
          </w:p>
          <w:p w14:paraId="25779170" w14:textId="77777777" w:rsidR="00680687" w:rsidRPr="00341868" w:rsidRDefault="00680687" w:rsidP="006A3ADC">
            <w:pPr>
              <w:spacing w:before="60"/>
              <w:rPr>
                <w:rFonts w:ascii="Times New Roman" w:hAnsi="Times New Roman"/>
                <w:sz w:val="24"/>
              </w:rPr>
            </w:pPr>
            <w:r w:rsidRPr="00341868">
              <w:rPr>
                <w:rFonts w:ascii="Times New Roman" w:hAnsi="Times New Roman"/>
                <w:sz w:val="24"/>
              </w:rPr>
              <w:t>Jede Gegenpartei ist einem Sektor der folgenden FINREP-Systematik (siehe Anhang V Teil 3 dieser Durchführungsverordnung) zuzuordnen:</w:t>
            </w:r>
          </w:p>
          <w:p w14:paraId="77133872" w14:textId="77777777" w:rsidR="00680687" w:rsidRPr="00341868" w:rsidRDefault="00680687" w:rsidP="006A3ADC">
            <w:pPr>
              <w:spacing w:before="60"/>
              <w:rPr>
                <w:rFonts w:ascii="Times New Roman" w:hAnsi="Times New Roman"/>
                <w:sz w:val="24"/>
              </w:rPr>
            </w:pPr>
            <w:r w:rsidRPr="00341868">
              <w:rPr>
                <w:rFonts w:ascii="Times New Roman" w:hAnsi="Times New Roman"/>
                <w:sz w:val="24"/>
              </w:rPr>
              <w:t>Die Zahl der Gegenparteien nach Sektor wird in Spalte 0130 angegeben.</w:t>
            </w:r>
          </w:p>
        </w:tc>
      </w:tr>
      <w:tr w:rsidR="00680687" w:rsidRPr="00341868" w14:paraId="5B81430B" w14:textId="77777777" w:rsidTr="006A3ADC">
        <w:tc>
          <w:tcPr>
            <w:tcW w:w="1172" w:type="dxa"/>
          </w:tcPr>
          <w:p w14:paraId="61B642B2" w14:textId="77777777" w:rsidR="00680687" w:rsidRPr="00341868" w:rsidRDefault="00680687" w:rsidP="006A3ADC">
            <w:pPr>
              <w:rPr>
                <w:rFonts w:ascii="Times New Roman" w:hAnsi="Times New Roman"/>
                <w:sz w:val="24"/>
              </w:rPr>
            </w:pPr>
            <w:r w:rsidRPr="00341868">
              <w:rPr>
                <w:rFonts w:ascii="Times New Roman" w:hAnsi="Times New Roman"/>
                <w:sz w:val="24"/>
              </w:rPr>
              <w:t>0170</w:t>
            </w:r>
          </w:p>
        </w:tc>
        <w:tc>
          <w:tcPr>
            <w:tcW w:w="7844" w:type="dxa"/>
          </w:tcPr>
          <w:p w14:paraId="28298287" w14:textId="77777777" w:rsidR="00680687" w:rsidRPr="00341868" w:rsidRDefault="00680687" w:rsidP="006A3ADC">
            <w:pPr>
              <w:rPr>
                <w:rFonts w:ascii="Times New Roman" w:hAnsi="Times New Roman"/>
                <w:b/>
                <w:bCs/>
                <w:sz w:val="24"/>
                <w:u w:val="single"/>
              </w:rPr>
            </w:pPr>
            <w:r w:rsidRPr="00341868">
              <w:rPr>
                <w:rFonts w:ascii="Times New Roman" w:hAnsi="Times New Roman"/>
                <w:b/>
                <w:sz w:val="24"/>
                <w:u w:val="single"/>
              </w:rPr>
              <w:t>Zentralbanken</w:t>
            </w:r>
          </w:p>
        </w:tc>
      </w:tr>
      <w:tr w:rsidR="00680687" w:rsidRPr="00341868" w14:paraId="3880D5FA" w14:textId="77777777" w:rsidTr="006A3ADC">
        <w:tc>
          <w:tcPr>
            <w:tcW w:w="1172" w:type="dxa"/>
          </w:tcPr>
          <w:p w14:paraId="08F5DA36" w14:textId="77777777" w:rsidR="00680687" w:rsidRPr="00341868" w:rsidRDefault="00680687" w:rsidP="006A3ADC">
            <w:pPr>
              <w:rPr>
                <w:rFonts w:ascii="Times New Roman" w:hAnsi="Times New Roman"/>
                <w:sz w:val="24"/>
              </w:rPr>
            </w:pPr>
            <w:r w:rsidRPr="00341868">
              <w:rPr>
                <w:rFonts w:ascii="Times New Roman" w:hAnsi="Times New Roman"/>
                <w:sz w:val="24"/>
              </w:rPr>
              <w:t>0180</w:t>
            </w:r>
          </w:p>
        </w:tc>
        <w:tc>
          <w:tcPr>
            <w:tcW w:w="7844" w:type="dxa"/>
          </w:tcPr>
          <w:p w14:paraId="5AC0FB98" w14:textId="77777777" w:rsidR="00680687" w:rsidRPr="00341868" w:rsidRDefault="00680687" w:rsidP="006A3ADC">
            <w:pPr>
              <w:rPr>
                <w:rFonts w:ascii="Times New Roman" w:hAnsi="Times New Roman"/>
                <w:b/>
                <w:bCs/>
                <w:sz w:val="24"/>
                <w:u w:val="single"/>
              </w:rPr>
            </w:pPr>
            <w:r w:rsidRPr="00341868">
              <w:rPr>
                <w:rFonts w:ascii="Times New Roman" w:hAnsi="Times New Roman"/>
                <w:b/>
                <w:sz w:val="24"/>
                <w:u w:val="single"/>
              </w:rPr>
              <w:t>Staaten</w:t>
            </w:r>
          </w:p>
        </w:tc>
      </w:tr>
      <w:tr w:rsidR="00680687" w:rsidRPr="00341868" w14:paraId="4826C3E9" w14:textId="77777777" w:rsidTr="006A3ADC">
        <w:tc>
          <w:tcPr>
            <w:tcW w:w="1172" w:type="dxa"/>
          </w:tcPr>
          <w:p w14:paraId="419DB6E8" w14:textId="77777777" w:rsidR="00680687" w:rsidRPr="00341868" w:rsidRDefault="00680687" w:rsidP="006A3ADC">
            <w:pPr>
              <w:rPr>
                <w:rFonts w:ascii="Times New Roman" w:hAnsi="Times New Roman"/>
                <w:sz w:val="24"/>
              </w:rPr>
            </w:pPr>
            <w:r w:rsidRPr="00341868">
              <w:rPr>
                <w:rFonts w:ascii="Times New Roman" w:hAnsi="Times New Roman"/>
                <w:sz w:val="24"/>
              </w:rPr>
              <w:lastRenderedPageBreak/>
              <w:t>0190</w:t>
            </w:r>
          </w:p>
        </w:tc>
        <w:tc>
          <w:tcPr>
            <w:tcW w:w="7844" w:type="dxa"/>
          </w:tcPr>
          <w:p w14:paraId="5A7EA903" w14:textId="77777777" w:rsidR="00680687" w:rsidRPr="00341868" w:rsidRDefault="00680687" w:rsidP="006A3ADC">
            <w:pPr>
              <w:rPr>
                <w:rFonts w:ascii="Times New Roman" w:hAnsi="Times New Roman"/>
                <w:b/>
                <w:bCs/>
                <w:sz w:val="24"/>
                <w:u w:val="single"/>
              </w:rPr>
            </w:pPr>
            <w:r w:rsidRPr="00341868">
              <w:rPr>
                <w:rFonts w:ascii="Times New Roman" w:hAnsi="Times New Roman"/>
                <w:b/>
                <w:sz w:val="24"/>
                <w:u w:val="single"/>
              </w:rPr>
              <w:t>Kreditinstitute</w:t>
            </w:r>
          </w:p>
        </w:tc>
      </w:tr>
      <w:tr w:rsidR="00680687" w:rsidRPr="00341868" w14:paraId="60A5D5E9" w14:textId="77777777" w:rsidTr="006A3ADC">
        <w:tc>
          <w:tcPr>
            <w:tcW w:w="1172" w:type="dxa"/>
          </w:tcPr>
          <w:p w14:paraId="1236AA19" w14:textId="77777777" w:rsidR="00680687" w:rsidRPr="00341868" w:rsidRDefault="00680687" w:rsidP="006A3ADC">
            <w:pPr>
              <w:rPr>
                <w:rFonts w:ascii="Times New Roman" w:hAnsi="Times New Roman"/>
                <w:sz w:val="24"/>
              </w:rPr>
            </w:pPr>
            <w:r w:rsidRPr="00341868">
              <w:rPr>
                <w:rFonts w:ascii="Times New Roman" w:hAnsi="Times New Roman"/>
                <w:sz w:val="24"/>
              </w:rPr>
              <w:t>0200</w:t>
            </w:r>
          </w:p>
        </w:tc>
        <w:tc>
          <w:tcPr>
            <w:tcW w:w="7844" w:type="dxa"/>
          </w:tcPr>
          <w:p w14:paraId="56283C80" w14:textId="77777777" w:rsidR="00680687" w:rsidRPr="00341868" w:rsidRDefault="00680687" w:rsidP="006A3ADC">
            <w:pPr>
              <w:rPr>
                <w:rFonts w:ascii="Times New Roman" w:hAnsi="Times New Roman"/>
                <w:b/>
                <w:bCs/>
                <w:sz w:val="24"/>
                <w:u w:val="single"/>
              </w:rPr>
            </w:pPr>
            <w:r w:rsidRPr="00341868">
              <w:rPr>
                <w:rFonts w:ascii="Times New Roman" w:hAnsi="Times New Roman"/>
                <w:b/>
                <w:sz w:val="24"/>
                <w:u w:val="single"/>
              </w:rPr>
              <w:t>Wertpapierfirmen</w:t>
            </w:r>
          </w:p>
        </w:tc>
      </w:tr>
      <w:tr w:rsidR="00680687" w:rsidRPr="00341868" w14:paraId="2445ED8F" w14:textId="77777777" w:rsidTr="006A3ADC">
        <w:tc>
          <w:tcPr>
            <w:tcW w:w="1172" w:type="dxa"/>
          </w:tcPr>
          <w:p w14:paraId="550C3C8F" w14:textId="77777777" w:rsidR="00680687" w:rsidRPr="00341868" w:rsidRDefault="00680687" w:rsidP="006A3ADC">
            <w:pPr>
              <w:rPr>
                <w:rFonts w:ascii="Times New Roman" w:hAnsi="Times New Roman"/>
                <w:sz w:val="24"/>
              </w:rPr>
            </w:pPr>
            <w:r w:rsidRPr="00341868">
              <w:rPr>
                <w:rFonts w:ascii="Times New Roman" w:hAnsi="Times New Roman"/>
                <w:sz w:val="24"/>
              </w:rPr>
              <w:t>0210</w:t>
            </w:r>
          </w:p>
        </w:tc>
        <w:tc>
          <w:tcPr>
            <w:tcW w:w="7844" w:type="dxa"/>
          </w:tcPr>
          <w:p w14:paraId="517C2FE3" w14:textId="77777777" w:rsidR="00680687" w:rsidRPr="00341868" w:rsidRDefault="00680687" w:rsidP="006A3ADC">
            <w:pPr>
              <w:rPr>
                <w:rFonts w:ascii="Times New Roman" w:hAnsi="Times New Roman"/>
                <w:b/>
                <w:bCs/>
                <w:sz w:val="24"/>
                <w:u w:val="single"/>
              </w:rPr>
            </w:pPr>
            <w:r w:rsidRPr="00341868">
              <w:rPr>
                <w:rFonts w:ascii="Times New Roman" w:hAnsi="Times New Roman"/>
                <w:b/>
                <w:sz w:val="24"/>
                <w:u w:val="single"/>
              </w:rPr>
              <w:t>Sonstige finanzielle Kapitalgesellschaften (außer Wertpapierfirmen)</w:t>
            </w:r>
          </w:p>
        </w:tc>
      </w:tr>
      <w:tr w:rsidR="00680687" w:rsidRPr="00341868" w14:paraId="167237FD" w14:textId="77777777" w:rsidTr="006A3ADC">
        <w:tc>
          <w:tcPr>
            <w:tcW w:w="1172" w:type="dxa"/>
          </w:tcPr>
          <w:p w14:paraId="29B7557A" w14:textId="77777777" w:rsidR="00680687" w:rsidRPr="00341868" w:rsidRDefault="00680687" w:rsidP="006A3ADC">
            <w:pPr>
              <w:rPr>
                <w:rFonts w:ascii="Times New Roman" w:hAnsi="Times New Roman"/>
                <w:sz w:val="24"/>
              </w:rPr>
            </w:pPr>
            <w:r w:rsidRPr="00341868">
              <w:rPr>
                <w:rFonts w:ascii="Times New Roman" w:hAnsi="Times New Roman"/>
                <w:sz w:val="24"/>
              </w:rPr>
              <w:t>0220</w:t>
            </w:r>
          </w:p>
        </w:tc>
        <w:tc>
          <w:tcPr>
            <w:tcW w:w="7844" w:type="dxa"/>
          </w:tcPr>
          <w:p w14:paraId="7956EA94" w14:textId="77777777" w:rsidR="00680687" w:rsidRPr="00341868" w:rsidRDefault="00680687" w:rsidP="006A3ADC">
            <w:pPr>
              <w:rPr>
                <w:rFonts w:ascii="Times New Roman" w:hAnsi="Times New Roman"/>
                <w:b/>
                <w:bCs/>
                <w:sz w:val="24"/>
                <w:u w:val="single"/>
              </w:rPr>
            </w:pPr>
            <w:r w:rsidRPr="00341868">
              <w:rPr>
                <w:rFonts w:ascii="Times New Roman" w:hAnsi="Times New Roman"/>
                <w:b/>
                <w:sz w:val="24"/>
                <w:u w:val="single"/>
              </w:rPr>
              <w:t>Nichtfinanzielle Kapitalgesellschaften</w:t>
            </w:r>
          </w:p>
        </w:tc>
      </w:tr>
      <w:tr w:rsidR="00680687" w:rsidRPr="00341868" w14:paraId="6BACE521" w14:textId="77777777" w:rsidTr="006A3ADC">
        <w:tc>
          <w:tcPr>
            <w:tcW w:w="1172" w:type="dxa"/>
          </w:tcPr>
          <w:p w14:paraId="36DAA114" w14:textId="77777777" w:rsidR="00680687" w:rsidRPr="00341868" w:rsidRDefault="00680687" w:rsidP="006A3ADC">
            <w:pPr>
              <w:rPr>
                <w:rFonts w:ascii="Times New Roman" w:hAnsi="Times New Roman"/>
                <w:sz w:val="24"/>
              </w:rPr>
            </w:pPr>
            <w:r w:rsidRPr="00341868">
              <w:rPr>
                <w:rFonts w:ascii="Times New Roman" w:hAnsi="Times New Roman"/>
                <w:sz w:val="24"/>
              </w:rPr>
              <w:t>0230</w:t>
            </w:r>
          </w:p>
        </w:tc>
        <w:tc>
          <w:tcPr>
            <w:tcW w:w="7844" w:type="dxa"/>
          </w:tcPr>
          <w:p w14:paraId="7C6250A2" w14:textId="77777777" w:rsidR="00680687" w:rsidRPr="00341868" w:rsidRDefault="00680687" w:rsidP="006A3ADC">
            <w:pPr>
              <w:rPr>
                <w:rFonts w:ascii="Times New Roman" w:hAnsi="Times New Roman"/>
                <w:b/>
                <w:bCs/>
                <w:sz w:val="24"/>
                <w:u w:val="single"/>
              </w:rPr>
            </w:pPr>
            <w:r w:rsidRPr="00341868">
              <w:rPr>
                <w:rFonts w:ascii="Times New Roman" w:hAnsi="Times New Roman"/>
                <w:b/>
                <w:sz w:val="24"/>
                <w:u w:val="single"/>
              </w:rPr>
              <w:t>Aggregierung systematischer Komponenten des CVA-Risikos</w:t>
            </w:r>
          </w:p>
          <w:p w14:paraId="62BC44EB" w14:textId="77777777" w:rsidR="00680687" w:rsidRPr="00341868" w:rsidRDefault="00680687" w:rsidP="006A3ADC">
            <w:pPr>
              <w:rPr>
                <w:rFonts w:ascii="Times New Roman" w:hAnsi="Times New Roman"/>
                <w:sz w:val="24"/>
              </w:rPr>
            </w:pPr>
            <w:r w:rsidRPr="00341868">
              <w:rPr>
                <w:rFonts w:ascii="Times New Roman" w:hAnsi="Times New Roman"/>
                <w:sz w:val="24"/>
              </w:rPr>
              <w:t>Artikel 384 Absatz 3 der Verordnung (EU) Nr. 575/2013 Eigenmittelanforderungen unter der Annahme perfekter Korrelation (</w:t>
            </w:r>
            <w:r w:rsidRPr="00341868">
              <w:rPr>
                <w:rFonts w:ascii="Times New Roman" w:hAnsi="Times New Roman"/>
                <w:sz w:val="24"/>
              </w:rPr>
              <w:sym w:font="Symbol" w:char="F053"/>
            </w:r>
            <w:r w:rsidRPr="00341868">
              <w:rPr>
                <w:rFonts w:ascii="Times New Roman" w:hAnsi="Times New Roman"/>
                <w:sz w:val="24"/>
                <w:vertAlign w:val="subscript"/>
              </w:rPr>
              <w:t>c</w:t>
            </w:r>
            <w:r w:rsidRPr="00341868">
              <w:rPr>
                <w:rFonts w:ascii="Times New Roman" w:hAnsi="Times New Roman"/>
                <w:sz w:val="24"/>
              </w:rPr>
              <w:t>SCVA</w:t>
            </w:r>
            <w:r w:rsidRPr="00341868">
              <w:rPr>
                <w:rFonts w:ascii="Times New Roman" w:hAnsi="Times New Roman"/>
                <w:sz w:val="24"/>
                <w:vertAlign w:val="subscript"/>
              </w:rPr>
              <w:t xml:space="preserve">c).  </w:t>
            </w:r>
            <w:r w:rsidRPr="00341868">
              <w:rPr>
                <w:rFonts w:ascii="Times New Roman" w:hAnsi="Times New Roman"/>
                <w:sz w:val="24"/>
              </w:rPr>
              <w:t>Der Abzinsungsfaktor von 0,65 findet keine Anwendung.“</w:t>
            </w:r>
          </w:p>
        </w:tc>
      </w:tr>
      <w:tr w:rsidR="00680687" w:rsidRPr="00341868" w14:paraId="65206CF9" w14:textId="77777777" w:rsidTr="006A3ADC">
        <w:tc>
          <w:tcPr>
            <w:tcW w:w="1172" w:type="dxa"/>
          </w:tcPr>
          <w:p w14:paraId="62DF0332" w14:textId="77777777" w:rsidR="00680687" w:rsidRPr="00341868" w:rsidRDefault="00680687" w:rsidP="006A3ADC">
            <w:pPr>
              <w:rPr>
                <w:rFonts w:ascii="Times New Roman" w:hAnsi="Times New Roman"/>
                <w:sz w:val="24"/>
              </w:rPr>
            </w:pPr>
            <w:r w:rsidRPr="00341868">
              <w:rPr>
                <w:rFonts w:ascii="Times New Roman" w:hAnsi="Times New Roman"/>
                <w:sz w:val="24"/>
              </w:rPr>
              <w:t>0240</w:t>
            </w:r>
          </w:p>
        </w:tc>
        <w:tc>
          <w:tcPr>
            <w:tcW w:w="7844" w:type="dxa"/>
          </w:tcPr>
          <w:p w14:paraId="208A77B2" w14:textId="77777777" w:rsidR="00680687" w:rsidRPr="00341868" w:rsidRDefault="00680687" w:rsidP="006A3ADC">
            <w:pPr>
              <w:rPr>
                <w:rFonts w:ascii="Times New Roman" w:hAnsi="Times New Roman"/>
                <w:b/>
                <w:bCs/>
                <w:sz w:val="24"/>
                <w:u w:val="single"/>
              </w:rPr>
            </w:pPr>
            <w:r w:rsidRPr="00341868">
              <w:rPr>
                <w:rFonts w:ascii="Times New Roman" w:hAnsi="Times New Roman"/>
                <w:b/>
                <w:sz w:val="24"/>
                <w:u w:val="single"/>
              </w:rPr>
              <w:t>Aggregierung spezifischer Komponenten des CVA-Risikos</w:t>
            </w:r>
          </w:p>
          <w:p w14:paraId="7B1EBC08" w14:textId="0A8A4DA3" w:rsidR="00680687" w:rsidRPr="00341868" w:rsidRDefault="00680687" w:rsidP="006A3ADC">
            <w:pPr>
              <w:rPr>
                <w:rFonts w:ascii="Times New Roman" w:hAnsi="Times New Roman"/>
                <w:sz w:val="24"/>
              </w:rPr>
            </w:pPr>
            <w:r w:rsidRPr="00341868">
              <w:rPr>
                <w:rFonts w:ascii="Times New Roman" w:hAnsi="Times New Roman"/>
                <w:sz w:val="24"/>
              </w:rPr>
              <w:t>Artikel 384 Absatz 3 der Verordnung (EU) Nr. 575/2013 Eigenmittelanforderungen unter der Annahme einer Nullkorrelation (</w:t>
            </w:r>
            <w:r w:rsidRPr="00341868">
              <w:rPr>
                <w:rFonts w:ascii="Times New Roman" w:hAnsi="Times New Roman"/>
                <w:sz w:val="24"/>
              </w:rPr>
              <w:sym w:font="Symbol" w:char="F053"/>
            </w:r>
            <w:r w:rsidRPr="00341868">
              <w:rPr>
                <w:rFonts w:ascii="Times New Roman" w:hAnsi="Times New Roman"/>
                <w:sz w:val="24"/>
                <w:vertAlign w:val="subscript"/>
              </w:rPr>
              <w:t>c</w:t>
            </w:r>
            <w:r w:rsidRPr="00341868">
              <w:rPr>
                <w:rFonts w:ascii="Times New Roman" w:hAnsi="Times New Roman"/>
                <w:sz w:val="24"/>
              </w:rPr>
              <w:t>SCVA</w:t>
            </w:r>
            <w:r w:rsidRPr="00341868">
              <w:rPr>
                <w:rFonts w:ascii="Times New Roman" w:hAnsi="Times New Roman"/>
                <w:sz w:val="24"/>
                <w:vertAlign w:val="subscript"/>
              </w:rPr>
              <w:t>c).</w:t>
            </w:r>
            <w:r w:rsidRPr="00341868">
              <w:rPr>
                <w:rFonts w:ascii="Times New Roman" w:hAnsi="Times New Roman"/>
                <w:sz w:val="24"/>
              </w:rPr>
              <w:t xml:space="preserve"> Der Abzinsungsfaktor von 0,65 findet keine Anwendung.</w:t>
            </w:r>
          </w:p>
        </w:tc>
      </w:tr>
    </w:tbl>
    <w:p w14:paraId="28018638" w14:textId="76D12753" w:rsidR="00680687" w:rsidRPr="00341868" w:rsidRDefault="00341868" w:rsidP="00341868">
      <w:pPr>
        <w:ind w:left="7920" w:firstLine="720"/>
      </w:pPr>
      <w:r w:rsidRPr="00341868">
        <w:rPr>
          <w:rFonts w:ascii="Times New Roman" w:hAnsi="Times New Roman"/>
          <w:sz w:val="24"/>
        </w:rPr>
        <w:t>“</w:t>
      </w:r>
    </w:p>
    <w:bookmarkEnd w:id="6"/>
    <w:sectPr w:rsidR="00680687" w:rsidRPr="00341868">
      <w:headerReference w:type="even" r:id="rId11"/>
      <w:headerReference w:type="default" r:id="rId12"/>
      <w:head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3CAA0" w14:textId="77777777" w:rsidR="001E5355" w:rsidRDefault="001E5355" w:rsidP="007341EC">
      <w:pPr>
        <w:spacing w:before="0" w:after="0"/>
      </w:pPr>
      <w:r>
        <w:separator/>
      </w:r>
    </w:p>
  </w:endnote>
  <w:endnote w:type="continuationSeparator" w:id="0">
    <w:p w14:paraId="6E16C8BF" w14:textId="77777777" w:rsidR="001E5355" w:rsidRDefault="001E5355" w:rsidP="007341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431AE" w14:textId="77777777" w:rsidR="001E5355" w:rsidRDefault="001E5355" w:rsidP="007341EC">
      <w:pPr>
        <w:spacing w:before="0" w:after="0"/>
      </w:pPr>
      <w:r>
        <w:separator/>
      </w:r>
    </w:p>
  </w:footnote>
  <w:footnote w:type="continuationSeparator" w:id="0">
    <w:p w14:paraId="246DE660" w14:textId="77777777" w:rsidR="001E5355" w:rsidRDefault="001E5355" w:rsidP="007341E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78523" w14:textId="7211D844" w:rsidR="007341EC" w:rsidRDefault="007341EC">
    <w:pPr>
      <w:pStyle w:val="Header"/>
    </w:pPr>
    <w:r>
      <w:rPr>
        <w:noProof/>
      </w:rPr>
      <mc:AlternateContent>
        <mc:Choice Requires="wps">
          <w:drawing>
            <wp:anchor distT="0" distB="0" distL="0" distR="0" simplePos="0" relativeHeight="251659264" behindDoc="0" locked="0" layoutInCell="1" allowOverlap="1" wp14:anchorId="31A2901B" wp14:editId="110AB4F7">
              <wp:simplePos x="635" y="635"/>
              <wp:positionH relativeFrom="page">
                <wp:align>left</wp:align>
              </wp:positionH>
              <wp:positionV relativeFrom="page">
                <wp:align>top</wp:align>
              </wp:positionV>
              <wp:extent cx="443865" cy="443865"/>
              <wp:effectExtent l="0" t="0" r="3175" b="4445"/>
              <wp:wrapNone/>
              <wp:docPr id="1761226336"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DC1504" w14:textId="571F14F7"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1A2901B"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35DC1504" w14:textId="571F14F7"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9F28F" w14:textId="700CE3C5" w:rsidR="007341EC" w:rsidRDefault="007341EC">
    <w:pPr>
      <w:pStyle w:val="Header"/>
    </w:pPr>
    <w:r>
      <w:rPr>
        <w:noProof/>
      </w:rPr>
      <mc:AlternateContent>
        <mc:Choice Requires="wps">
          <w:drawing>
            <wp:anchor distT="0" distB="0" distL="0" distR="0" simplePos="0" relativeHeight="251660288" behindDoc="0" locked="0" layoutInCell="1" allowOverlap="1" wp14:anchorId="398AF594" wp14:editId="35C2518C">
              <wp:simplePos x="914400" y="447675"/>
              <wp:positionH relativeFrom="page">
                <wp:align>left</wp:align>
              </wp:positionH>
              <wp:positionV relativeFrom="page">
                <wp:align>top</wp:align>
              </wp:positionV>
              <wp:extent cx="443865" cy="443865"/>
              <wp:effectExtent l="0" t="0" r="3175" b="4445"/>
              <wp:wrapNone/>
              <wp:docPr id="3711543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F6569DF" w14:textId="009B7B50"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98AF594"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F6569DF" w14:textId="009B7B50"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C00BF" w14:textId="2532D275" w:rsidR="007341EC" w:rsidRDefault="007341EC">
    <w:pPr>
      <w:pStyle w:val="Header"/>
    </w:pPr>
    <w:r>
      <w:rPr>
        <w:noProof/>
      </w:rPr>
      <mc:AlternateContent>
        <mc:Choice Requires="wps">
          <w:drawing>
            <wp:anchor distT="0" distB="0" distL="0" distR="0" simplePos="0" relativeHeight="251658240" behindDoc="0" locked="0" layoutInCell="1" allowOverlap="1" wp14:anchorId="29C0A740" wp14:editId="01E7D8AA">
              <wp:simplePos x="635" y="635"/>
              <wp:positionH relativeFrom="page">
                <wp:align>left</wp:align>
              </wp:positionH>
              <wp:positionV relativeFrom="page">
                <wp:align>top</wp:align>
              </wp:positionV>
              <wp:extent cx="443865" cy="443865"/>
              <wp:effectExtent l="0" t="0" r="3175" b="4445"/>
              <wp:wrapNone/>
              <wp:docPr id="86689634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D80B87" w14:textId="703F3572"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9C0A740"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9D80B87" w14:textId="703F3572"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1EC"/>
    <w:rsid w:val="000132CB"/>
    <w:rsid w:val="0002690B"/>
    <w:rsid w:val="00055596"/>
    <w:rsid w:val="000723D6"/>
    <w:rsid w:val="000C03DF"/>
    <w:rsid w:val="001054E6"/>
    <w:rsid w:val="001131E4"/>
    <w:rsid w:val="0012244E"/>
    <w:rsid w:val="0017758E"/>
    <w:rsid w:val="001A3FFF"/>
    <w:rsid w:val="001C580A"/>
    <w:rsid w:val="001E5355"/>
    <w:rsid w:val="00253D86"/>
    <w:rsid w:val="002815CB"/>
    <w:rsid w:val="00284184"/>
    <w:rsid w:val="00296DF0"/>
    <w:rsid w:val="002C6F9F"/>
    <w:rsid w:val="002E0330"/>
    <w:rsid w:val="002F5025"/>
    <w:rsid w:val="00314DFD"/>
    <w:rsid w:val="00327F8D"/>
    <w:rsid w:val="00340689"/>
    <w:rsid w:val="00341868"/>
    <w:rsid w:val="00375D7F"/>
    <w:rsid w:val="0039256B"/>
    <w:rsid w:val="00401970"/>
    <w:rsid w:val="0043596C"/>
    <w:rsid w:val="00473D32"/>
    <w:rsid w:val="004A2E7A"/>
    <w:rsid w:val="004A37E9"/>
    <w:rsid w:val="004B3EB4"/>
    <w:rsid w:val="004F79C2"/>
    <w:rsid w:val="00510AE9"/>
    <w:rsid w:val="00532B0C"/>
    <w:rsid w:val="005542E7"/>
    <w:rsid w:val="00594522"/>
    <w:rsid w:val="005B137C"/>
    <w:rsid w:val="005F6CF0"/>
    <w:rsid w:val="00606FB5"/>
    <w:rsid w:val="0061351B"/>
    <w:rsid w:val="00631623"/>
    <w:rsid w:val="00641472"/>
    <w:rsid w:val="00654BBD"/>
    <w:rsid w:val="0066047B"/>
    <w:rsid w:val="00671212"/>
    <w:rsid w:val="00680687"/>
    <w:rsid w:val="0068259C"/>
    <w:rsid w:val="006A3ADC"/>
    <w:rsid w:val="006E2916"/>
    <w:rsid w:val="006E5C38"/>
    <w:rsid w:val="007341EC"/>
    <w:rsid w:val="007342FB"/>
    <w:rsid w:val="00742164"/>
    <w:rsid w:val="00743542"/>
    <w:rsid w:val="00776A2E"/>
    <w:rsid w:val="00777E96"/>
    <w:rsid w:val="00782F57"/>
    <w:rsid w:val="00785909"/>
    <w:rsid w:val="007A4D29"/>
    <w:rsid w:val="007F3AF3"/>
    <w:rsid w:val="00820CB4"/>
    <w:rsid w:val="00832D39"/>
    <w:rsid w:val="00856733"/>
    <w:rsid w:val="00881267"/>
    <w:rsid w:val="008836E9"/>
    <w:rsid w:val="00890325"/>
    <w:rsid w:val="008C42A8"/>
    <w:rsid w:val="008D194E"/>
    <w:rsid w:val="00920C10"/>
    <w:rsid w:val="00927398"/>
    <w:rsid w:val="00942DF7"/>
    <w:rsid w:val="00955924"/>
    <w:rsid w:val="0099335D"/>
    <w:rsid w:val="009A273F"/>
    <w:rsid w:val="009C0384"/>
    <w:rsid w:val="009E64FB"/>
    <w:rsid w:val="00A3337B"/>
    <w:rsid w:val="00A432C8"/>
    <w:rsid w:val="00A6002C"/>
    <w:rsid w:val="00A67864"/>
    <w:rsid w:val="00A90A72"/>
    <w:rsid w:val="00AA1613"/>
    <w:rsid w:val="00AB0BA2"/>
    <w:rsid w:val="00AB6A6C"/>
    <w:rsid w:val="00AD0956"/>
    <w:rsid w:val="00AD1D5D"/>
    <w:rsid w:val="00AD72B8"/>
    <w:rsid w:val="00B20009"/>
    <w:rsid w:val="00B411CC"/>
    <w:rsid w:val="00B71F25"/>
    <w:rsid w:val="00BC79BB"/>
    <w:rsid w:val="00BF0CDE"/>
    <w:rsid w:val="00C63973"/>
    <w:rsid w:val="00C73E12"/>
    <w:rsid w:val="00C95377"/>
    <w:rsid w:val="00CB2E9C"/>
    <w:rsid w:val="00CC08BC"/>
    <w:rsid w:val="00CC1BE6"/>
    <w:rsid w:val="00CF011F"/>
    <w:rsid w:val="00CF1050"/>
    <w:rsid w:val="00D15003"/>
    <w:rsid w:val="00D868EB"/>
    <w:rsid w:val="00DA6DF2"/>
    <w:rsid w:val="00DC08FB"/>
    <w:rsid w:val="00DD5030"/>
    <w:rsid w:val="00DE7233"/>
    <w:rsid w:val="00E36E3E"/>
    <w:rsid w:val="00EB0DF5"/>
    <w:rsid w:val="00EE169C"/>
    <w:rsid w:val="00EF07A1"/>
    <w:rsid w:val="00EF3DFB"/>
    <w:rsid w:val="00F12CDB"/>
    <w:rsid w:val="00F16125"/>
    <w:rsid w:val="00F3074A"/>
    <w:rsid w:val="00F42BE7"/>
    <w:rsid w:val="00F60A6C"/>
    <w:rsid w:val="00F732F3"/>
    <w:rsid w:val="00F82BD2"/>
    <w:rsid w:val="00FB4148"/>
    <w:rsid w:val="00FB4387"/>
    <w:rsid w:val="00FC1A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22754A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41EC"/>
    <w:pPr>
      <w:spacing w:before="120" w:after="120" w:line="240" w:lineRule="auto"/>
      <w:jc w:val="both"/>
    </w:pPr>
    <w:rPr>
      <w:rFonts w:ascii="Verdana" w:eastAsia="Times New Roman" w:hAnsi="Verdana" w:cs="Times New Roman"/>
      <w:kern w:val="0"/>
      <w:sz w:val="20"/>
      <w:szCs w:val="24"/>
      <w14:ligatures w14:val="none"/>
    </w:rPr>
  </w:style>
  <w:style w:type="paragraph" w:styleId="Heading2">
    <w:name w:val="heading 2"/>
    <w:basedOn w:val="Normal"/>
    <w:next w:val="Normal"/>
    <w:link w:val="Heading2Char"/>
    <w:uiPriority w:val="9"/>
    <w:semiHidden/>
    <w:unhideWhenUsed/>
    <w:qFormat/>
    <w:rsid w:val="007341E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341EC"/>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Instructionsberschrift2">
    <w:name w:val="Instructions Überschrift 2"/>
    <w:basedOn w:val="Heading2"/>
    <w:rsid w:val="007341EC"/>
    <w:pPr>
      <w:keepLines w:val="0"/>
      <w:numPr>
        <w:numId w:val="1"/>
      </w:numPr>
      <w:tabs>
        <w:tab w:val="num" w:pos="360"/>
      </w:tabs>
      <w:spacing w:before="240" w:after="240"/>
      <w:ind w:left="0" w:firstLine="0"/>
    </w:pPr>
    <w:rPr>
      <w:rFonts w:ascii="Verdana" w:eastAsia="Arial" w:hAnsi="Verdana" w:cs="Arial"/>
      <w:color w:val="auto"/>
      <w:sz w:val="20"/>
      <w:szCs w:val="24"/>
      <w:u w:val="single"/>
      <w:lang w:eastAsia="x-none"/>
    </w:rPr>
  </w:style>
  <w:style w:type="character" w:customStyle="1" w:styleId="Heading2Char">
    <w:name w:val="Heading 2 Char"/>
    <w:basedOn w:val="DefaultParagraphFont"/>
    <w:link w:val="Heading2"/>
    <w:uiPriority w:val="9"/>
    <w:semiHidden/>
    <w:rsid w:val="007341EC"/>
    <w:rPr>
      <w:rFonts w:asciiTheme="majorHAnsi" w:eastAsiaTheme="majorEastAsia" w:hAnsiTheme="majorHAnsi" w:cstheme="majorBidi"/>
      <w:color w:val="2F5496" w:themeColor="accent1" w:themeShade="BF"/>
      <w:kern w:val="0"/>
      <w:sz w:val="26"/>
      <w:szCs w:val="26"/>
      <w14:ligatures w14:val="none"/>
    </w:rPr>
  </w:style>
  <w:style w:type="paragraph" w:styleId="Header">
    <w:name w:val="header"/>
    <w:basedOn w:val="Normal"/>
    <w:link w:val="HeaderChar"/>
    <w:uiPriority w:val="99"/>
    <w:unhideWhenUsed/>
    <w:rsid w:val="007341EC"/>
    <w:pPr>
      <w:tabs>
        <w:tab w:val="center" w:pos="4513"/>
        <w:tab w:val="right" w:pos="9026"/>
      </w:tabs>
      <w:spacing w:before="0" w:after="0"/>
    </w:pPr>
  </w:style>
  <w:style w:type="character" w:customStyle="1" w:styleId="HeaderChar">
    <w:name w:val="Header Char"/>
    <w:basedOn w:val="DefaultParagraphFont"/>
    <w:link w:val="Header"/>
    <w:uiPriority w:val="99"/>
    <w:rsid w:val="007341EC"/>
    <w:rPr>
      <w:rFonts w:ascii="Verdana" w:eastAsia="Times New Roman" w:hAnsi="Verdana" w:cs="Times New Roman"/>
      <w:kern w:val="0"/>
      <w:sz w:val="20"/>
      <w:szCs w:val="24"/>
      <w14:ligatures w14:val="none"/>
    </w:rPr>
  </w:style>
  <w:style w:type="paragraph" w:styleId="Revision">
    <w:name w:val="Revision"/>
    <w:hidden/>
    <w:uiPriority w:val="99"/>
    <w:semiHidden/>
    <w:rsid w:val="00641472"/>
    <w:pPr>
      <w:spacing w:after="0" w:line="240" w:lineRule="auto"/>
    </w:pPr>
    <w:rPr>
      <w:rFonts w:ascii="Verdana" w:eastAsia="Times New Roman" w:hAnsi="Verdana" w:cs="Times New Roman"/>
      <w:kern w:val="0"/>
      <w:sz w:val="20"/>
      <w:szCs w:val="24"/>
      <w14:ligatures w14:val="none"/>
    </w:rPr>
  </w:style>
  <w:style w:type="character" w:styleId="CommentReference">
    <w:name w:val="annotation reference"/>
    <w:basedOn w:val="DefaultParagraphFont"/>
    <w:uiPriority w:val="99"/>
    <w:semiHidden/>
    <w:unhideWhenUsed/>
    <w:rsid w:val="002E0330"/>
    <w:rPr>
      <w:sz w:val="16"/>
      <w:szCs w:val="16"/>
    </w:rPr>
  </w:style>
  <w:style w:type="paragraph" w:styleId="CommentText">
    <w:name w:val="annotation text"/>
    <w:basedOn w:val="Normal"/>
    <w:link w:val="CommentTextChar"/>
    <w:uiPriority w:val="99"/>
    <w:unhideWhenUsed/>
    <w:rsid w:val="002E0330"/>
    <w:rPr>
      <w:szCs w:val="20"/>
    </w:rPr>
  </w:style>
  <w:style w:type="character" w:customStyle="1" w:styleId="CommentTextChar">
    <w:name w:val="Comment Text Char"/>
    <w:basedOn w:val="DefaultParagraphFont"/>
    <w:link w:val="CommentText"/>
    <w:uiPriority w:val="99"/>
    <w:rsid w:val="002E0330"/>
    <w:rPr>
      <w:rFonts w:ascii="Verdana" w:eastAsia="Times New Roman" w:hAnsi="Verdana"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2E0330"/>
    <w:rPr>
      <w:b/>
      <w:bCs/>
    </w:rPr>
  </w:style>
  <w:style w:type="character" w:customStyle="1" w:styleId="CommentSubjectChar">
    <w:name w:val="Comment Subject Char"/>
    <w:basedOn w:val="CommentTextChar"/>
    <w:link w:val="CommentSubject"/>
    <w:uiPriority w:val="99"/>
    <w:semiHidden/>
    <w:rsid w:val="002E0330"/>
    <w:rPr>
      <w:rFonts w:ascii="Verdana" w:eastAsia="Times New Roman" w:hAnsi="Verdana" w:cs="Times New Roman"/>
      <w:b/>
      <w:bCs/>
      <w:kern w:val="0"/>
      <w:sz w:val="20"/>
      <w:szCs w:val="20"/>
      <w14:ligatures w14:val="none"/>
    </w:rPr>
  </w:style>
  <w:style w:type="paragraph" w:styleId="Footer">
    <w:name w:val="footer"/>
    <w:basedOn w:val="Normal"/>
    <w:link w:val="FooterChar"/>
    <w:uiPriority w:val="99"/>
    <w:unhideWhenUsed/>
    <w:rsid w:val="00AB6A6C"/>
    <w:pPr>
      <w:tabs>
        <w:tab w:val="center" w:pos="4513"/>
        <w:tab w:val="right" w:pos="9026"/>
      </w:tabs>
      <w:spacing w:before="0" w:after="0"/>
    </w:pPr>
  </w:style>
  <w:style w:type="character" w:customStyle="1" w:styleId="FooterChar">
    <w:name w:val="Footer Char"/>
    <w:basedOn w:val="DefaultParagraphFont"/>
    <w:link w:val="Footer"/>
    <w:uiPriority w:val="99"/>
    <w:rsid w:val="00AB6A6C"/>
    <w:rPr>
      <w:rFonts w:ascii="Verdana" w:eastAsia="Times New Roman" w:hAnsi="Verdana" w:cs="Times New Roman"/>
      <w:kern w:val="0"/>
      <w:sz w:val="20"/>
      <w:szCs w:val="24"/>
      <w14:ligatures w14:val="none"/>
    </w:rPr>
  </w:style>
  <w:style w:type="character" w:customStyle="1" w:styleId="InstructionsTabelleText">
    <w:name w:val="Instructions Tabelle Text"/>
    <w:rsid w:val="00606FB5"/>
    <w:rPr>
      <w:rFonts w:ascii="Verdana" w:hAnsi="Verdana"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84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1A18682-79BD-48F4-95AC-9ED16581AF9B}">
  <ds:schemaRefs>
    <ds:schemaRef ds:uri="http://schemas.microsoft.com/sharepoint/v3/contenttype/forms"/>
  </ds:schemaRefs>
</ds:datastoreItem>
</file>

<file path=customXml/itemProps2.xml><?xml version="1.0" encoding="utf-8"?>
<ds:datastoreItem xmlns:ds="http://schemas.openxmlformats.org/officeDocument/2006/customXml" ds:itemID="{67A9C472-9FF2-4404-949E-86B94AE2DED5}"/>
</file>

<file path=customXml/itemProps3.xml><?xml version="1.0" encoding="utf-8"?>
<ds:datastoreItem xmlns:ds="http://schemas.openxmlformats.org/officeDocument/2006/customXml" ds:itemID="{B5D16264-0095-49B9-B6D2-A7314B929548}">
  <ds:schemaRefs>
    <ds:schemaRef ds:uri="http://schemas.openxmlformats.org/officeDocument/2006/bibliography"/>
  </ds:schemaRefs>
</ds:datastoreItem>
</file>

<file path=customXml/itemProps4.xml><?xml version="1.0" encoding="utf-8"?>
<ds:datastoreItem xmlns:ds="http://schemas.openxmlformats.org/officeDocument/2006/customXml" ds:itemID="{C829BCE0-7D27-4457-90C4-C4BF0ABB714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7</Pages>
  <Words>1749</Words>
  <Characters>11636</Characters>
  <Application>Microsoft Office Word</Application>
  <DocSecurity>0</DocSecurity>
  <Lines>314</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2024-06-20T09:40:00Z</dcterms:created>
  <dcterms:modified xsi:type="dcterms:W3CDTF">2025-01-22T15:30:00Z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2025-01-22T15:30:51Z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2b7c9d18-c8b3-4b0e-96ef-79a492e9f8c1</vt:lpwstr>
  </property>
  <property fmtid="{D5CDD505-2E9C-101B-9397-08002B2CF9AE}" pid="9" name="MSIP_Label_6bd9ddd1-4d20-43f6-abfa-fc3c07406f94_ContentBits">
    <vt:lpwstr>0</vt:lpwstr>
  </property>
</Properties>
</file>