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19C03" w14:textId="77777777" w:rsidR="004E6C70" w:rsidRPr="00CB270D" w:rsidRDefault="004E6C70" w:rsidP="004E6C70">
      <w:pPr>
        <w:pStyle w:val="Heading9"/>
        <w:suppressAutoHyphens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ANNESS XXIX</w:t>
      </w:r>
    </w:p>
    <w:p w14:paraId="71FAD1BD" w14:textId="77777777" w:rsidR="004E6C70" w:rsidRPr="00D82419" w:rsidRDefault="004E6C70" w:rsidP="004E6C70">
      <w:pPr>
        <w:suppressAutoHyphens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STRUZZJONIJIET GĦAR-RAPPORTAR GĦALL-FINI TAR-RISKJU TAĊ-ĊAQLIQ FIR-RATAZZJONI TAL-IMGĦAX FIL-PORTAFOLL BANKARJU </w:t>
      </w:r>
    </w:p>
    <w:p w14:paraId="3E4D37C5" w14:textId="77777777" w:rsidR="004E6C70" w:rsidRPr="00D82419" w:rsidRDefault="004E6C70" w:rsidP="004E6C70">
      <w:pPr>
        <w:suppressAutoHyphens/>
        <w:jc w:val="center"/>
        <w:rPr>
          <w:rFonts w:ascii="Times New Roman" w:hAnsi="Times New Roman"/>
          <w:b/>
          <w:sz w:val="24"/>
          <w:lang w:eastAsia="de-DE"/>
        </w:rPr>
      </w:pPr>
    </w:p>
    <w:p w14:paraId="33616100" w14:textId="77777777" w:rsidR="004E6C70" w:rsidRPr="00D82419" w:rsidRDefault="004E6C70" w:rsidP="004E6C70">
      <w:pPr>
        <w:pStyle w:val="InstructionsText"/>
      </w:pPr>
      <w:r>
        <w:t>Werrej</w:t>
      </w:r>
    </w:p>
    <w:p w14:paraId="51FF63B1" w14:textId="1715F684" w:rsidR="005A7D4C" w:rsidRDefault="004E6C70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r w:rsidRPr="00D82419">
        <w:rPr>
          <w:rFonts w:ascii="Times New Roman" w:hAnsi="Times New Roman"/>
          <w:color w:val="2B579A"/>
          <w:sz w:val="24"/>
          <w:shd w:val="clear" w:color="auto" w:fill="E6E6E6"/>
        </w:rPr>
        <w:fldChar w:fldCharType="begin"/>
      </w:r>
      <w:r w:rsidRPr="00D82419">
        <w:rPr>
          <w:rFonts w:ascii="Times New Roman" w:hAnsi="Times New Roman"/>
          <w:sz w:val="24"/>
        </w:rPr>
        <w:instrText xml:space="preserve"> TOC \o "1-3" \h \z \u </w:instrText>
      </w:r>
      <w:r w:rsidRPr="00D82419">
        <w:rPr>
          <w:rFonts w:ascii="Times New Roman" w:hAnsi="Times New Roman"/>
          <w:color w:val="2B579A"/>
          <w:sz w:val="24"/>
          <w:shd w:val="clear" w:color="auto" w:fill="E6E6E6"/>
        </w:rPr>
        <w:fldChar w:fldCharType="separate"/>
      </w:r>
      <w:hyperlink w:anchor="_Toc188860604" w:history="1">
        <w:r w:rsidR="005A7D4C" w:rsidRPr="00BA5CBF">
          <w:rPr>
            <w:rStyle w:val="Hyperlink"/>
          </w:rPr>
          <w:t>PARTI I: STRUZZJONIJIET ĠENERALI</w:t>
        </w:r>
        <w:r w:rsidR="005A7D4C">
          <w:rPr>
            <w:webHidden/>
          </w:rPr>
          <w:tab/>
        </w:r>
        <w:r w:rsidR="005A7D4C">
          <w:rPr>
            <w:webHidden/>
          </w:rPr>
          <w:fldChar w:fldCharType="begin"/>
        </w:r>
        <w:r w:rsidR="005A7D4C">
          <w:rPr>
            <w:webHidden/>
          </w:rPr>
          <w:instrText xml:space="preserve"> PAGEREF _Toc188860604 \h </w:instrText>
        </w:r>
        <w:r w:rsidR="005A7D4C">
          <w:rPr>
            <w:webHidden/>
          </w:rPr>
        </w:r>
        <w:r w:rsidR="005A7D4C">
          <w:rPr>
            <w:webHidden/>
          </w:rPr>
          <w:fldChar w:fldCharType="separate"/>
        </w:r>
        <w:r w:rsidR="005A7D4C">
          <w:rPr>
            <w:webHidden/>
          </w:rPr>
          <w:t>2</w:t>
        </w:r>
        <w:r w:rsidR="005A7D4C">
          <w:rPr>
            <w:webHidden/>
          </w:rPr>
          <w:fldChar w:fldCharType="end"/>
        </w:r>
      </w:hyperlink>
    </w:p>
    <w:p w14:paraId="4DA04FF2" w14:textId="12AC4CDB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05" w:history="1">
        <w:r w:rsidRPr="00BA5CBF">
          <w:rPr>
            <w:rStyle w:val="Hyperlink"/>
            <w:bCs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Struttura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A27DE2B" w14:textId="533E2217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06" w:history="1">
        <w:r w:rsidRPr="00BA5CBF">
          <w:rPr>
            <w:rStyle w:val="Hyperlink"/>
            <w:bCs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Skop tar-rappurtar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682D6A4" w14:textId="7C7CC6BD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07" w:history="1">
        <w:r w:rsidRPr="00BA5CBF">
          <w:rPr>
            <w:rStyle w:val="Hyperlink"/>
            <w:bCs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Trattament ta’ strumenti b’rata fissa/varjabbli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470FBD6" w14:textId="6A798343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08" w:history="1">
        <w:r w:rsidRPr="00BA5CBF">
          <w:rPr>
            <w:rStyle w:val="Hyperlink"/>
            <w:bCs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Trattament tal-opzjonijiet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D7A2BAA" w14:textId="385E24F9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09" w:history="1">
        <w:r w:rsidRPr="00BA5CBF">
          <w:rPr>
            <w:rStyle w:val="Hyperlink"/>
            <w:bCs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Konvenzjoni dwar is-simboli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2E9FA51" w14:textId="1E53B457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10" w:history="1">
        <w:r w:rsidRPr="00BA5CBF">
          <w:rPr>
            <w:rStyle w:val="Hyperlink"/>
            <w:bCs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Taqsiriet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534BBEF" w14:textId="6FA9234C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11" w:history="1">
        <w:r w:rsidRPr="00BA5CBF">
          <w:rPr>
            <w:rStyle w:val="Hyperlink"/>
          </w:rPr>
          <w:t>7.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Konvenzjonijiet oħra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31A96BD" w14:textId="025C98D1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12" w:history="1">
        <w:r w:rsidRPr="00BA5CBF">
          <w:rPr>
            <w:rStyle w:val="Hyperlink"/>
          </w:rPr>
          <w:t>PARTI II: EVALWAZZJONI TAL-IRRBB: L-SOT FUQ L-EVE/NII U L-BIDLIET TAL-MV (J 01.00)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E15C57A" w14:textId="48C010EA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13" w:history="1">
        <w:r w:rsidRPr="00BA5CBF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445939D" w14:textId="363A9937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14" w:history="1">
        <w:r w:rsidRPr="00BA5CBF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C3CD404" w14:textId="73D2D370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15" w:history="1">
        <w:r w:rsidRPr="00BA5CBF">
          <w:rPr>
            <w:rStyle w:val="Hyperlink"/>
          </w:rPr>
          <w:t>PARTI III: DIŻAGGREGAZZJONI TAL-ISTIMI TAS-SENSITTIVITÀ (J 02.00, J 03.00 u J 04.00)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49E592C" w14:textId="0C790E7D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16" w:history="1">
        <w:r w:rsidRPr="00BA5CBF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9CFBDE8" w14:textId="5F7AEAE9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17" w:history="1">
        <w:r w:rsidRPr="00BA5CBF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1B54DB6" w14:textId="6C08772D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18" w:history="1">
        <w:r w:rsidRPr="00BA5CBF">
          <w:rPr>
            <w:rStyle w:val="Hyperlink"/>
          </w:rPr>
          <w:t>PARTI IV: FLUSSI TAL-FLUS SOĠĠETTI GĦALL-IPPREZZAR MILL-ĠDID (J 05.00, J 06.00 u J 07.00)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5373368D" w14:textId="06998B36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19" w:history="1">
        <w:r w:rsidRPr="00BA5CBF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0600ADBF" w14:textId="288A40DF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20" w:history="1">
        <w:r w:rsidRPr="00BA5CBF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Struzzjonijiet li jikkonċernaw pożizzjonijiet speċifiċi: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631628CA" w14:textId="1B4184C5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21" w:history="1">
        <w:r w:rsidRPr="00BA5CBF">
          <w:rPr>
            <w:rStyle w:val="Hyperlink"/>
          </w:rPr>
          <w:t>PARTI V: PARAMETRI RILEVANTI (J 08.00 u J 09.00)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6427B442" w14:textId="6C500E23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22" w:history="1">
        <w:r w:rsidRPr="00BA5CBF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623B30E0" w14:textId="664B3438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23" w:history="1">
        <w:r w:rsidRPr="00BA5CBF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13CEE69B" w14:textId="63AED5BD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24" w:history="1">
        <w:r w:rsidRPr="00BA5CBF">
          <w:rPr>
            <w:rStyle w:val="Hyperlink"/>
          </w:rPr>
          <w:t>PARTI VI: INFORMAZZJONI KWALITATTIVA (J 10.00 u J 11.00)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03718B00" w14:textId="2061B311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25" w:history="1">
        <w:r w:rsidRPr="00BA5CBF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Rimarki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35EE2570" w14:textId="7C72D34E" w:rsidR="005A7D4C" w:rsidRDefault="005A7D4C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8860626" w:history="1">
        <w:r w:rsidRPr="00BA5CBF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BA5CBF">
          <w:rPr>
            <w:rStyle w:val="Hyperlink"/>
          </w:rPr>
          <w:t>Struzzjonijiet li jikkonċernaw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_Toc188860626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66CB94C4" w14:textId="0C1F1A80" w:rsidR="004E6C70" w:rsidRPr="00D82419" w:rsidRDefault="004E6C70" w:rsidP="004E6C70">
      <w:pPr>
        <w:suppressAutoHyphens/>
        <w:rPr>
          <w:rFonts w:ascii="Times New Roman" w:hAnsi="Times New Roman"/>
          <w:sz w:val="24"/>
        </w:rPr>
        <w:sectPr w:rsidR="004E6C70" w:rsidRPr="00D82419" w:rsidSect="00D824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20"/>
          <w:titlePg/>
          <w:docGrid w:linePitch="360"/>
        </w:sectPr>
      </w:pPr>
      <w:r w:rsidRPr="00D82419">
        <w:rPr>
          <w:rFonts w:ascii="Times New Roman" w:hAnsi="Times New Roman"/>
          <w:color w:val="2B579A"/>
          <w:sz w:val="24"/>
          <w:shd w:val="clear" w:color="auto" w:fill="E6E6E6"/>
        </w:rPr>
        <w:fldChar w:fldCharType="end"/>
      </w:r>
    </w:p>
    <w:p w14:paraId="2B170297" w14:textId="77777777" w:rsidR="004E6C70" w:rsidRPr="00D82419" w:rsidRDefault="004E6C70" w:rsidP="004E6C70">
      <w:pPr>
        <w:pStyle w:val="Heading2"/>
        <w:suppressAutoHyphens/>
      </w:pPr>
      <w:bookmarkStart w:id="0" w:name="_Toc264038394"/>
      <w:bookmarkStart w:id="1" w:name="_Toc360188317"/>
      <w:bookmarkStart w:id="2" w:name="_Toc473560865"/>
      <w:bookmarkStart w:id="3" w:name="_Toc188860604"/>
      <w:r>
        <w:lastRenderedPageBreak/>
        <w:t>PARTI I:</w:t>
      </w:r>
      <w:bookmarkEnd w:id="0"/>
      <w:r>
        <w:t xml:space="preserve"> STRUZZJONIJIET ĠENERALI</w:t>
      </w:r>
      <w:bookmarkEnd w:id="1"/>
      <w:bookmarkEnd w:id="2"/>
      <w:bookmarkEnd w:id="3"/>
    </w:p>
    <w:p w14:paraId="2CCB1719" w14:textId="77777777" w:rsidR="004E6C70" w:rsidRPr="00A6051C" w:rsidRDefault="004E6C70" w:rsidP="004E6C70">
      <w:pPr>
        <w:pStyle w:val="Instructionsberschrift2"/>
        <w:tabs>
          <w:tab w:val="left" w:pos="567"/>
        </w:tabs>
        <w:suppressAutoHyphens/>
        <w:ind w:left="0" w:firstLine="0"/>
        <w:rPr>
          <w:rFonts w:cs="Times New Roman"/>
          <w:b/>
          <w:bCs/>
          <w:sz w:val="24"/>
        </w:rPr>
      </w:pPr>
      <w:bookmarkStart w:id="4" w:name="_Toc360188319"/>
      <w:bookmarkStart w:id="5" w:name="_Toc473560867"/>
      <w:bookmarkStart w:id="6" w:name="_Toc188860605"/>
      <w:r>
        <w:rPr>
          <w:b/>
          <w:sz w:val="24"/>
        </w:rPr>
        <w:t>Struttura</w:t>
      </w:r>
      <w:bookmarkEnd w:id="4"/>
      <w:bookmarkEnd w:id="5"/>
      <w:bookmarkEnd w:id="6"/>
    </w:p>
    <w:p w14:paraId="0641F56C" w14:textId="77777777" w:rsidR="004E6C70" w:rsidRPr="00380E3B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</w:t>
      </w:r>
      <w:r>
        <w:rPr>
          <w:rFonts w:ascii="Times New Roman" w:hAnsi="Times New Roman"/>
          <w:sz w:val="24"/>
        </w:rPr>
        <w:tab/>
        <w:t>Dan l-Anness fih l-istruzzjonijiet għar-rapportar tal-formoli tar-Riskju taċ-Ċaqliq fir-Rata tal-Imgħax fil-Portafoll Bankarju (IRRBB, Interest Rate Risk in the Banking Book).</w:t>
      </w:r>
    </w:p>
    <w:p w14:paraId="2B70F3D2" w14:textId="77777777" w:rsidR="004E6C70" w:rsidRPr="00CB270D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</w:t>
      </w:r>
      <w:r>
        <w:rPr>
          <w:rFonts w:ascii="Times New Roman" w:hAnsi="Times New Roman"/>
          <w:sz w:val="24"/>
        </w:rPr>
        <w:tab/>
        <w:t>Dan l-Anness jikkonsisti f’ħames settijiet differenti ta’ formoli:</w:t>
      </w:r>
    </w:p>
    <w:p w14:paraId="274692FC" w14:textId="77777777" w:rsidR="004E6C70" w:rsidRPr="006154D7" w:rsidRDefault="004E6C70" w:rsidP="004E6C70">
      <w:pPr>
        <w:suppressAutoHyphens/>
        <w:ind w:left="567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(a)</w:t>
      </w:r>
      <w:r>
        <w:rPr>
          <w:rFonts w:ascii="Times New Roman" w:hAnsi="Times New Roman"/>
          <w:sz w:val="24"/>
        </w:rPr>
        <w:tab/>
        <w:t>l-evalwazzjoni tal-IRRBB: It-Testijiet Superviżorji tal-Anomaliji (SOT, Supervisory Outlier Tests) fuq il-Valur Ekonomiku tal-Ekwità (EVE, Economic Value of Equity) u fuq l-Introjtu mill-Imgħax Nett (NII, Net Interest Income) u l-bidliet fil-Valur tas-Suq (MV, Market Value) (J 01.00);</w:t>
      </w:r>
    </w:p>
    <w:p w14:paraId="5981A343" w14:textId="77777777" w:rsidR="004E6C70" w:rsidRPr="006154D7" w:rsidRDefault="004E6C70" w:rsidP="004E6C70">
      <w:pPr>
        <w:suppressAutoHyphens/>
        <w:ind w:left="567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(b)</w:t>
      </w:r>
      <w:r>
        <w:rPr>
          <w:rFonts w:ascii="Times New Roman" w:hAnsi="Times New Roman"/>
          <w:sz w:val="24"/>
        </w:rPr>
        <w:tab/>
        <w:t>id-diżaggregazzjoni tal-istimi tas-sensittività tal-IRRBB (J 02.00, J 03.00 u J 04.00);</w:t>
      </w:r>
    </w:p>
    <w:p w14:paraId="5D6139C0" w14:textId="77777777" w:rsidR="004E6C70" w:rsidRPr="006154D7" w:rsidRDefault="004E6C70" w:rsidP="004E6C70">
      <w:pPr>
        <w:suppressAutoHyphens/>
        <w:ind w:left="567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(c)</w:t>
      </w:r>
      <w:r>
        <w:rPr>
          <w:rFonts w:ascii="Times New Roman" w:hAnsi="Times New Roman"/>
          <w:sz w:val="24"/>
        </w:rPr>
        <w:tab/>
        <w:t>il-flussi tal-flus soġġetti għall-ipprezzar mill-ġdid tal-IRRBB (J 05.00, J 06.00 u J 07.00);</w:t>
      </w:r>
    </w:p>
    <w:p w14:paraId="75F1509D" w14:textId="77777777" w:rsidR="004E6C70" w:rsidRPr="006154D7" w:rsidRDefault="004E6C70" w:rsidP="004E6C70">
      <w:pPr>
        <w:suppressAutoHyphens/>
        <w:ind w:left="567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(d)</w:t>
      </w:r>
      <w:r>
        <w:rPr>
          <w:rFonts w:ascii="Times New Roman" w:hAnsi="Times New Roman"/>
          <w:sz w:val="24"/>
        </w:rPr>
        <w:tab/>
        <w:t xml:space="preserve">il-parametri rilevanti dwar l-immudellar komportamentali (J 08.00 u J 09.00); </w:t>
      </w:r>
    </w:p>
    <w:p w14:paraId="45AE9D62" w14:textId="77777777" w:rsidR="004E6C70" w:rsidRPr="006154D7" w:rsidRDefault="004E6C70" w:rsidP="004E6C70">
      <w:pPr>
        <w:suppressAutoHyphens/>
        <w:ind w:left="567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(e)</w:t>
      </w:r>
      <w:r>
        <w:rPr>
          <w:rFonts w:ascii="Times New Roman" w:hAnsi="Times New Roman"/>
          <w:sz w:val="24"/>
        </w:rPr>
        <w:tab/>
        <w:t>l-informazzjoni kwalitattiva (J 10.00 u J 11.00);</w:t>
      </w:r>
    </w:p>
    <w:p w14:paraId="56D8864D" w14:textId="77777777" w:rsidR="004E6C70" w:rsidRPr="006154D7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bookmarkStart w:id="7" w:name="_Toc360188320"/>
      <w:bookmarkStart w:id="8" w:name="_Toc473560868"/>
      <w:r>
        <w:rPr>
          <w:rFonts w:ascii="Times New Roman" w:hAnsi="Times New Roman"/>
          <w:sz w:val="24"/>
        </w:rPr>
        <w:t>1.3</w:t>
      </w:r>
      <w:r>
        <w:rPr>
          <w:rFonts w:ascii="Times New Roman" w:hAnsi="Times New Roman"/>
          <w:sz w:val="24"/>
        </w:rPr>
        <w:tab/>
        <w:t>Għal kull formola, huma pprovduti referenzi legali. Aktar informazzjoni dettaljata rigward aspetti aktar ġenerali tar-rapportar ta’ kull blokk ta’ formoli u l-istruzzjonijiet dwar pożizzjonijiet speċifiċi huma inklużi f’dan l-Anness.</w:t>
      </w:r>
    </w:p>
    <w:p w14:paraId="4BA51FAC" w14:textId="77777777" w:rsidR="004E6C70" w:rsidRPr="006154D7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1.4</w:t>
      </w:r>
      <w:r>
        <w:rPr>
          <w:rFonts w:ascii="Times New Roman" w:hAnsi="Times New Roman"/>
          <w:sz w:val="24"/>
        </w:rPr>
        <w:tab/>
        <w:t>L-istituzzjonijiet għandhom jirrapportaw il-formoli fil-munita ta’ rapportar, irrispettivament mid-denominazzjoni effettiva tal-assi, tal-obbligazzjonijiet u tal-entrati barra l-karta bilanċjali. Muniti għajr il-munita tar-rapportar għandhom jiġu kkonvertiti għall-munita tar-rapportar bir-rata ta ‘referenza FX tal-BĊE dakinhar tad-data ta’ referenza. L-istituzzjonijiet għandhom jirrapportaw b’mod separat il-formoli diżaggregati skont il-muniti korrispondenti f’konformità mar-Regolament Delegat tal-Kummissjoni (UE) …/… (OP jekk jogħġbok żid referenza għall-RTS fuq l-SOT).</w:t>
      </w:r>
      <w:bookmarkStart w:id="9" w:name="_@_8F13D57BB9CD4FF0A0FE7B37689B022CZ"/>
      <w:bookmarkEnd w:id="9"/>
    </w:p>
    <w:p w14:paraId="18BCF250" w14:textId="77777777" w:rsidR="004E6C70" w:rsidRPr="006154D7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1.5</w:t>
      </w:r>
      <w:r>
        <w:rPr>
          <w:rFonts w:ascii="Times New Roman" w:hAnsi="Times New Roman"/>
          <w:sz w:val="24"/>
        </w:rPr>
        <w:tab/>
        <w:t>F’konformità mal-Artikolu 3(2), il-punt (c), tar-Regolament Delegat (UE) …/… (OP jekk jogħġbok żid referenza għall-RTS fuq l-SOT), l-istituzzjonijiet għandhom jirriflettu l-għażliet awtomatiċi u komportamentali fil-kalkoli tagħhom, fejn applikabbli, ħlief f’każijiet fejn speċifikat mod ieħor.</w:t>
      </w:r>
    </w:p>
    <w:p w14:paraId="23A89EF6" w14:textId="77777777" w:rsidR="004E6C70" w:rsidRPr="003930DF" w:rsidRDefault="004E6C70" w:rsidP="004E6C70">
      <w:pPr>
        <w:pStyle w:val="Instructionsberschrift2"/>
        <w:tabs>
          <w:tab w:val="left" w:pos="567"/>
        </w:tabs>
        <w:suppressAutoHyphens/>
        <w:ind w:left="0" w:firstLine="0"/>
        <w:rPr>
          <w:rFonts w:cs="Times New Roman"/>
          <w:b/>
          <w:bCs/>
          <w:sz w:val="24"/>
        </w:rPr>
      </w:pPr>
      <w:bookmarkStart w:id="10" w:name="_Toc188860606"/>
      <w:r>
        <w:rPr>
          <w:b/>
          <w:sz w:val="24"/>
        </w:rPr>
        <w:t>Skop tar-rappurtar</w:t>
      </w:r>
      <w:bookmarkEnd w:id="10"/>
    </w:p>
    <w:p w14:paraId="16E70A2D" w14:textId="77777777" w:rsidR="004E6C70" w:rsidRPr="00CB270D" w:rsidRDefault="004E6C70" w:rsidP="004E6C70">
      <w:pPr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L-istituzzjonijiet għandhom jipprojettaw l-istimi tal-IRRBB tagħhom u jipprovdu informazzjoni dwar l-iskoperturi għar-rata tal-imgħax tagħhom li jirriżultaw minn pożizzjonijiet sensittivi għar-rata tal-imgħax fil-portafoll bankarju fl-ambitu tal-SOTs (l-Artikoli 3 u 4 tar-Regolament Delegat (UE) …/… (OP jekk jogħġbok żid referenza għall-RTS fuq l-SOT). B’mod partikolari, l-istituzzjonijiet għandhom jikkunsidraw l-istrumenti kollha f’konformità mal-Artikolu 4(2), il-punti (a) sa (f), u l-Artikolu 4(3), (4) u (5) tar-Regolament Delegat (UE) …/… (OP jekk jogħġbok żid referenza għall-RTS fuq l-SOT).</w:t>
      </w:r>
    </w:p>
    <w:p w14:paraId="387E2CC6" w14:textId="77777777" w:rsidR="004E6C70" w:rsidRPr="00845F8D" w:rsidRDefault="004E6C70" w:rsidP="004E6C70">
      <w:pPr>
        <w:pStyle w:val="Instructionsberschrift2"/>
        <w:tabs>
          <w:tab w:val="left" w:pos="567"/>
        </w:tabs>
        <w:suppressAutoHyphens/>
        <w:ind w:left="0" w:firstLine="0"/>
        <w:rPr>
          <w:rFonts w:cs="Times New Roman"/>
          <w:b/>
          <w:bCs/>
          <w:sz w:val="24"/>
        </w:rPr>
      </w:pPr>
      <w:bookmarkStart w:id="11" w:name="_Ref125115357"/>
      <w:bookmarkStart w:id="12" w:name="_Ref122265153"/>
      <w:bookmarkStart w:id="13" w:name="_Toc188860607"/>
      <w:r>
        <w:rPr>
          <w:b/>
          <w:sz w:val="24"/>
        </w:rPr>
        <w:t>Trattament ta’ strumenti b’rata fissa/varjabbli</w:t>
      </w:r>
      <w:bookmarkEnd w:id="11"/>
      <w:bookmarkEnd w:id="12"/>
      <w:bookmarkEnd w:id="13"/>
    </w:p>
    <w:p w14:paraId="5B888C42" w14:textId="77777777" w:rsidR="004E6C70" w:rsidRPr="00380E3B" w:rsidRDefault="004E6C70" w:rsidP="004E6C70">
      <w:pPr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Meta tintalab informazzjoni separata għal strumenti b’rata fissa jew varjabbli, għandhom japplikaw id-definizzjonijiet li ġejjin: </w:t>
      </w:r>
    </w:p>
    <w:p w14:paraId="2079A223" w14:textId="77777777" w:rsidR="004E6C70" w:rsidRPr="00380E3B" w:rsidRDefault="004E6C70" w:rsidP="004E6C70">
      <w:pPr>
        <w:suppressAutoHyphens/>
        <w:ind w:left="567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(a)</w:t>
      </w:r>
      <w:r>
        <w:rPr>
          <w:rFonts w:ascii="Times New Roman" w:hAnsi="Times New Roman"/>
          <w:sz w:val="24"/>
        </w:rPr>
        <w:tab/>
        <w:t>“strument b’rata fissa” tfisser “strument b’rata fissa” kif definit fl-Artikolu 1, il-punt (4), tar-Regolament Delegat tal-Kummissjoni (UE) …/… (OP jekk jogħġbok żid referenza għall-RTS fuq l-SA)</w:t>
      </w:r>
      <w:r w:rsidRPr="00380E3B">
        <w:rPr>
          <w:rFonts w:ascii="Times New Roman" w:eastAsia="Arial" w:hAnsi="Times New Roman"/>
          <w:sz w:val="24"/>
          <w:vertAlign w:val="superscript"/>
        </w:rPr>
        <w:footnoteReference w:id="1"/>
      </w:r>
      <w:r>
        <w:rPr>
          <w:rFonts w:ascii="Times New Roman" w:hAnsi="Times New Roman"/>
          <w:sz w:val="24"/>
        </w:rPr>
        <w:t>. Speċifikament:</w:t>
      </w:r>
    </w:p>
    <w:p w14:paraId="754DCA3D" w14:textId="77777777" w:rsidR="004E6C70" w:rsidRPr="00380E3B" w:rsidRDefault="004E6C70" w:rsidP="004E6C70">
      <w:pPr>
        <w:suppressAutoHyphens/>
        <w:ind w:left="1134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(i)</w:t>
      </w:r>
      <w:r>
        <w:rPr>
          <w:rFonts w:ascii="Times New Roman" w:hAnsi="Times New Roman"/>
          <w:sz w:val="24"/>
        </w:rPr>
        <w:tab/>
        <w:t>strumenti mingħajr maturità kuntrattwali speċifika (jiġifieri prodotti mingħajr maturità), li l-flussi ta’ flus tagħhom ta’ pagamenti tal-imgħax ma jkunux marbuta kuntrattwalment jew legalment ma’ movimenti ta’ parametru referenzjarju estern jew indiċi ġestit internament ta’ istituzzjoni, iżda minflok, ikunu fid-diskrezzjoni tal-istituzzjoni jew aġenzija tal-gvern;</w:t>
      </w:r>
    </w:p>
    <w:p w14:paraId="445488D6" w14:textId="77777777" w:rsidR="004E6C70" w:rsidRPr="00380E3B" w:rsidRDefault="004E6C70" w:rsidP="004E6C70">
      <w:pPr>
        <w:suppressAutoHyphens/>
        <w:ind w:left="1134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(ii)</w:t>
      </w:r>
      <w:r>
        <w:rPr>
          <w:rFonts w:ascii="Times New Roman" w:hAnsi="Times New Roman"/>
          <w:sz w:val="24"/>
        </w:rPr>
        <w:tab/>
        <w:t>strumenti b’maturità kuntrattwali speċifika, li l-flussi tal-flus tal-pagamenti tal-imgħax tagħhom ikunu fissi mill-bidu u sal-maturità tal-istrument, jew meta l-ipprezzar mill-ġdid kuntrattwali jkun ogħla minn sena; jew fejn bidliet fir-remunerazzjoni tagħha — fi kwalunkwe ħin matul il-ħajja tal-kuntratt — huma diskrezzjonali għall-istituzzjoni jew aġenzija tal-gvern.</w:t>
      </w:r>
    </w:p>
    <w:p w14:paraId="7A124B30" w14:textId="77777777" w:rsidR="004E6C70" w:rsidRPr="00380E3B" w:rsidRDefault="004E6C70" w:rsidP="004E6C70">
      <w:pPr>
        <w:suppressAutoHyphens/>
        <w:ind w:left="567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(b)</w:t>
      </w:r>
      <w:r>
        <w:rPr>
          <w:rFonts w:ascii="Times New Roman" w:hAnsi="Times New Roman"/>
          <w:sz w:val="24"/>
        </w:rPr>
        <w:tab/>
        <w:t>“strument b’rata varjabbli” tfisser “strument b’rata varjabbli” kif definit fl-Artikolu 1, il-punt (5), tar-Regolament Delegat (UE) …/… (OP jekk jogħġbok żid referenza għall-RTS fuq l-SA). Speċifikament:</w:t>
      </w:r>
    </w:p>
    <w:p w14:paraId="2ADB5B49" w14:textId="77777777" w:rsidR="004E6C70" w:rsidRPr="00380E3B" w:rsidRDefault="004E6C70" w:rsidP="004E6C70">
      <w:pPr>
        <w:suppressAutoHyphens/>
        <w:ind w:left="1134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(i)</w:t>
      </w:r>
      <w:r>
        <w:rPr>
          <w:rFonts w:ascii="Times New Roman" w:hAnsi="Times New Roman"/>
          <w:sz w:val="24"/>
        </w:rPr>
        <w:tab/>
        <w:t>strumenti mingħajr maturità kuntrattwali speċifika (jiġifieri prodotti mingħajr maturità), meta l-flussi ta’ flus tal-pagamenti tal-imgħax ma jkunux fid-diskrezzjoni tal-istituzzjoni jew aġenzija tal-gvern, iżda minflok ikunu marbuta kuntrattwalment jew legalment ma’ movimenti ta’ parametru referenzjarju estern jew indiċi ġestit internament ta’ istituzzjoni;</w:t>
      </w:r>
    </w:p>
    <w:p w14:paraId="3C49DA42" w14:textId="77777777" w:rsidR="004E6C70" w:rsidRPr="00380E3B" w:rsidRDefault="004E6C70" w:rsidP="004E6C70">
      <w:pPr>
        <w:suppressAutoHyphens/>
        <w:ind w:left="1134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(ii)</w:t>
      </w:r>
      <w:r>
        <w:rPr>
          <w:rFonts w:ascii="Times New Roman" w:hAnsi="Times New Roman"/>
          <w:sz w:val="24"/>
        </w:rPr>
        <w:tab/>
        <w:t>strumenti b’maturità kuntrattwali speċifika, li l-flussi tal-flus tal-pagamenti tal-imgħax tagħhom ma jkunux fissi mill-bidu u sal-maturità tal-istrument, meta l-ipprezzar mill-ġdid kuntrattwali tiegħu jkun inqas minn sena jew ugwali għal sena, u meta l-bidliet fir-remunerazzjoni tiegħu matul il-ħajja tal-kuntratt ma jkunux fid-diskrezzjoni tal-istituzzjoni jew ta’ aġenzija tal-gvern.</w:t>
      </w:r>
    </w:p>
    <w:p w14:paraId="7846EE8A" w14:textId="77777777" w:rsidR="004E6C70" w:rsidRPr="008917A8" w:rsidRDefault="004E6C70" w:rsidP="004E6C70">
      <w:pPr>
        <w:pStyle w:val="Instructionsberschrift2"/>
        <w:suppressAutoHyphens/>
        <w:ind w:left="0" w:firstLine="0"/>
        <w:rPr>
          <w:rFonts w:cs="Times New Roman"/>
          <w:b/>
          <w:bCs/>
          <w:sz w:val="24"/>
        </w:rPr>
      </w:pPr>
      <w:bookmarkStart w:id="14" w:name="_Toc188860608"/>
      <w:r>
        <w:rPr>
          <w:b/>
          <w:sz w:val="24"/>
        </w:rPr>
        <w:t>Trattament tal-opzjonijiet</w:t>
      </w:r>
      <w:bookmarkEnd w:id="14"/>
    </w:p>
    <w:p w14:paraId="543A18CC" w14:textId="77777777" w:rsidR="004E6C70" w:rsidRPr="005936C2" w:rsidRDefault="004E6C70" w:rsidP="004E6C70">
      <w:pPr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Meta tintalab informazzjoni separata dwar l-opzjonijiet, l-istituzzjonijiet għandhom jirrapportaw kif ġej:</w:t>
      </w:r>
    </w:p>
    <w:p w14:paraId="53D61CE7" w14:textId="77777777" w:rsidR="004E6C70" w:rsidRPr="005936C2" w:rsidRDefault="004E6C70" w:rsidP="004E6C70">
      <w:pPr>
        <w:suppressAutoHyphens/>
        <w:ind w:left="567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(a)</w:t>
      </w:r>
      <w:r>
        <w:rPr>
          <w:rFonts w:ascii="Times New Roman" w:hAnsi="Times New Roman"/>
          <w:sz w:val="24"/>
        </w:rPr>
        <w:tab/>
        <w:t>l-opzjonijiet inkorporati flimkien mal-istrument ospitanti rilevanti tagħhom;</w:t>
      </w:r>
    </w:p>
    <w:p w14:paraId="581FBF1B" w14:textId="77777777" w:rsidR="004E6C70" w:rsidRPr="005936C2" w:rsidRDefault="004E6C70" w:rsidP="004E6C70">
      <w:pPr>
        <w:suppressAutoHyphens/>
        <w:ind w:left="567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(b)</w:t>
      </w:r>
      <w:r>
        <w:rPr>
          <w:rFonts w:ascii="Times New Roman" w:hAnsi="Times New Roman"/>
          <w:sz w:val="24"/>
        </w:rPr>
        <w:tab/>
        <w:t>l-opzjonijiet espliċiti/awtonomi separatament minn kwalunkwe tip ieħor ta’ entrata fil-karta bilanċjali bħala strumenti derivattivi (jiġifieri għandhom jirrapportaw dawn l-opzjonijiet flimkien mal-entrata ħħeġġjata).</w:t>
      </w:r>
    </w:p>
    <w:p w14:paraId="54F34BF2" w14:textId="77777777" w:rsidR="004E6C70" w:rsidRPr="008917A8" w:rsidRDefault="004E6C70" w:rsidP="004E6C70">
      <w:pPr>
        <w:pStyle w:val="Instructionsberschrift2"/>
        <w:tabs>
          <w:tab w:val="left" w:pos="567"/>
        </w:tabs>
        <w:suppressAutoHyphens/>
        <w:ind w:left="0" w:firstLine="0"/>
        <w:rPr>
          <w:rFonts w:cs="Times New Roman"/>
          <w:b/>
          <w:bCs/>
          <w:sz w:val="24"/>
        </w:rPr>
      </w:pPr>
      <w:bookmarkStart w:id="15" w:name="_Toc264038399"/>
      <w:bookmarkStart w:id="16" w:name="_Toc294018834"/>
      <w:bookmarkStart w:id="17" w:name="_Toc360188321"/>
      <w:bookmarkStart w:id="18" w:name="_Toc473560869"/>
      <w:bookmarkStart w:id="19" w:name="_Toc188860609"/>
      <w:bookmarkEnd w:id="7"/>
      <w:bookmarkEnd w:id="8"/>
      <w:r>
        <w:rPr>
          <w:b/>
          <w:sz w:val="24"/>
        </w:rPr>
        <w:t>Konvenzjoni dwar is-simboli</w:t>
      </w:r>
      <w:bookmarkEnd w:id="15"/>
      <w:bookmarkEnd w:id="16"/>
      <w:bookmarkEnd w:id="17"/>
      <w:bookmarkEnd w:id="18"/>
      <w:bookmarkEnd w:id="19"/>
    </w:p>
    <w:p w14:paraId="14B5544A" w14:textId="77777777" w:rsidR="004E6C70" w:rsidRPr="005936C2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bookmarkStart w:id="20" w:name="_Hlk140593002"/>
      <w:r>
        <w:rPr>
          <w:rFonts w:ascii="Times New Roman" w:hAnsi="Times New Roman"/>
          <w:sz w:val="24"/>
        </w:rPr>
        <w:t>5.1</w:t>
      </w:r>
      <w:r>
        <w:rPr>
          <w:rFonts w:ascii="Times New Roman" w:hAnsi="Times New Roman"/>
          <w:sz w:val="24"/>
        </w:rPr>
        <w:tab/>
        <w:t>Ġeneralment, l-istituzzjonijiet għandhom jirrapportaw il-valuri b’mod pożittiv fil-formoli kollha. Iċ-ċifri espressi f’unitajiet monetarji li jirreferu għal-livell ta’ EVE, il-livell ta’ NII u l-livell MV għandhom b’mod ġenerali jiġu rrapportati bħala ċifra pożittiva, irrispettivament minn jekk jirreferux għal assi jew obbligazzjoni, għalkemm għandhom jiġu osservati eċċezzjonijiet: dan għandu jkun il-każ meta l-livell tal-NII jkun negattiv jekk l-</w:t>
      </w:r>
      <w:r>
        <w:rPr>
          <w:rFonts w:ascii="Times New Roman" w:hAnsi="Times New Roman"/>
          <w:sz w:val="24"/>
        </w:rPr>
        <w:lastRenderedPageBreak/>
        <w:t xml:space="preserve">ispejjeż tal-imgħax ikunu akbar mill-introjti tal-imgħax fix-xenarju bażi, jew fil-każ ta’ derivattivi fejn il-valuri nnettjati tal-komponenti tad-derivattivi jeħtieġ li jiġu rrapportati. </w:t>
      </w:r>
    </w:p>
    <w:bookmarkEnd w:id="20"/>
    <w:p w14:paraId="0B6F5867" w14:textId="77777777" w:rsidR="004E6C70" w:rsidRPr="005936C2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5.2</w:t>
      </w:r>
      <w:r>
        <w:rPr>
          <w:rFonts w:ascii="Times New Roman" w:hAnsi="Times New Roman"/>
          <w:sz w:val="24"/>
        </w:rPr>
        <w:tab/>
        <w:t>L-istituzzjonijiet għandhom jirrapportaw il-bidliet (Δ) tal-EVE, tal-NII u tal-MV b’valuri pożittivi jew negattivi, skont il-varjazzjoni. L-istituzzjonijiet għandhom jikkalkulaw il-Δ bħala d-differenza bejn l-EVE/NII/MV fix-xenarji ta’ xokk nieqes ix-xenarju ta’ referenza. Is-sensittivitajiet tal-EVE (u l-MV) ta’ assi speċifiku jew obbligazzjoni speċifika għandhom jiġu rrapportati bħala pożittivi jekk l-EVE (u l-MV) ta’ dan l-assi jew obbligazzjoni jiżdied f’xenarju speċifiku tar-rata tal-interess. Bl-istess mod, is-sensittivitajiet tal-NII ta’ assi speċifiku, jew obbligazzjoni speċifika, għandhom jiġu rrapportati bħala pożittivi meta l-introjtu mill-imgħax ta’ dan l-assi, jew l-ispiża tal-imgħax ta’ din l-obbligazzjoni, jiżdied f’xenarju konkret tar-rata tal-interess.</w:t>
      </w:r>
    </w:p>
    <w:p w14:paraId="499F1FC4" w14:textId="77777777" w:rsidR="004E6C70" w:rsidRPr="005936C2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5.3</w:t>
      </w:r>
      <w:r>
        <w:rPr>
          <w:rFonts w:ascii="Times New Roman" w:hAnsi="Times New Roman"/>
          <w:sz w:val="24"/>
        </w:rPr>
        <w:tab/>
        <w:t>Fil-punti tad-data relatati ma’ skoperturi nozzjonali jew ammonti riportati, tapplika l-istess regola, l-istituzzjonijiet għandhom jirrapportaw il-valuri b’mod pożittiv għall-assi u l-obbligazzjonijiet.</w:t>
      </w:r>
    </w:p>
    <w:p w14:paraId="78926C74" w14:textId="77777777" w:rsidR="004E6C70" w:rsidRPr="005936C2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5.4</w:t>
      </w:r>
      <w:r>
        <w:rPr>
          <w:rFonts w:ascii="Times New Roman" w:hAnsi="Times New Roman"/>
          <w:sz w:val="24"/>
        </w:rPr>
        <w:tab/>
        <w:t xml:space="preserve">L-istituzzjonijiet għandhom jirrapportaw il-parametri b’mod pożittiv irrispettivament minn jekk dawn il-parametri jirreferux għal assi jew obbligazzjoni, u irrispettivament minn jekk dawn il-parametri jżidux jew inaqqsux il-valur tal-metriċi tal-IRRBB. Jista’ jkun hemm xi każijiet ta’ eċċezzjoni fejn l-istituzzjonijiet jirrapportaw ċifri negattivi għall-parametri, inkluż ir-rendiment medju tal-assi/obbligazzjonijiet jekk l-aħħar risettjar tar-rata tal-imgħax kien ibbażat fuq ambjent negattiv tar-rata tal-imgħax tas-suq. </w:t>
      </w:r>
    </w:p>
    <w:p w14:paraId="24579E92" w14:textId="77777777" w:rsidR="004E6C70" w:rsidRPr="008270ED" w:rsidRDefault="004E6C70" w:rsidP="004E6C70">
      <w:pPr>
        <w:pStyle w:val="Instructionsberschrift2"/>
        <w:tabs>
          <w:tab w:val="left" w:pos="567"/>
        </w:tabs>
        <w:suppressAutoHyphens/>
        <w:ind w:left="0" w:firstLine="0"/>
        <w:rPr>
          <w:rFonts w:cs="Times New Roman"/>
          <w:b/>
          <w:bCs/>
          <w:sz w:val="24"/>
        </w:rPr>
      </w:pPr>
      <w:bookmarkStart w:id="21" w:name="_Toc188860610"/>
      <w:r>
        <w:rPr>
          <w:b/>
          <w:sz w:val="24"/>
        </w:rPr>
        <w:t>Taqsiriet</w:t>
      </w:r>
      <w:bookmarkEnd w:id="21"/>
    </w:p>
    <w:p w14:paraId="506B0767" w14:textId="77777777" w:rsidR="004E6C70" w:rsidRPr="00E00C16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Il-Valur Ekonomiku tal-Ekwità jissejjaħ “EVE”, l-Introjtu mill-Imgħax Nett jissejjaħ “NII”, il-Valur tas-Suq jissejjaħ “MV”, it-Test Superviżorju tal-Anomaliji jissejjaħ “SOT”, id-Depożiti mingħajr Maturità jissejħu “NMDs” u s-Sistema Interna ta’ Kejl tissejjaħ “IMS”, l-approċċ standardizzat jissejjaħ “SA”.</w:t>
      </w:r>
    </w:p>
    <w:p w14:paraId="3507D562" w14:textId="77777777" w:rsidR="004E6C70" w:rsidRPr="008270ED" w:rsidRDefault="004E6C70" w:rsidP="004E6C7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sz w:val="24"/>
        </w:rPr>
      </w:pPr>
      <w:bookmarkStart w:id="22" w:name="_Toc188860611"/>
      <w:r>
        <w:rPr>
          <w:b/>
          <w:sz w:val="24"/>
        </w:rPr>
        <w:t>7.</w:t>
      </w:r>
      <w:r>
        <w:rPr>
          <w:b/>
          <w:sz w:val="24"/>
        </w:rPr>
        <w:tab/>
        <w:t>Konvenzjonijiet oħra</w:t>
      </w:r>
      <w:bookmarkEnd w:id="22"/>
    </w:p>
    <w:p w14:paraId="0891D7B6" w14:textId="77777777" w:rsidR="004E6C70" w:rsidRPr="00E00C16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7.1</w:t>
      </w:r>
      <w:r>
        <w:rPr>
          <w:rFonts w:ascii="Times New Roman" w:hAnsi="Times New Roman"/>
          <w:sz w:val="24"/>
        </w:rPr>
        <w:tab/>
        <w:t>F’dan l-Anness, isiru referenzi għar-Regolament Delegat (UE) …/… (OP jekk jogħġbok żid referenza għall-RTS fuq l-SOT) jew “RTS fuq l-SOT” u r-Regolament Delegat (UE) …/... (OP jekk jogħġbok żid referenza għall-RTS fuq l-SA) jew “RTS fuq l-SA”. Meta t-test jirreferi għad-definizzjonijiet stipulati fir-Regolament Delegat (UE) …/… (OP jekk jogħġbok żid referenza għall-RTS fuq l-SA), dawn id-definizzjonijiet għandhom jiġu applikati għall-istituzzjonijiet kollha li jirrapportaw (u mhux biss għal dawk li japplikaw SA).</w:t>
      </w:r>
    </w:p>
    <w:p w14:paraId="5E0D230D" w14:textId="77777777" w:rsidR="004E6C70" w:rsidRPr="00E00C16" w:rsidRDefault="004E6C70" w:rsidP="004E6C70">
      <w:pPr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7.2</w:t>
      </w:r>
      <w:r>
        <w:rPr>
          <w:rFonts w:ascii="Times New Roman" w:hAnsi="Times New Roman"/>
          <w:sz w:val="24"/>
        </w:rPr>
        <w:tab/>
        <w:t>Id-definizzjonijiet stipulati fl-Artikolu 1 tar-Regolament Delegat (UE) …/… (OP żid referenza għall-RTS fuq l-SA) għandhom japplikaw għal dan l-Anness.</w:t>
      </w:r>
    </w:p>
    <w:p w14:paraId="3906A3EE" w14:textId="77777777" w:rsidR="004E6C70" w:rsidRPr="00D82419" w:rsidRDefault="004E6C70" w:rsidP="004E6C70">
      <w:pPr>
        <w:suppressAutoHyphens/>
        <w:spacing w:before="0" w:after="0"/>
        <w:jc w:val="left"/>
        <w:rPr>
          <w:rFonts w:ascii="Times New Roman" w:eastAsia="Arial" w:hAnsi="Times New Roman"/>
          <w:b/>
          <w:sz w:val="24"/>
        </w:rPr>
      </w:pPr>
      <w:bookmarkStart w:id="23" w:name="_Toc360188322"/>
      <w:bookmarkStart w:id="24" w:name="_Toc473560870"/>
      <w:r>
        <w:br w:type="page"/>
      </w:r>
    </w:p>
    <w:p w14:paraId="4ECBC51D" w14:textId="77777777" w:rsidR="004E6C70" w:rsidRPr="00D82419" w:rsidRDefault="004E6C70" w:rsidP="004E6C70">
      <w:pPr>
        <w:pStyle w:val="Heading2"/>
        <w:suppressAutoHyphens/>
      </w:pPr>
      <w:bookmarkStart w:id="25" w:name="_Toc188860612"/>
      <w:r>
        <w:lastRenderedPageBreak/>
        <w:t>PARTI II: EVALWAZZJONI TAL-IRRBB: L-SOT FUQ L-EVE/NII U L-BIDLIET TAL-MV</w:t>
      </w:r>
      <w:bookmarkEnd w:id="23"/>
      <w:bookmarkEnd w:id="24"/>
      <w:r>
        <w:t xml:space="preserve"> (J 01.00)</w:t>
      </w:r>
      <w:bookmarkEnd w:id="25"/>
    </w:p>
    <w:p w14:paraId="7A55D9B3" w14:textId="77777777" w:rsidR="004E6C70" w:rsidRPr="008270ED" w:rsidRDefault="004E6C70" w:rsidP="004E6C7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sz w:val="24"/>
        </w:rPr>
      </w:pPr>
      <w:bookmarkStart w:id="26" w:name="_Toc308175819"/>
      <w:bookmarkStart w:id="27" w:name="_Toc360188324"/>
      <w:bookmarkStart w:id="28" w:name="_Toc473560872"/>
      <w:bookmarkStart w:id="29" w:name="_Toc188860613"/>
      <w:r>
        <w:rPr>
          <w:b/>
          <w:sz w:val="24"/>
        </w:rPr>
        <w:t>1.</w:t>
      </w:r>
      <w:r>
        <w:rPr>
          <w:b/>
          <w:sz w:val="24"/>
        </w:rPr>
        <w:tab/>
        <w:t>Rimarki ġenerali</w:t>
      </w:r>
      <w:bookmarkEnd w:id="26"/>
      <w:bookmarkEnd w:id="27"/>
      <w:bookmarkEnd w:id="28"/>
      <w:bookmarkEnd w:id="29"/>
    </w:p>
    <w:p w14:paraId="4A8DA502" w14:textId="77777777" w:rsidR="004E6C70" w:rsidRPr="00E00C16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</w:t>
      </w:r>
      <w:r>
        <w:rPr>
          <w:rFonts w:ascii="Times New Roman" w:hAnsi="Times New Roman"/>
          <w:sz w:val="24"/>
        </w:rPr>
        <w:tab/>
        <w:t>Il-formola J 01.00 fiha l-livelli u l-bidliet tal-EVE (ΔEVE) u l-livelli u l-bidliet tal-NII (ΔNII), ikkalkolati kif stabbilit</w:t>
      </w:r>
      <w:bookmarkStart w:id="30" w:name="_Hlk148976351"/>
      <w:r>
        <w:rPr>
          <w:rFonts w:ascii="Times New Roman" w:hAnsi="Times New Roman"/>
          <w:sz w:val="24"/>
        </w:rPr>
        <w:t xml:space="preserve"> fir-Regolament Delegat (UE) …/… (OP jekk jogħġbok żid referenza </w:t>
      </w:r>
      <w:bookmarkEnd w:id="30"/>
      <w:r>
        <w:rPr>
          <w:rFonts w:ascii="Times New Roman" w:hAnsi="Times New Roman"/>
          <w:sz w:val="24"/>
        </w:rPr>
        <w:t xml:space="preserve">għall-RTS fuq l-SOT), kif ukoll il-livell u l-bidliet tal-MV, ikkalkolati skont il-kriterji tal-ġestjoni tar-riskju intern, b’kunsiderazzjoni ta’ medda ta’ żmien ta’ sena u suppożizzjoni ta’ karta bilanċjali kostanti. Fiha, fost l-oħrajn, id-daqs speċifikat tax-xokkijiet tar-rata tal-imgħax għall-muniti mhux imsemmija fil-Parti A tal-Anness tar-Regolament Delegat (UE) …/… (OP jekk jogħġbok żid referenza għall-RTS fuq l-SOT) u l-proporzjonijiet ta’ ΔEVE u ΔNII għall-Kapital tal-Grad 1 skont l-Artikolu 25 tar-Regolament (UE) Nru 575/2013, ΔEVE u ΔNII fl-agħar xenarji u l-livell tal-EVE u tal-NII fix-xenarju ta’ referenza kif ukoll ΔEVE, ΔNII u ΔMV taħt ċerti xenarji ta’ xokk tar-rata tal-imgħax regolatorji. </w:t>
      </w:r>
    </w:p>
    <w:p w14:paraId="370016AB" w14:textId="77777777" w:rsidR="004E6C70" w:rsidRPr="00E00C16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</w:t>
      </w:r>
      <w:r>
        <w:rPr>
          <w:rFonts w:ascii="Times New Roman" w:hAnsi="Times New Roman"/>
          <w:sz w:val="24"/>
        </w:rPr>
        <w:tab/>
        <w:t xml:space="preserve">Din il-formola għandha tiġi rrapportata b’mod separat għal kull munita inkluża fil-kalkolu tal-SOT f’konformità mal-Artikolu 1(3) u (4) tar-Regolament Delegat (UE) …/… (OP jekk jogħġbok żid referenza għall-RTS fuq l-SOT), kif ukoll għall-aggregat tal-muniti kollha li għalihom japplika l-Artikolu 1(4) ta’ dak ir-Regolament Delegat. Meta jiġu kkalkolati l-bidliet aggregati (għall-muniti kollha) għal kull xenarju ta’ xokk tar-rata tal-imgħax, għandu japplika l-Artikolu 3(8) tar-Regolament Delegat (UE) …/… (OP jekk jogħġbok żid referenza għall-RTS fuq l-SOT). </w:t>
      </w:r>
    </w:p>
    <w:p w14:paraId="197268E7" w14:textId="77777777" w:rsidR="004E6C70" w:rsidRPr="008270ED" w:rsidRDefault="004E6C70" w:rsidP="004E6C7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sz w:val="24"/>
        </w:rPr>
      </w:pPr>
      <w:bookmarkStart w:id="31" w:name="_Toc120119047"/>
      <w:bookmarkStart w:id="32" w:name="_Toc120185008"/>
      <w:bookmarkStart w:id="33" w:name="_Toc120119048"/>
      <w:bookmarkStart w:id="34" w:name="_Toc120185009"/>
      <w:bookmarkStart w:id="35" w:name="_Toc117022065"/>
      <w:bookmarkStart w:id="36" w:name="_Toc119940195"/>
      <w:bookmarkStart w:id="37" w:name="_Toc120119049"/>
      <w:bookmarkStart w:id="38" w:name="_Toc120185010"/>
      <w:bookmarkStart w:id="39" w:name="_Toc308175821"/>
      <w:bookmarkStart w:id="40" w:name="_Toc310414968"/>
      <w:bookmarkStart w:id="41" w:name="_Toc360188326"/>
      <w:bookmarkStart w:id="42" w:name="_Toc473560874"/>
      <w:bookmarkStart w:id="43" w:name="_Toc188860614"/>
      <w:bookmarkEnd w:id="31"/>
      <w:bookmarkEnd w:id="32"/>
      <w:bookmarkEnd w:id="33"/>
      <w:bookmarkEnd w:id="34"/>
      <w:bookmarkEnd w:id="35"/>
      <w:bookmarkEnd w:id="36"/>
      <w:bookmarkEnd w:id="37"/>
      <w:bookmarkEnd w:id="38"/>
      <w:r>
        <w:rPr>
          <w:b/>
          <w:sz w:val="24"/>
        </w:rPr>
        <w:t>2.</w:t>
      </w:r>
      <w:r>
        <w:rPr>
          <w:b/>
          <w:sz w:val="24"/>
        </w:rPr>
        <w:tab/>
        <w:t>Struzzjonijiet li jikkonċernaw</w:t>
      </w:r>
      <w:bookmarkEnd w:id="39"/>
      <w:bookmarkEnd w:id="40"/>
      <w:r>
        <w:t xml:space="preserve"> </w:t>
      </w:r>
      <w:r>
        <w:rPr>
          <w:b/>
          <w:sz w:val="24"/>
        </w:rPr>
        <w:t>pożizzjonijiet speċifiċi</w:t>
      </w:r>
      <w:bookmarkEnd w:id="41"/>
      <w:bookmarkEnd w:id="42"/>
      <w:bookmarkEnd w:id="4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C70" w:rsidRPr="00D82419" w14:paraId="13F8CAA7" w14:textId="77777777" w:rsidTr="00E73145">
        <w:tc>
          <w:tcPr>
            <w:tcW w:w="1129" w:type="dxa"/>
            <w:shd w:val="clear" w:color="auto" w:fill="D9D9D9" w:themeFill="background1" w:themeFillShade="D9"/>
          </w:tcPr>
          <w:p w14:paraId="552F2408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eastAsia="Arial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0C863701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4E6C70" w:rsidRPr="00D82419" w14:paraId="350A290B" w14:textId="77777777" w:rsidTr="00E73145">
        <w:tc>
          <w:tcPr>
            <w:tcW w:w="1129" w:type="dxa"/>
          </w:tcPr>
          <w:p w14:paraId="4A831F5E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0010-0090</w:t>
            </w:r>
          </w:p>
        </w:tc>
        <w:tc>
          <w:tcPr>
            <w:tcW w:w="7620" w:type="dxa"/>
          </w:tcPr>
          <w:p w14:paraId="2357238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ekonomiku tal-ekwità</w:t>
            </w:r>
          </w:p>
          <w:p w14:paraId="60FBC03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L-istimi tal-EVE kkalkolati f’konformità mal-</w:t>
            </w:r>
            <w:r>
              <w:t>Artikolu 98(5), il-punt (a), tad-Direttiva 2013/36/UE u l-Artikolu 1 sa 3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RTS fuq l-SOT).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Fir-rigward tas-suppożizzjonijiet ta’ mmudellar u parametriċi li mhumiex speċifikati fl-Artikolu 3 ta’ dak ir-Regolament Delegat, l-istituzzjonijiet għandhom jużaw dawk is-suppożizzjonijiet li japplikaw fil-kejl u l-ġestjoni tal-IRRBB tagħhom, jiġifieri l-metodoloġiji interni tal-kejl tagħhom, l-approċċ standardizzat jew l-approċċ standardizzat simplifikat, kif applikabbli. </w:t>
            </w:r>
          </w:p>
        </w:tc>
      </w:tr>
      <w:tr w:rsidR="004E6C70" w:rsidRPr="00D82419" w14:paraId="0782F323" w14:textId="77777777" w:rsidTr="00E73145">
        <w:tc>
          <w:tcPr>
            <w:tcW w:w="1129" w:type="dxa"/>
          </w:tcPr>
          <w:p w14:paraId="61D558C5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50BB6C3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 EVE fl-agħar xenarju</w:t>
            </w:r>
          </w:p>
          <w:p w14:paraId="41341E8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Il-bidla tal-EVE fix-xenarji ta’ xokkijiet superviżorji msemmija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fl-Artikolu 1(1) tar-Regolament Delegat (UE) …/… (OP jekk jogħġbok żid referenza għall-RTS fuq l-SOT) li tikkawża l-akbar tnaqqis tal-EVE. L-agħar eżitu mill-valuri fir-ringieli 0040 sa 0090 għandu jiġi rrapportat f’din ir-ringiela.</w:t>
            </w:r>
          </w:p>
        </w:tc>
      </w:tr>
      <w:tr w:rsidR="004E6C70" w:rsidRPr="00D82419" w14:paraId="36B3BC57" w14:textId="77777777" w:rsidTr="00E73145">
        <w:tc>
          <w:tcPr>
            <w:tcW w:w="1129" w:type="dxa"/>
          </w:tcPr>
          <w:p w14:paraId="45B6490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7D1B632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 Il-proporzjon tal-EVE fl-agħar xenarju</w:t>
            </w:r>
          </w:p>
          <w:p w14:paraId="1EB8E84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Il-proporzjon tal-valur irrapportat fir-ringiela 0010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għall-kapital tal-Grad 1 iddeterminat f’konformità mal-Artikolu 25 </w:t>
            </w:r>
            <w: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4E6C70" w:rsidRPr="00D82419" w14:paraId="1CF48434" w14:textId="77777777" w:rsidTr="00E73145">
        <w:tc>
          <w:tcPr>
            <w:tcW w:w="1129" w:type="dxa"/>
          </w:tcPr>
          <w:p w14:paraId="284D399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0030- 0090</w:t>
            </w:r>
          </w:p>
        </w:tc>
        <w:tc>
          <w:tcPr>
            <w:tcW w:w="7620" w:type="dxa"/>
          </w:tcPr>
          <w:p w14:paraId="35A608A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L-EVE f’xenarji ta’ referenza u ta’ xokkijiet superviżorji</w:t>
            </w:r>
          </w:p>
          <w:p w14:paraId="3DA5CE9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Il-livell tal-EVE fix-xenarju ta’ referenza u l-bidliet tal-EVE (jiġifieri Δ EVE) fix-xenarji ta’ xokkijiet superviżorji msemmija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fl-Artikolu 1(1)</w:t>
            </w:r>
            <w:r>
              <w:t xml:space="preserve"> tar-Regolament Delegat (UE) …/… (OP jekk jogħġbok żid referenza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għall-RTS fuq l-SOT). </w:t>
            </w:r>
          </w:p>
        </w:tc>
      </w:tr>
      <w:tr w:rsidR="004E6C70" w:rsidRPr="00D82419" w14:paraId="0A305040" w14:textId="77777777" w:rsidTr="00E73145">
        <w:tc>
          <w:tcPr>
            <w:tcW w:w="1129" w:type="dxa"/>
          </w:tcPr>
          <w:p w14:paraId="6B807B95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14:paraId="3B11E1E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Il-livell tal-EVE f’xenarju ta’ referenza</w:t>
            </w:r>
          </w:p>
          <w:p w14:paraId="38149F4E" w14:textId="77777777" w:rsidR="004E6C70" w:rsidRPr="00D82419" w:rsidDel="00D1769D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Il-livell tal-EVE fix-xenarji ta’ referenza tar-rati tal-imgħax tad-data ta’ referenza.</w:t>
            </w:r>
          </w:p>
        </w:tc>
      </w:tr>
      <w:tr w:rsidR="004E6C70" w:rsidRPr="00D82419" w14:paraId="64B8A94E" w14:textId="77777777" w:rsidTr="00E73145">
        <w:tc>
          <w:tcPr>
            <w:tcW w:w="1129" w:type="dxa"/>
          </w:tcPr>
          <w:p w14:paraId="7A8363B7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</w:tcPr>
          <w:p w14:paraId="1D9553B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 EVE taħt xokk parallel ’il fuq</w:t>
            </w:r>
          </w:p>
          <w:p w14:paraId="04B9BDF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Il-bidla tal-EVE fix-xenarju ta’ “xokk parallel ’il fuq” imsemmi fl-Artikolu 1(1), il-punt (a),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4E6C70" w:rsidRPr="00D82419" w14:paraId="56DB993F" w14:textId="77777777" w:rsidTr="00E73145">
        <w:tc>
          <w:tcPr>
            <w:tcW w:w="1129" w:type="dxa"/>
          </w:tcPr>
          <w:p w14:paraId="1B43FE9D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</w:tcPr>
          <w:p w14:paraId="1A8B886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 EVE taħt xokk parallel ’l isfel</w:t>
            </w:r>
          </w:p>
          <w:p w14:paraId="75FBC5A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Il-bidla tal-EVE fix-xenarju ta’ “xokk parallel ’l isfel” imsemmi fl-Artikolu 1(1), il-punt (b), u l-Artikolu 2 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tar-Regolament Delegat (UE) …/… (OP jekk jogħġbok żid referenza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għall-RTS fuq l-SOT)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4E6C70" w:rsidRPr="00D82419" w14:paraId="460775A9" w14:textId="77777777" w:rsidTr="00E73145">
        <w:tc>
          <w:tcPr>
            <w:tcW w:w="1129" w:type="dxa"/>
          </w:tcPr>
          <w:p w14:paraId="4192FB9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</w:tcPr>
          <w:p w14:paraId="3ECB042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 EVE taħt xokk ta’ żieda fil-kurva tar-rendiment</w:t>
            </w:r>
          </w:p>
          <w:p w14:paraId="0D6A673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Il-bidla tal-EVE fix-xenarju ta’ “xokk ta’ żieda fil-kurva tar-rendiment” imsemmi fl-Artikolu 1(1), il-punt (c), u l-Artikolu 2 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tar- Regolament Delegat (UE) …/… (OP jekk jogħġbok żid referenza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għall-RTS fuq l-SOT)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4E6C70" w:rsidRPr="00D82419" w14:paraId="47CE3522" w14:textId="77777777" w:rsidTr="00E73145">
        <w:tc>
          <w:tcPr>
            <w:tcW w:w="1129" w:type="dxa"/>
          </w:tcPr>
          <w:p w14:paraId="2739C0D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</w:tcPr>
          <w:p w14:paraId="6DA6E565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 EVE taħt xokk ta’ tnaqqis fil-kurva tar-rendiment</w:t>
            </w:r>
          </w:p>
          <w:p w14:paraId="36BB3AD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Il-bidla tal-EVE fix-xenarju ta’ “xokk ta’ tnaqqis fil-kurva tar-rendiment” imsemmi fl-Artikolu 1(1), il-punt (d),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4E6C70" w:rsidRPr="00D82419" w14:paraId="564058A0" w14:textId="77777777" w:rsidTr="00E73145">
        <w:tc>
          <w:tcPr>
            <w:tcW w:w="1129" w:type="dxa"/>
          </w:tcPr>
          <w:p w14:paraId="4CD9351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</w:tcPr>
          <w:p w14:paraId="43D58D3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 EVE taħt xokk ’il fuq qasir tar-rati</w:t>
            </w:r>
          </w:p>
          <w:p w14:paraId="7298429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Il-bidla tal-EVE fix-xenarju ta’ “xokk ’il fuq qasir tar-rati” msemmi fl-Artikolu 1(1), il-punt (e),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4E6C70" w:rsidRPr="00D82419" w14:paraId="77E1B2B4" w14:textId="77777777" w:rsidTr="00E73145">
        <w:tc>
          <w:tcPr>
            <w:tcW w:w="1129" w:type="dxa"/>
          </w:tcPr>
          <w:p w14:paraId="7D94D90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</w:tcPr>
          <w:p w14:paraId="5255BDE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 EVE taħt xokk ’l isfel qasir tar-rati</w:t>
            </w:r>
          </w:p>
          <w:p w14:paraId="3E6305C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Il-bidla tal-EVE fix-xenarju ta’ “xokk ’l isfel qasir tar-rati” msemmi fl-Artikolu 1(1), il-punt (f), u l-Artikolu 2 tar-Regolament Delegat (UE) …/… (OP jekk jogħġbok żid referenza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għall-RTS fuq l-SOT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).</w:t>
            </w:r>
          </w:p>
        </w:tc>
      </w:tr>
      <w:tr w:rsidR="004E6C70" w:rsidRPr="00D82419" w14:paraId="5906F3CA" w14:textId="77777777" w:rsidTr="00E73145">
        <w:tc>
          <w:tcPr>
            <w:tcW w:w="1129" w:type="dxa"/>
          </w:tcPr>
          <w:p w14:paraId="2891968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0100- 0140</w:t>
            </w:r>
          </w:p>
        </w:tc>
        <w:tc>
          <w:tcPr>
            <w:tcW w:w="7620" w:type="dxa"/>
          </w:tcPr>
          <w:p w14:paraId="7449A67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Introjtu mill-imgħax nett</w:t>
            </w:r>
          </w:p>
          <w:p w14:paraId="48841E1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L-NII kif imsemmi</w:t>
            </w:r>
            <w:r>
              <w:t xml:space="preserve"> fl-Artikolu 98(5), il-punt (b), tad-Direttiva 2013/36/UE u speċifikat fl-Artikolu 4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RTS fuq l-SOT)</w:t>
            </w:r>
            <w:r>
              <w:t>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Fir-rigward tas-suppożizzjonijiet ta’ mmudellar u parametriċi li mhumiex speċifikati fl-Artikolu 4 ta’ dak ir-Regolament Delegat, l-istituzzjonijiet għandhom jużaw dawk is-suppożizzjonijiet li japplikaw fil-kejl u l-ġestjoni tal-IRRBB tagħhom, jiġifieri l-metodoloġiji interni tal-kejl tagħhom, l-approċċ standardizzat jew l-approċċ standardizzat simplifikat, kif applikabbli.</w:t>
            </w:r>
          </w:p>
          <w:p w14:paraId="0F84142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L-istituzzjonijiet għandhom jikkunsidraw it-trattament kontabilistiku tal-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ħeġġijiet (jiġifieri kontabilità għall-iħħeġġjar) u ma għandhomx jinkludu l-effetti tal-entrati msemmija fl-Artikolu 33(1), il-punt (a), tar-</w:t>
            </w:r>
            <w:r>
              <w:t>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4E6C70" w:rsidRPr="00D82419" w14:paraId="576E631E" w14:textId="77777777" w:rsidTr="00E73145">
        <w:tc>
          <w:tcPr>
            <w:tcW w:w="1129" w:type="dxa"/>
          </w:tcPr>
          <w:p w14:paraId="7AC3665E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7620" w:type="dxa"/>
          </w:tcPr>
          <w:p w14:paraId="353B2A1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 NII fl-agħar xenarju</w:t>
            </w:r>
          </w:p>
          <w:p w14:paraId="39CBB86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Il-bidla tal-NII ta’ sena fix-xenarji ta’ xokkijiet superviżorji msemmija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fl-Artikolu 1(2) tar-Regolament Delegat (UE) …/… (OP jekk jogħġbok żid referenza għall-RTS fuq l-SOT) li tikkawża l-akbar tnaqqis tal-NII.</w:t>
            </w:r>
            <w:r>
              <w:rPr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L-agħar eżitu mill-valuri fir-ringiel</w:t>
            </w:r>
            <w:r>
              <w:t xml:space="preserve">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 sa 0140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jiġi rrapportat f’din ir-ringiela.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</w:tc>
      </w:tr>
      <w:tr w:rsidR="004E6C70" w:rsidRPr="00D82419" w14:paraId="0C2280EE" w14:textId="77777777" w:rsidTr="00E73145">
        <w:tc>
          <w:tcPr>
            <w:tcW w:w="1129" w:type="dxa"/>
          </w:tcPr>
          <w:p w14:paraId="40DD60F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</w:tcPr>
          <w:p w14:paraId="07DDF99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 Il-proporzjon tal-NII fl-agħar xenarju</w:t>
            </w:r>
          </w:p>
          <w:p w14:paraId="69BCD41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Il-proporzjon tal-valur irrapportat fir-ringiela 0100, għall-kapital tal-Grad 1</w:t>
            </w:r>
            <w:r>
              <w:t xml:space="preserve"> iddeterminat f’konformità mal-Artikolu 25 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4E6C70" w:rsidRPr="00D82419" w14:paraId="0B48673A" w14:textId="77777777" w:rsidTr="00E73145">
        <w:tc>
          <w:tcPr>
            <w:tcW w:w="1129" w:type="dxa"/>
          </w:tcPr>
          <w:p w14:paraId="22B8F1D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0120- 0140</w:t>
            </w:r>
          </w:p>
        </w:tc>
        <w:tc>
          <w:tcPr>
            <w:tcW w:w="7620" w:type="dxa"/>
          </w:tcPr>
          <w:p w14:paraId="2C23AF7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L-NII f’xenarji ta’ referenza u ta’ xokkijiet superviżorji</w:t>
            </w:r>
          </w:p>
          <w:p w14:paraId="700F053A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Il-livell tal-NII fix-xenarju ta’ referenza u Δ NII fix-xenarji ta’ xokkijiet superviżorji msemmija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fl-Artikolu 1(2) tar-Regolament Delegat (UE) …/… (OP jekk jogħġbok żid referenza għall-RTS fuq l-SOT).</w:t>
            </w:r>
          </w:p>
        </w:tc>
      </w:tr>
      <w:tr w:rsidR="004E6C70" w:rsidRPr="00D82419" w14:paraId="2C7F7FCA" w14:textId="77777777" w:rsidTr="00E73145">
        <w:tc>
          <w:tcPr>
            <w:tcW w:w="1129" w:type="dxa"/>
          </w:tcPr>
          <w:p w14:paraId="73ACD7E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</w:tcPr>
          <w:p w14:paraId="48E4F10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Il-livell tal-NII f’xenarju ta’ referenza </w:t>
            </w:r>
          </w:p>
          <w:p w14:paraId="120031B4" w14:textId="77777777" w:rsidR="004E6C70" w:rsidRPr="00D82419" w:rsidDel="008C1F5D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Il-livell tal-NII fix-xenarju ta’ referenza tar-rati tal-imgħax mid-data ta’ referenza.</w:t>
            </w:r>
          </w:p>
        </w:tc>
      </w:tr>
      <w:tr w:rsidR="004E6C70" w:rsidRPr="00D82419" w14:paraId="44D19517" w14:textId="77777777" w:rsidTr="00E73145">
        <w:tc>
          <w:tcPr>
            <w:tcW w:w="1129" w:type="dxa"/>
          </w:tcPr>
          <w:p w14:paraId="3256211B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620" w:type="dxa"/>
          </w:tcPr>
          <w:p w14:paraId="2D40CF8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∆NII taħt xokk parallel ’il fuq</w:t>
            </w:r>
          </w:p>
          <w:p w14:paraId="2A66CCF5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Il-bidla tal-NII fix-xenarju ta’ “xokk parallel ’il fuq” imsemmi fl-Artikolu 1(2), il-punt (a),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4E6C70" w:rsidRPr="00D82419" w14:paraId="3DE2A312" w14:textId="77777777" w:rsidTr="00E73145">
        <w:tc>
          <w:tcPr>
            <w:tcW w:w="1129" w:type="dxa"/>
          </w:tcPr>
          <w:p w14:paraId="3751752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</w:tcPr>
          <w:p w14:paraId="4B079B2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∆NII taħt xokk parallel ’l isfel</w:t>
            </w:r>
          </w:p>
          <w:p w14:paraId="7DD70B8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Il-bidla tal-NII fix-xenarju ta’ “xokk parallel ’l isfel” imsemmi fl-Artikolu 1(2), il-punt (b), u l-Artikolu 2 tar-Regolament Delegat (UE) …/… (OP jekk jogħġbok żid referenza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għall-RTS fuq l-SOT).</w:t>
            </w:r>
          </w:p>
        </w:tc>
      </w:tr>
      <w:tr w:rsidR="004E6C70" w:rsidRPr="00D82419" w14:paraId="5528B70E" w14:textId="77777777" w:rsidTr="00E73145">
        <w:tc>
          <w:tcPr>
            <w:tcW w:w="1129" w:type="dxa"/>
          </w:tcPr>
          <w:p w14:paraId="3A96BFC8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0150- 0170</w:t>
            </w:r>
          </w:p>
        </w:tc>
        <w:tc>
          <w:tcPr>
            <w:tcW w:w="7620" w:type="dxa"/>
          </w:tcPr>
          <w:p w14:paraId="4448381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Bidliet fil-valur tas-suq tal-IMS</w:t>
            </w:r>
          </w:p>
          <w:p w14:paraId="219DB64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L-MV f’xenarji ta’ referenza u ta’ xokkijiet superviżorji</w:t>
            </w:r>
          </w:p>
          <w:p w14:paraId="3A66CAC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Tbassiriet tal-bidliet tal-MV (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∆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MV) tal-ammont riportat fuq medda ta’ sena taħt l-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∆</w:t>
            </w:r>
            <w:r>
              <w:t xml:space="preserve">MV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għandhom jintwerew jew fil-kont tal-qligħ u t-telf jew direttament fl-ekwità (bħal pereżempju permezz ta’ introjtu ieħor komprensiv). L-istituzzjonijiet għandhom jirrapportaw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∆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MV netti mill-effett tal-ħeġġijiet kontabilistiċi (jiġifieri, il-kontabilità għall-iħħeġġjar) u għandhom jinjoraw l-effetti tal-entrati msemmija fl-Artikolu 33(1), il-punt (a), tar-</w:t>
            </w:r>
            <w:r>
              <w:t xml:space="preserve">Regolament (UE) Nru 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(komponent effettiv tad-derivattivi għall-kontabilità għall-iħħeġġjar tal-flussi tal-flus li jiħħeġġjaw l-entrati tal-kost amortizzat).</w:t>
            </w:r>
          </w:p>
          <w:p w14:paraId="147D762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jużaw il-previżjonijiet ta’ ∆MV skont l-IMS tal-IRRBB tal-istituzzjoni jew, fejn applikabbli, l-Artikolu 22 tar-Regolament Delegat (UE) …/… (OP jekk jogħġbok żid referenza għall-RTS fuq l-SA), għax-xenarji ta’ xokkijiet superviżorji msemmija fl-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Artikolu 1(2) tar-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Regolament Delegat (UE)…/… (OP jekk jogħġbok żid referenza għall-RTS fuq l-SOT). </w:t>
            </w:r>
          </w:p>
          <w:p w14:paraId="2C2B864C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Id-daqs u l-kompożizzjoni totali tal-ammont li l-valur tiegħu huwa sensittiv għal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∆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MV għandhom jinżammu billi strumenti li jimmaturaw jiġu sostitwiti bi strumenti ġodda li jkollhom karatteristiċi komparabbli (inklużi l-munita u l-ammont nominali tal-istrumenti).</w:t>
            </w:r>
          </w:p>
          <w:p w14:paraId="1CCBE54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L-istimi tar-riskju, li minnhom jiġu derivati l-parametri rilevanti, għandhom ikunu ekwivalenti għal dawk użati għall-kalkolu tal-SOT, inkluż, fejn applikabbli, l-immudellar komportamentali u</w:t>
            </w:r>
            <w:r>
              <w:t xml:space="preserve"> l-opzjonalità awtomatika.</w:t>
            </w:r>
          </w:p>
        </w:tc>
      </w:tr>
      <w:tr w:rsidR="004E6C70" w:rsidRPr="00D82419" w:rsidDel="008E0D48" w14:paraId="5175F424" w14:textId="77777777" w:rsidTr="00E73145">
        <w:tc>
          <w:tcPr>
            <w:tcW w:w="1129" w:type="dxa"/>
          </w:tcPr>
          <w:p w14:paraId="1603662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0150</w:t>
            </w:r>
          </w:p>
        </w:tc>
        <w:tc>
          <w:tcPr>
            <w:tcW w:w="7620" w:type="dxa"/>
          </w:tcPr>
          <w:p w14:paraId="1B71FC3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Il-livell tal-MV f’xenarju ta’ referenza </w:t>
            </w:r>
          </w:p>
          <w:p w14:paraId="7EE5D053" w14:textId="77777777" w:rsidR="004E6C70" w:rsidRPr="00D82419" w:rsidDel="008C1F5D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Il-livell tal-MV fix-xenarju ta’ referenza tar-rati tal-imgħax mid-data ta’ referenza.</w:t>
            </w:r>
          </w:p>
        </w:tc>
      </w:tr>
      <w:tr w:rsidR="004E6C70" w:rsidRPr="00D82419" w14:paraId="244614D9" w14:textId="77777777" w:rsidTr="00E73145">
        <w:tc>
          <w:tcPr>
            <w:tcW w:w="1129" w:type="dxa"/>
          </w:tcPr>
          <w:p w14:paraId="3523E9D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620" w:type="dxa"/>
          </w:tcPr>
          <w:p w14:paraId="3DCD9725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∆MV taħt xokk parallel ’il fuq</w:t>
            </w:r>
          </w:p>
          <w:p w14:paraId="132C445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Il-bidla tal-MV fix-xenarju ta’ “xokk parallel ’il fuq” imsemmi fl-Artikolu 1(2), il-punt (a),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4E6C70" w:rsidRPr="00D82419" w14:paraId="5B0A749B" w14:textId="77777777" w:rsidTr="00E73145">
        <w:tc>
          <w:tcPr>
            <w:tcW w:w="1129" w:type="dxa"/>
          </w:tcPr>
          <w:p w14:paraId="2F9A838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highlight w:val="yellow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620" w:type="dxa"/>
          </w:tcPr>
          <w:p w14:paraId="55B3A7F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∆MV taħt xokk parallel ’l isfel</w:t>
            </w:r>
          </w:p>
          <w:p w14:paraId="683F2F6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highlight w:val="yellow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Il-bidla tal-MV fix-xenarju ta’ “xokk parallel ’l isfel” imsemmi fl-Artikolu 1(2), il-punt (b),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4E6C70" w:rsidRPr="00D82419" w14:paraId="426D9CE4" w14:textId="77777777" w:rsidTr="00E73145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579E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0180-0200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252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Muniti oħrajn: Id-daqs tax-xokkijiet tar-rati tal-imgħax</w:t>
            </w:r>
          </w:p>
          <w:p w14:paraId="07BC6ACB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Il-Parti B tal-Anness tar-Regolament Delegat (UE) …/… (OP jekk jogħġbok żid referenza għall-RTS fuq l-SOT).</w:t>
            </w:r>
          </w:p>
          <w:p w14:paraId="6259998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Ix-xokkijiet tar-rata tal-imgħax għall-muniti kkalibrati f’konformità mal-Parti B tal-Anness tar-Regolament Delegat (UE) …/… (OP jekk jogħġbok żid referenza għall-RTS fuq l-SOT) u l-Artikolu 2 ta’ dak ir-Regolament Delegat. Id-daqs tax-xokkijiet tar-rata tal-imgħax għandu jiġi rrapportat f’punti bażi u f’valur assolut. Id-daqs tax-xokk jirrappreżenta d-differenza (Δ</w:t>
            </w:r>
            <w:r>
              <w:rPr>
                <w:rStyle w:val="FormatvorlageInstructionsTabelleText"/>
                <w:rFonts w:ascii="Cambria Math" w:hAnsi="Cambria Math"/>
                <w:sz w:val="24"/>
              </w:rPr>
              <w:t>𝑅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 fir-rigward tar-rata tal-imgħax mingħajr riskju.</w:t>
            </w:r>
          </w:p>
          <w:p w14:paraId="2262C6B4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highlight w:val="yellow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Dawn ir-ringieli ma għandhomx ikunu rrapportati għall-muniti msemmija fil-Parti A tal-Anness tar-Regolament Delegat (UE) …/… (OP jekk jogħġbok żid ir-referenza għall-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RTS fuq l-SOT). Dawn għandhom jiġu rrapportati biss għall-muniti kkunsidrati fl-SOT,</w:t>
            </w:r>
            <w:r>
              <w:t xml:space="preserve"> f’konformità mal-Artikolu 1(4) ta’ dak ir-Regolament Delegat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4E6C70" w:rsidRPr="00D82419" w14:paraId="42D5DDE8" w14:textId="77777777" w:rsidTr="00E73145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A4D5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363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Xokk parallel </w:t>
            </w:r>
          </w:p>
          <w:p w14:paraId="2955276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Id-daqs tax-xokk parallel tar-rati tal-imgħax f’punti bażi kkalibrat f’konformità mal-Parti B tal-Anness tar-Regolament Delegat (UE) …/… (OP jekk jogħġbok żid referenza għall-RTS</w:t>
            </w:r>
            <w:r>
              <w:t xml:space="preserve"> fuq l-SOT)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 l-Artikolu 2(1) ta’ dak ir-Regolament Delegat. </w:t>
            </w:r>
          </w:p>
        </w:tc>
      </w:tr>
      <w:tr w:rsidR="004E6C70" w:rsidRPr="00D82419" w14:paraId="6D80FCDD" w14:textId="77777777" w:rsidTr="00E73145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E34D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C88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Xokk qasir tar-rati</w:t>
            </w:r>
          </w:p>
          <w:p w14:paraId="7BE3CEC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Id-daqs tax-xokk qasir tar-rati tal-imgħax f’punti bażi kkalibrat skont ix-xokk qasir imsemmi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fil-Parti B tal-Anness tar-Regolament Delegat (UE) …/… (OP jekk jogħġbok żid referenza għall-</w:t>
            </w:r>
            <w:r>
              <w:t xml:space="preserve">RTS fuq l-SOT)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u fl-Artikolu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2(2) ta’ dak ir-Regolament Delegat.</w:t>
            </w:r>
          </w:p>
        </w:tc>
      </w:tr>
      <w:tr w:rsidR="004E6C70" w:rsidRPr="00D82419" w14:paraId="1A8EFAF7" w14:textId="77777777" w:rsidTr="00E73145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9044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3C6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Xokk twil tar-rati</w:t>
            </w:r>
          </w:p>
          <w:p w14:paraId="41F2CC28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Id-daqs tax-xokk twil tar-rati tal-imgħax f’punti bażi kkalibrat skont ix-xokk twil imsemmi fil-Parti B tal-Anness tar-Regolament Delegat (UE) …/… (OP jekk jogħġbok żid referenza għall-RTS fuq l-SOT) u fl-Artikolu 2(3) ta’ dak ir-Regolament Delegat.</w:t>
            </w:r>
          </w:p>
        </w:tc>
      </w:tr>
    </w:tbl>
    <w:p w14:paraId="7A3EA6CD" w14:textId="77777777" w:rsidR="004E6C70" w:rsidRPr="00D82419" w:rsidRDefault="004E6C70" w:rsidP="004E6C70">
      <w:pPr>
        <w:suppressAutoHyphens/>
        <w:spacing w:after="0"/>
        <w:rPr>
          <w:rStyle w:val="InstructionsTabelleText"/>
          <w:rFonts w:ascii="Times New Roman" w:hAnsi="Times New Roman"/>
          <w:sz w:val="24"/>
        </w:rPr>
      </w:pPr>
    </w:p>
    <w:p w14:paraId="5091F4D7" w14:textId="77777777" w:rsidR="004E6C70" w:rsidRPr="00D82419" w:rsidRDefault="004E6C70" w:rsidP="004E6C70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C70" w:rsidRPr="00D82419" w14:paraId="78295E9C" w14:textId="77777777" w:rsidTr="00E73145">
        <w:trPr>
          <w:trHeight w:val="638"/>
        </w:trPr>
        <w:tc>
          <w:tcPr>
            <w:tcW w:w="1129" w:type="dxa"/>
            <w:shd w:val="clear" w:color="auto" w:fill="D9D9D9" w:themeFill="background1" w:themeFillShade="D9"/>
          </w:tcPr>
          <w:p w14:paraId="0A6ACB61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3E08F199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4E6C70" w:rsidRPr="00D82419" w14:paraId="2088ECD6" w14:textId="77777777" w:rsidTr="00E73145">
        <w:tc>
          <w:tcPr>
            <w:tcW w:w="1129" w:type="dxa"/>
          </w:tcPr>
          <w:p w14:paraId="661F735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5F97D2F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</w:t>
            </w:r>
          </w:p>
          <w:p w14:paraId="5E849D07" w14:textId="77777777" w:rsidR="004E6C70" w:rsidRPr="00D82419" w:rsidRDefault="004E6C70" w:rsidP="00E73145">
            <w:pPr>
              <w:pStyle w:val="InstructionsText"/>
            </w:pPr>
            <w:r>
              <w:t xml:space="preserve">Id-daqs speċifikat tax-xokkijiet tar-rata tal-imgħax għandu jiġi rrapportat f’punti bażi (bps), 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∆</w:t>
            </w:r>
            <w:r>
              <w:t xml:space="preserve">EVEs u 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∆</w:t>
            </w:r>
            <w:r>
              <w:t>NIIs għandhom jiġu rrapportati kemm bħala proporzjonijiet kif ukoll bħala ammonti (kif speċifikat fl-istruzzjonijiet dwar ir-ringieli). L-ammonti għandhom jiġu rrapportati fil-munita tar-rapportar.</w:t>
            </w:r>
          </w:p>
        </w:tc>
      </w:tr>
    </w:tbl>
    <w:p w14:paraId="3FF298AC" w14:textId="77777777" w:rsidR="004E6C70" w:rsidRPr="00D82419" w:rsidRDefault="004E6C70" w:rsidP="004E6C70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58D7CA89" w14:textId="77777777" w:rsidR="004E6C70" w:rsidRPr="00D82419" w:rsidRDefault="004E6C70" w:rsidP="004E6C70">
      <w:pPr>
        <w:suppressAutoHyphens/>
        <w:spacing w:before="0" w:after="0"/>
        <w:jc w:val="left"/>
        <w:rPr>
          <w:rFonts w:ascii="Times New Roman" w:eastAsia="Arial" w:hAnsi="Times New Roman"/>
          <w:b/>
          <w:sz w:val="24"/>
          <w:lang w:eastAsia="x-none"/>
        </w:rPr>
      </w:pPr>
    </w:p>
    <w:p w14:paraId="6981D19E" w14:textId="77777777" w:rsidR="004E6C70" w:rsidRPr="00D82419" w:rsidRDefault="004E6C70" w:rsidP="004E6C70">
      <w:pPr>
        <w:suppressAutoHyphens/>
        <w:spacing w:before="0" w:after="0"/>
        <w:jc w:val="left"/>
        <w:rPr>
          <w:rFonts w:ascii="Times New Roman" w:eastAsia="Arial" w:hAnsi="Times New Roman"/>
          <w:b/>
          <w:sz w:val="24"/>
        </w:rPr>
      </w:pPr>
      <w:r>
        <w:br w:type="page"/>
      </w:r>
    </w:p>
    <w:p w14:paraId="34539129" w14:textId="77777777" w:rsidR="004E6C70" w:rsidRPr="00D82419" w:rsidRDefault="004E6C70" w:rsidP="004E6C70">
      <w:pPr>
        <w:pStyle w:val="Heading2"/>
        <w:suppressAutoHyphens/>
      </w:pPr>
      <w:bookmarkStart w:id="44" w:name="_Toc188860615"/>
      <w:r>
        <w:lastRenderedPageBreak/>
        <w:t>PARTI III: DIŻAGGREGAZZJONI TAL-ISTIMI TAS-SENSITTIVITÀ (J 02.00, J 03.00 u J 04.00)</w:t>
      </w:r>
      <w:bookmarkEnd w:id="44"/>
    </w:p>
    <w:p w14:paraId="04F4A7EB" w14:textId="77777777" w:rsidR="004E6C70" w:rsidRPr="008270ED" w:rsidRDefault="004E6C70" w:rsidP="004E6C7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sz w:val="24"/>
        </w:rPr>
      </w:pPr>
      <w:bookmarkStart w:id="45" w:name="_Toc188860616"/>
      <w:r>
        <w:rPr>
          <w:b/>
          <w:sz w:val="24"/>
        </w:rPr>
        <w:t>1.</w:t>
      </w:r>
      <w:r>
        <w:rPr>
          <w:b/>
          <w:sz w:val="24"/>
        </w:rPr>
        <w:tab/>
        <w:t>Rimarki ġenerali</w:t>
      </w:r>
      <w:bookmarkEnd w:id="45"/>
    </w:p>
    <w:p w14:paraId="38DA8391" w14:textId="77777777" w:rsidR="004E6C70" w:rsidRPr="00720193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</w:t>
      </w:r>
      <w:r>
        <w:rPr>
          <w:rFonts w:ascii="Times New Roman" w:hAnsi="Times New Roman"/>
          <w:sz w:val="24"/>
        </w:rPr>
        <w:tab/>
        <w:t xml:space="preserve">Il-formoli J 02.00, J 03.00 u J 04.00 jipprovdu diżaggregazzjonijiet ulterjuri tal-istimi ta’ istituzzjoni tas-sensittivitajiet tal-IRRBB abbażi tal-SOT (ir-Regolament Delegat (UE) …/… (OP jekk jogħġbok żid referenza għall-RTS fuq l-SOT)) u tal-bidliet tal-MV (il-Ġestjoni tar-Riskju Intern b’medda ta’ żmien ta’ sena u suppożizzjoni ta’ karta bilanċjali kostanti), inkluża l-opzjonalità komportamentali/kundizzjonali u awtomatika għal diżaggregazzjoni speċifika tal-entrati tal-karta bilanċjali. </w:t>
      </w:r>
    </w:p>
    <w:p w14:paraId="31F61710" w14:textId="77777777" w:rsidR="004E6C70" w:rsidRPr="00720193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</w:t>
      </w:r>
      <w:r>
        <w:rPr>
          <w:rFonts w:ascii="Times New Roman" w:hAnsi="Times New Roman"/>
          <w:sz w:val="24"/>
        </w:rPr>
        <w:tab/>
        <w:t xml:space="preserve">L-istituzzjonijiet għandhom jirrapportaw il-kontenut ta’ dawn il-formoli għal kull munita b’mod separat li fiha l-istituzzjoni jkollha pożizzjonijiet meta l-valur kontabilistiku tal-assi jew tal-obbligazzjonijiet finanzjarji denominati f’munita jammonta għal 5 % jew aktar tal-assi jew l-obbligazzjonijiet finanzjarji totali tal-portafoll bankarju, jew inqas minn 5 % jekk is-somma tal-assi jew l-obbligazzjonijiet finanzjarji inklużi fil-kalkolu tkun inqas minn 90 % tal-assi (esklużi l-assi tanġibbli) jew l-obbligazzjonijiet finanzjarji totali tal-portafoll bankarju. </w:t>
      </w:r>
    </w:p>
    <w:p w14:paraId="48DF7BEE" w14:textId="77777777" w:rsidR="004E6C70" w:rsidRPr="00925E4F" w:rsidRDefault="004E6C70" w:rsidP="004E6C7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sz w:val="24"/>
        </w:rPr>
      </w:pPr>
      <w:bookmarkStart w:id="46" w:name="_Ref119418268"/>
      <w:bookmarkStart w:id="47" w:name="_Toc188860617"/>
      <w:r>
        <w:rPr>
          <w:b/>
          <w:sz w:val="24"/>
        </w:rPr>
        <w:t>2.</w:t>
      </w:r>
      <w:r>
        <w:rPr>
          <w:b/>
          <w:sz w:val="24"/>
        </w:rPr>
        <w:tab/>
        <w:t>Struzzjonijiet li jikkonċernaw pożizzjonijiet speċifiċi</w:t>
      </w:r>
      <w:bookmarkEnd w:id="46"/>
      <w:bookmarkEnd w:id="47"/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7512"/>
      </w:tblGrid>
      <w:tr w:rsidR="004E6C70" w:rsidRPr="00D82419" w14:paraId="76CA45B9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0A23F5D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eastAsia="Arial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65ADD3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4E6C70" w:rsidRPr="00D82419" w14:paraId="174881F8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1D4C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9E0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Totali</w:t>
            </w:r>
          </w:p>
          <w:p w14:paraId="44DAF31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L-assi totali sensittivi għar-rata tal-imgħax</w:t>
            </w:r>
            <w:r>
              <w:t xml:space="preserve"> fil-kamp ta’ applikazzjoni tar-Regolament Delegat (UE) …/… (OP jekk jogħġbok żid referenza għall-RTS fuq l-SOT)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irrispettivament mit-trattament kontabilistiku tagħhom. Din ir-ringiela għandha tinkludi: </w:t>
            </w:r>
          </w:p>
          <w:p w14:paraId="1EACDD87" w14:textId="77777777" w:rsidR="004E6C70" w:rsidRPr="00574015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l-assi vis-à vis l-Bank Ċentrali;</w:t>
            </w:r>
          </w:p>
          <w:p w14:paraId="68BB368B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- l-assi interbankarji;</w:t>
            </w:r>
          </w:p>
          <w:p w14:paraId="71285CA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is-self u l-avvanzi;</w:t>
            </w:r>
          </w:p>
          <w:p w14:paraId="3477F4B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titoli ta’ dejn;</w:t>
            </w:r>
          </w:p>
          <w:p w14:paraId="78F4268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id-derivattivi li jiħħeġġjaw l-assi;</w:t>
            </w:r>
          </w:p>
          <w:p w14:paraId="4978357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oħrajn.</w:t>
            </w:r>
          </w:p>
          <w:p w14:paraId="23A8A18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skoperturi tal-IRRBB ta’ assi li ma jitnaqqsux mill-kapital tal-Grad 1 ta’ Ekwità Komuni (CET1) determinati f’konformità mal-Parti Tnejn, it-Titolu I, il-Kapitolu 2,</w:t>
            </w:r>
            <w:r>
              <w:t xml:space="preserve"> tar-Regolament (UE) Nru 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 bl-esklużjoni ta’ assi tanġibbli bħal proprjetà immobbli, kif ukoll skoperturi ta’ ekwità fil-portafoll bankarju kif imsemmi fl-Artikolu 133 u l-Artikolu 147(2), il-punt (e),</w:t>
            </w:r>
            <w:r>
              <w:t xml:space="preserve"> 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 Dawn l-iskoperturi għandhom jiġu assenjati lis-setturi tal-kontroparti skont in-natura tal-kontroparti immedjata.</w:t>
            </w:r>
          </w:p>
        </w:tc>
      </w:tr>
      <w:tr w:rsidR="004E6C70" w:rsidRPr="00D82419" w14:paraId="24495033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D21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DC1A" w14:textId="77777777" w:rsidR="004E6C70" w:rsidRPr="00CB270D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minħabba l-opzjonalità awtomatika</w:t>
            </w:r>
          </w:p>
          <w:p w14:paraId="590EB52C" w14:textId="77777777" w:rsidR="004E6C70" w:rsidRPr="0041005E" w:rsidRDefault="004E6C70" w:rsidP="00E73145">
            <w:pPr>
              <w:pStyle w:val="InstructionsText"/>
            </w:pPr>
            <w:r>
              <w:t>Il-kontribut tal-opzjonalità awtomatika inkorporata u espliċita għall-assi totali sensittivi għar-rata tal-imgħax fil-kamp ta’ applikazzjoni tar-Regolament Delegat (UE) …/… (OP jekk jogħġbok żid referenza għall-</w:t>
            </w:r>
            <w:r>
              <w:lastRenderedPageBreak/>
              <w:t>RTS fuq l-SOT) irrispettivament mit-trattament kontabilistiku tagħhom.</w:t>
            </w:r>
          </w:p>
        </w:tc>
      </w:tr>
      <w:tr w:rsidR="004E6C70" w:rsidRPr="00D82419" w14:paraId="65B37A9B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67A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60A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Bank ċentrali</w:t>
            </w:r>
          </w:p>
          <w:p w14:paraId="1013E135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L-assi vis-à-vis il-banek ċentrali, inklużi l-bilanċi tal-flus u d-depożiti ta’ domanda, kif imsemmi fil-Parti 1, il-punt 42(a), tal-Anness V ta’ dan ir-Regolament.</w:t>
            </w:r>
          </w:p>
        </w:tc>
      </w:tr>
      <w:tr w:rsidR="004E6C70" w:rsidRPr="00D82419" w14:paraId="0990A3E0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69AC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AB6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Interbankarji</w:t>
            </w:r>
          </w:p>
          <w:p w14:paraId="0F213F9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L-assi kollha li l-kontroparti tagħhom tkun istituzzjoni ta’ kreditu kif imsemmi fil-Parti 1, il-punt 42(c), tal-Anness V ta’ dan</w:t>
            </w:r>
            <w:r>
              <w:t xml:space="preserve"> ir-Regolament, esklużi l-iskoperturi ta’ derivattivi u titoli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</w:tc>
      </w:tr>
      <w:tr w:rsidR="004E6C70" w:rsidRPr="00D82419" w14:paraId="75CE07E8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881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B6C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Self u avvanzi</w:t>
            </w:r>
          </w:p>
          <w:p w14:paraId="35A42938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Strumenti ta’ dejn miżmuma minn istituzzjonijiet li mhumiex titoli,</w:t>
            </w:r>
            <w:r>
              <w:t xml:space="preserve"> kif imsemmi fil-Parti 1, il-punt 32, tal-Anness V ta’ dan ir-Regolament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 Din ir-ringiela ma għandhiex tinkludi l-iskoperturi inklużi fir-ringieli 0030 u 0040.</w:t>
            </w:r>
          </w:p>
        </w:tc>
      </w:tr>
      <w:tr w:rsidR="004E6C70" w:rsidRPr="00D82419" w14:paraId="13046A69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2D1" w14:textId="77777777" w:rsidR="004E6C70" w:rsidRPr="00D82419" w:rsidDel="002E7204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0060, 0130, 0150, 0250, 0280, 0320, 0360, 0400, 0430, 0480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4FB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rata fissa</w:t>
            </w:r>
          </w:p>
          <w:p w14:paraId="31F1598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L-istituzzjonijiet għandhom jirrapportaw iċ-ċifri relatati mal-istrumenti b’rata fissa, skont il-konvenzjoni speċifikata fil-Parti I, it-Taqsima </w:t>
            </w:r>
            <w:r w:rsidRPr="00D82419">
              <w:fldChar w:fldCharType="begin"/>
            </w:r>
            <w:r w:rsidRPr="00D82419">
              <w:instrText xml:space="preserve"> REF _Ref125115357 \r \h  \* MERGEFORMAT </w:instrText>
            </w:r>
            <w:r w:rsidRPr="00D82419">
              <w:fldChar w:fldCharType="separate"/>
            </w:r>
            <w:r w:rsidRPr="00D82419">
              <w:t>3</w:t>
            </w:r>
            <w:r w:rsidRPr="00D82419">
              <w:fldChar w:fldCharType="end"/>
            </w:r>
            <w:r>
              <w:t>, ta’ dan l-Anness.</w:t>
            </w:r>
          </w:p>
        </w:tc>
      </w:tr>
      <w:tr w:rsidR="004E6C70" w:rsidRPr="00D82419" w14:paraId="792E91DC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F3D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highlight w:val="yellow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6E8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improduttivi</w:t>
            </w:r>
          </w:p>
          <w:p w14:paraId="1C580E7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 u avvanzi improduttivi kif imsemmi fl-Artikolu 3(4) tar-Regolament Delegat (UE).../... (OP jekk jogħġbok żid referenza għall-</w:t>
            </w:r>
            <w: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 fl-Artikolu 47a(3) tar-</w:t>
            </w:r>
            <w:r>
              <w:t>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</w:tc>
      </w:tr>
      <w:tr w:rsidR="004E6C70" w:rsidRPr="00D82419" w14:paraId="285BB2BE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A77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  <w:highlight w:val="yellow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AAA7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Bejgħ bl-imnut</w:t>
            </w:r>
          </w:p>
          <w:p w14:paraId="79B96559" w14:textId="77777777" w:rsidR="004E6C70" w:rsidRPr="00D82419" w:rsidRDefault="004E6C70" w:rsidP="00E73145">
            <w:pPr>
              <w:pStyle w:val="InstructionsText"/>
            </w:pPr>
            <w:r>
              <w:t>Self u avvanzi lil persuna fiżika jew SME, meta l-iskopertura lejn</w:t>
            </w:r>
            <w:r>
              <w:rPr>
                <w:rStyle w:val="cf01"/>
                <w:rFonts w:ascii="Times New Roman" w:hAnsi="Times New Roman"/>
                <w:sz w:val="24"/>
              </w:rPr>
              <w:t xml:space="preserve"> intrapriża żgħira u ta’ daqs medju</w:t>
            </w:r>
            <w:r>
              <w:t xml:space="preserve"> (“SME”) għandha tikkwalifika għall-klassi ta’ skopertura fil-livell tal-konsumatur skont l-approċċi Standardizzati jew Ibbażati fuq Klassifikazzjonijiet Interni (“IRB”, Internal Ratings Based) għar-riskju ta’ kreditu kif stabbilit fil-Parti 1, it-Titolu II, il-Kapitoli 2 u 3 tar-Regolament (UE) Nru 575/2013, jew lil kumpanija li tkun eliġibbli għat-trattament stabbilit fl-Artikolu 153(4) tar-Regolament (UE) Nru 575/2013 u meta d-depożiti aggregati minn dik l-SME jew kumpanija fuq bażi ta’ grupp ma jaqbżux EUR 1 miljun.</w:t>
            </w:r>
          </w:p>
          <w:p w14:paraId="5871FF4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Kemm is-self u l-avvanzi fil-livell tal-konsumatur produttivi kif ukoll dawk improduttivi għandhom jiġu rrapportati f’din ir-ringiela.</w:t>
            </w:r>
          </w:p>
        </w:tc>
      </w:tr>
      <w:tr w:rsidR="004E6C70" w:rsidRPr="00D82419" w14:paraId="4F43A27F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FC56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15CD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garantiti bi proprjetà immobbli residenzjali</w:t>
            </w:r>
          </w:p>
          <w:p w14:paraId="6E445A28" w14:textId="77777777" w:rsidR="004E6C70" w:rsidRPr="00D82419" w:rsidRDefault="004E6C70" w:rsidP="00E73145">
            <w:pPr>
              <w:suppressAutoHyphens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Self</w:t>
            </w:r>
            <w:r>
              <w:rPr>
                <w:rFonts w:ascii="Times New Roman" w:hAnsi="Times New Roman"/>
                <w:sz w:val="24"/>
              </w:rPr>
              <w:t xml:space="preserve"> fil-livell tal-konsumatur formalment iggarantit permezz ta’ kollateral ta’ proprjetà immobbli residenzjali, irrispettivament mill-proporzjon tas-self mal-kollateral tagħhom (‘self għall-valur’) u l-forma ġuridika tal-</w:t>
            </w:r>
            <w:r>
              <w:rPr>
                <w:rFonts w:ascii="Times New Roman" w:hAnsi="Times New Roman"/>
                <w:sz w:val="24"/>
              </w:rPr>
              <w:lastRenderedPageBreak/>
              <w:t>kollateral.</w:t>
            </w:r>
          </w:p>
        </w:tc>
      </w:tr>
      <w:tr w:rsidR="004E6C70" w:rsidRPr="00D82419" w14:paraId="401FB447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C69D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9652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Bl-ingrossa mhux finanzjarji</w:t>
            </w:r>
          </w:p>
          <w:p w14:paraId="3B2972A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Self u avvanzi lill-gvernijiet estiżi u lill-korporazzjonijiet mhux finanzjarji kif imsemmi fil-Parti 1, il-punt 42(b) u (e) tal-Anness V ta’ dan ir-Regolament. Din ir-ringiela ma għandhiex tinkludi l-iskoperturi inklużi fir-ringiela 0080.</w:t>
            </w:r>
          </w:p>
        </w:tc>
      </w:tr>
      <w:tr w:rsidR="004E6C70" w:rsidRPr="00D82419" w14:paraId="5034AA12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D23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B02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bCs w:val="0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Bl-ingrossa finanzjarji</w:t>
            </w:r>
          </w:p>
          <w:p w14:paraId="7D7A1997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Self u avvanzi lil korporazzjonijiet finanzjarji oħra kif imsemmi fil-Parti 1, il-punt 42(d) tal-Anness V ta’ dan</w:t>
            </w:r>
            <w:r>
              <w:t xml:space="preserve"> ir-Regolament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4E6C70" w:rsidRPr="00D82419" w14:paraId="60C2AF2E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43E4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430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</w:t>
            </w:r>
          </w:p>
          <w:p w14:paraId="3661CB58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Strumenti ta’ dejn miżmuma minn istituzzjoni maħruġa bħala titoli li mhumiex self,</w:t>
            </w:r>
            <w:r>
              <w:t xml:space="preserve"> kif imsemmi fil-Parti 1, il-punt 31, tal-Anness V ta’ dan ir-Regolament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</w:t>
            </w:r>
            <w:r>
              <w:t xml:space="preserve"> inklużi l-bonds koperti u l-iskoperturi tat-titolizzazzjoni.</w:t>
            </w:r>
          </w:p>
        </w:tc>
      </w:tr>
      <w:tr w:rsidR="004E6C70" w:rsidRPr="00D82419" w:rsidDel="00551014" w14:paraId="0CA5D080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6B1A" w14:textId="77777777" w:rsidR="004E6C70" w:rsidRPr="00D82419" w:rsidDel="00551014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93C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li jiħħeġġjaw l-assi</w:t>
            </w:r>
          </w:p>
          <w:p w14:paraId="3586BA4C" w14:textId="77777777" w:rsidR="004E6C70" w:rsidRPr="00D82419" w:rsidDel="00551014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Id-derivattivi kif definiti fl-Artikolu 2(1), il-punt (29) tar-Regolament (UE) Nru 600/2014 tal-Parlament Ewropew u tal-Kunsill</w:t>
            </w:r>
            <w:r>
              <w:rPr>
                <w:rStyle w:val="FootnoteReference"/>
              </w:rPr>
              <w:footnoteReference w:id="2"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</w:t>
            </w:r>
            <w:r>
              <w:t xml:space="preserve"> għandhom jirrapportaw id-derivattivi miżmuma taħt reġim ta’ kontabilità għall-iħħeġġjar, skont il-qafas kontabilistiku applikabbli, billi l-entrata ħħeġġjata hija assi sensittiv għar-rata tal-imgħax. </w:t>
            </w:r>
          </w:p>
        </w:tc>
      </w:tr>
      <w:tr w:rsidR="004E6C70" w:rsidRPr="00D82419" w:rsidDel="00551014" w14:paraId="76D5B7BF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7EA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1FA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jiħħeġġjaw it-titoli ta’ dejn</w:t>
            </w:r>
          </w:p>
          <w:p w14:paraId="2D7183B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Derivattivi għall-kontabilità għall-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iħħeġġjar li jiħħeġġjaw assi li jkunu titoli ta’ dejn. </w:t>
            </w:r>
          </w:p>
        </w:tc>
      </w:tr>
      <w:tr w:rsidR="004E6C70" w:rsidRPr="00D82419" w:rsidDel="00551014" w14:paraId="2A6DB4CA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1F28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3CA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jiħħeġġjaw assi oħrajn</w:t>
            </w:r>
          </w:p>
          <w:p w14:paraId="4DEA23D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Derivattivi għall-kontabilità għall-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iħħeġġjar li jiħħeġġjaw assi li ma jkunux titoli ta’ dejn.</w:t>
            </w:r>
          </w:p>
        </w:tc>
      </w:tr>
      <w:tr w:rsidR="004E6C70" w:rsidRPr="00D82419" w14:paraId="400C6C15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806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B84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Oħrajn</w:t>
            </w:r>
          </w:p>
          <w:p w14:paraId="6F94F1C8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Assi oħrajn sensittivi għar-rata tal-imgħax fil-karta bilanċjali li</w:t>
            </w:r>
            <w:r>
              <w:t xml:space="preserve"> ma jaqgħux taħt ir-ringieli ta’ hawn fuq għandhom jiġu rrapportati f’din ir-ringiela.</w:t>
            </w:r>
          </w:p>
        </w:tc>
      </w:tr>
      <w:tr w:rsidR="004E6C70" w:rsidRPr="00D82419" w14:paraId="599EFF81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4728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5A81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bookmarkStart w:id="48" w:name="_Hlk120269837"/>
            <w:r>
              <w:rPr>
                <w:rStyle w:val="InstructionsTabelleberschrift"/>
                <w:rFonts w:ascii="Times New Roman" w:hAnsi="Times New Roman"/>
                <w:sz w:val="24"/>
              </w:rPr>
              <w:t>Assi barra l-karta bilanċjali: assi kontinġenti</w:t>
            </w:r>
          </w:p>
          <w:bookmarkEnd w:id="48"/>
          <w:p w14:paraId="030E5D0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L-assi barra l-karta bilanċjali elenkati fl-Anness I </w:t>
            </w:r>
            <w:r>
              <w:t xml:space="preserve">tar-Regolament (UE) Nru 575/2013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li huma sensittivi għar-rata tal-imgħax, u li huma fil-kamp ta’ applikazzjoni tar-Regolament Delegat (UE) …/… (OP jekk jogħġbok żid referenza għall-RTS</w:t>
            </w:r>
            <w:r>
              <w:t xml:space="preserve"> fuq l-SOT)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5914049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L-impenji ta’ self b’rata fissa ma’ mutwatarji prospettivi għandhom ukoll jiġu inklużi f’din ir-ringiela.</w:t>
            </w:r>
          </w:p>
          <w:p w14:paraId="7000613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L-impenji ta’ self għandhom jiġu rrapportati bħala taħlita ta’ pożizzjoni qasira u twila. Huwa l-każ ta’ impenn ta’ self b’rata fissa li għalih l-istituzzjoni jkollha pożizzjoni twila fis-self fil-bidu tal-impenn u pożizzjoni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qasira meta s-self ikun suppost se jiġi użat. L-istituzzjonijiet għandhom jirrapportaw il-pożizzjonijiet twal bħala assi, u l-pożizzjonijiet qosra bħala obbligazzjonijiet. F’din ir-ringiela għandhom jirrapportaw biss l-istrumenti kontinġenti li jikkwalifikaw bħala assi.</w:t>
            </w:r>
          </w:p>
        </w:tc>
      </w:tr>
      <w:tr w:rsidR="004E6C70" w:rsidRPr="00D82419" w14:paraId="7A7A4DA5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E76E" w14:textId="77777777" w:rsidR="004E6C70" w:rsidRPr="00D82419" w:rsidDel="001D16D7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528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totali</w:t>
            </w:r>
          </w:p>
          <w:p w14:paraId="50F70B7E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L-obbligazzjonijiet totali sensittivi għar-rata tal-imgħax </w:t>
            </w:r>
            <w:r>
              <w:t xml:space="preserve">fil-kamp ta’ applikazzjoni tar-Regolament Delegat (UE) …/… (OP jekk jogħġbok żid referenza għall-RTS fuq l-SOT) u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irrispettivament mit-trattament kontabilistiku tagħhom. Din ir-ringiela għandha tinkludi: </w:t>
            </w:r>
          </w:p>
          <w:p w14:paraId="3080CEEB" w14:textId="77777777" w:rsidR="004E6C70" w:rsidRPr="00574015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l-assi vis-à vis l-Banek Ċentrali;</w:t>
            </w:r>
          </w:p>
          <w:p w14:paraId="588EE7A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- l-obbligazzjonijiet interbankarji;</w:t>
            </w:r>
          </w:p>
          <w:p w14:paraId="7D5A138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it-titoli ta’ dejn maħruġa;</w:t>
            </w:r>
          </w:p>
          <w:p w14:paraId="03AB6F9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depożiti mingħajr maturità;</w:t>
            </w:r>
          </w:p>
          <w:p w14:paraId="62E5D0F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id-depożiti b'terminu;</w:t>
            </w:r>
          </w:p>
          <w:p w14:paraId="258DB7D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id-derivattivi li jiħħeġġjaw l-obbligazzjonijiet;</w:t>
            </w:r>
          </w:p>
          <w:p w14:paraId="48D3A55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oħrajn.</w:t>
            </w:r>
          </w:p>
        </w:tc>
      </w:tr>
      <w:tr w:rsidR="004E6C70" w:rsidRPr="00D82419" w14:paraId="5B528EFC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B3BE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632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minnu: minħabba l-opzjonalità awtomatika </w:t>
            </w:r>
          </w:p>
          <w:p w14:paraId="753DB4E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Il-kontribut tal-opzjonalità awtomatika inkorporata u espliċita għall-obbligazzjonijiet totali sensittivi għar-rata tal-imgħax fil-kamp ta’ applikazzjoni tar-Regolament Delegat (UE) …/…. (OP jekk jogħġbok żid referenza għall-RTS fuq l-SOT) irrispettivament mit-trattament kontabilistiku tagħhom.</w:t>
            </w:r>
          </w:p>
        </w:tc>
      </w:tr>
      <w:tr w:rsidR="004E6C70" w:rsidRPr="00D82419" w14:paraId="18FC70EC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3DE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9C8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Bank ċentrali </w:t>
            </w:r>
          </w:p>
          <w:p w14:paraId="0AAFE54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L-obbligazzjonijiet </w:t>
            </w:r>
            <w:r>
              <w:t>vis-à-vis il-banek ċentrali kif imsemmi fil-Parti 1, il-punt 42(a), tal-Anness V ta’ dan ir-Regolament.</w:t>
            </w:r>
          </w:p>
        </w:tc>
      </w:tr>
      <w:tr w:rsidR="004E6C70" w:rsidRPr="00D82419" w14:paraId="417682C3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DF2F" w14:textId="77777777" w:rsidR="004E6C70" w:rsidRPr="00D82419" w:rsidDel="00103272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D28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Interbankarji</w:t>
            </w:r>
          </w:p>
          <w:p w14:paraId="6304928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L-obbligazzjonijiet kollha li l-kontroparti tagħhom tkun istituzzjoni ta’ kreditu</w:t>
            </w:r>
            <w:r>
              <w:t xml:space="preserve"> kif imsemmi fil-Parti 1, il-punt 42(c), tal-Anness V ta’ dan ir-Regolament, esklużi l-iskoperturi ta’ derivattivi u titoli.</w:t>
            </w:r>
          </w:p>
        </w:tc>
      </w:tr>
      <w:tr w:rsidR="004E6C70" w:rsidRPr="00D82419" w14:paraId="18F7A1D2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496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3069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Titoli ta’ dejn maħruġa </w:t>
            </w:r>
          </w:p>
          <w:p w14:paraId="1E400474" w14:textId="77777777" w:rsidR="004E6C70" w:rsidRPr="00D82419" w:rsidRDefault="004E6C70" w:rsidP="00E73145">
            <w:pPr>
              <w:pStyle w:val="Baseparagraphnumbered"/>
              <w:numPr>
                <w:ilvl w:val="0"/>
                <w:numId w:val="0"/>
              </w:numPr>
              <w:suppressAutoHyphens/>
              <w:jc w:val="left"/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Strumenti ta’ dejn maħruġa bħala titoli mill-istituzzjoni li mhumiex depożiti, kif imsemmi fil-Parti 1, l-Artikolu 37 tal-Anness V ta’ dan</w:t>
            </w:r>
            <w:r>
              <w:t xml:space="preserve"> ir-Regolament.</w:t>
            </w:r>
          </w:p>
        </w:tc>
      </w:tr>
      <w:tr w:rsidR="004E6C70" w:rsidRPr="00D82419" w14:paraId="4A79F6E0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BA4C" w14:textId="77777777" w:rsidR="004E6C70" w:rsidRPr="00166525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DA9E" w14:textId="77777777" w:rsidR="004E6C70" w:rsidRPr="00166525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AT1 jew T2</w:t>
            </w:r>
          </w:p>
          <w:p w14:paraId="35098D2E" w14:textId="77777777" w:rsidR="004E6C70" w:rsidRPr="00166525" w:rsidRDefault="004E6C70" w:rsidP="00E73145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Titoli ta’ dejn maħruġa f’konformità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mal-Artikoli 61 jew 71 </w:t>
            </w:r>
            <w:r>
              <w:t>tar-Regolament (UE) Nru 575/2013, esklużi l-fondi proprji perpetwi mingħajr ebda data eżerċitabbli (l-Artikolu 3 tar-Regolament Delegat (UE) …/… (OP jekk jogħġbok żid referenza għall-RTS fuq l-SOT)).</w:t>
            </w:r>
          </w:p>
        </w:tc>
      </w:tr>
      <w:tr w:rsidR="004E6C70" w:rsidRPr="00D82419" w14:paraId="34F99191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CF0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44A9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NMDs: Tranżazzjonali fil-livell tal-konsumatur</w:t>
            </w:r>
          </w:p>
          <w:p w14:paraId="1B7D6788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Depożiti mingħajr maturità fil-livell tal-konsumatur f’kont tranżazzjonali </w:t>
            </w:r>
            <w:r>
              <w:lastRenderedPageBreak/>
              <w:t>kif definiti fl-Artikolu 1, il-punt (10), tar-Regolament Delegat (UE) …/… (OP jekk jogħġbok żid referenza għall-RTS fuq l-SA). L-NMDs tranżazzjonali fil-livell tal-konsumatur għandhom jinkludu l-kontijiet fil-livell tal-konsumatur li ma jrendux imgħax u kontijiet fil-livell tal-konsumatur oħra li l-komponent tar-remunerazzjoni tagħhom ma jkunx rilevanti fid-deċiżjoni tal-klijent li jżomm il-flus fil-kont.</w:t>
            </w:r>
          </w:p>
        </w:tc>
      </w:tr>
      <w:tr w:rsidR="004E6C70" w:rsidRPr="00D82419" w14:paraId="2E22FF27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344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0290, 0330, 0370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6D85" w14:textId="77777777" w:rsidR="004E6C70" w:rsidRPr="00580E65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komponent ewlieni</w:t>
            </w:r>
          </w:p>
          <w:p w14:paraId="54953ADE" w14:textId="77777777" w:rsidR="004E6C70" w:rsidRPr="00D82419" w:rsidRDefault="004E6C70" w:rsidP="00E73145">
            <w:pPr>
              <w:pStyle w:val="InstructionsText"/>
            </w:pPr>
            <w:r>
              <w:t>Il-komponent ewlieni tad-depożiti mingħajr maturità kif definit fl-Artikolu 1, il-punt (15), tar-Regolament Delegat (UE) …/… (OP jekk jogħġbok żid referenza għall-RTS fuq l-SA).</w:t>
            </w:r>
          </w:p>
          <w:p w14:paraId="7C002F4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L-NMDs li huma stabbli u aktarx li ma jiġux ipprezzati mill-ġdid anki taħt bidliet sinifikanti fl-ambjent tar-rata tal-imgħax, jew depożiti oħra li l-elastiċità limitata tagħhom għall-bidliet fir-rati tal-imgħax għandha tiġ mmudellata mill-istituzzjonijiet</w:t>
            </w:r>
          </w:p>
        </w:tc>
      </w:tr>
      <w:tr w:rsidR="004E6C70" w:rsidRPr="00D82419" w14:paraId="7F4F16A0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49EC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0300, 0340, 0380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7928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minnu: eżentati mil-limitu massimu ta’ 5 snin </w:t>
            </w:r>
          </w:p>
          <w:p w14:paraId="689D8DA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L-iskoperturi għat-tfaddil regolat kif imsemmija fl-Artikolu 428f(2), il-punt (a),</w:t>
            </w:r>
            <w:r>
              <w:t xml:space="preserve"> tar-Regolament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iżda mhux limitati għall-parti ċentralizzata, jew dawk b’limiti ekonomiċi jew fiskali materjali f’każ ta’ prelevament, li għalihom l-istituzzjoni ma tillimitax </w:t>
            </w:r>
            <w:r>
              <w:rPr>
                <w:rStyle w:val="InstructionsTabelleberschrift"/>
                <w:rFonts w:ascii="Times New Roman" w:hAnsi="Times New Roman"/>
                <w:b w:val="0"/>
                <w:color w:val="000000"/>
                <w:sz w:val="24"/>
                <w:u w:val="none"/>
              </w:rPr>
              <w:t>id-data tal-ipprezzar mill-ġdid medja ponderata massima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għal 5 snin.</w:t>
            </w:r>
          </w:p>
        </w:tc>
      </w:tr>
      <w:tr w:rsidR="004E6C70" w:rsidRPr="00D82419" w14:paraId="717CBEA9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00B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C71C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NMDs: Mhux tranżazzjonali fil-livell tal-konsumatur</w:t>
            </w:r>
          </w:p>
          <w:p w14:paraId="01E5BE75" w14:textId="77777777" w:rsidR="004E6C70" w:rsidRPr="00D82419" w:rsidRDefault="004E6C70" w:rsidP="00E73145">
            <w:pPr>
              <w:pStyle w:val="InstructionsText"/>
            </w:pPr>
            <w:r>
              <w:t>Depożiti mingħajr maturità fil-livell tal-konsumatur f’kont mhux tranżazzjonali kif definiti fl-Artikolu 1, il-punt (11), tar-Regolament Delegat (UE) …/… (OP jekk jogħġbok żid referenza għall-RTS fuq l-SA).</w:t>
            </w:r>
          </w:p>
          <w:p w14:paraId="65C835D7" w14:textId="77777777" w:rsidR="004E6C70" w:rsidRPr="00D82419" w:rsidRDefault="004E6C70" w:rsidP="00E73145">
            <w:pPr>
              <w:pStyle w:val="InstructionsText"/>
            </w:pPr>
            <w:r>
              <w:t xml:space="preserve">Depożiti oħra fil-livell tal-konsumatur li mhumiex ikkunsidrati “Depożiti Mingħajr Maturità: Tranżazzjonijiet fil-Livell tal-Konsumatur” għandhom jiġu kkunsidrati bħala miżmuma f’kont mhux tranżazzjonali. </w:t>
            </w:r>
          </w:p>
          <w:p w14:paraId="4CC660C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B’mod partikolari, id-depożiti mhux tranżazzjonali fil-livell tal-konsumatur għandhom jinkludu l-kontijiet fil-livell tal-konsumatur (inklużi dawk regolati) li l-komponent tar-remunerazzjoni tagħhom ikun rilevanti fid-deċiżjoni tal-klijent li jżomm il-flus fil-kont.</w:t>
            </w:r>
          </w:p>
        </w:tc>
      </w:tr>
      <w:tr w:rsidR="004E6C70" w:rsidRPr="00D82419" w14:paraId="1B6B80E9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54F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DC5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NMDs: Bl-ingrossa mhux finanzjarji</w:t>
            </w:r>
          </w:p>
          <w:p w14:paraId="5FA015A7" w14:textId="77777777" w:rsidR="004E6C70" w:rsidRPr="00B123AB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Depożiti bl-ingrossa</w:t>
            </w:r>
            <w:r>
              <w:t xml:space="preserve"> kif definiti fl-Artikolu 1, il-punt (12), tar-Regolament Delegat (UE) …/… (OP jekk jogħġbok żid referenza għall-RTS fuq l-SA) li jkunu NMDs mill-gvernijiet estiżi u korporazzjonijiet mhux finanzjarji (NFCs, non-financial corporations) kif imsemmija fil-Parti 1,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il-punt 42 (b) u (e), tal-Anness V</w:t>
            </w:r>
            <w:r>
              <w:t xml:space="preserve"> ta’ dan ir-Regolament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</w:tc>
      </w:tr>
      <w:tr w:rsidR="004E6C70" w:rsidRPr="00D82419" w14:paraId="306D9CE1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2AF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0390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4E6D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NMDs: Bl-ingrossa finanzjarji</w:t>
            </w:r>
          </w:p>
          <w:p w14:paraId="1837D185" w14:textId="77777777" w:rsidR="004E6C70" w:rsidRPr="00B123AB" w:rsidRDefault="004E6C70" w:rsidP="00E73145">
            <w:pPr>
              <w:suppressAutoHyphens/>
              <w:spacing w:after="139"/>
              <w:ind w:right="66"/>
              <w:rPr>
                <w:rStyle w:val="InstructionsTabelleberschrift"/>
                <w:rFonts w:ascii="Times New Roman" w:hAnsi="Times New Roman"/>
                <w:b w:val="0"/>
                <w:bCs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Depożiti bl-ingrossa</w:t>
            </w:r>
            <w:r>
              <w:rPr>
                <w:rFonts w:ascii="Times New Roman" w:hAnsi="Times New Roman"/>
                <w:sz w:val="24"/>
              </w:rPr>
              <w:t xml:space="preserve"> kif definiti fl-Artikolu 1, il-punt (12), tar-Regolament Delegat (UE) …/… (OP jekk jogħġbok żid referenza għall-RTS fuq l-SA) li jkunu NMDs mill-kontropartijiet skont il-Parti 1, il-punt 42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(d), tal-Anness V ta’ dan ir-Regolament. </w:t>
            </w:r>
          </w:p>
        </w:tc>
      </w:tr>
      <w:tr w:rsidR="004E6C70" w:rsidRPr="00D82419" w14:paraId="633A98AB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3B1A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4CB5" w14:textId="77777777" w:rsidR="004E6C70" w:rsidRPr="001B37CD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depożiti operazzjonali</w:t>
            </w:r>
          </w:p>
          <w:p w14:paraId="013B83C4" w14:textId="77777777" w:rsidR="004E6C70" w:rsidRPr="001B37CD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lastRenderedPageBreak/>
              <w:t>NMDs li jikklassifikaw bħala depożiti operazzjonali skont l-Artikolu 27(1)(a) tar-Regolament ta’ Delega tal-Kummissjoni (UE) 2015/61</w:t>
            </w:r>
            <w:r w:rsidRPr="001B37CD">
              <w:rPr>
                <w:rStyle w:val="FootnoteReference"/>
                <w:rFonts w:ascii="Times New Roman" w:hAnsi="Times New Roman"/>
                <w:sz w:val="24"/>
                <w:szCs w:val="24"/>
                <w:vertAlign w:val="superscript"/>
              </w:rPr>
              <w:footnoteReference w:id="3"/>
            </w:r>
            <w:r>
              <w:t>.</w:t>
            </w:r>
          </w:p>
        </w:tc>
      </w:tr>
      <w:tr w:rsidR="004E6C70" w:rsidRPr="00D82419" w14:paraId="21B42844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C73D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0420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62C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Depożiti b’terminu</w:t>
            </w:r>
          </w:p>
          <w:p w14:paraId="32592A2F" w14:textId="77777777" w:rsidR="004E6C70" w:rsidRPr="00D82419" w:rsidRDefault="004E6C70" w:rsidP="00E73145">
            <w:pPr>
              <w:suppressAutoHyphens/>
              <w:spacing w:after="139"/>
              <w:ind w:right="66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Depożiti mhux trasferibbli li d-depożitant ma jitħalliex jiġbed qabel il-maturità miftiehma jew li jistgħu jiġu prelevati qabel iż-żmien dment li d-depożitant iġarrab il-kostijiet u t-tariffi (ta’ prepagament) kaġun tal-prelevament qabel iż-żmien. Din l-entrata għandha tinkludi d-depożiti ta’ tfaddil regolat amministrattivament meta l-kriterju relatat mal-maturità ma jkunx rilevanti. Għalkemm depożiti b’maturità miftiehma jista’ jkollhom il-possibbiltà li jiġu mifdija qabel iż-żmien wara notifika minn qabel, jew jistgħu jiġu mifdija wara li ssir talba u soġġett għal ċerti penali, dawn il-karatteristiċi ma għandhomx jintużaw għall-finijiet ta’ klassifikazzjoni. Din ir-ringiela ma għandhiex tinkludi l-iskoperturi fir-ringieli 0220 u 0230.</w:t>
            </w:r>
          </w:p>
        </w:tc>
      </w:tr>
      <w:tr w:rsidR="004E6C70" w:rsidRPr="00D82419" w14:paraId="599F5E61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6E5B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B4EA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Bejgħ bl-imnut</w:t>
            </w:r>
          </w:p>
          <w:p w14:paraId="035471D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Din ir-ringiela għandha tinkludi d-depożiti b’terminu mill-klijenti fil-livell tal-konsumatur</w:t>
            </w:r>
            <w:r>
              <w:rPr>
                <w:b/>
              </w:rPr>
              <w:t xml:space="preserve">. </w:t>
            </w:r>
          </w:p>
        </w:tc>
      </w:tr>
      <w:tr w:rsidR="004E6C70" w:rsidRPr="00D82419" w14:paraId="09B6D3BE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87F4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08EE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Bl-ingrossa mhux finanzjarji</w:t>
            </w:r>
          </w:p>
          <w:p w14:paraId="6F463583" w14:textId="77777777" w:rsidR="004E6C70" w:rsidRPr="00D82419" w:rsidRDefault="004E6C70" w:rsidP="00E73145">
            <w:pPr>
              <w:pStyle w:val="InstructionsText"/>
            </w:pPr>
            <w:r>
              <w:t>Depożiti b’terminu minn klijenti bl-ingrossa mhux finanzjarji.</w:t>
            </w:r>
          </w:p>
          <w:p w14:paraId="737FD26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Depożiti bl-ingrossa</w:t>
            </w:r>
            <w:r>
              <w:t xml:space="preserve"> kif definiti fl-Artikolu 1, il-punt (12), tar-Regolament Delegat (UE) …/… (OP jekk jogħġbok daħħal referenza għall-RTS fuq l-SA) li jkunu depożiti għajr NMDs mill-gvernijiet estiżi u NFCs kif imsemmija fil-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Parti 1, il-punt 42 (b) u (e), tal-Anness V ta’ dan</w:t>
            </w:r>
            <w:r>
              <w:t xml:space="preserve"> ir-Regolament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</w:tc>
      </w:tr>
      <w:tr w:rsidR="004E6C70" w:rsidRPr="00D82419" w14:paraId="2EEC939D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E748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0460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68508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Bl-ingrossa finanzjarji</w:t>
            </w:r>
          </w:p>
          <w:p w14:paraId="698A4F82" w14:textId="77777777" w:rsidR="004E6C70" w:rsidRPr="00D82419" w:rsidRDefault="004E6C70" w:rsidP="00E73145">
            <w:pPr>
              <w:pStyle w:val="InstructionsText"/>
            </w:pPr>
            <w:r>
              <w:t>Depożiti b’terminu minn klijenti bl-ingrossa finanzjarji.</w:t>
            </w:r>
          </w:p>
          <w:p w14:paraId="7A1912A1" w14:textId="77777777" w:rsidR="004E6C70" w:rsidRPr="00D82419" w:rsidRDefault="004E6C70" w:rsidP="00E73145">
            <w:pPr>
              <w:suppressAutoHyphens/>
              <w:spacing w:after="139"/>
              <w:ind w:right="66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Depożiti bl-ingrossa</w:t>
            </w:r>
            <w:r>
              <w:rPr>
                <w:rFonts w:ascii="Times New Roman" w:hAnsi="Times New Roman"/>
                <w:sz w:val="24"/>
              </w:rPr>
              <w:t xml:space="preserve"> kif definiti fl-Artikolu 1, il-punt (12), tar-Regolament Delegat (UE) …/… (OP jekk jogħġbok daħħal referenza għall-RTS fuq l-SA) li jkunu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depożiti għajr NMDs mill-kontropartijiet kif imsemmija fil-Parti 1, il-punt 42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(d), tal-Anness V ta’</w:t>
            </w:r>
            <w:r>
              <w:rPr>
                <w:rFonts w:ascii="Times New Roman" w:hAnsi="Times New Roman"/>
                <w:sz w:val="24"/>
              </w:rPr>
              <w:t xml:space="preserve"> dan ir-Regolament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</w:tc>
      </w:tr>
      <w:tr w:rsidR="004E6C70" w:rsidRPr="00D82419" w:rsidDel="00576E55" w14:paraId="78A212C0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C1E1" w14:textId="77777777" w:rsidR="004E6C70" w:rsidRPr="00D82419" w:rsidDel="00576E55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B86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li jiħħeġġjaw l-obbligazzjonijiet</w:t>
            </w:r>
          </w:p>
          <w:p w14:paraId="187FC480" w14:textId="77777777" w:rsidR="004E6C70" w:rsidRPr="00D82419" w:rsidDel="00576E55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Id-derivattivi kif definiti fl-Artikolu 2(1), il-punt (29), tar-Regolament (UE) Nru 600/2014.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</w:t>
            </w:r>
            <w:r>
              <w:t xml:space="preserve"> għandhom jirrapportaw id-derivattivi miżmuma taħt reġim ta’ kontabilità għall-iħħeġġjar, skont il-qafas kontabilistiku applikabbli, billi l-entrata ħħeġġjata hija assi sensittiv għar-rata tal-obbligazzjoni.</w:t>
            </w:r>
          </w:p>
        </w:tc>
      </w:tr>
      <w:tr w:rsidR="004E6C70" w:rsidRPr="00D82419" w:rsidDel="00576E55" w14:paraId="5104F2C5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4F0D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0490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96F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jiħħeġġjaw it-titoli ta’ dejn</w:t>
            </w:r>
          </w:p>
          <w:p w14:paraId="19C260B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Derivattivi għall-kontabilità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għall-iħħeġġjar li jiħħeġġjaw assi li jkunu titoli ta’ dejn. </w:t>
            </w:r>
          </w:p>
        </w:tc>
      </w:tr>
      <w:tr w:rsidR="004E6C70" w:rsidRPr="00D82419" w:rsidDel="00576E55" w14:paraId="2AF0C7C7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427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987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jiħħeġġjaw obbligazzjonijiet oħrajn</w:t>
            </w:r>
          </w:p>
          <w:p w14:paraId="01B57FB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Derivattivi għall-kontabilità għall-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iħħeġġjar li jiħħeġġjaw assi li ma jkunux titoli ta’ dejn.</w:t>
            </w:r>
          </w:p>
        </w:tc>
      </w:tr>
      <w:tr w:rsidR="004E6C70" w:rsidRPr="00D82419" w14:paraId="3FE67586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D74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C12F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Oħrajn</w:t>
            </w:r>
          </w:p>
          <w:p w14:paraId="2A815D5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Assi oħrajn sensittivi għar-rata tal-imgħax fil-karta bilanċjali li</w:t>
            </w:r>
            <w:r>
              <w:t xml:space="preserve"> ma ġewx ikklassifikati fir-ringieli ta’ hawn fuq għandhom jiġu rrapportati f’din ir-ringiela.</w:t>
            </w:r>
          </w:p>
        </w:tc>
      </w:tr>
      <w:tr w:rsidR="004E6C70" w:rsidRPr="00D82419" w14:paraId="488CB80D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61E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EA8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Obbligazzjonijiet barra l-karta bilanċjali: </w:t>
            </w:r>
            <w:bookmarkStart w:id="49" w:name="_Hlk116393169"/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kontinġenti</w:t>
            </w:r>
            <w:bookmarkEnd w:id="49"/>
          </w:p>
          <w:p w14:paraId="54DC053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L-entrati barra l-karta bilanċjali għandhom jinkludu prodotti bħal impenji ta’ self sensittivi għar-rata tal-imgħax.</w:t>
            </w:r>
          </w:p>
          <w:p w14:paraId="17C04C5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L-obbligazzjonijiet kontinġenti għandhom jiġu kkunsidrati bħala taħlita ta’ pożizzjoni qasira u twila. B’mod speċifiku, fl-eventwalità li l-istituzzjoni jkollha linja ta’ kreditu ma’ istituzzjonijiet oħra, l-istituzzjoni jkollha pożizzjoni twila meta s-self ikun suppost se jiġi użat u pożizzjoni qasira fid-data tal-ftuħ tal-linja ta’ kreditu. </w:t>
            </w:r>
          </w:p>
          <w:p w14:paraId="473E9FF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highlight w:val="yellow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Il-pożizzjonijiet twal għandhom jiġu rrapportati bħala assi filwaqt li l-pożizzjonijiet qosra bħala obbligazzjoni. L-istrumenti kontinġenti li jikkwalifikaw bħala obbligazzjonijiet biss għandhom jiġi rrapportati f’din ir-ringiela.</w:t>
            </w:r>
          </w:p>
        </w:tc>
      </w:tr>
      <w:tr w:rsidR="004E6C70" w:rsidRPr="00D82419" w14:paraId="26AF2240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B05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45A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oħra (Assi/Obbligazzjonijiet netti)</w:t>
            </w:r>
          </w:p>
          <w:p w14:paraId="149802C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Id-derivattivi tar-rati tal-imgħax mhux imfassla bħala ħeġġijiet kontabilistiċi bħall-ħeġġijiet tar-rati tal-imgħax ekonomiċi, li huma maħsuba biex jiħħeġġjaw ir-riskju taċ-ċaqliq fir-rata tal-imgħax fil-portafoll bankarju iżda li mhumiex taħt reġim ta’ kontabilità għall-iħħeġġjar.</w:t>
            </w:r>
          </w:p>
        </w:tc>
      </w:tr>
      <w:tr w:rsidR="004E6C70" w:rsidRPr="00D82419" w14:paraId="3956F28F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AD32" w14:textId="77777777" w:rsidR="004E6C70" w:rsidRPr="00D82419" w:rsidDel="001D16D7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0540-0640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16A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Entrati fil-memorandum</w:t>
            </w:r>
          </w:p>
        </w:tc>
      </w:tr>
      <w:tr w:rsidR="004E6C70" w:rsidRPr="00D82419" w14:paraId="045E0FDE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A25" w14:textId="77777777" w:rsidR="004E6C70" w:rsidRPr="00D82419" w:rsidDel="00C13246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B13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 Netti</w:t>
            </w:r>
          </w:p>
          <w:p w14:paraId="062995A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Il-kontribut nett tad-derivattivi tar-rati tal-imgħax fil-portafoll bankarju, b’kont meħud ta’ dawk id-derivattivi tar-rati tal-imgħax li jiħħeġġjaw l-assi (ir-ringiela 0140) jew l-obbligazzjonijiet (ir-ringiela 0470) taħt reġim ta’ kontabilità għall-iħħeġġjar fil-portafoll bankarju u l-ħeġġijiet tar-rati tal-imgħax ekonomiċi (ir-ringiela 0530) ta’ derivattivi tar-rati tal-imgħax oħra fil-portafoll bankarju mfassla bħala ħeġġijiet kontabilistiċi.</w:t>
            </w:r>
          </w:p>
        </w:tc>
      </w:tr>
      <w:tr w:rsidR="004E6C70" w:rsidRPr="00D82419" w14:paraId="0C86B2D3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6AFA" w14:textId="77777777" w:rsidR="004E6C70" w:rsidRPr="00D82419" w:rsidDel="00C13246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BC8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 netta tar-rata tal-imgħax mingħajr derivattivi</w:t>
            </w:r>
          </w:p>
          <w:p w14:paraId="6EFD753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L-iskoperturi għar-rata tal-imgħax kollha fil-karta bilanċjali</w:t>
            </w:r>
            <w:r>
              <w:t>, inklużi l-iskoperturi barra l-karta bilanċjali 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bl-esklużjoni tad-derivattivi tar-rati tal-imgħax. B’mod partikolari, l-assi u l-obbligazzjonijiet kollha bl-esklużjoni tal-effett tad-derivattivi.</w:t>
            </w:r>
          </w:p>
        </w:tc>
      </w:tr>
      <w:tr w:rsidR="004E6C70" w:rsidRPr="00D82419" w14:paraId="37901D97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F53D" w14:textId="77777777" w:rsidR="004E6C70" w:rsidRPr="00D82419" w:rsidDel="00C13246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0560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DB8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 netta tar-rata tal-imgħax bid-derivattivi</w:t>
            </w:r>
          </w:p>
          <w:p w14:paraId="5E45D1D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L-assi u l-obbligazzjonijiet kollha, inklużi </w:t>
            </w:r>
            <w:r>
              <w:t>l-iskoperturi barra l-karta bilanċjali u.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d-derivattivi tar-rati tal-imgħax.</w:t>
            </w:r>
          </w:p>
        </w:tc>
      </w:tr>
      <w:tr w:rsidR="004E6C70" w:rsidRPr="00D82419" w14:paraId="0AAEE631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06B1" w14:textId="77777777" w:rsidR="004E6C70" w:rsidRPr="00D82419" w:rsidDel="001D16D7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0570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902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Totali b’impatt fuq l-MV</w:t>
            </w:r>
          </w:p>
          <w:p w14:paraId="298C694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L-assi totali, fil-każijiet li fihom il-bidliet tal-MV ikunu rilevanti għall-profitt jew it-telf jew l-ekwità, bl-esklużjoni tad-derivattivi ta’ ħeġġ mhux kontabilistiku rrapportati taħt ir-ringiela 0530. Għall-istituzzjonijiet li japplikaw l-IFRS skont ir-Regolament (KE) Nru 1606/2002 tal-Parlament Ewropew u tal-Kunsill</w:t>
            </w:r>
            <w:r>
              <w:rPr>
                <w:rStyle w:val="FootnoteReference"/>
                <w:lang w:val="en-US"/>
              </w:rPr>
              <w:footnoteReference w:id="4"/>
            </w:r>
            <w:r>
              <w:t>, l-assi tal-portafoll bankarju li jiġu rreġistrati b’valur ġust skont il-qafas kontabilistiku applikabbli (permezz tal-profitt jew telf jew inkella introjtu ieħor komprensiv), flimkien ma’ titoli ta’ dejn u strumenti oħrajn irreġistrati b’kost amortizzat soġġetti għal kontabilità għall-iħħeġġjar b’valur ġust. Id-derivattivi li jiħħeġġjaw l-assi fil-portafoll bankarju taħt reġim ta’ kontabilità għall-iħħeġġjar għandhom jiġu rrapportati f’din it-Taqsima għajr għall-komponent effettiv ta’ dawk id-derivattivi għall-kontabilità għall-iħħeġġjar tal-fluss tal-flus li jiħħeġġjaw l-entrati tal-kost amortizzat imsemmija fl-Artikolu 33(1), il-punt (a), tar-Regolament (UE) Nru 575/2013.</w:t>
            </w:r>
          </w:p>
        </w:tc>
      </w:tr>
      <w:tr w:rsidR="004E6C70" w:rsidRPr="00D82419" w14:paraId="3B492DAC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97C6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8D0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</w:t>
            </w:r>
          </w:p>
          <w:p w14:paraId="7F780AF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Titoli ta’ dejn meta l-bidliet tal-MV ikunu rilevanti għall-profitt jew telf jew ekwità. Dan jinkludi titoli ta’ dejn fil-valur ġust flimkien ma’ titoli ta’ dejn irreġistrati b’kost amortizzat soġġetti għal ħeġġ kontabilistiku b’valur ġust.</w:t>
            </w:r>
          </w:p>
        </w:tc>
      </w:tr>
      <w:tr w:rsidR="004E6C70" w:rsidRPr="00D82419" w14:paraId="73B01961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0338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0590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25C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</w:t>
            </w:r>
          </w:p>
          <w:p w14:paraId="2F572F9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Id-derivattivi kif definiti fl-Artikolu 2(1), il-punt (29), tar-Regolament (UE) Nru 600/2014.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</w:p>
          <w:p w14:paraId="3ECA587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t>Id-derivattivi li jiħħeġġjaw l-assi taħt reġim ta’ kontabilità għall-iħħeġġjar għandhom jiġu rrapportati f’din ir-ringiela, bl-esklużjoni ta’ dawk id-derivattivi mfassla bħala ħeġġijiet tal-flussi tal-flus li jiħħeġġjaw l-entrati tal-kost amortizzat.</w:t>
            </w:r>
          </w:p>
        </w:tc>
      </w:tr>
      <w:tr w:rsidR="004E6C70" w:rsidRPr="00D82419" w14:paraId="3A347D83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83C4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D4D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Oħrajn</w:t>
            </w:r>
          </w:p>
          <w:p w14:paraId="4A4AFF6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Assi oħrajn b’valur ġust, flimkien ma’ assi oħrajn b’kost amortizzat soġġetti għal kontabilità għall-iħħeġġjar b’valur ġust.</w:t>
            </w:r>
          </w:p>
        </w:tc>
      </w:tr>
      <w:tr w:rsidR="004E6C70" w:rsidRPr="00D82419" w14:paraId="7650E9E3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F0CC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6C4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Totali b’impatt fuq l-MV</w:t>
            </w:r>
          </w:p>
          <w:p w14:paraId="19985D34" w14:textId="77777777" w:rsidR="004E6C70" w:rsidRPr="00D82419" w:rsidRDefault="004E6C70" w:rsidP="00E73145">
            <w:pPr>
              <w:suppressAutoHyphens/>
              <w:spacing w:line="238" w:lineRule="auto"/>
              <w:ind w:left="1" w:right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L-obbligazzjonijiet totali, fil-każijiet li fihom il-bidliet tal-MV ikunu rilevanti għall-profitt jew it-telf jew l-ekwità, bl-esklużjoni tad-derivattivi ta’ ħeġġ mhux kontabilistiku rrapportati taħt ir-ringiela 0530.</w:t>
            </w:r>
          </w:p>
          <w:p w14:paraId="053C533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L-obbligazzjonijiet li jiġu rreġistrati b’valur ġust skont il-qafas kontabilistiku applikabbli (permezz tal-profitt jew telf jew inkella introjtu ieħor komprensiv), flimkien ma’ titoli ta’ dejn u strumenti oħrajn irreġistrati b’kost amortizzat soġġetti għal kontabilità għall-iħħeġġjar b’valur ġust. Id-derivattivi li jiħħeġġjaw l-obbligazzjonijiet taħt reġim ta’ kontabilità għall-iħħeġġjar għandhom ukoll jiġu rrapportati f’din it-Taqsima għajr għall-komponent effettiv ta’ dawk id-derivattivi għall-kontabilità għall-iħħeġġjar tal-fluss tal-flus li jiħħeġġjaw l-entrati tal-kost </w:t>
            </w:r>
            <w:r>
              <w:lastRenderedPageBreak/>
              <w:t>amortizzat f’konformità mal-Artikolu 33(1)(a) tar-Regolament (UE) Nru 575/2013.</w:t>
            </w:r>
          </w:p>
        </w:tc>
      </w:tr>
      <w:tr w:rsidR="004E6C70" w:rsidRPr="00D82419" w14:paraId="286F1C39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928E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0620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0EC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ta’ dejn maħruġa</w:t>
            </w:r>
          </w:p>
          <w:p w14:paraId="638CB7A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It-titoli ta’ dejn maħruġa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bħala titoli mill-istituzzjoni li mhumiex depożiti, kif definit fil-Parti 1, il-punt 37 tal-Anness V ta’</w:t>
            </w:r>
            <w:r>
              <w:t xml:space="preserve"> dan ir-Regolament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li huma</w:t>
            </w:r>
            <w:r>
              <w:t xml:space="preserve"> kontabbilizzati meta l-bidliet tal-MV ikunu rilevanti għall-profitt jew telf jew ekwità.</w:t>
            </w:r>
          </w:p>
        </w:tc>
      </w:tr>
      <w:tr w:rsidR="004E6C70" w:rsidRPr="00D82419" w14:paraId="6E7E57CB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8F46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3EB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</w:t>
            </w:r>
          </w:p>
          <w:p w14:paraId="7EAE5EA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Id-derivattivi kif definiti fl-Artikolu 2(1), il-punt (29), tar-Regolament (UE) Nru 600/2014.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</w:p>
          <w:p w14:paraId="02721AE4" w14:textId="77777777" w:rsidR="004E6C70" w:rsidRPr="00D82419" w:rsidRDefault="004E6C70" w:rsidP="00E73145">
            <w:pPr>
              <w:pStyle w:val="InstructionsText"/>
            </w:pPr>
            <w:r>
              <w:t>L-istituzzjonijiet għandhom jirrapportaw, taħt din it-Taqsima, id-derivattivi li jiħħeġġjaw l-obbligazzjonijiet taħt reġim ta’ kontabilità għall-iħħeġġjar, bl-esklużjoni ta’ dawk id-derivattivi mfassla bħala ħeġġijiet tal-flussi tal-flus li jiħħeġġjaw l-entrati tal-kost amortizzat.</w:t>
            </w:r>
          </w:p>
        </w:tc>
      </w:tr>
      <w:tr w:rsidR="004E6C70" w:rsidRPr="00D82419" w14:paraId="6C11A778" w14:textId="77777777" w:rsidTr="00E7314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051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0640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A44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Oħrajn</w:t>
            </w:r>
          </w:p>
          <w:p w14:paraId="52F069A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Obbligazzjonijiet oħrajn b’valur ġust, flimkien ma’ obbligazzjonijiet oħrajn b’kost amortizzat soġġetti għal kontabilità għall-iħħeġġjar b’valur ġust.</w:t>
            </w:r>
          </w:p>
        </w:tc>
      </w:tr>
    </w:tbl>
    <w:p w14:paraId="7C52A033" w14:textId="77777777" w:rsidR="004E6C70" w:rsidRPr="00D82419" w:rsidRDefault="004E6C70" w:rsidP="004E6C70">
      <w:pPr>
        <w:suppressAutoHyphens/>
        <w:spacing w:after="0"/>
        <w:rPr>
          <w:rFonts w:ascii="Times New Roman" w:hAnsi="Times New Roman"/>
          <w:sz w:val="24"/>
        </w:rPr>
      </w:pPr>
    </w:p>
    <w:p w14:paraId="08D8BD3E" w14:textId="77777777" w:rsidR="004E6C70" w:rsidRPr="00D82419" w:rsidRDefault="004E6C70" w:rsidP="004E6C70">
      <w:pPr>
        <w:suppressAutoHyphens/>
        <w:spacing w:after="0"/>
        <w:rPr>
          <w:rStyle w:val="InstructionsTabelleText"/>
          <w:rFonts w:ascii="Times New Roman" w:hAnsi="Times New Roman"/>
          <w:sz w:val="24"/>
        </w:rPr>
      </w:pPr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7308"/>
      </w:tblGrid>
      <w:tr w:rsidR="004E6C70" w:rsidRPr="00D82419" w14:paraId="6AB34104" w14:textId="77777777" w:rsidTr="00E73145">
        <w:tc>
          <w:tcPr>
            <w:tcW w:w="1701" w:type="dxa"/>
            <w:shd w:val="clear" w:color="auto" w:fill="D9D9D9" w:themeFill="background1" w:themeFillShade="D9"/>
          </w:tcPr>
          <w:p w14:paraId="7DE0989C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308" w:type="dxa"/>
            <w:shd w:val="clear" w:color="auto" w:fill="D9D9D9" w:themeFill="background1" w:themeFillShade="D9"/>
          </w:tcPr>
          <w:p w14:paraId="2C4B9581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4E6C70" w:rsidRPr="00D82419" w14:paraId="7F27C832" w14:textId="77777777" w:rsidTr="00E73145">
        <w:tc>
          <w:tcPr>
            <w:tcW w:w="1701" w:type="dxa"/>
            <w:shd w:val="clear" w:color="auto" w:fill="auto"/>
          </w:tcPr>
          <w:p w14:paraId="79D21768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308" w:type="dxa"/>
            <w:shd w:val="clear" w:color="auto" w:fill="auto"/>
          </w:tcPr>
          <w:p w14:paraId="0BD8F2A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riportat</w:t>
            </w:r>
          </w:p>
          <w:p w14:paraId="1CE1027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bCs w:val="0"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Il-Parti 1, il-punt 27 tal-Anness V </w:t>
            </w:r>
            <w:r>
              <w:t>tar-Regolament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4E6C70" w:rsidRPr="00D82419" w14:paraId="10D3A2BF" w14:textId="77777777" w:rsidTr="00E73145">
        <w:tc>
          <w:tcPr>
            <w:tcW w:w="1701" w:type="dxa"/>
            <w:shd w:val="clear" w:color="auto" w:fill="auto"/>
          </w:tcPr>
          <w:p w14:paraId="34381EE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308" w:type="dxa"/>
            <w:shd w:val="clear" w:color="auto" w:fill="auto"/>
          </w:tcPr>
          <w:p w14:paraId="680542D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bCs w:val="0"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Durata</w:t>
            </w:r>
          </w:p>
          <w:p w14:paraId="2CE1957C" w14:textId="77777777" w:rsidR="004E6C70" w:rsidRPr="00D82419" w:rsidRDefault="004E6C70" w:rsidP="00E73145">
            <w:pPr>
              <w:suppressAutoHyphens/>
              <w:spacing w:after="0" w:line="259" w:lineRule="auto"/>
              <w:ind w:left="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Id-durata modifikata (“Dmod”), inkluża l-opzjonalità awtomatika, meta: Dmod = - EV01 / (Valur Ekonomiku * 0.0001) </w:t>
            </w:r>
          </w:p>
          <w:p w14:paraId="6530810C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EV01 ugwali għal sensittività ta’ +1 bps (xokk parallel) tal-Valur ekonomiku.</w:t>
            </w:r>
          </w:p>
        </w:tc>
      </w:tr>
      <w:tr w:rsidR="004E6C70" w:rsidRPr="00D82419" w14:paraId="252E1EC2" w14:textId="77777777" w:rsidTr="00E73145">
        <w:tc>
          <w:tcPr>
            <w:tcW w:w="1701" w:type="dxa"/>
          </w:tcPr>
          <w:p w14:paraId="221736C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0030-0090</w:t>
            </w:r>
          </w:p>
        </w:tc>
        <w:tc>
          <w:tcPr>
            <w:tcW w:w="7308" w:type="dxa"/>
          </w:tcPr>
          <w:p w14:paraId="6F9C5AE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ekonomiku tal-ekwità</w:t>
            </w:r>
          </w:p>
          <w:p w14:paraId="5C5788F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L-istituzzjonijiet għandhom isegwu l-istess struzzjonijiet kif deskritti f’{J 01.00; r0010-r0090}.</w:t>
            </w:r>
          </w:p>
        </w:tc>
      </w:tr>
      <w:tr w:rsidR="004E6C70" w:rsidRPr="00D82419" w14:paraId="5AE7EF9F" w14:textId="77777777" w:rsidTr="00E73145">
        <w:tc>
          <w:tcPr>
            <w:tcW w:w="1701" w:type="dxa"/>
          </w:tcPr>
          <w:p w14:paraId="755EC6B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308" w:type="dxa"/>
          </w:tcPr>
          <w:p w14:paraId="4FF9B32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Livell tal-EVE - Xenarju ta’ referenza</w:t>
            </w:r>
          </w:p>
          <w:p w14:paraId="395A5E7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r0030}.</w:t>
            </w:r>
          </w:p>
        </w:tc>
      </w:tr>
      <w:tr w:rsidR="004E6C70" w:rsidRPr="00D82419" w14:paraId="3506FCE0" w14:textId="77777777" w:rsidTr="00E73145">
        <w:tc>
          <w:tcPr>
            <w:tcW w:w="1701" w:type="dxa"/>
          </w:tcPr>
          <w:p w14:paraId="0EE09D87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308" w:type="dxa"/>
          </w:tcPr>
          <w:p w14:paraId="5A07F3B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∆EVE - Xokk parallel ’il fuq</w:t>
            </w:r>
          </w:p>
          <w:p w14:paraId="7E1CE195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L-istituzzjonijiet għandhom isegwu l-istess struzzjonijiet kif deskritti f’{J 01.00; r0040}.</w:t>
            </w:r>
          </w:p>
        </w:tc>
      </w:tr>
      <w:tr w:rsidR="004E6C70" w:rsidRPr="00D82419" w14:paraId="05459CC4" w14:textId="77777777" w:rsidTr="00E73145">
        <w:tc>
          <w:tcPr>
            <w:tcW w:w="1701" w:type="dxa"/>
          </w:tcPr>
          <w:p w14:paraId="681FFF0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308" w:type="dxa"/>
          </w:tcPr>
          <w:p w14:paraId="2E86BD3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∆EVE - Xokk parallel ’l isfel</w:t>
            </w:r>
          </w:p>
          <w:p w14:paraId="021546B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r0050}.</w:t>
            </w:r>
          </w:p>
        </w:tc>
      </w:tr>
      <w:tr w:rsidR="004E6C70" w:rsidRPr="00D82419" w14:paraId="5B5EC92A" w14:textId="77777777" w:rsidTr="00E73145">
        <w:tc>
          <w:tcPr>
            <w:tcW w:w="1701" w:type="dxa"/>
          </w:tcPr>
          <w:p w14:paraId="5A9BC1FA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308" w:type="dxa"/>
          </w:tcPr>
          <w:p w14:paraId="246D7C3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∆EVE - Xokk ta’ żieda fil-kurva tar-rendiment</w:t>
            </w:r>
          </w:p>
          <w:p w14:paraId="174208F8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r0060}.</w:t>
            </w:r>
          </w:p>
        </w:tc>
      </w:tr>
      <w:tr w:rsidR="004E6C70" w:rsidRPr="00D82419" w14:paraId="4399BA9B" w14:textId="77777777" w:rsidTr="00E73145">
        <w:tc>
          <w:tcPr>
            <w:tcW w:w="1701" w:type="dxa"/>
          </w:tcPr>
          <w:p w14:paraId="5E583D8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308" w:type="dxa"/>
          </w:tcPr>
          <w:p w14:paraId="7A3C514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∆EVE - Xokk ta’ tnaqqis fil-kurva tar-rendiment</w:t>
            </w:r>
          </w:p>
          <w:p w14:paraId="7706312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r0070}.</w:t>
            </w:r>
          </w:p>
        </w:tc>
      </w:tr>
      <w:tr w:rsidR="004E6C70" w:rsidRPr="00D82419" w14:paraId="4DD75B7C" w14:textId="77777777" w:rsidTr="00E73145">
        <w:tc>
          <w:tcPr>
            <w:tcW w:w="1701" w:type="dxa"/>
          </w:tcPr>
          <w:p w14:paraId="7B98A0C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308" w:type="dxa"/>
          </w:tcPr>
          <w:p w14:paraId="295BDAC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∆EVE - Xokk ’il fuq qasir tar-rati</w:t>
            </w:r>
          </w:p>
          <w:p w14:paraId="43E546B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r0080}.</w:t>
            </w:r>
          </w:p>
        </w:tc>
      </w:tr>
      <w:tr w:rsidR="004E6C70" w:rsidRPr="00D82419" w14:paraId="361F6BE0" w14:textId="77777777" w:rsidTr="00E73145">
        <w:tc>
          <w:tcPr>
            <w:tcW w:w="1701" w:type="dxa"/>
          </w:tcPr>
          <w:p w14:paraId="59DD7EE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308" w:type="dxa"/>
          </w:tcPr>
          <w:p w14:paraId="215B7D5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∆EVE - Xokk ’l isfel qasir tar-rati</w:t>
            </w:r>
          </w:p>
          <w:p w14:paraId="4DE3C59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r0090}.</w:t>
            </w:r>
          </w:p>
        </w:tc>
      </w:tr>
      <w:tr w:rsidR="004E6C70" w:rsidRPr="00D82419" w14:paraId="7A5002F2" w14:textId="77777777" w:rsidTr="00E73145">
        <w:tc>
          <w:tcPr>
            <w:tcW w:w="1701" w:type="dxa"/>
          </w:tcPr>
          <w:p w14:paraId="6E7A312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0100-0120</w:t>
            </w:r>
          </w:p>
        </w:tc>
        <w:tc>
          <w:tcPr>
            <w:tcW w:w="7308" w:type="dxa"/>
          </w:tcPr>
          <w:p w14:paraId="60BDDCD8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Introjtu mill-Imgħax Nett</w:t>
            </w:r>
          </w:p>
          <w:p w14:paraId="6ECE459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L-istituzzjonijiet għandhom isegwu l-istess struzzjonijiet kif deskritti f’{J 01.00; r0100-r0140}.</w:t>
            </w:r>
          </w:p>
        </w:tc>
      </w:tr>
      <w:tr w:rsidR="004E6C70" w:rsidRPr="00D82419" w14:paraId="17CAAAE6" w14:textId="77777777" w:rsidTr="00E73145">
        <w:tc>
          <w:tcPr>
            <w:tcW w:w="1701" w:type="dxa"/>
          </w:tcPr>
          <w:p w14:paraId="6A8E098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308" w:type="dxa"/>
          </w:tcPr>
          <w:p w14:paraId="660F82F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Livell tal-NII - Xenarju ta’ referenza</w:t>
            </w:r>
          </w:p>
          <w:p w14:paraId="7C20F7A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L-istituzzjonijiet għandhom isegwu l-istess struzzjonijiet kif deskritti f’{J 01.00; r0120}.</w:t>
            </w:r>
          </w:p>
        </w:tc>
      </w:tr>
      <w:tr w:rsidR="004E6C70" w:rsidRPr="00D82419" w14:paraId="55B10489" w14:textId="77777777" w:rsidTr="00E73145">
        <w:tc>
          <w:tcPr>
            <w:tcW w:w="1701" w:type="dxa"/>
          </w:tcPr>
          <w:p w14:paraId="550B078E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308" w:type="dxa"/>
          </w:tcPr>
          <w:p w14:paraId="232DAFC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∆NII - Xokk parallel ’il fuq</w:t>
            </w:r>
          </w:p>
          <w:p w14:paraId="2ABDFD7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r0130}.</w:t>
            </w:r>
          </w:p>
        </w:tc>
      </w:tr>
      <w:tr w:rsidR="004E6C70" w:rsidRPr="00D82419" w14:paraId="4AA84CD8" w14:textId="77777777" w:rsidTr="00E73145">
        <w:trPr>
          <w:trHeight w:val="50"/>
        </w:trPr>
        <w:tc>
          <w:tcPr>
            <w:tcW w:w="1701" w:type="dxa"/>
          </w:tcPr>
          <w:p w14:paraId="0307DADC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308" w:type="dxa"/>
          </w:tcPr>
          <w:p w14:paraId="5F63CA4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∆NII - Xokk parallel ’l isfel</w:t>
            </w:r>
          </w:p>
          <w:p w14:paraId="125464B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r0140}.</w:t>
            </w:r>
          </w:p>
        </w:tc>
      </w:tr>
      <w:tr w:rsidR="004E6C70" w:rsidRPr="00D82419" w14:paraId="47AB661A" w14:textId="77777777" w:rsidTr="00E73145">
        <w:tc>
          <w:tcPr>
            <w:tcW w:w="1701" w:type="dxa"/>
          </w:tcPr>
          <w:p w14:paraId="3598D32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0130-0150</w:t>
            </w:r>
          </w:p>
        </w:tc>
        <w:tc>
          <w:tcPr>
            <w:tcW w:w="7308" w:type="dxa"/>
          </w:tcPr>
          <w:p w14:paraId="42EA8E5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tas-suq</w:t>
            </w:r>
          </w:p>
          <w:p w14:paraId="3B625D8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L-istituzzjonijiet għandhom isegwu l-istess struzzjonijiet kif deskritti f’{J 01.00; r0150-r0170}.</w:t>
            </w:r>
          </w:p>
        </w:tc>
      </w:tr>
      <w:tr w:rsidR="004E6C70" w:rsidRPr="00D82419" w14:paraId="5192D70A" w14:textId="77777777" w:rsidTr="00E73145">
        <w:trPr>
          <w:trHeight w:val="507"/>
        </w:trPr>
        <w:tc>
          <w:tcPr>
            <w:tcW w:w="1701" w:type="dxa"/>
          </w:tcPr>
          <w:p w14:paraId="1578CDA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308" w:type="dxa"/>
          </w:tcPr>
          <w:p w14:paraId="56769A8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Livell tal-MV — Xenarju ta’ referenza</w:t>
            </w:r>
          </w:p>
          <w:p w14:paraId="1F13B1A5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r0150}.</w:t>
            </w:r>
          </w:p>
        </w:tc>
      </w:tr>
      <w:tr w:rsidR="004E6C70" w:rsidRPr="00D82419" w14:paraId="3100EC29" w14:textId="77777777" w:rsidTr="00E73145">
        <w:tc>
          <w:tcPr>
            <w:tcW w:w="1701" w:type="dxa"/>
          </w:tcPr>
          <w:p w14:paraId="09507B25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308" w:type="dxa"/>
          </w:tcPr>
          <w:p w14:paraId="6F90EC1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∆MV - Xokk parallel ’il fuq</w:t>
            </w:r>
          </w:p>
          <w:p w14:paraId="25BF252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r0160}.</w:t>
            </w:r>
          </w:p>
        </w:tc>
      </w:tr>
      <w:tr w:rsidR="004E6C70" w:rsidRPr="00D82419" w14:paraId="34AFDF3A" w14:textId="77777777" w:rsidTr="00E73145">
        <w:tc>
          <w:tcPr>
            <w:tcW w:w="1701" w:type="dxa"/>
          </w:tcPr>
          <w:p w14:paraId="0B70B412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308" w:type="dxa"/>
          </w:tcPr>
          <w:p w14:paraId="7DB8BB7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∆MV - Xokk parallel ’l isfel</w:t>
            </w:r>
          </w:p>
          <w:p w14:paraId="32FD263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r0170}.</w:t>
            </w:r>
          </w:p>
        </w:tc>
      </w:tr>
    </w:tbl>
    <w:p w14:paraId="5A138657" w14:textId="77777777" w:rsidR="004E6C70" w:rsidRPr="00D82419" w:rsidRDefault="004E6C70" w:rsidP="004E6C70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br w:type="page"/>
      </w:r>
    </w:p>
    <w:p w14:paraId="3A15A261" w14:textId="77777777" w:rsidR="004E6C70" w:rsidRPr="00D82419" w:rsidRDefault="004E6C70" w:rsidP="004E6C70">
      <w:pPr>
        <w:pStyle w:val="Heading2"/>
        <w:suppressAutoHyphens/>
      </w:pPr>
      <w:bookmarkStart w:id="50" w:name="_Toc188860618"/>
      <w:r>
        <w:lastRenderedPageBreak/>
        <w:t>PARTI IV: FLUSSI TAL-FLUS SOĠĠETTI GĦALL-IPPREZZAR MILL-ĠDID (J 05.00, J 06.00 u J 07.00)</w:t>
      </w:r>
      <w:bookmarkEnd w:id="50"/>
    </w:p>
    <w:p w14:paraId="6B0336DB" w14:textId="77777777" w:rsidR="004E6C70" w:rsidRPr="00A75ED8" w:rsidRDefault="004E6C70" w:rsidP="004E6C7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sz w:val="24"/>
        </w:rPr>
      </w:pPr>
      <w:bookmarkStart w:id="51" w:name="_Toc188860619"/>
      <w:r>
        <w:rPr>
          <w:b/>
          <w:sz w:val="24"/>
        </w:rPr>
        <w:t>1.</w:t>
      </w:r>
      <w:r>
        <w:rPr>
          <w:b/>
          <w:sz w:val="24"/>
        </w:rPr>
        <w:tab/>
        <w:t>Rimarki ġenerali</w:t>
      </w:r>
      <w:bookmarkEnd w:id="51"/>
    </w:p>
    <w:p w14:paraId="755C64AB" w14:textId="77777777" w:rsidR="004E6C70" w:rsidRPr="007F52CC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</w:t>
      </w:r>
      <w:r>
        <w:rPr>
          <w:rFonts w:ascii="Times New Roman" w:hAnsi="Times New Roman"/>
          <w:sz w:val="24"/>
        </w:rPr>
        <w:tab/>
        <w:t>Il-formoli J 05.00, J 06.00 u J 07.00 fihom informazzjoni dettaljati fuq il-flussi tal-flus soġġetti għall-ipprezzar mill-ġdid għall-entrati tal-karta bilanċjali rrapportati fil-formoli J 02.00, J 03.00 u J 04.00. L-istituzzjonijiet għandhom jirrapportaw dik l-informazzjoni mill-perspettiva tal-EVE, filwaqt li jqisu r-rekwiżiti u s-suppożizzjonijiet ta’ mmudellar speċifikati fl-Artikolu 3 tar-Regolament Delegat (UE) …/… (OP jekk jogħġbok żid referenza għall-RTS fuq l-SOT) u jqisu l-informazzjoni kuntrattwali u komportamentali, u fiż-żewġ każijiet jinjoraw l-opzjonalità awtomatika. L-istruzzjonijiet għar-ringieli għandhom ikunu l-istess kif deskritti fil-Parti I, it-Taqsima</w:t>
      </w:r>
      <w:r>
        <w:t xml:space="preserve"> </w:t>
      </w:r>
      <w:r w:rsidRPr="007F52CC">
        <w:rPr>
          <w:rFonts w:ascii="Times New Roman" w:hAnsi="Times New Roman"/>
          <w:sz w:val="24"/>
        </w:rPr>
        <w:fldChar w:fldCharType="begin"/>
      </w:r>
      <w:r w:rsidRPr="007F52CC">
        <w:rPr>
          <w:rFonts w:ascii="Times New Roman" w:hAnsi="Times New Roman"/>
          <w:sz w:val="24"/>
        </w:rPr>
        <w:instrText xml:space="preserve"> REF _Ref119418268 \r \h  \* MERGEFORMAT </w:instrText>
      </w:r>
      <w:r w:rsidRPr="007F52CC">
        <w:rPr>
          <w:rFonts w:ascii="Times New Roman" w:hAnsi="Times New Roman"/>
          <w:sz w:val="24"/>
        </w:rPr>
      </w:r>
      <w:r w:rsidRPr="007F52CC">
        <w:rPr>
          <w:rFonts w:ascii="Times New Roman" w:hAnsi="Times New Roman"/>
          <w:sz w:val="24"/>
        </w:rPr>
        <w:fldChar w:fldCharType="separate"/>
      </w:r>
      <w:r w:rsidRPr="007F52CC">
        <w:rPr>
          <w:rFonts w:ascii="Times New Roman" w:hAnsi="Times New Roman"/>
          <w:sz w:val="24"/>
        </w:rPr>
        <w:t>11</w:t>
      </w:r>
      <w:r w:rsidRPr="007F52CC">
        <w:rPr>
          <w:rFonts w:ascii="Times New Roman" w:hAnsi="Times New Roman"/>
          <w:sz w:val="24"/>
        </w:rPr>
        <w:fldChar w:fldCharType="end"/>
      </w:r>
      <w:r>
        <w:t xml:space="preserve"> </w:t>
      </w:r>
      <w:r>
        <w:rPr>
          <w:rFonts w:ascii="Times New Roman" w:hAnsi="Times New Roman"/>
          <w:sz w:val="24"/>
        </w:rPr>
        <w:t>ta’ dan l-Anness. Barra minn hekk, l-istituzzjonijiet għandhom jikkunsidraw kif dovut, il-konvenzjonijiet tar-rapportar speċifikati fil-Parti I, b’mod partikolari dawk relatati mad-definizzjoni ta’ strumenti b’rata fissa/varjabbli u t-trattament tal-opzjonijiet.</w:t>
      </w:r>
    </w:p>
    <w:p w14:paraId="748EF0B9" w14:textId="77777777" w:rsidR="004E6C70" w:rsidRPr="007F52CC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</w:t>
      </w:r>
      <w:r>
        <w:rPr>
          <w:rFonts w:ascii="Times New Roman" w:hAnsi="Times New Roman"/>
          <w:sz w:val="24"/>
        </w:rPr>
        <w:tab/>
        <w:t xml:space="preserve">L-istituzzjonijiet għandhom jirrapportaw il-kontenut ta’ dawn il-formoli għal kull munita b’mod separat li biha l-istituzzjoni jkollha pożizzjonijiet meta l-valur kontabilistiku tal-assi jew tal-obbligazzjonijiet finanzjarji denominati f’munita jammontaw għal 5 % jew aktar tal-assi jew l-obbligazzjonijiet finanzjarji totali tal-portafoll bankarju, jew inqas minn 5 % meta s-somma tal-assi jew l-obbligazzjonijiet finanzjarji inklużi fil-kalkolu tkun inqas minn 90 % tal-assi (esklużi l-assi tanġibbli) jew l-obbligazzjonijiet finanzjarji totali tal-portafoll bankarju. </w:t>
      </w:r>
    </w:p>
    <w:p w14:paraId="2AB5EC1C" w14:textId="77777777" w:rsidR="004E6C70" w:rsidRPr="007F52CC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1.3</w:t>
      </w:r>
      <w:r>
        <w:rPr>
          <w:rFonts w:ascii="Times New Roman" w:hAnsi="Times New Roman"/>
          <w:sz w:val="24"/>
        </w:rPr>
        <w:tab/>
        <w:t>L-istituzzjonijiet għandhom jirrapportaw il-kontenut ta’ dawn il-formoli separatament skont il-kundizzjonijiet kuntrattwali u komportamentali (Immudellar: kuntrattwali jew komportamentali):</w:t>
      </w:r>
    </w:p>
    <w:p w14:paraId="202FAE3D" w14:textId="77777777" w:rsidR="004E6C70" w:rsidRPr="00577327" w:rsidRDefault="004E6C70" w:rsidP="004E6C70">
      <w:pPr>
        <w:suppressAutoHyphens/>
        <w:ind w:left="567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(a)</w:t>
      </w:r>
      <w:r>
        <w:rPr>
          <w:rFonts w:ascii="Times New Roman" w:hAnsi="Times New Roman"/>
          <w:sz w:val="24"/>
        </w:rPr>
        <w:tab/>
        <w:t>kuntrattwali: skont id-data tal-ipprezzar mill-ġdid kuntrattwali kif definita fl-Artikolu 1, il-punt (2), tar-Regolament Delegat (UE) …/… (OP jekk jogħġbok daħħal referenza għall-RTS fuq l-SA), mingħajr ma jitqiesu s-suppożizzjonijiet komportamentali. Il-karatteristiċi kuntrattwali u legali biss (u jiġu injorati l-opzjonijiet awtomatiċi u l-limiti massimi/minimi legali) għandhom jiġu kkunsidrati. Il-profil tal-fluss tal-flus tal-prodotti mingħajr maturità (inklużi l-NMDs) għandhom jiġu trattati bħala pożizzjonijiet varjabbli fuq terminu qasir (l-iqsar taqsima tal-ħin). Ma għandhom jiġu applikati l-ebda prepagament u terminazzjoni bikrija komportamentali, ekwivalenti għal rati ta’ 0 % għat-tifdija qabel iż-żmien u l-prepagament kundizzjonali;</w:t>
      </w:r>
    </w:p>
    <w:p w14:paraId="603C1940" w14:textId="77777777" w:rsidR="004E6C70" w:rsidRPr="00577327" w:rsidRDefault="004E6C70" w:rsidP="004E6C70">
      <w:pPr>
        <w:suppressAutoHyphens/>
        <w:ind w:left="567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(b)</w:t>
      </w:r>
      <w:r>
        <w:rPr>
          <w:rFonts w:ascii="Times New Roman" w:hAnsi="Times New Roman"/>
          <w:sz w:val="24"/>
        </w:rPr>
        <w:tab/>
        <w:t>immudellar komportamentali fix-xenarju ta’ referenza: skont il-flussi tal-flus immudellati soġġetti għall-ipprezzar mill-ġdid li jikkorrispondu, meta applikabbli, għal suppożizzjonijiet komportamentali taħt ix-xenarju ta’ referenza.</w:t>
      </w:r>
    </w:p>
    <w:p w14:paraId="7CA183D6" w14:textId="77777777" w:rsidR="004E6C70" w:rsidRPr="00577327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bookmarkStart w:id="52" w:name="_Ref140654581"/>
      <w:r>
        <w:rPr>
          <w:rFonts w:ascii="Times New Roman" w:hAnsi="Times New Roman"/>
          <w:sz w:val="24"/>
        </w:rPr>
        <w:t>1.4</w:t>
      </w:r>
      <w:r>
        <w:rPr>
          <w:rFonts w:ascii="Times New Roman" w:hAnsi="Times New Roman"/>
          <w:sz w:val="24"/>
        </w:rPr>
        <w:tab/>
        <w:t>Fil-każ tad-derivattivi, l-istituzzjonijiet għandhom jirrapportaw l-ammonti netti tal-flussi tal-flus soġġetti għall-ipprezzar mill-ġdid (jiġifieri mhux diżaggregati skont il-komponenti riċevitur/pagatur). Għad-derivattivi li jiħħeġġjaw l-assi, il-komponent it-twil (riċevitur/assi) tad-derivattiv għandu jiġi kkunsidrat b’sinjal pożittiv filwaqt li l-komponent il-qasir (pagatur/obbligazzjoni) għandu jiġi kkunsidrat b’sinjal negattiv meta jiġu kkomputati l-ammonti netti għal kull taqsima tal-ħin. Għandhom japplikaw eċċezzjonijiet għal din ir-regola fl-eventwalità li l-kupun tal-komponent tar-riċevitur ikun fiss f’ambjent ta’ rata tal-imgħax negattiva, li għandu jiġi kkunsidrat b’sinjal negattiv anki jekk parti mill-komponent it-twil (riċevitur/assi). L-oppost japplika għad-derivattivi li jiħħeġġjaw l-obbligazzjonijiet: il-komponent it-twil (riċevitur/assi) għandu jiġi kkunsidrat b’sinjal negattiv, filwaqt li l-</w:t>
      </w:r>
      <w:r>
        <w:rPr>
          <w:rFonts w:ascii="Times New Roman" w:hAnsi="Times New Roman"/>
          <w:sz w:val="24"/>
        </w:rPr>
        <w:lastRenderedPageBreak/>
        <w:t>komponent il-qasir (pagatur/obbligazzjoni) għandu jiġi kkunsidrat b’sinjal pożittiv meta jiġu kkomputati l-flussi tal-flus netti soġġetti għall-ipprezzar mill-ġdid.</w:t>
      </w:r>
      <w:bookmarkEnd w:id="52"/>
      <w:r>
        <w:rPr>
          <w:rFonts w:ascii="Times New Roman" w:hAnsi="Times New Roman"/>
          <w:sz w:val="24"/>
        </w:rPr>
        <w:t xml:space="preserve"> </w:t>
      </w:r>
    </w:p>
    <w:p w14:paraId="5B4BB5E8" w14:textId="77777777" w:rsidR="004E6C70" w:rsidRPr="00577327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1.5</w:t>
      </w:r>
      <w:r>
        <w:rPr>
          <w:rFonts w:ascii="Times New Roman" w:hAnsi="Times New Roman"/>
          <w:sz w:val="24"/>
        </w:rPr>
        <w:tab/>
        <w:t>L-istituzzjonijiet ma għandhomx jirrapportaw il-kolonni relatati mal-ammont nozzjonali, l-informazzjoni dwar l-opzjonijiet awtomatiċi u l-immudellar komportamentali, ir-rendiment medju u l-maturità kuntrattwali fil-karti għall-kundizzjonijiet kuntrattwali.</w:t>
      </w:r>
    </w:p>
    <w:p w14:paraId="028E6737" w14:textId="77777777" w:rsidR="004E6C70" w:rsidRDefault="004E6C70" w:rsidP="004E6C70">
      <w:pPr>
        <w:suppressAutoHyphens/>
        <w:rPr>
          <w:rFonts w:ascii="Times New Roman" w:hAnsi="Times New Roman"/>
          <w:sz w:val="24"/>
        </w:rPr>
      </w:pPr>
      <w:r>
        <w:br w:type="page"/>
      </w:r>
    </w:p>
    <w:p w14:paraId="2C1A6BF8" w14:textId="77777777" w:rsidR="004E6C70" w:rsidRPr="00A75ED8" w:rsidRDefault="004E6C70" w:rsidP="004E6C70">
      <w:pPr>
        <w:pStyle w:val="Instructionsberschrift2"/>
        <w:numPr>
          <w:ilvl w:val="0"/>
          <w:numId w:val="0"/>
        </w:numPr>
        <w:suppressAutoHyphens/>
        <w:rPr>
          <w:rFonts w:cs="Times New Roman"/>
          <w:b/>
          <w:bCs/>
          <w:sz w:val="24"/>
        </w:rPr>
      </w:pPr>
      <w:bookmarkStart w:id="53" w:name="_Toc188860620"/>
      <w:r>
        <w:rPr>
          <w:b/>
          <w:sz w:val="24"/>
        </w:rPr>
        <w:lastRenderedPageBreak/>
        <w:t>2.</w:t>
      </w:r>
      <w:r>
        <w:rPr>
          <w:b/>
          <w:sz w:val="24"/>
        </w:rPr>
        <w:tab/>
        <w:t>Struzzjonijiet li jikkonċernaw pożizzjonijiet speċifiċi:</w:t>
      </w:r>
      <w:bookmarkEnd w:id="53"/>
    </w:p>
    <w:p w14:paraId="0CACCB69" w14:textId="77777777" w:rsidR="004E6C70" w:rsidRPr="00D82419" w:rsidRDefault="004E6C70" w:rsidP="004E6C70">
      <w:pPr>
        <w:suppressAutoHyphens/>
        <w:spacing w:after="0"/>
        <w:rPr>
          <w:rStyle w:val="InstructionsTabelleText"/>
          <w:rFonts w:ascii="Times New Roman" w:hAnsi="Times New Roman"/>
          <w:sz w:val="24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C70" w:rsidRPr="00D82419" w14:paraId="18ABFF09" w14:textId="77777777" w:rsidTr="00E73145">
        <w:tc>
          <w:tcPr>
            <w:tcW w:w="1129" w:type="dxa"/>
            <w:shd w:val="clear" w:color="auto" w:fill="D9D9D9" w:themeFill="background1" w:themeFillShade="D9"/>
          </w:tcPr>
          <w:p w14:paraId="5C043C1B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2982C428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4E6C70" w:rsidRPr="00D82419" w:rsidDel="00910670" w14:paraId="054EE194" w14:textId="77777777" w:rsidTr="00E73145">
        <w:tc>
          <w:tcPr>
            <w:tcW w:w="1129" w:type="dxa"/>
          </w:tcPr>
          <w:p w14:paraId="1963C135" w14:textId="77777777" w:rsidR="004E6C70" w:rsidRPr="00D82419" w:rsidDel="00910670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0010-0250</w:t>
            </w:r>
          </w:p>
        </w:tc>
        <w:tc>
          <w:tcPr>
            <w:tcW w:w="7620" w:type="dxa"/>
          </w:tcPr>
          <w:p w14:paraId="22F7C5E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Rata fissa</w:t>
            </w:r>
          </w:p>
          <w:p w14:paraId="1670ED5E" w14:textId="77777777" w:rsidR="004E6C70" w:rsidRPr="00D82419" w:rsidDel="00910670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L-istituzzjonijiet għandhom jirrapportaw l-istimi relatati mal-istrumenti b’rata fissa, skont il-konvenzjoni speċifikata fil-Parti I, it-Taqsima </w:t>
            </w:r>
            <w:r w:rsidRPr="00D82419">
              <w:fldChar w:fldCharType="begin"/>
            </w:r>
            <w:r w:rsidRPr="00D82419">
              <w:instrText xml:space="preserve"> REF _Ref125115357 \r \h  \* MERGEFORMAT </w:instrText>
            </w:r>
            <w:r w:rsidRPr="00D82419">
              <w:fldChar w:fldCharType="separate"/>
            </w:r>
            <w:r w:rsidRPr="00D82419">
              <w:t>3</w:t>
            </w:r>
            <w:r w:rsidRPr="00D82419">
              <w:fldChar w:fldCharType="end"/>
            </w:r>
            <w:r>
              <w:t>, ta’ dan l-Anness.</w:t>
            </w:r>
          </w:p>
        </w:tc>
      </w:tr>
      <w:tr w:rsidR="004E6C70" w:rsidRPr="00D82419" w:rsidDel="00910670" w14:paraId="7A1DEC4E" w14:textId="77777777" w:rsidTr="00E73145">
        <w:tc>
          <w:tcPr>
            <w:tcW w:w="1129" w:type="dxa"/>
          </w:tcPr>
          <w:p w14:paraId="3E30A79C" w14:textId="77777777" w:rsidR="004E6C70" w:rsidRPr="00D82419" w:rsidDel="00910670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0260-0390</w:t>
            </w:r>
          </w:p>
        </w:tc>
        <w:tc>
          <w:tcPr>
            <w:tcW w:w="7620" w:type="dxa"/>
          </w:tcPr>
          <w:p w14:paraId="6B9AD20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Rata varjabbli</w:t>
            </w:r>
          </w:p>
          <w:p w14:paraId="2D7845E3" w14:textId="77777777" w:rsidR="004E6C70" w:rsidRPr="00D82419" w:rsidDel="00910670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jirrapportaw l-istimi relatati mal-istrumenti b’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rata varjabbli</w:t>
            </w:r>
            <w:r>
              <w:t xml:space="preserve">, skont il-konvenzjoni speċifikata fil-Parti I, it-Taqsima </w:t>
            </w:r>
            <w:r w:rsidRPr="00D82419">
              <w:fldChar w:fldCharType="begin"/>
            </w:r>
            <w:r w:rsidRPr="00D82419">
              <w:instrText xml:space="preserve"> REF _Ref125115357 \r \h  \* MERGEFORMAT </w:instrText>
            </w:r>
            <w:r w:rsidRPr="00D82419">
              <w:fldChar w:fldCharType="separate"/>
            </w:r>
            <w:r w:rsidRPr="00D82419">
              <w:t>3</w:t>
            </w:r>
            <w:r w:rsidRPr="00D82419">
              <w:fldChar w:fldCharType="end"/>
            </w:r>
            <w:r>
              <w:t xml:space="preserve"> , ta’ dan l-Anness</w:t>
            </w:r>
            <w:r>
              <w:rPr>
                <w:b/>
              </w:rPr>
              <w:t>.</w:t>
            </w:r>
          </w:p>
        </w:tc>
      </w:tr>
      <w:tr w:rsidR="004E6C70" w:rsidRPr="00D82419" w:rsidDel="00910670" w14:paraId="1271F471" w14:textId="77777777" w:rsidTr="00E73145">
        <w:tc>
          <w:tcPr>
            <w:tcW w:w="1129" w:type="dxa"/>
          </w:tcPr>
          <w:p w14:paraId="68FF5A2E" w14:textId="77777777" w:rsidR="004E6C70" w:rsidRPr="00D82419" w:rsidDel="00910670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27337BA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nozzjonali</w:t>
            </w:r>
          </w:p>
          <w:p w14:paraId="7D1B0FC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jirrapportaw l-ammont ta’ kapital pendenti tal-istrumenti.</w:t>
            </w:r>
          </w:p>
          <w:p w14:paraId="12383C67" w14:textId="77777777" w:rsidR="004E6C70" w:rsidRPr="00D82419" w:rsidDel="00910670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Fil-każ tad-derivattivi, għandu jiġi rrapportat l-ammont ta’ kapital pendenti tal-komponenti tal-assi (riċevitur) (jiġifieri, l-ebda ammont innettjat tal-komponenti riċevitur/pagatur).</w:t>
            </w:r>
          </w:p>
        </w:tc>
      </w:tr>
      <w:tr w:rsidR="004E6C70" w:rsidRPr="00D82419" w14:paraId="1FB80DAD" w14:textId="77777777" w:rsidTr="00E73145">
        <w:tc>
          <w:tcPr>
            <w:tcW w:w="1129" w:type="dxa"/>
          </w:tcPr>
          <w:p w14:paraId="38BB4F4B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 u 0270</w:t>
            </w:r>
          </w:p>
        </w:tc>
        <w:tc>
          <w:tcPr>
            <w:tcW w:w="7620" w:type="dxa"/>
          </w:tcPr>
          <w:p w14:paraId="04DDCB9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B’opzjonalità awtomatika inkorporata jew espliċita – mixtrija</w:t>
            </w:r>
          </w:p>
          <w:p w14:paraId="4BD7FD1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Il-perċentwal tal-ammont nozzjonali rrapportat fil-kolonni 0010 u 0260 soġġett għall-opzjonijiet awtomatiċi tar-rati tal-imgħax mixtrija. L-opzjonalità tista’ tirriżulta minn strumenti awtonomi mixtrija mill-istituzzjoni (inklużi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rati tal-imgħax minimi u massimi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swapzjonijiet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jew tkun ‘inkorporata’ fit-termini kuntrattwali ta’ prodotti bankarji oħra standard.</w:t>
            </w:r>
          </w:p>
          <w:p w14:paraId="3814BBF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L-opzjonijiet awtomatiċi tar-rati tal-imgħax inkorporati għandhom jiġu rrapportati flimkien mal-istrument ospitanti rilevanti tagħhom (assi jew inkella obbligazzjoni). L-opzjonijiet awtomatiċi tar-rati tal-imgħax espliċiti għandhom jiġu rrapportati bħala strumenti derivattivi.</w:t>
            </w:r>
          </w:p>
          <w:p w14:paraId="0E7BA21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L-opzjonijiet awtomatiċi mixtrija inkorporati għandhom jinkludu, fil-każ ta’ pożizzjonijiet b’rata varjabbli: (i) minimi mixtrija fuq assi b’rata varjabbli (self jew titoli ta’ dejn); (ii) limiti massimi mixtrija fuq titoli ta’ dejn b’rata varjabbli maħruġa eċċ. </w:t>
            </w:r>
          </w:p>
          <w:p w14:paraId="3805F80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L-opzjonijiet awtomatiċi mixtrija inkorporati għandhom jinkludu, fil-każ ta’ pożizzjonijiet b’rata tal-imgħax fissa: (i) assi ta’ sigurtà tad-dejn b’rata fissa b’opzjoni ta’ prepagament għall-istituzzjoni (pagatur ta’ swapzjoni mixtrija inkorporata); (ii) titoli ta’ dejn b’rata fissa maħruġa b’opzjoni ta’ prepagament għall-istituzzjoni (riċevent ta’ swapzjoni mixtrija inkorporata).</w:t>
            </w:r>
          </w:p>
          <w:p w14:paraId="58096D8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L-opzjonijiet awtomatiċi espliċiti mixtrija huma derivattivi li għandhom jinkludu: (i) rati tal-imgħax minimi espliċiti mixtrija; (ii) swapzjonijiet pagatur mixtrija espliċiti (istituzzjoni għandha d-dritt li tidħol fi Swap tar-Rati tal-Imgħax b’pagament ta’ rata fissa u riċeviment ta’ rata varjabbli); (iii) rati tal-imgħax massimi espliċiti mixtrija; (iv) riċevituri ta’ swapzjonijiet mixtrija espliċiti (istituzzjoni għandha d-dritt li tidħol fi swap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tar-rati tal-imgħax b’riċeviment ta’ rata fissa u pagament ta’ rata varjabbli).</w:t>
            </w:r>
          </w:p>
          <w:p w14:paraId="7CBAA77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Meta jikkalkulaw l-iskopertura f’perċentwal, l-istituzzjonijiet għandhom jikkunsidraw kif dovut il-konvenzjonijiet speċifikati fil-Parti I, it-Taqsima </w:t>
            </w:r>
            <w:r w:rsidRPr="00D82419">
              <w:fldChar w:fldCharType="begin"/>
            </w:r>
            <w:r w:rsidRPr="00D82419">
              <w:instrText xml:space="preserve"> REF _Ref122265153 \r \h  \* MERGEFORMAT </w:instrText>
            </w:r>
            <w:r w:rsidRPr="00D82419">
              <w:fldChar w:fldCharType="separate"/>
            </w:r>
            <w:r w:rsidRPr="00D82419">
              <w:t>3</w:t>
            </w:r>
            <w:r w:rsidRPr="00D82419">
              <w:fldChar w:fldCharType="end"/>
            </w:r>
            <w:r>
              <w:t>fir-rigward tal-opzjonijiet.</w:t>
            </w:r>
          </w:p>
        </w:tc>
      </w:tr>
      <w:tr w:rsidR="004E6C70" w:rsidRPr="00D82419" w14:paraId="2D990F56" w14:textId="77777777" w:rsidTr="00E73145">
        <w:tc>
          <w:tcPr>
            <w:tcW w:w="1129" w:type="dxa"/>
          </w:tcPr>
          <w:p w14:paraId="72F16037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0030 u 0280</w:t>
            </w:r>
          </w:p>
        </w:tc>
        <w:tc>
          <w:tcPr>
            <w:tcW w:w="7620" w:type="dxa"/>
          </w:tcPr>
          <w:p w14:paraId="31050AE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B’opzjonalità awtomatika inkorporata jew espliċita – mibjugħa</w:t>
            </w:r>
          </w:p>
          <w:p w14:paraId="2981042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Il-perċentwal tal-ammont nozzjonali rrapportat fil-kolonni 0010 u 0260 soġġett għall-opzjonijiet awtomatiċi tar-rati tal-imgħax mibjugħa. L-opzjonalità tista’ tirriżulta minn strumenti awtonomi mibjugħa mill-istituzzjoni (inklużi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rati tal-imgħax minimi u massimi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swapzjonijiet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jew tkun ‘inkorporata’ fit-termini kuntrattwali ta’ prodotti bankarji oħra standard.</w:t>
            </w:r>
          </w:p>
          <w:p w14:paraId="5588649E" w14:textId="77777777" w:rsidR="004E6C70" w:rsidRPr="00D82419" w:rsidRDefault="004E6C70" w:rsidP="00E73145">
            <w:pPr>
              <w:suppressAutoHyphens/>
              <w:spacing w:after="118" w:line="244" w:lineRule="auto"/>
              <w:ind w:right="8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L-opzjonijiet awtomatiċi tar-rati tal-imgħax inkorporati għandhom jiġu rrapportati flimkien mal-istrument ospitanti rilevanti tagħhom (assi jew inkella obbligazzjoni). L-opzjonijiet awtomatiċi tar-rati tal-imgħax espliċiti għandhom jiġu rrapportati bħala strumenti derivattivi.</w:t>
            </w:r>
          </w:p>
          <w:p w14:paraId="6C88DA30" w14:textId="77777777" w:rsidR="004E6C70" w:rsidRPr="00D82419" w:rsidRDefault="004E6C70" w:rsidP="00E73145">
            <w:pPr>
              <w:pStyle w:val="InstructionsText"/>
            </w:pPr>
            <w:r>
              <w:t xml:space="preserve">L-opzjonijiet awtomatiċi tar-rati tal-imgħax mibjugħa inkorporati għandhom jinkludu, fil-każ ta’ pożizzjonijiet b’rata varjabbli: (i) limiti massimi mixtrija fuq assi b’rata varjabbli (self u titoli ta’ dejn); (ii) limiti minimi mixtrija fuq titoli ta’ dejn b’rata varjabbli maħruġa eċċ. </w:t>
            </w:r>
          </w:p>
          <w:p w14:paraId="592746A4" w14:textId="77777777" w:rsidR="004E6C70" w:rsidRPr="00D82419" w:rsidRDefault="004E6C70" w:rsidP="00E73145">
            <w:pPr>
              <w:pStyle w:val="InstructionsText"/>
            </w:pPr>
            <w:r>
              <w:t>Għall-pożizzjonijiet b’rata tal-imgħax fissa, l-opzjonijiet awtomatiċi tar-rati tal-imgħax inkorporati mibjugħa għandhom jinkludu: (i) titoli ta’ dejn b’rata fissa b’opzjoni ta’ prepagament għall-emittent (riċevent ta’ swapzjoni mibjugħa inkorporata); (ii) minimi mibjugħa għal NMDs u depożiti b’terminu inklużi minimi legali u implikati u (iii) titoli ta’ dejn b’rata fissa maħruġa b’opzjoni ta’ prepagament għall-investitur (pagatur ta’ swapzjoni mibjugħa inkorporata).</w:t>
            </w:r>
          </w:p>
          <w:p w14:paraId="52CDEE4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L-opzjonijiet awtomatiċi espliċiti mibjugħa huma derivattivi li għandhom jinkludu (i) rati tal-imgħax massimi espliċiti mibjugħa; (ii) riċevituri ta’ swapzjonijiet mibjugħa espliċiti (istituzzjoni għandha l-obbligu li tidħol fiSwap tar-Rati tal-Imgħax b’pagament ta’ rata fissa u riċeviment ta’ rata varjabbli); (iii) rati tal-imgħax minimi espliċiti mibjugħa; (iv) pagaturi ta’ swapzjonijiet mibjugħa espliċiti (istituzzjoni għandha l-obbligu li tidħol fi swap tar-rati tal-imgħax b’riċeviment ta’ rata fissa u pagament ta’ rata varjabbli).</w:t>
            </w:r>
          </w:p>
          <w:p w14:paraId="413BC8F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Meta jikkalkulaw l-ammont f’perċentwal, l-istituzzjonijiet għandhom jikkunsidraw kif dovut il-konvenzjonijiet speċifikati fil-Parti I, it-Taqsima </w:t>
            </w:r>
            <w:r w:rsidRPr="00D82419">
              <w:fldChar w:fldCharType="begin"/>
            </w:r>
            <w:r w:rsidRPr="00D82419">
              <w:instrText xml:space="preserve"> REF _Ref122265153 \r \h </w:instrText>
            </w:r>
            <w:r>
              <w:instrText xml:space="preserve"> \* MERGEFORMAT </w:instrText>
            </w:r>
            <w:r w:rsidRPr="00D82419">
              <w:fldChar w:fldCharType="separate"/>
            </w:r>
            <w:r w:rsidRPr="00D82419">
              <w:t>3</w:t>
            </w:r>
            <w:r w:rsidRPr="00D82419">
              <w:fldChar w:fldCharType="end"/>
            </w:r>
            <w:r>
              <w:t>fir-rigward tal-opzjonijiet.</w:t>
            </w:r>
          </w:p>
        </w:tc>
      </w:tr>
      <w:tr w:rsidR="004E6C70" w:rsidRPr="00D82419" w14:paraId="6F388C9E" w14:textId="77777777" w:rsidTr="00E73145">
        <w:tc>
          <w:tcPr>
            <w:tcW w:w="1129" w:type="dxa"/>
          </w:tcPr>
          <w:p w14:paraId="63EE0FC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 u 0290</w:t>
            </w:r>
          </w:p>
        </w:tc>
        <w:tc>
          <w:tcPr>
            <w:tcW w:w="7620" w:type="dxa"/>
          </w:tcPr>
          <w:p w14:paraId="3EE07F0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Soġġett għall-immudellar komportamentali</w:t>
            </w:r>
          </w:p>
          <w:p w14:paraId="4576877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Il-perċentwal tal-ammont nozzjonali rrapportat fil-kolonni 0010 u 0260, soġġett għall-immudellar komportamentali, li t-twaqqit jew l-ammont tal-flussi tal-flus tiegħu jiddependi fuq il-komportament tal-klijenti.</w:t>
            </w:r>
          </w:p>
        </w:tc>
      </w:tr>
      <w:tr w:rsidR="004E6C70" w:rsidRPr="00D82419" w14:paraId="156C786C" w14:textId="77777777" w:rsidTr="00E73145">
        <w:tc>
          <w:tcPr>
            <w:tcW w:w="1129" w:type="dxa"/>
          </w:tcPr>
          <w:p w14:paraId="67776ACE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 u 0300</w:t>
            </w:r>
          </w:p>
        </w:tc>
        <w:tc>
          <w:tcPr>
            <w:tcW w:w="7620" w:type="dxa"/>
          </w:tcPr>
          <w:p w14:paraId="6B493FC5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Rendiment medju ponderat</w:t>
            </w:r>
          </w:p>
          <w:p w14:paraId="742047B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Ir-rendiment medju fuq bażi annwali ponderat bl-ammont nozzjonali.</w:t>
            </w:r>
          </w:p>
        </w:tc>
      </w:tr>
      <w:tr w:rsidR="004E6C70" w:rsidRPr="00D82419" w14:paraId="3F9E1C53" w14:textId="77777777" w:rsidTr="00E73145">
        <w:tc>
          <w:tcPr>
            <w:tcW w:w="1129" w:type="dxa"/>
          </w:tcPr>
          <w:p w14:paraId="7D549694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0060 u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0310</w:t>
            </w:r>
          </w:p>
        </w:tc>
        <w:tc>
          <w:tcPr>
            <w:tcW w:w="7620" w:type="dxa"/>
          </w:tcPr>
          <w:p w14:paraId="3121B9A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lastRenderedPageBreak/>
              <w:t>Maturità (kuntrattwali) medja ponderata</w:t>
            </w:r>
          </w:p>
          <w:p w14:paraId="75DD233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Il-maturità kuntrattwali medja mkejla bħala snin ponderata bl-ammont nozzjonali.</w:t>
            </w:r>
          </w:p>
        </w:tc>
      </w:tr>
      <w:tr w:rsidR="004E6C70" w:rsidRPr="00D82419" w14:paraId="085503AE" w14:textId="77777777" w:rsidTr="00E73145">
        <w:tc>
          <w:tcPr>
            <w:tcW w:w="1129" w:type="dxa"/>
          </w:tcPr>
          <w:p w14:paraId="2FB1807C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0070-0250 u 0320 - 0390</w:t>
            </w:r>
          </w:p>
        </w:tc>
        <w:tc>
          <w:tcPr>
            <w:tcW w:w="7620" w:type="dxa"/>
          </w:tcPr>
          <w:p w14:paraId="479AD0D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Skeda tal-ipprezzar mill-ġdid għall-flussi tal-flus nozzjonali soġġetti għall-ipprezzar mill-ġdid</w:t>
            </w:r>
          </w:p>
          <w:p w14:paraId="194AA000" w14:textId="77777777" w:rsidR="004E6C70" w:rsidRPr="00D82419" w:rsidRDefault="004E6C70" w:rsidP="00E73145">
            <w:pPr>
              <w:pStyle w:val="InstructionsText"/>
            </w:pPr>
            <w:r>
              <w:t>L-istituzzjonijiet għandhom jirrapportaw il-flussi tal-flus nozzjonali soġġetti għall-ipprezzar mill-ġdid kollha tal-futur li jirriżultaw mill-pożizzjonijiet sensittivi għar-rata tal-imgħax fil-kamp ta’ applikazzjoni tar-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Regolament Delegat (UE) …/… (OP jekk jogħġbok żid referenza għall-RTS fuq l-SOT</w:t>
            </w:r>
            <w:r>
              <w:t xml:space="preserve">) fit-taqsimiet tal-ħin predefiniti (li jaqgħu fihom skont id-dati tal-ipprezzar mill-ġdid tagħhom.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(id-definizzjoni ta’ “flussi tal-flus nozzjonali soġġetti għall-ipprezzar mill-ġdid” u “data tal-ipprezzar mill-ġdid” kif stipulata fl-Artikolu 1, il-punti (1) u (2) tar-</w:t>
            </w:r>
            <w:r>
              <w:t>Regolament Delegat (UE) …/… (OP jekk jogħġbok żid referenza għall-RTS fuq l-SA)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EE8D5F2" w14:textId="77777777" w:rsidR="004E6C70" w:rsidRPr="00D82419" w:rsidRDefault="004E6C70" w:rsidP="00E73145">
            <w:pPr>
              <w:pStyle w:val="InstructionsText"/>
            </w:pPr>
            <w:r>
              <w:t>L-opzjonijiet awtomatiċi tar-rati tal-imgħax kemm jekk espliċiti kif ukoll jekk inkorporati għandhom jitneħħew mill-kuntratti ospitanti tagħhom u injorati fil-klassifikar prudenzjali tal-flussi tal-flus nozzjonali soġġetti għall-ipprezzar mill-ġdid.</w:t>
            </w:r>
          </w:p>
          <w:p w14:paraId="25649CBA" w14:textId="77777777" w:rsidR="004E6C70" w:rsidRPr="00D82419" w:rsidRDefault="004E6C70" w:rsidP="00E73145">
            <w:pPr>
              <w:pStyle w:val="InstructionsText"/>
            </w:pPr>
            <w:r>
              <w:t xml:space="preserve">Id-derivattivi li mhumiex opzjonijiet awtomatiċi tar-rati tal-imgħax għandhom jiġu kkonvertiti f’pożizzjonijiet fis-sottostanti rilevanti u maqsuma f’pożizzjonijiet pagaturi u riċevituri (pożizzjonijiet qosra u twal) fis-sottostanti rilevanti. L-ammonti kkunsidrati għandhom ikunu ammonti ta’ kapital tas-sottostanti jew tas-sottostanti nozzjonali. Il-kuntratti tal-futuri u forward inklużi l-ftehimiet tar-rata forward għandhom jiġu trattati bħala taħlita ta’ pożizzjonijiet qosra u twal. </w:t>
            </w:r>
          </w:p>
          <w:p w14:paraId="1FDD500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>
              <w:t>Meta jirrappreżentaw il-flussi tal-flus soġġetti għall-ipprezzar mill-ġdid tad-derivattivi li mhumiex opzjonijiet awtomatiċi tar-rati tal-imgħax, l-istituzzjonijiet għandhom jikkunsidraw kif dovut il-konvenzjonijiet speċifikati fil-paragrafu </w:t>
            </w:r>
            <w:r w:rsidRPr="00D82419">
              <w:fldChar w:fldCharType="begin"/>
            </w:r>
            <w:r w:rsidRPr="00D82419">
              <w:instrText xml:space="preserve"> REF _Ref140654581 \r \h  \* MERGEFORMAT </w:instrText>
            </w:r>
            <w:r w:rsidRPr="00D82419">
              <w:fldChar w:fldCharType="separate"/>
            </w:r>
            <w:r w:rsidRPr="00D82419">
              <w:t>24</w:t>
            </w:r>
            <w:r w:rsidRPr="00D82419">
              <w:fldChar w:fldCharType="end"/>
            </w:r>
            <w:r>
              <w:t xml:space="preserve"> fir-rigward tad-derivattivi.</w:t>
            </w:r>
          </w:p>
        </w:tc>
      </w:tr>
    </w:tbl>
    <w:p w14:paraId="407ACE7A" w14:textId="77777777" w:rsidR="004E6C70" w:rsidRPr="00D82419" w:rsidRDefault="004E6C70" w:rsidP="004E6C70">
      <w:pPr>
        <w:suppressAutoHyphens/>
        <w:spacing w:after="0"/>
        <w:rPr>
          <w:rStyle w:val="InstructionsTabelleText"/>
          <w:rFonts w:ascii="Times New Roman" w:hAnsi="Times New Roman"/>
          <w:sz w:val="24"/>
        </w:rPr>
      </w:pPr>
    </w:p>
    <w:p w14:paraId="424FF4DD" w14:textId="77777777" w:rsidR="004E6C70" w:rsidRPr="00D82419" w:rsidRDefault="004E6C70" w:rsidP="004E6C70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10719443" w14:textId="77777777" w:rsidR="004E6C70" w:rsidRPr="00D82419" w:rsidRDefault="004E6C70" w:rsidP="004E6C70">
      <w:pPr>
        <w:suppressAutoHyphens/>
        <w:spacing w:before="0" w:after="0"/>
        <w:jc w:val="left"/>
        <w:rPr>
          <w:rFonts w:ascii="Times New Roman" w:eastAsia="Arial" w:hAnsi="Times New Roman"/>
          <w:b/>
          <w:sz w:val="24"/>
        </w:rPr>
      </w:pPr>
      <w:r>
        <w:br w:type="page"/>
      </w:r>
    </w:p>
    <w:p w14:paraId="705176E0" w14:textId="77777777" w:rsidR="004E6C70" w:rsidRPr="00D82419" w:rsidRDefault="004E6C70" w:rsidP="004E6C70">
      <w:pPr>
        <w:pStyle w:val="Heading2"/>
        <w:suppressAutoHyphens/>
      </w:pPr>
      <w:bookmarkStart w:id="54" w:name="_Toc188860621"/>
      <w:r>
        <w:lastRenderedPageBreak/>
        <w:t>PARTI V: PARAMETRI RILEVANTI (J 08.00 u J 09.00)</w:t>
      </w:r>
      <w:bookmarkEnd w:id="54"/>
    </w:p>
    <w:p w14:paraId="004A537C" w14:textId="77777777" w:rsidR="004E6C70" w:rsidRPr="00A75ED8" w:rsidRDefault="004E6C70" w:rsidP="004E6C7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sz w:val="24"/>
        </w:rPr>
      </w:pPr>
      <w:bookmarkStart w:id="55" w:name="_Toc188860622"/>
      <w:r>
        <w:rPr>
          <w:b/>
          <w:sz w:val="24"/>
        </w:rPr>
        <w:t>1.</w:t>
      </w:r>
      <w:r>
        <w:rPr>
          <w:b/>
          <w:sz w:val="24"/>
        </w:rPr>
        <w:tab/>
        <w:t>Rimarki ġenerali</w:t>
      </w:r>
      <w:bookmarkEnd w:id="55"/>
    </w:p>
    <w:p w14:paraId="3E7162EF" w14:textId="77777777" w:rsidR="004E6C70" w:rsidRPr="007F52CC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</w:t>
      </w:r>
      <w:r>
        <w:rPr>
          <w:rFonts w:ascii="Times New Roman" w:hAnsi="Times New Roman"/>
          <w:sz w:val="24"/>
        </w:rPr>
        <w:tab/>
        <w:t>Il-formoli J 08.00 u J 09.00 fihom informazzjoni dwar il-parametri rilevanti għall-monitoraġġ tal-immudellar tal-IRRBB. Il-maġġorparti tal-informazzjoni f’din il-formola għandha tinġieb mill-informazzjoni rrapportata fil-formoli J 02.00 sa J 07.00. L-informazzjoni għandha tiġi rrapportata billi titqies il-perspettiva tal-EVE, inklużi r-rekwiżiti u s-suppożizzjonijiet ta’ mmudellar speċifikati fl-Artikolu 3 tar-Regolament Delegat (UE) …/… (OP jekk jogħġbok żid referenza għall-RTS fuq l-SOT), u tiġi injorata l-opzjonalità awtomatika, għajr għar-ringieli 0120 sa 0150.</w:t>
      </w:r>
    </w:p>
    <w:p w14:paraId="1EED4F15" w14:textId="77777777" w:rsidR="004E6C70" w:rsidRPr="007F52CC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</w:t>
      </w:r>
      <w:r>
        <w:rPr>
          <w:rFonts w:ascii="Times New Roman" w:hAnsi="Times New Roman"/>
          <w:sz w:val="24"/>
        </w:rPr>
        <w:tab/>
        <w:t>Dawn il-formoli għandhom jiġu rrapportati għal kull munita b’mod separat li fiha l-istituzzjoni jkollha pożizzjonijiet meta l-valur kontabilistiku tal-assi jew tal-obbligazzjonijiet finanzjarji denominati f’munita jammontaw għal 5 % jew aktar tal-assi jew l-obbligazzjonijiet finanzjarji totali tal-portafoll bankarju, jew inqas minn 5 % meta s-somma tal-assi jew l-obbligazzjonijiet finanzjarji inklużi fil-kalkolu tkun inqas minn 90 % tal-assi (esklużi l-assi tanġibbli) jew l-obbligazzjonijiet finanzjarji totali tal-portafoll bankarju.</w:t>
      </w:r>
    </w:p>
    <w:p w14:paraId="10FF9BD8" w14:textId="77777777" w:rsidR="004E6C70" w:rsidRPr="00A75ED8" w:rsidRDefault="004E6C70" w:rsidP="004E6C7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sz w:val="24"/>
        </w:rPr>
      </w:pPr>
      <w:bookmarkStart w:id="56" w:name="_Toc188860623"/>
      <w:r>
        <w:rPr>
          <w:b/>
          <w:sz w:val="24"/>
        </w:rPr>
        <w:t>2.</w:t>
      </w:r>
      <w:r>
        <w:rPr>
          <w:b/>
          <w:sz w:val="24"/>
        </w:rPr>
        <w:tab/>
        <w:t>Struzzjonijiet li jikkonċernaw pożizzjonijiet speċifiċi</w:t>
      </w:r>
      <w:bookmarkEnd w:id="56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C70" w:rsidRPr="00D82419" w14:paraId="437ADAB5" w14:textId="77777777" w:rsidTr="00E73145">
        <w:tc>
          <w:tcPr>
            <w:tcW w:w="1129" w:type="dxa"/>
            <w:shd w:val="clear" w:color="auto" w:fill="D9D9D9" w:themeFill="background1" w:themeFillShade="D9"/>
          </w:tcPr>
          <w:p w14:paraId="390A5E53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eastAsia="Arial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5DD15A1C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4E6C70" w:rsidRPr="00D82419" w14:paraId="33902AF3" w14:textId="77777777" w:rsidTr="00E73145">
        <w:tc>
          <w:tcPr>
            <w:tcW w:w="1129" w:type="dxa"/>
          </w:tcPr>
          <w:p w14:paraId="5B25393B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0010-0110</w:t>
            </w:r>
          </w:p>
        </w:tc>
        <w:tc>
          <w:tcPr>
            <w:tcW w:w="7620" w:type="dxa"/>
          </w:tcPr>
          <w:p w14:paraId="3E11605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NMDs - Immudellar komportamentali - Dati tal-ipprezzar mill-ġdid medji qabel u wara l-immudellar</w:t>
            </w:r>
          </w:p>
          <w:p w14:paraId="3BAA4752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Id-dati tal-ipprezzar mill-ġdid medji għandhom jiġu kkalkulati għal kull kategorija tal-NMDs skont id-diżaggregazzjoni speċifikata fil-Parti II,</w:t>
            </w:r>
            <w:r>
              <w:t xml:space="preserve"> it-taqsima </w:t>
            </w:r>
            <w:r w:rsidRPr="00D82419">
              <w:fldChar w:fldCharType="begin"/>
            </w:r>
            <w:r w:rsidRPr="00D82419">
              <w:instrText xml:space="preserve"> REF _Ref119418268 \r \h  \* MERGEFORMAT </w:instrText>
            </w:r>
            <w:r w:rsidRPr="00D82419">
              <w:fldChar w:fldCharType="separate"/>
            </w:r>
            <w:r w:rsidRPr="00D82419">
              <w:t>11</w:t>
            </w:r>
            <w:r w:rsidRPr="00D82419">
              <w:fldChar w:fldCharType="end"/>
            </w:r>
            <w:r>
              <w:t xml:space="preserve"> ta’ dan l-Anness,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b’diżaggregazzjoni ulterjuri ta’: (a) il-parti meqjusa bħala l-volum “ewlieni” (għal dawk l-NMDs differenti mid-depożiti finanzjarji bl-ingrossa, u skont id-definizzjoni ta’ “ewlieni” fl-Artikolu 1, il-punt (15)</w:t>
            </w:r>
            <w:r>
              <w:t xml:space="preserve"> tar-Regolament Delegat (UE) …/… (OP jekk jogħġbok żid referenza għall-RTS fuq l-SA),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(b) il-perimetru tat-tfaddil regolat imsemmi fl-Artikolu 428f(2), il-punt (a),</w:t>
            </w:r>
            <w:r>
              <w:t xml:space="preserve"> tar-Regolament (UE) Nru 575/2013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- mhux limitat għall-parti ċentralizzata - jew kwalunkwe tfaddil ieħor b’limiti ekonomiċi jew fiskali f’każ ta’ prelevament, li fuqu l-istituzzjoni mhijiex tapplika limitu massimu fuq il-maturità ta’ pprezzar mill-ġdid tiegħu (bħal-limitu massimu ta’ 5 snin), fil-ġestjoni tar-riskju intern tal-IRRBB tagħha, u (c) il-perimetru tad-depożiti operazzjonali kif definiti fl-Artikolu 27(1), il-punt (a),</w:t>
            </w:r>
            <w:r>
              <w:t xml:space="preserve"> tar-Regolament Delegat (UE) 2015/61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E7EDA7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Id-dati tal-ipprezzar mill-ġdid medji għandhom jiġu kkalkulati bħala medja ponderata tad-“dati tal-ipprezzar mill-ġdid” u l-ponderazzjoni assenjata abbażi tal-“flussi tal-flus nozzjonali soġġetti għall-ipprezzar mill-ġdid” tal-pożizzjonijiet f’kull kategorija/diżaggregazzjoni rilevanti tal-NMDs (id-definizzjoni ta’ “flussi tal-flus nozzjonali soġġetti għall-ipprezzar mill-ġdid” u “data tal-ipprezzar mill-ġdid” kif stipulata fl-Artikolu 1, il-punti (1) u (2)</w:t>
            </w:r>
            <w:r>
              <w:t xml:space="preserve"> tar-Regolament Delegat (UE) …/… (OP jekk jogħġbok żid referenza għall-RTS fuq l-SA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).</w:t>
            </w:r>
          </w:p>
        </w:tc>
      </w:tr>
      <w:tr w:rsidR="004E6C70" w:rsidRPr="00D82419" w14:paraId="28F23C6C" w14:textId="77777777" w:rsidTr="00E73145">
        <w:tc>
          <w:tcPr>
            <w:tcW w:w="1129" w:type="dxa"/>
          </w:tcPr>
          <w:p w14:paraId="3CCC81B2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0120-0150</w:t>
            </w:r>
          </w:p>
        </w:tc>
        <w:tc>
          <w:tcPr>
            <w:tcW w:w="7620" w:type="dxa"/>
          </w:tcPr>
          <w:p w14:paraId="0C98663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NMDs - Immudellar komportamentali – PTR Fuq medda ta’ żmien ta’ sena</w:t>
            </w:r>
          </w:p>
          <w:p w14:paraId="4D9598E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Ir-rata pass-through (PTR, Pass-through rate) kif definita fl-Artikolu 1, il-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punt (14)</w:t>
            </w:r>
            <w:r>
              <w:t xml:space="preserve"> tar-Regolament Delegat (UE) …/… (OP jekk jogħġbok żid referenza għall-RTS fuq l-SA)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għandha tiġi rrapportata għal kull kategorija tal-NMDs skont id-diżaggregazzjoni speċifikata</w:t>
            </w:r>
            <w:r>
              <w:t xml:space="preserve"> fil-Parti I, it-Taqsima </w:t>
            </w:r>
            <w:r w:rsidRPr="00D82419">
              <w:fldChar w:fldCharType="begin"/>
            </w:r>
            <w:r w:rsidRPr="00D82419">
              <w:instrText xml:space="preserve"> REF _Ref119418268 \r \h  \* MERGEFORMAT </w:instrText>
            </w:r>
            <w:r w:rsidRPr="00D82419">
              <w:fldChar w:fldCharType="separate"/>
            </w:r>
            <w:r w:rsidRPr="00D82419">
              <w:t>11</w:t>
            </w:r>
            <w:r w:rsidRPr="00D82419">
              <w:fldChar w:fldCharType="end"/>
            </w:r>
            <w:r>
              <w:t xml:space="preserve">, ta’ dan l-Anness,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u għal medda ta’ żmien ta’ sena.</w:t>
            </w:r>
          </w:p>
          <w:p w14:paraId="7F16CE38" w14:textId="77777777" w:rsidR="004E6C70" w:rsidRPr="00D82419" w:rsidRDefault="004E6C70" w:rsidP="00E73145">
            <w:pPr>
              <w:pStyle w:val="InstructionsText"/>
              <w:rPr>
                <w:rFonts w:eastAsia="Calibri"/>
              </w:rPr>
            </w:pPr>
            <w:r>
              <w:t>L-istituzzjonijiet għandhom jirrapportaw bħala l-PTR, il-perċentwal tal-medja ponderata tax-xokkijiet tar-rati tal-imgħax li jkun preżunt li ġie trasferit fl-NMDs tagħhom, taħt ix-xenarji regolatorji tar-rati tal-imgħax u l-metriċi tal-NII speċifikati fir-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Regolament Delegat (UE) …/… (OP jekk jogħġbok żid referenza għall-RTS fuq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l-SOT)</w:t>
            </w:r>
            <w:r>
              <w:t>.</w:t>
            </w:r>
          </w:p>
        </w:tc>
      </w:tr>
      <w:tr w:rsidR="004E6C70" w:rsidRPr="00D82419" w14:paraId="6E4C608D" w14:textId="77777777" w:rsidTr="00E73145">
        <w:tc>
          <w:tcPr>
            <w:tcW w:w="1129" w:type="dxa"/>
          </w:tcPr>
          <w:p w14:paraId="7004BB4C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0160-0220</w:t>
            </w:r>
          </w:p>
        </w:tc>
        <w:tc>
          <w:tcPr>
            <w:tcW w:w="7620" w:type="dxa"/>
          </w:tcPr>
          <w:p w14:paraId="0092381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Rata Fissa - Riskju ta’ prepagament - Dati tal-ipprezzar mill-ġdid medji qabel u wara l-immudellar</w:t>
            </w:r>
          </w:p>
          <w:p w14:paraId="047D958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Id-dati tal-ipprezzar mill-ġdid medji għandhom jiġu kkalkulati għal kull kategorija rilevanti kif speċifikat fil-Parti I,</w:t>
            </w:r>
            <w:r>
              <w:t xml:space="preserve"> it-Taqsima </w:t>
            </w:r>
            <w:r w:rsidRPr="00D82419">
              <w:fldChar w:fldCharType="begin"/>
            </w:r>
            <w:r w:rsidRPr="00D82419">
              <w:instrText xml:space="preserve"> REF _Ref119418268 \r \h  \* MERGEFORMAT </w:instrText>
            </w:r>
            <w:r w:rsidRPr="00D82419">
              <w:fldChar w:fldCharType="separate"/>
            </w:r>
            <w:r w:rsidRPr="00D82419">
              <w:t>11</w:t>
            </w:r>
            <w:r w:rsidRPr="00D82419">
              <w:fldChar w:fldCharType="end"/>
            </w:r>
            <w:r>
              <w:t xml:space="preserve">, ta’ dan l-Anness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għal “self u avvanzi” b’rata fissa u “titoli ta’ dejn” b’rata fissa soġġetti għar-riskju ta’ prepagament.</w:t>
            </w:r>
          </w:p>
          <w:p w14:paraId="60DF36F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L-istituzzjonijiet għandhom jikkunsidraw bħala pożizzjonijiet soġġetti għar-riskju ta’ prepagament, dawk il-pożizzjonijiet biss li għalihom il-klijent ma jġarrabx il-kostijiet ekonomiċi sħaħ tal-prepagament qabel iż-żmien. Il-pożizzjonijiet li għalihom il-klijent iġarrab il-kost ekonomiku sħiħ tal-prepagament qabel iż-żmien ma għandhomx jiġu kkunsidrati bħala soġġetti għar-riskju ta’ prepagament għall-finijiet tal-kalkolu. Id-dati tal-ipprezzar mill-ġdid medji għandhom jiġu kkalkulati bħala medja ponderata tad-“dati tal-ipprezzar mill-ġdid” u l-“flussi tal-flus nozzjonali soġġetti għall-ipprezzar mill-ġdid” tal-pożizzjonijiet f’kull kategorija/diżaggregazzjoni rilevanti ta’ “self u avvanzi” b’rata fissa u “titoli ta’ dejn” b’rata fissa (id-definizzjoni ta’ “flussi tal-flus nozzjonali soġġetti għall-ipprezzar mill-ġdid” u “data tal-ipprezzar mill-ġdid” kif stipulata fl-Artikolu 1, il-punti (1) u (2) </w:t>
            </w:r>
            <w:r>
              <w:t>tar-Regolament Delegat (UE) …/… (OP jekk jogħġbok żid referenza għall-RTS fuq l-SA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).</w:t>
            </w:r>
          </w:p>
        </w:tc>
      </w:tr>
      <w:tr w:rsidR="004E6C70" w:rsidRPr="00D82419" w14:paraId="3D685CC2" w14:textId="77777777" w:rsidTr="00E73145">
        <w:tc>
          <w:tcPr>
            <w:tcW w:w="1129" w:type="dxa"/>
          </w:tcPr>
          <w:p w14:paraId="0320F25E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0230-0290</w:t>
            </w:r>
          </w:p>
        </w:tc>
        <w:tc>
          <w:tcPr>
            <w:tcW w:w="7620" w:type="dxa"/>
          </w:tcPr>
          <w:p w14:paraId="21FEBE6A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Rata Fissa - Riskju ta’ prepagament – Rati tal-prepagament kundizzjonali (medja annwalizzata)</w:t>
            </w:r>
          </w:p>
          <w:p w14:paraId="44DBC02D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Ir-rata medja annwalizzata tal-prepagament kundizzjonali għandha tiġi rrapportata f’termini annwalizzati, għal kull kategorija rilevanti kif speċifikat fil-Parti I</w:t>
            </w:r>
            <w:r>
              <w:t>, it-Taqsima </w:t>
            </w:r>
            <w:r w:rsidRPr="00D82419">
              <w:fldChar w:fldCharType="begin"/>
            </w:r>
            <w:r w:rsidRPr="00D82419">
              <w:instrText xml:space="preserve"> REF _Ref119418268 \r \h  \* MERGEFORMAT </w:instrText>
            </w:r>
            <w:r w:rsidRPr="00D82419">
              <w:fldChar w:fldCharType="separate"/>
            </w:r>
            <w:r w:rsidRPr="00D82419">
              <w:t>11</w:t>
            </w:r>
            <w:r w:rsidRPr="00D82419">
              <w:fldChar w:fldCharType="end"/>
            </w:r>
            <w:r>
              <w:t>, ta’ dan l-Anness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bħala r-rata medja annwali ponderata ta’ prepagament, skont l-ammont pendenti f’kull perjodu annwali, sal-waqfien naturali tal-portafoll, tal-portafolli ta’ ‘self u avvanzi’ b’rata fissa u ‘titoli ta’ dejn’ b’rata fissa soġġetti għar-riskju ta’ prepagament.</w:t>
            </w:r>
          </w:p>
        </w:tc>
      </w:tr>
      <w:tr w:rsidR="004E6C70" w:rsidRPr="00D82419" w14:paraId="578C6E6E" w14:textId="77777777" w:rsidTr="00E73145">
        <w:tc>
          <w:tcPr>
            <w:tcW w:w="1129" w:type="dxa"/>
          </w:tcPr>
          <w:p w14:paraId="67BB5338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0300-0330</w:t>
            </w:r>
          </w:p>
        </w:tc>
        <w:tc>
          <w:tcPr>
            <w:tcW w:w="7620" w:type="dxa"/>
          </w:tcPr>
          <w:p w14:paraId="187475E5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Rata Fissa - Riskju ta’ tifdija qabel iż-żmien - Dati tal-ipprezzar mill-ġdid medji qabel u wara l-immudellar</w:t>
            </w:r>
          </w:p>
          <w:p w14:paraId="46DB90E8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Id-dati tal-ipprezzar mill-ġdid medji għandhom jiġu kkalkulati għal kull kategorija rilevanti, kif speċifikat fil-Parti I,</w:t>
            </w:r>
            <w:r>
              <w:t xml:space="preserve"> it-Taqsima </w:t>
            </w:r>
            <w:r w:rsidRPr="00D82419">
              <w:fldChar w:fldCharType="begin"/>
            </w:r>
            <w:r w:rsidRPr="00D82419">
              <w:instrText xml:space="preserve"> REF _Ref119418268 \r \h  \* MERGEFORMAT </w:instrText>
            </w:r>
            <w:r w:rsidRPr="00D82419">
              <w:fldChar w:fldCharType="separate"/>
            </w:r>
            <w:r w:rsidRPr="00D82419">
              <w:t>11</w:t>
            </w:r>
            <w:r w:rsidRPr="00D82419">
              <w:fldChar w:fldCharType="end"/>
            </w:r>
            <w:r>
              <w:t xml:space="preserve">, ta’ dan l-Anness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għal “depożiti b’terminu” b’rata fissa soġġetti għar-riskju ta’ tifdija qabel iż-żmien.</w:t>
            </w:r>
          </w:p>
          <w:p w14:paraId="7052EF64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Id-dati tal-ipprezzar mill-ġdid medji għandhom jiġu kkalkulati bħala medja ponderata tad-“dati tal-ipprezzar mill-ġdid” u l-ponderazzjoni assenjata abbażi tal-“flussi tal-flus nozzjonali soġġetti għall-ipprezzar mill-ġdid” tal-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pożizzjonijiet aggregati f’kull kategorija/diżaggregazzjoni rilevanti (id-definizzjoni ta’ “flussi tal-flus nozzjonali soġġetti għall-ipprezzar mill-ġdid” u “data tal-ipprezzar mill-ġdid” kif stipulata fl-Artikolu 1, il-punti (1) u (2)</w:t>
            </w:r>
            <w:r>
              <w:t xml:space="preserve"> tar-Regolament Delegat (UE) …/… (OP jekk jogħġbok żid referenza għall-RTS fuq l-SA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).</w:t>
            </w:r>
          </w:p>
          <w:p w14:paraId="38B6CAB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L-istituzzjonijiet għandhom jikkunsidraw bħala pożizzjonijiet soġġetti għar-riskju ta’ tifdija qabel iż-żmien, dawk il-pożizzjonijiet biss li għalihom il-klijent ma jġarrabx il-kostijiet ekonomiċi sħaħ tat-tifdija qabel iż-żmien. Il-pożizzjonijiet li għalihom il-klijent iġarrab il-kost ekonomiku sħiħ tat-tifdija qabel iż-żmien ma għandhomx jiġu kkunsidrati bħala soġġetti għar-riskju tat-tifdija qabel iż-żmien għall-finijiet tal-kalkolu.</w:t>
            </w:r>
          </w:p>
        </w:tc>
      </w:tr>
      <w:tr w:rsidR="004E6C70" w:rsidRPr="00D82419" w14:paraId="22821345" w14:textId="77777777" w:rsidTr="00E73145">
        <w:tc>
          <w:tcPr>
            <w:tcW w:w="1129" w:type="dxa"/>
          </w:tcPr>
          <w:p w14:paraId="41754D86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0340-0370</w:t>
            </w:r>
          </w:p>
        </w:tc>
        <w:tc>
          <w:tcPr>
            <w:tcW w:w="7620" w:type="dxa"/>
          </w:tcPr>
          <w:p w14:paraId="4C2BE62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Rata Fissa – Riskju ta’ tifdija qabel iż-żmien - Rati tat-tifdija qabel iż-żmien (medja kumulattiva)</w:t>
            </w:r>
          </w:p>
          <w:p w14:paraId="4B29ED5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Ir-rata medja kumulattiva għat-tifdija qabel iż-żmien kundizzjonali għandha tiġi rrapportata għal kull kategorija rilevanti, kif speċifikat fil-Parti I, </w:t>
            </w:r>
            <w:r>
              <w:t>it-Taqsima </w:t>
            </w:r>
            <w:r w:rsidRPr="00D82419">
              <w:fldChar w:fldCharType="begin"/>
            </w:r>
            <w:r w:rsidRPr="00D82419">
              <w:instrText xml:space="preserve"> REF _Ref119418268 \r \h  \* MERGEFORMAT </w:instrText>
            </w:r>
            <w:r w:rsidRPr="00D82419">
              <w:fldChar w:fldCharType="separate"/>
            </w:r>
            <w:r w:rsidRPr="00D82419">
              <w:t>11</w:t>
            </w:r>
            <w:r w:rsidRPr="00D82419">
              <w:fldChar w:fldCharType="end"/>
            </w:r>
            <w:r>
              <w:t>, ta’ dan l-Anness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bħala l-proporzjon bejn l-ammont mifdi qabel iż-żmien tal-pożizzjonijiet tad-‘depożiti b’terminu’ b’rata fissa soġġetti għar-riskju ta’ tifdija qabel iż-żmien (għal kull kategorija rilevanti), diviż bl-ammont pendenti kumplessiv tad-‘Depożiti b’terminu’ b’rata fissa soġġetti għar-riskju tifdija qabel iż-żmien (għal kull kategorija rilevanti).</w:t>
            </w:r>
          </w:p>
        </w:tc>
      </w:tr>
    </w:tbl>
    <w:p w14:paraId="732A058C" w14:textId="77777777" w:rsidR="004E6C70" w:rsidRPr="00D82419" w:rsidRDefault="004E6C70" w:rsidP="004E6C70">
      <w:pPr>
        <w:suppressAutoHyphens/>
        <w:spacing w:after="0"/>
        <w:rPr>
          <w:rStyle w:val="InstructionsTabelleText"/>
          <w:rFonts w:ascii="Times New Roman" w:hAnsi="Times New Roman"/>
          <w:sz w:val="24"/>
        </w:rPr>
      </w:pPr>
    </w:p>
    <w:p w14:paraId="2E23B0A4" w14:textId="77777777" w:rsidR="004E6C70" w:rsidRPr="00D82419" w:rsidRDefault="004E6C70" w:rsidP="004E6C70">
      <w:pPr>
        <w:suppressAutoHyphens/>
        <w:spacing w:after="0"/>
        <w:rPr>
          <w:rStyle w:val="InstructionsTabelleText"/>
          <w:rFonts w:ascii="Times New Roman" w:hAnsi="Times New Roman"/>
          <w:sz w:val="24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C70" w:rsidRPr="00D82419" w14:paraId="5CA87797" w14:textId="77777777" w:rsidTr="00E73145">
        <w:tc>
          <w:tcPr>
            <w:tcW w:w="1129" w:type="dxa"/>
            <w:shd w:val="clear" w:color="auto" w:fill="D9D9D9" w:themeFill="background1" w:themeFillShade="D9"/>
          </w:tcPr>
          <w:p w14:paraId="2A3C42E5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64DF1153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4E6C70" w:rsidRPr="00D82419" w:rsidDel="00F47983" w14:paraId="71846104" w14:textId="77777777" w:rsidTr="00E73145">
        <w:tc>
          <w:tcPr>
            <w:tcW w:w="1129" w:type="dxa"/>
          </w:tcPr>
          <w:p w14:paraId="4600BEE9" w14:textId="77777777" w:rsidR="004E6C70" w:rsidRPr="00D82419" w:rsidDel="00F47983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25A8CF6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nozzjonali</w:t>
            </w:r>
          </w:p>
          <w:p w14:paraId="582A802F" w14:textId="77777777" w:rsidR="004E6C70" w:rsidRPr="00D82419" w:rsidDel="00F47983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05.00; c0010}.</w:t>
            </w:r>
          </w:p>
        </w:tc>
      </w:tr>
      <w:tr w:rsidR="004E6C70" w:rsidRPr="00D82419" w14:paraId="1828CC34" w14:textId="77777777" w:rsidTr="00E73145">
        <w:tc>
          <w:tcPr>
            <w:tcW w:w="1129" w:type="dxa"/>
          </w:tcPr>
          <w:p w14:paraId="7E8ABD67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2B91087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Soġġett għall-immudellar komportamentali (%)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75FD797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L-istituzzjonijiet għandhom isegwu l-istess struzzjonijiet kif deskritti f’{J 05.00; c0040}.</w:t>
            </w:r>
          </w:p>
        </w:tc>
      </w:tr>
      <w:tr w:rsidR="004E6C70" w:rsidRPr="00D82419" w14:paraId="656B573B" w14:textId="77777777" w:rsidTr="00E73145">
        <w:tc>
          <w:tcPr>
            <w:tcW w:w="1129" w:type="dxa"/>
          </w:tcPr>
          <w:p w14:paraId="702EACF2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14:paraId="49ADB9B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Xenarju ta’ referenza (kuntrattwali)</w:t>
            </w:r>
          </w:p>
          <w:p w14:paraId="28BBBBB7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L-istituzzjonijiet għandhom jipprovdu l-parametri rilevanti (jiġifieri d-dati tal-ipprezzar mill-ġdid medji) skont il-kundizzjonijiet kuntrattwali tal-istrumenti sottostanti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għall-iskoperturi soġġetti għat-termini u l-karatteristiċi kuntrattwali, fix-xenarju ta’ referenza tar-rati tal-imgħax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451D2177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L-istituzzjonijiet għandhom jirrapportaw id-data abbażi tal-ispeċifikazzjonijiet stipulati fl-Artikolu 98(5), il-punt (a), </w:t>
            </w:r>
            <w:r>
              <w:t xml:space="preserve">tad-Direttiva 2013/36/UE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 stipulati fl-Artikolu 3 tar-Regolament Delegat (UE) …/… (OP jekk jogħġbok żid referenza għall-RTS fuq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l-SOT).</w:t>
            </w:r>
          </w:p>
          <w:p w14:paraId="09999EB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Il-mudelli komportamentali jew il-mudelli kundizzjonali (kif speċifikati fl-Artikolu 3(2), il-punt (c),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tar-Regolament Delegat (UE) …/… (OP jekk jogħġbok żid referenza għall-RTS fuq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l-SOT), ma għandhomx jiġu kkunsidrati għall-finijiet tad-derivazzjoni tal-parametri.</w:t>
            </w:r>
          </w:p>
        </w:tc>
      </w:tr>
      <w:tr w:rsidR="004E6C70" w:rsidRPr="00D82419" w14:paraId="2092BA62" w14:textId="77777777" w:rsidTr="00E73145">
        <w:tc>
          <w:tcPr>
            <w:tcW w:w="1129" w:type="dxa"/>
          </w:tcPr>
          <w:p w14:paraId="61FE5078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</w:tcPr>
          <w:p w14:paraId="7461E3D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Xenarju ta’ referenza (komportamentali)</w:t>
            </w:r>
          </w:p>
          <w:p w14:paraId="6A6F47B6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L-istituzzjonijiet għandhom jipprovdu l-parametri rilevanti (jiġifieri d-dati tal-ipprezzar mill-ġdid medji) użati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għall-iskoperturi soġġetti għall-immudellar komportamentali, li t-twaqqit jew l-ammont tal-flussi tal-flus tagħhom jiddependi fuq il-komportament tal-klijenti, fix-xenarju ta’ referenza tar-rati tal-imgħax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4A1EF46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L-istituzzjonijiet għandhom jirrapportaw id-data abbażi tal-ispeċifikazzjonijiet stipulati fl-Artikolu 98(5), il-punt (a), </w:t>
            </w:r>
            <w:r>
              <w:t xml:space="preserve">tad-Direttiva 2013/36/UE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 stipulati fl-Artikolu 3 tar-Regolament Delegat (UE) …/… (OP jekk jogħġbok żid referenza għall-RTS fuq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l-SOT).</w:t>
            </w:r>
          </w:p>
        </w:tc>
      </w:tr>
      <w:tr w:rsidR="004E6C70" w:rsidRPr="00D82419" w14:paraId="3A625409" w14:textId="77777777" w:rsidTr="00E73145">
        <w:tc>
          <w:tcPr>
            <w:tcW w:w="1129" w:type="dxa"/>
          </w:tcPr>
          <w:p w14:paraId="38050676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620" w:type="dxa"/>
          </w:tcPr>
          <w:p w14:paraId="33D5B3E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Xokk parallel ’il fuq </w:t>
            </w:r>
          </w:p>
          <w:p w14:paraId="2864B43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L-istituzzjonijiet għandhom isegwu l-istess struzzjonijiet kif deskritti f’{J 01.00; r0040}.</w:t>
            </w:r>
          </w:p>
        </w:tc>
      </w:tr>
      <w:tr w:rsidR="004E6C70" w:rsidRPr="00D82419" w14:paraId="3E2E2A35" w14:textId="77777777" w:rsidTr="00E73145">
        <w:tc>
          <w:tcPr>
            <w:tcW w:w="1129" w:type="dxa"/>
          </w:tcPr>
          <w:p w14:paraId="693E9DA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</w:tcPr>
          <w:p w14:paraId="22322AD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Xokk parallel ’l isfel </w:t>
            </w:r>
          </w:p>
          <w:p w14:paraId="79A15B08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r0050}.</w:t>
            </w:r>
          </w:p>
        </w:tc>
      </w:tr>
      <w:tr w:rsidR="004E6C70" w:rsidRPr="00D82419" w14:paraId="2FC52CD9" w14:textId="77777777" w:rsidTr="00E73145">
        <w:tc>
          <w:tcPr>
            <w:tcW w:w="1129" w:type="dxa"/>
          </w:tcPr>
          <w:p w14:paraId="0C16071A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</w:tcPr>
          <w:p w14:paraId="441B2DB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Xokk ta’ żieda fil-kurva tar-rendiment </w:t>
            </w:r>
          </w:p>
          <w:p w14:paraId="61B6757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r0060}.</w:t>
            </w:r>
          </w:p>
        </w:tc>
      </w:tr>
      <w:tr w:rsidR="004E6C70" w:rsidRPr="00D82419" w14:paraId="14E39E87" w14:textId="77777777" w:rsidTr="00E73145">
        <w:tc>
          <w:tcPr>
            <w:tcW w:w="1129" w:type="dxa"/>
          </w:tcPr>
          <w:p w14:paraId="3A5659C6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</w:tcPr>
          <w:p w14:paraId="1DBECBB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Xokk ta’ tnaqqis fil-kurva tar-rendiment </w:t>
            </w:r>
          </w:p>
          <w:p w14:paraId="3B99C33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r0070}.</w:t>
            </w:r>
          </w:p>
        </w:tc>
      </w:tr>
      <w:tr w:rsidR="004E6C70" w:rsidRPr="00D82419" w14:paraId="264A562E" w14:textId="77777777" w:rsidTr="00E73145">
        <w:tc>
          <w:tcPr>
            <w:tcW w:w="1129" w:type="dxa"/>
          </w:tcPr>
          <w:p w14:paraId="7B4570B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</w:tcPr>
          <w:p w14:paraId="3201135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Xokk ’il fuq qasir tar-rati </w:t>
            </w:r>
          </w:p>
          <w:p w14:paraId="6E50A15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r0080}.</w:t>
            </w:r>
          </w:p>
        </w:tc>
      </w:tr>
      <w:tr w:rsidR="004E6C70" w:rsidRPr="00D82419" w14:paraId="41A048B2" w14:textId="77777777" w:rsidTr="00E73145">
        <w:tc>
          <w:tcPr>
            <w:tcW w:w="1129" w:type="dxa"/>
          </w:tcPr>
          <w:p w14:paraId="0CD8F8F5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</w:tcPr>
          <w:p w14:paraId="7AD3851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Xokk ’l isfel qasir tar-rati </w:t>
            </w:r>
          </w:p>
          <w:p w14:paraId="1FA615D5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isegwu l-istess struzzjonijiet kif deskritti f’{J 01.00; r0090}.</w:t>
            </w:r>
          </w:p>
        </w:tc>
      </w:tr>
    </w:tbl>
    <w:p w14:paraId="3D11B6F8" w14:textId="77777777" w:rsidR="004E6C70" w:rsidRPr="00D82419" w:rsidRDefault="004E6C70" w:rsidP="004E6C70">
      <w:pPr>
        <w:suppressAutoHyphens/>
        <w:spacing w:after="0"/>
        <w:rPr>
          <w:rStyle w:val="InstructionsTabelleText"/>
          <w:rFonts w:ascii="Times New Roman" w:hAnsi="Times New Roman"/>
          <w:sz w:val="24"/>
        </w:rPr>
      </w:pPr>
    </w:p>
    <w:p w14:paraId="6BA52DEB" w14:textId="77777777" w:rsidR="004E6C70" w:rsidRPr="00D82419" w:rsidRDefault="004E6C70" w:rsidP="004E6C70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br w:type="page"/>
      </w:r>
    </w:p>
    <w:p w14:paraId="3ADF8ACE" w14:textId="77777777" w:rsidR="004E6C70" w:rsidRPr="00CB270D" w:rsidRDefault="004E6C70" w:rsidP="004E6C70">
      <w:pPr>
        <w:pStyle w:val="Heading2"/>
        <w:suppressAutoHyphens/>
      </w:pPr>
      <w:bookmarkStart w:id="57" w:name="_Toc188860624"/>
      <w:r>
        <w:lastRenderedPageBreak/>
        <w:t>PARTI VI: INFORMAZZJONI KWALITATTIVA (J 10.00 u J 11.00)</w:t>
      </w:r>
      <w:bookmarkEnd w:id="57"/>
    </w:p>
    <w:p w14:paraId="2CDCD32F" w14:textId="77777777" w:rsidR="004E6C70" w:rsidRPr="00D10176" w:rsidRDefault="004E6C70" w:rsidP="004E6C7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sz w:val="24"/>
        </w:rPr>
      </w:pPr>
      <w:bookmarkStart w:id="58" w:name="_Toc188860625"/>
      <w:r>
        <w:rPr>
          <w:b/>
          <w:sz w:val="24"/>
        </w:rPr>
        <w:t>1.</w:t>
      </w:r>
      <w:r>
        <w:rPr>
          <w:b/>
          <w:sz w:val="24"/>
        </w:rPr>
        <w:tab/>
        <w:t>Rimarki ġenerali</w:t>
      </w:r>
      <w:bookmarkEnd w:id="58"/>
    </w:p>
    <w:p w14:paraId="2E9E7D74" w14:textId="77777777" w:rsidR="004E6C70" w:rsidRPr="007F52CC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t>1.1</w:t>
      </w:r>
      <w:r>
        <w:tab/>
      </w:r>
      <w:r>
        <w:rPr>
          <w:rFonts w:ascii="Times New Roman" w:hAnsi="Times New Roman"/>
          <w:sz w:val="24"/>
        </w:rPr>
        <w:t xml:space="preserve">Il-formoli J 10.00 u J 11.00 fihom data kwalitattiva fuq il-metodoloġiji użati fil-valutazzjoni tal-IRRBB. </w:t>
      </w:r>
    </w:p>
    <w:p w14:paraId="113F9AA5" w14:textId="77777777" w:rsidR="004E6C70" w:rsidRPr="006942B1" w:rsidRDefault="004E6C70" w:rsidP="004E6C70">
      <w:pPr>
        <w:tabs>
          <w:tab w:val="left" w:pos="567"/>
        </w:tabs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</w:t>
      </w:r>
      <w:r>
        <w:rPr>
          <w:rFonts w:ascii="Times New Roman" w:hAnsi="Times New Roman"/>
          <w:sz w:val="24"/>
        </w:rPr>
        <w:tab/>
        <w:t xml:space="preserve">L-istituzzjonijiet għandhom jirrapportaw l-informazzjoni rilevanti abbażi ta’ lista predeterminata ta’ opzjonijiet. Ir-ringieli 0320 sa 0360 għandhom jiġu rrapportati għal kull munita b’mod separat li fiha l-istituzzjoni jkollha pożizzjonijiet meta l-valur kontabilistiku tal-assi jew l-obbligazzjonijiet finanzjarji denominati f’munita jammonta għal 5 % jew aktar tal-assi jew l-obbligazzjonijiet finanzjarji totali tal-portafoll bankarju, jew inqas minn 5 % jekk is-somma tal-assi jew l-obbligazzjonijiet finanzjarji inklużi fil-kalkolu tkun inqas minn 90 % tal-assi (esklużi l-assi tanġibbli) jew l-obbligazzjonijiet finanzjarji totali tal-portafoll bankarju. Ir-ringieli l-oħrajn (minn 0010 sa 0310) ma jiddependux mill-munita. </w:t>
      </w:r>
    </w:p>
    <w:p w14:paraId="501C54B4" w14:textId="77777777" w:rsidR="004E6C70" w:rsidRPr="00D10176" w:rsidRDefault="004E6C70" w:rsidP="004E6C7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sz w:val="24"/>
        </w:rPr>
      </w:pPr>
      <w:bookmarkStart w:id="59" w:name="_Toc188860626"/>
      <w:r>
        <w:rPr>
          <w:b/>
          <w:sz w:val="24"/>
        </w:rPr>
        <w:t>2.</w:t>
      </w:r>
      <w:r>
        <w:rPr>
          <w:b/>
          <w:sz w:val="24"/>
        </w:rPr>
        <w:tab/>
        <w:t>Struzzjonijiet li jikkonċernaw pożizzjonijiet speċifiċi</w:t>
      </w:r>
      <w:bookmarkEnd w:id="59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E6C70" w:rsidRPr="00D82419" w14:paraId="62D6E3B1" w14:textId="77777777" w:rsidTr="00E73145">
        <w:tc>
          <w:tcPr>
            <w:tcW w:w="1129" w:type="dxa"/>
            <w:shd w:val="clear" w:color="auto" w:fill="D9D9D9" w:themeFill="background1" w:themeFillShade="D9"/>
          </w:tcPr>
          <w:p w14:paraId="69EA5009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eastAsia="Arial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5D0D5085" w14:textId="77777777" w:rsidR="004E6C70" w:rsidRPr="00D82419" w:rsidRDefault="004E6C70" w:rsidP="00E73145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4E6C70" w:rsidRPr="00D82419" w14:paraId="6C4AE740" w14:textId="77777777" w:rsidTr="00E73145">
        <w:tc>
          <w:tcPr>
            <w:tcW w:w="1129" w:type="dxa"/>
          </w:tcPr>
          <w:p w14:paraId="68E9F44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724D7F7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Approċċ użat għall-fini tal-SOT (NII/EVE)</w:t>
            </w:r>
          </w:p>
          <w:p w14:paraId="221EF39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għandhom jindikaw l-approċċ użat għall-fini tal-kalkolu tal-SOT (NII/EVE):</w:t>
            </w:r>
          </w:p>
          <w:p w14:paraId="18746E55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SA simplifikat;</w:t>
            </w:r>
          </w:p>
          <w:p w14:paraId="45B9715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SA;</w:t>
            </w:r>
          </w:p>
          <w:p w14:paraId="763F0FB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IMS.</w:t>
            </w:r>
          </w:p>
        </w:tc>
      </w:tr>
      <w:tr w:rsidR="004E6C70" w:rsidRPr="00D82419" w14:paraId="21C9A44F" w14:textId="77777777" w:rsidTr="00E73145">
        <w:tc>
          <w:tcPr>
            <w:tcW w:w="1129" w:type="dxa"/>
          </w:tcPr>
          <w:p w14:paraId="1096613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741B274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 mill-Awtorità Kompetenti (NII/EVE)</w:t>
            </w:r>
          </w:p>
          <w:p w14:paraId="50BFD65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L-Artikolu 84(3) u (4) tad-Direttiva 2013/36/UE. Meta l-metodu tal-istituzzjoni għall-kalkolu tal-EVE/NII jkun ibbażat fuq SA, l-istituzzjonijiet għandhom jirrapportaw jekk dan kienx rekwiżit mill-awtorità kompetenti:</w:t>
            </w:r>
          </w:p>
          <w:p w14:paraId="6A8FB7E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iva;</w:t>
            </w:r>
          </w:p>
          <w:p w14:paraId="268E038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le;</w:t>
            </w:r>
          </w:p>
          <w:p w14:paraId="31298B1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mhux applikabbli.</w:t>
            </w:r>
          </w:p>
        </w:tc>
      </w:tr>
      <w:tr w:rsidR="004E6C70" w:rsidRPr="00D82419" w14:paraId="3F71DDCC" w14:textId="77777777" w:rsidTr="00E73145">
        <w:tc>
          <w:tcPr>
            <w:tcW w:w="1129" w:type="dxa"/>
          </w:tcPr>
          <w:p w14:paraId="4FB131F5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14:paraId="5BD653E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Metodoloġija (NII)</w:t>
            </w:r>
          </w:p>
          <w:p w14:paraId="485CAA57" w14:textId="77777777" w:rsidR="004E6C70" w:rsidRPr="00D82419" w:rsidRDefault="004E6C70" w:rsidP="00E73145">
            <w:pPr>
              <w:pStyle w:val="InstructionsText"/>
            </w:pPr>
            <w:r>
              <w:t xml:space="preserve">L-istituzzjonijiet għandhom jindikaw jekk ġiex ikkunsidrat approċċ ta’ differenza fl-ipprezzar mill-ġdid, rivalwazzjoni sħiħa jew imħallat fil-komputazzjoni tal-SOT fuq l-NII: </w:t>
            </w:r>
          </w:p>
          <w:p w14:paraId="25FFB003" w14:textId="77777777" w:rsidR="004E6C70" w:rsidRPr="00D82419" w:rsidRDefault="004E6C70" w:rsidP="00E73145">
            <w:pPr>
              <w:pStyle w:val="InstructionsText"/>
            </w:pPr>
            <w:r>
              <w:t>- differenza fl-ipprezzar mill-ġdid;</w:t>
            </w:r>
          </w:p>
          <w:p w14:paraId="5D1025D9" w14:textId="77777777" w:rsidR="004E6C70" w:rsidRPr="00D82419" w:rsidRDefault="004E6C70" w:rsidP="00E73145">
            <w:pPr>
              <w:pStyle w:val="InstructionsText"/>
            </w:pPr>
            <w:r>
              <w:t>- rivalwazzjoni sħiħa;</w:t>
            </w:r>
          </w:p>
          <w:p w14:paraId="4F88EFF7" w14:textId="77777777" w:rsidR="004E6C70" w:rsidRPr="00D82419" w:rsidRDefault="004E6C70" w:rsidP="00E73145">
            <w:pPr>
              <w:pStyle w:val="InstructionsText"/>
            </w:pPr>
            <w:r>
              <w:t>- imħallat;</w:t>
            </w:r>
          </w:p>
          <w:p w14:paraId="536AB36A" w14:textId="77777777" w:rsidR="004E6C70" w:rsidRPr="00D82419" w:rsidRDefault="004E6C70" w:rsidP="00E73145">
            <w:pPr>
              <w:pStyle w:val="InstructionsText"/>
            </w:pPr>
            <w:r>
              <w:t>- oħrajn.</w:t>
            </w:r>
          </w:p>
        </w:tc>
      </w:tr>
      <w:tr w:rsidR="004E6C70" w:rsidRPr="00D82419" w14:paraId="17AB1C91" w14:textId="77777777" w:rsidTr="00E73145">
        <w:tc>
          <w:tcPr>
            <w:tcW w:w="1129" w:type="dxa"/>
          </w:tcPr>
          <w:p w14:paraId="0E56B15B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</w:tcPr>
          <w:p w14:paraId="2EDEA628" w14:textId="77777777" w:rsidR="004E6C70" w:rsidRPr="00D82419" w:rsidRDefault="004E6C70" w:rsidP="00E73145">
            <w:pPr>
              <w:suppressAutoHyphens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Flussi tal-Flus Kundizzjonali (NII)</w:t>
            </w:r>
          </w:p>
          <w:p w14:paraId="2E992BEB" w14:textId="77777777" w:rsidR="004E6C70" w:rsidRPr="00D82419" w:rsidRDefault="004E6C70" w:rsidP="00E73145">
            <w:pPr>
              <w:pStyle w:val="InstructionsText"/>
            </w:pPr>
            <w:r>
              <w:t xml:space="preserve">L-istituzzjonijiet għandhom jindikaw jekk il-flussi tal-flus kundizzjonali </w:t>
            </w:r>
            <w:r>
              <w:lastRenderedPageBreak/>
              <w:t xml:space="preserve">ġewx ikkunsidrati fil-komputazzjoni tal-SOT fuq l-NII: </w:t>
            </w:r>
          </w:p>
          <w:p w14:paraId="4536929D" w14:textId="77777777" w:rsidR="004E6C70" w:rsidRPr="00D82419" w:rsidRDefault="004E6C70" w:rsidP="00E73145">
            <w:pPr>
              <w:pStyle w:val="InstructionsText"/>
            </w:pPr>
            <w:r>
              <w:t xml:space="preserve">- l-entrati materjali kollha; </w:t>
            </w:r>
          </w:p>
          <w:p w14:paraId="59A36C5F" w14:textId="77777777" w:rsidR="004E6C70" w:rsidRPr="00D82419" w:rsidRDefault="004E6C70" w:rsidP="00E73145">
            <w:pPr>
              <w:pStyle w:val="InstructionsText"/>
            </w:pPr>
            <w:r>
              <w:t xml:space="preserve">- xi entrati materjali; </w:t>
            </w:r>
          </w:p>
          <w:p w14:paraId="6D816275" w14:textId="77777777" w:rsidR="004E6C70" w:rsidRPr="00D82419" w:rsidRDefault="004E6C70" w:rsidP="00E73145">
            <w:pPr>
              <w:pStyle w:val="InstructionsText"/>
            </w:pPr>
            <w:r>
              <w:t>- mhux ikkunsidrat.</w:t>
            </w:r>
          </w:p>
        </w:tc>
      </w:tr>
      <w:tr w:rsidR="004E6C70" w:rsidRPr="00D82419" w14:paraId="278BF1E8" w14:textId="77777777" w:rsidTr="00E73145">
        <w:tc>
          <w:tcPr>
            <w:tcW w:w="1129" w:type="dxa"/>
          </w:tcPr>
          <w:p w14:paraId="1A73961C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620" w:type="dxa"/>
          </w:tcPr>
          <w:p w14:paraId="5F5262D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Riskju tal-Opzjoni (NII)</w:t>
            </w:r>
          </w:p>
          <w:p w14:paraId="76A60A65" w14:textId="77777777" w:rsidR="004E6C70" w:rsidRPr="00D82419" w:rsidRDefault="004E6C70" w:rsidP="00E73145">
            <w:pPr>
              <w:pStyle w:val="InstructionsText"/>
            </w:pPr>
            <w:r>
              <w:t xml:space="preserve">L-istituzzjonijiet għandhom jindikaw jekk ir-riskju tal-opzjoni ġiex ikkunsidrat fil-komputazzjoni tal-SOT fuq l-NII: </w:t>
            </w:r>
          </w:p>
          <w:p w14:paraId="5AE9CB69" w14:textId="77777777" w:rsidR="004E6C70" w:rsidRPr="00D82419" w:rsidRDefault="004E6C70" w:rsidP="00E73145">
            <w:pPr>
              <w:pStyle w:val="InstructionsText"/>
            </w:pPr>
            <w:r>
              <w:t xml:space="preserve">- ikkunsidrat; </w:t>
            </w:r>
          </w:p>
          <w:p w14:paraId="562D6BC3" w14:textId="77777777" w:rsidR="004E6C70" w:rsidRPr="00D82419" w:rsidRDefault="004E6C70" w:rsidP="00E73145">
            <w:pPr>
              <w:pStyle w:val="InstructionsText"/>
            </w:pPr>
            <w:r>
              <w:t>- mhux ikkunsidrat.</w:t>
            </w:r>
          </w:p>
        </w:tc>
      </w:tr>
      <w:tr w:rsidR="004E6C70" w:rsidRPr="00D82419" w14:paraId="657F42B3" w14:textId="77777777" w:rsidTr="00E73145">
        <w:tc>
          <w:tcPr>
            <w:tcW w:w="1129" w:type="dxa"/>
          </w:tcPr>
          <w:p w14:paraId="3ECC117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</w:tcPr>
          <w:p w14:paraId="35C8022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Riskju ta’ Bażi (NII)</w:t>
            </w:r>
          </w:p>
          <w:p w14:paraId="5507D49B" w14:textId="77777777" w:rsidR="004E6C70" w:rsidRPr="00D82419" w:rsidRDefault="004E6C70" w:rsidP="00E73145">
            <w:pPr>
              <w:pStyle w:val="InstructionsText"/>
            </w:pPr>
            <w:r>
              <w:t xml:space="preserve">L-istituzzjonijiet għandhom jindikaw jekk ir-riskju ta’ bażi ġiex ikkunsidrat fil-komputazzjoni tal-SOT fuq l-NII: </w:t>
            </w:r>
          </w:p>
          <w:p w14:paraId="287425DC" w14:textId="77777777" w:rsidR="004E6C70" w:rsidRPr="00D82419" w:rsidRDefault="004E6C70" w:rsidP="00E73145">
            <w:pPr>
              <w:pStyle w:val="InstructionsText"/>
            </w:pPr>
            <w:r>
              <w:t xml:space="preserve">- ikkunsidrat; </w:t>
            </w:r>
          </w:p>
          <w:p w14:paraId="0ADD43D0" w14:textId="77777777" w:rsidR="004E6C70" w:rsidRPr="00D82419" w:rsidRDefault="004E6C70" w:rsidP="00E73145">
            <w:pPr>
              <w:pStyle w:val="InstructionsText"/>
            </w:pPr>
            <w:r>
              <w:t>- mhux ikkunsidrat.</w:t>
            </w:r>
          </w:p>
        </w:tc>
      </w:tr>
      <w:tr w:rsidR="004E6C70" w:rsidRPr="00D82419" w14:paraId="2D71E48C" w14:textId="77777777" w:rsidTr="00E73145">
        <w:tc>
          <w:tcPr>
            <w:tcW w:w="1129" w:type="dxa"/>
          </w:tcPr>
          <w:p w14:paraId="5E2EB972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</w:tcPr>
          <w:p w14:paraId="418D443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Metodoloġija (EVE)</w:t>
            </w:r>
          </w:p>
          <w:p w14:paraId="63800C10" w14:textId="77777777" w:rsidR="004E6C70" w:rsidRPr="00D82419" w:rsidRDefault="004E6C70" w:rsidP="00E73145">
            <w:pPr>
              <w:pStyle w:val="InstructionsText"/>
            </w:pPr>
            <w:r>
              <w:t xml:space="preserve">L-istituzzjonijiet għandhom jindikaw jekk ġiex ikkunsidrat approċċ ta’ differenza fid-durata jew rivalwazzjoni sħiħa fil-komputazzjoni tal-SOT fuq l-EVE: </w:t>
            </w:r>
          </w:p>
          <w:p w14:paraId="425BA039" w14:textId="77777777" w:rsidR="004E6C70" w:rsidRPr="00D82419" w:rsidRDefault="004E6C70" w:rsidP="00E73145">
            <w:pPr>
              <w:pStyle w:val="InstructionsText"/>
            </w:pPr>
            <w:r>
              <w:t xml:space="preserve">- differenza fid-durata; </w:t>
            </w:r>
          </w:p>
          <w:p w14:paraId="501E7F73" w14:textId="77777777" w:rsidR="004E6C70" w:rsidRPr="00D82419" w:rsidRDefault="004E6C70" w:rsidP="00E73145">
            <w:pPr>
              <w:pStyle w:val="InstructionsText"/>
            </w:pPr>
            <w:r>
              <w:t>- rivalwazzjoni sħiħa;</w:t>
            </w:r>
          </w:p>
          <w:p w14:paraId="3D0C4953" w14:textId="77777777" w:rsidR="004E6C70" w:rsidRPr="00D82419" w:rsidRDefault="004E6C70" w:rsidP="00E73145">
            <w:pPr>
              <w:pStyle w:val="InstructionsText"/>
            </w:pPr>
            <w:r>
              <w:t xml:space="preserve">- imħallat; </w:t>
            </w:r>
          </w:p>
          <w:p w14:paraId="1B65DA3C" w14:textId="77777777" w:rsidR="004E6C70" w:rsidRPr="00D82419" w:rsidRDefault="004E6C70" w:rsidP="00E73145">
            <w:pPr>
              <w:pStyle w:val="InstructionsText"/>
            </w:pPr>
            <w:r>
              <w:t>- oħrajn.</w:t>
            </w:r>
          </w:p>
        </w:tc>
      </w:tr>
      <w:tr w:rsidR="004E6C70" w:rsidRPr="00D82419" w14:paraId="0E74E7D8" w14:textId="77777777" w:rsidTr="00E73145">
        <w:tc>
          <w:tcPr>
            <w:tcW w:w="1129" w:type="dxa"/>
          </w:tcPr>
          <w:p w14:paraId="0559A3E8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</w:tcPr>
          <w:p w14:paraId="5AF1B4F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Flussi tal-Flus Kundizzjonali (EVE)</w:t>
            </w:r>
          </w:p>
          <w:p w14:paraId="05B8AF6B" w14:textId="77777777" w:rsidR="004E6C70" w:rsidRPr="00D82419" w:rsidRDefault="004E6C70" w:rsidP="00E73145">
            <w:pPr>
              <w:pStyle w:val="InstructionsText"/>
            </w:pPr>
            <w:r>
              <w:t xml:space="preserve">L-istituzzjonijiet għandhom jindikaw jekk il-flussi tal-flus kundizzjonali ġewx ikkunsidrati fil-komputazzjoni tal-SOT fuq l-NII: </w:t>
            </w:r>
          </w:p>
          <w:p w14:paraId="192E521F" w14:textId="77777777" w:rsidR="004E6C70" w:rsidRPr="00D82419" w:rsidRDefault="004E6C70" w:rsidP="00E73145">
            <w:pPr>
              <w:pStyle w:val="InstructionsText"/>
            </w:pPr>
            <w:r>
              <w:t xml:space="preserve">- l-entrati materjali kollha; </w:t>
            </w:r>
          </w:p>
          <w:p w14:paraId="21113639" w14:textId="77777777" w:rsidR="004E6C70" w:rsidRPr="00D82419" w:rsidRDefault="004E6C70" w:rsidP="00E73145">
            <w:pPr>
              <w:pStyle w:val="InstructionsText"/>
            </w:pPr>
            <w:r>
              <w:t xml:space="preserve">- xi entrati materjali; </w:t>
            </w:r>
          </w:p>
          <w:p w14:paraId="2C59DCB5" w14:textId="77777777" w:rsidR="004E6C70" w:rsidRPr="00D82419" w:rsidRDefault="004E6C70" w:rsidP="00E73145">
            <w:pPr>
              <w:pStyle w:val="InstructionsText"/>
            </w:pPr>
            <w:r>
              <w:t>- mhux ikkunsidrat.</w:t>
            </w:r>
          </w:p>
        </w:tc>
      </w:tr>
      <w:tr w:rsidR="004E6C70" w:rsidRPr="00D82419" w14:paraId="642F78B9" w14:textId="77777777" w:rsidTr="00E73145">
        <w:tc>
          <w:tcPr>
            <w:tcW w:w="1129" w:type="dxa"/>
          </w:tcPr>
          <w:p w14:paraId="35EF060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2032200090</w:t>
            </w:r>
          </w:p>
        </w:tc>
        <w:tc>
          <w:tcPr>
            <w:tcW w:w="7620" w:type="dxa"/>
          </w:tcPr>
          <w:p w14:paraId="2DC671F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Riskju tal-Opzjoni (EVE)</w:t>
            </w:r>
          </w:p>
          <w:p w14:paraId="310DDDA7" w14:textId="77777777" w:rsidR="004E6C70" w:rsidRPr="00D82419" w:rsidRDefault="004E6C70" w:rsidP="00E73145">
            <w:pPr>
              <w:pStyle w:val="InstructionsText"/>
            </w:pPr>
            <w:r>
              <w:t xml:space="preserve">L-istituzzjonijiet għandhom jindikaw jekk ir-riskju tal-opzjoni ġiex ikkunsidrat fil-komputazzjoni tal-SOT fuq l-EVE. </w:t>
            </w:r>
          </w:p>
          <w:p w14:paraId="7BFD24DC" w14:textId="77777777" w:rsidR="004E6C70" w:rsidRPr="00D82419" w:rsidRDefault="004E6C70" w:rsidP="00E73145">
            <w:pPr>
              <w:pStyle w:val="InstructionsText"/>
            </w:pPr>
            <w:r>
              <w:t xml:space="preserve">- ikkunsidrat; </w:t>
            </w:r>
          </w:p>
          <w:p w14:paraId="397BF9EB" w14:textId="77777777" w:rsidR="004E6C70" w:rsidRPr="00D82419" w:rsidRDefault="004E6C70" w:rsidP="00E73145">
            <w:pPr>
              <w:pStyle w:val="InstructionsText"/>
            </w:pPr>
            <w:r>
              <w:t>- mhux ikkunsidrat.</w:t>
            </w:r>
          </w:p>
        </w:tc>
      </w:tr>
      <w:tr w:rsidR="004E6C70" w:rsidRPr="00D82419" w14:paraId="48F9E7B7" w14:textId="77777777" w:rsidTr="00E73145">
        <w:tc>
          <w:tcPr>
            <w:tcW w:w="1129" w:type="dxa"/>
          </w:tcPr>
          <w:p w14:paraId="0C372E92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</w:tcPr>
          <w:p w14:paraId="3C0256F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Riskju ta’ Bażi (EVE)</w:t>
            </w:r>
          </w:p>
          <w:p w14:paraId="40CEA628" w14:textId="77777777" w:rsidR="004E6C70" w:rsidRPr="00D82419" w:rsidRDefault="004E6C70" w:rsidP="00E73145">
            <w:pPr>
              <w:suppressAutoHyphens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jindikaw jekk ir-riskju ta’ bażi ġiex ikkunsidrat fil-komputazzjoni tal-SOT fuq l-NII: </w:t>
            </w:r>
          </w:p>
          <w:p w14:paraId="52C92C5D" w14:textId="77777777" w:rsidR="004E6C70" w:rsidRPr="00D82419" w:rsidRDefault="004E6C70" w:rsidP="00E73145">
            <w:pPr>
              <w:pStyle w:val="InstructionsText"/>
            </w:pPr>
            <w:r>
              <w:t xml:space="preserve">- ikkunsidrat; </w:t>
            </w:r>
          </w:p>
          <w:p w14:paraId="0AB7D1D7" w14:textId="77777777" w:rsidR="004E6C70" w:rsidRPr="00D82419" w:rsidRDefault="004E6C70" w:rsidP="00E73145">
            <w:pPr>
              <w:pStyle w:val="InstructionsText"/>
            </w:pPr>
            <w:r>
              <w:lastRenderedPageBreak/>
              <w:t>- mhux ikkunsidrat.</w:t>
            </w:r>
          </w:p>
        </w:tc>
      </w:tr>
      <w:tr w:rsidR="004E6C70" w:rsidRPr="00D82419" w14:paraId="2BFADE00" w14:textId="77777777" w:rsidTr="00E73145">
        <w:tc>
          <w:tcPr>
            <w:tcW w:w="1129" w:type="dxa"/>
          </w:tcPr>
          <w:p w14:paraId="363B43AE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7620" w:type="dxa"/>
          </w:tcPr>
          <w:p w14:paraId="1AA028C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Marġnijiet kummerċjali/komponenti oħra tal-firxa (EVE)</w:t>
            </w:r>
          </w:p>
          <w:p w14:paraId="0D49277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L-istituzzjonijiet għandhom jindikaw jekk il-marġnijiet kummerċjali u l-komponenti l-oħra tal-firxa ġewx inklużi fil-komputazzjoni tal-kejl tar-riskju tal-SOT fuq l-EVE:</w:t>
            </w:r>
          </w:p>
          <w:p w14:paraId="4A7C03E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inklużi;</w:t>
            </w:r>
          </w:p>
          <w:p w14:paraId="12ADAE0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esklużi.</w:t>
            </w:r>
          </w:p>
        </w:tc>
      </w:tr>
      <w:tr w:rsidR="004E6C70" w:rsidRPr="00D82419" w14:paraId="5EACFD15" w14:textId="77777777" w:rsidTr="00E73145">
        <w:tc>
          <w:tcPr>
            <w:tcW w:w="1129" w:type="dxa"/>
          </w:tcPr>
          <w:p w14:paraId="52235F18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</w:tcPr>
          <w:p w14:paraId="3204054B" w14:textId="77777777" w:rsidR="004E6C70" w:rsidRPr="00D82419" w:rsidRDefault="004E6C70" w:rsidP="00E73145">
            <w:pPr>
              <w:suppressAutoHyphens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Tariffi tal-penali mill-prepagamenti tas-self</w:t>
            </w:r>
          </w:p>
          <w:p w14:paraId="5F4BE576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L-istituzzjonijiet għandhom jindikaw jekk it-tariffi tal-penali mill-prepagamenti tas-self ġewx inklużi bħala parti mill-SOT fuq l-EVE/NII:</w:t>
            </w:r>
          </w:p>
          <w:p w14:paraId="7DAECA3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inklużi;</w:t>
            </w:r>
          </w:p>
          <w:p w14:paraId="358F89F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esklużi.</w:t>
            </w:r>
          </w:p>
        </w:tc>
      </w:tr>
      <w:tr w:rsidR="004E6C70" w:rsidRPr="00D82419" w14:paraId="468D2308" w14:textId="77777777" w:rsidTr="00E73145">
        <w:tc>
          <w:tcPr>
            <w:tcW w:w="1129" w:type="dxa"/>
          </w:tcPr>
          <w:p w14:paraId="2D75F07D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620" w:type="dxa"/>
          </w:tcPr>
          <w:p w14:paraId="2097A76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Obbligi tal-pensjoni/assi ta’ pjanijiet tal-pensjoni</w:t>
            </w:r>
          </w:p>
          <w:p w14:paraId="74FEED6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L-istituzzjonijiet għandhom jindikaw jekk l-obbligi tal-pensjoni u l-assi ta’ pjanijiet tal-pensjoni ġewx inklużi fil-kalkolu tal-SOT fuq l-EVE/NII:</w:t>
            </w:r>
          </w:p>
          <w:p w14:paraId="72E60BA3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inklużi;</w:t>
            </w:r>
          </w:p>
          <w:p w14:paraId="7E596538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esklużi.</w:t>
            </w:r>
          </w:p>
        </w:tc>
      </w:tr>
      <w:tr w:rsidR="004E6C70" w:rsidRPr="00D82419" w14:paraId="45D558A1" w14:textId="77777777" w:rsidTr="00E73145">
        <w:tc>
          <w:tcPr>
            <w:tcW w:w="1129" w:type="dxa"/>
          </w:tcPr>
          <w:p w14:paraId="2F85D654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</w:tcPr>
          <w:p w14:paraId="3C7C27FC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Skoperturi improduttivi </w:t>
            </w:r>
          </w:p>
          <w:p w14:paraId="0216D5B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L-istituzzjonijiet għandhom jindikaw jekk l-iskoperturi improduttivi ġewx inklużi fl-SOT fuq l-EVE/NII:</w:t>
            </w:r>
          </w:p>
          <w:p w14:paraId="4111F89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inklużi;</w:t>
            </w:r>
          </w:p>
          <w:p w14:paraId="697B9A2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esklużi.</w:t>
            </w:r>
          </w:p>
        </w:tc>
      </w:tr>
      <w:tr w:rsidR="004E6C70" w:rsidRPr="00D82419" w14:paraId="110044B6" w14:textId="77777777" w:rsidTr="00E73145">
        <w:tc>
          <w:tcPr>
            <w:tcW w:w="1129" w:type="dxa"/>
          </w:tcPr>
          <w:p w14:paraId="24B5F48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620" w:type="dxa"/>
          </w:tcPr>
          <w:p w14:paraId="7371AE6F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Impenji ta’ self b’rata fissa </w:t>
            </w:r>
          </w:p>
          <w:p w14:paraId="6B3DD3A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L-istituzzjonijiet għandhom jindikaw jekk l-impenji ta’ self b’rata fissa ġewx inklużi fl-SOT fuq l-EVE/NII:</w:t>
            </w:r>
          </w:p>
          <w:p w14:paraId="3DEDAD45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inklużi;</w:t>
            </w:r>
          </w:p>
          <w:p w14:paraId="621D16C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esklużi.</w:t>
            </w:r>
          </w:p>
        </w:tc>
      </w:tr>
      <w:tr w:rsidR="004E6C70" w:rsidRPr="00D82419" w14:paraId="66E8C435" w14:textId="77777777" w:rsidTr="00E73145">
        <w:tc>
          <w:tcPr>
            <w:tcW w:w="1129" w:type="dxa"/>
          </w:tcPr>
          <w:p w14:paraId="5258C139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620" w:type="dxa"/>
          </w:tcPr>
          <w:p w14:paraId="31F99002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Riskju ta’ prepagament </w:t>
            </w:r>
          </w:p>
          <w:p w14:paraId="4E16709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L-istituzzjonijiet għandhom jindikaw jekk ir-riskju ta’ prepagament fil-livell tal-konsumatur ġiex inkluż fil-kalkoli tal-SOT fuq l-EVE/NII:</w:t>
            </w:r>
          </w:p>
          <w:p w14:paraId="4DE974B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inklużi;</w:t>
            </w:r>
          </w:p>
          <w:p w14:paraId="102E9A7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esklużi.</w:t>
            </w:r>
          </w:p>
        </w:tc>
      </w:tr>
      <w:tr w:rsidR="004E6C70" w:rsidRPr="00D82419" w14:paraId="2D0DD556" w14:textId="77777777" w:rsidTr="00E73145">
        <w:tc>
          <w:tcPr>
            <w:tcW w:w="1129" w:type="dxa"/>
          </w:tcPr>
          <w:p w14:paraId="0ABC249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620" w:type="dxa"/>
          </w:tcPr>
          <w:p w14:paraId="6ED34CBA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Riskju ta’ tifdija qabel iż-żmien </w:t>
            </w:r>
          </w:p>
          <w:p w14:paraId="3B33600D" w14:textId="77777777" w:rsidR="004E6C70" w:rsidRPr="00D82419" w:rsidRDefault="004E6C70" w:rsidP="00E73145">
            <w:pPr>
              <w:pStyle w:val="InstructionsText"/>
            </w:pPr>
            <w:r>
              <w:t>L-istituzzjonijiet għandhom jindikaw jekk ir-riskju ta’ tifdija qabel iż-żmien fil-livell tal-konsumatur ġiex inkluż fil-kalkolu tal-SOT fuq l-EVE/NII:</w:t>
            </w:r>
          </w:p>
          <w:p w14:paraId="3CF89C8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inklużi;</w:t>
            </w:r>
          </w:p>
          <w:p w14:paraId="2899BDA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esklużi.</w:t>
            </w:r>
          </w:p>
        </w:tc>
      </w:tr>
      <w:tr w:rsidR="004E6C70" w:rsidRPr="00D82419" w14:paraId="7459FA44" w14:textId="77777777" w:rsidTr="00E73145">
        <w:tc>
          <w:tcPr>
            <w:tcW w:w="1129" w:type="dxa"/>
          </w:tcPr>
          <w:p w14:paraId="06BE0F06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0180</w:t>
            </w:r>
          </w:p>
        </w:tc>
        <w:tc>
          <w:tcPr>
            <w:tcW w:w="7620" w:type="dxa"/>
          </w:tcPr>
          <w:p w14:paraId="4453174C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Approċċ ġenerali għall-immudellar tal-NMDs</w:t>
            </w:r>
          </w:p>
          <w:p w14:paraId="42B18857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jindikaw il-metodu użat biex jiġi ddeterminat il-ħin tal-ipprezzar mill-ġdid komportamentali tal-NMDs: </w:t>
            </w:r>
          </w:p>
          <w:p w14:paraId="2FC84141" w14:textId="77777777" w:rsidR="004E6C70" w:rsidRPr="00CB270D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il-mudell tas-serje kronoloġika (approċċ PTR/mhux stabbli/EBA Stabbli/Basel);</w:t>
            </w:r>
          </w:p>
          <w:p w14:paraId="307C37AD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il-portafoll tar-replikazzjoni;</w:t>
            </w:r>
          </w:p>
          <w:p w14:paraId="2870B241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il-mudelli ekonomiċi (l-immudellar tal-allokazzjoni tal-ġid finanzjarju għall-NMDs jew għal investimenti alternattivi skont ix-xenarji tas-suq/il-fatturi ekonomiċi differenti);</w:t>
            </w:r>
          </w:p>
          <w:p w14:paraId="06732941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il-ġudizzju espert;</w:t>
            </w:r>
          </w:p>
          <w:p w14:paraId="0B025A97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oħrajn.</w:t>
            </w:r>
          </w:p>
        </w:tc>
      </w:tr>
      <w:tr w:rsidR="004E6C70" w:rsidRPr="00D82419" w14:paraId="08516FAB" w14:textId="77777777" w:rsidTr="00E73145">
        <w:tc>
          <w:tcPr>
            <w:tcW w:w="1129" w:type="dxa"/>
          </w:tcPr>
          <w:p w14:paraId="3AE2F15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620" w:type="dxa"/>
          </w:tcPr>
          <w:p w14:paraId="2F52AE4B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Identifikazzjoni tal-bilanċi tal-komponenti ewlenin tal-NMDs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</w:t>
            </w:r>
          </w:p>
          <w:p w14:paraId="11F5327D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jindikaw jekk jiltaqgħux ma’ xi sfidi fl-identifikar tal-bilanċi ewlenin tal-NMDs mingħajr kundizzjoni għax-xenarju tar-rata tal-interess:</w:t>
            </w:r>
          </w:p>
          <w:p w14:paraId="069EA49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iva;</w:t>
            </w:r>
          </w:p>
          <w:p w14:paraId="0F1C79F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le;</w:t>
            </w:r>
          </w:p>
          <w:p w14:paraId="527FB50C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mhux applikabbli.</w:t>
            </w:r>
          </w:p>
        </w:tc>
      </w:tr>
      <w:tr w:rsidR="004E6C70" w:rsidRPr="00D82419" w14:paraId="602E2508" w14:textId="77777777" w:rsidTr="00E73145">
        <w:tc>
          <w:tcPr>
            <w:tcW w:w="1129" w:type="dxa"/>
          </w:tcPr>
          <w:p w14:paraId="3735B296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620" w:type="dxa"/>
          </w:tcPr>
          <w:p w14:paraId="2210F890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Motivaturi rilevanti għall-bilanċi tal-NMDs</w:t>
            </w:r>
          </w:p>
          <w:p w14:paraId="001C7E83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jelenkaw l-isem/ismijiet tal-motivatur(i) rilevanti użat(i) biex jidentifikaw il-bilanċi ewlenin. </w:t>
            </w:r>
          </w:p>
        </w:tc>
      </w:tr>
      <w:tr w:rsidR="004E6C70" w:rsidRPr="00D82419" w14:paraId="0C8FD84D" w14:textId="77777777" w:rsidTr="00E73145">
        <w:tc>
          <w:tcPr>
            <w:tcW w:w="1129" w:type="dxa"/>
          </w:tcPr>
          <w:p w14:paraId="654F7BA6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620" w:type="dxa"/>
          </w:tcPr>
          <w:p w14:paraId="35476C11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Bilanċi tal-komponenti ewlenin tal-NMDs (il-klassifikar prudenzjali tal-bilanċi tal-komponenti ewlenin)</w:t>
            </w:r>
          </w:p>
          <w:p w14:paraId="10099D13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jindikaw kif jallokaw il-bilanċi ewlenin tal-NMDs:</w:t>
            </w:r>
          </w:p>
          <w:p w14:paraId="5BDB8DA9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il-bilanċi ewlenin kollha allokati f’terminu wieħed biss ta’ pprezzar mill-ġdid;</w:t>
            </w:r>
          </w:p>
          <w:p w14:paraId="10D6693C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il-bilanċi ewlenin allokati f’termini differenti ta’ pprezzar mill-ġdid.</w:t>
            </w:r>
          </w:p>
        </w:tc>
      </w:tr>
      <w:tr w:rsidR="004E6C70" w:rsidRPr="00D82419" w14:paraId="088677F2" w14:textId="77777777" w:rsidTr="00E73145">
        <w:tc>
          <w:tcPr>
            <w:tcW w:w="1129" w:type="dxa"/>
          </w:tcPr>
          <w:p w14:paraId="0569A99D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620" w:type="dxa"/>
          </w:tcPr>
          <w:p w14:paraId="419CA2E2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Il-limitu massimu ta’ 5 snin fuq l-ipprezzar mill-ġdid tal-NMDs fuq il-ġestjoni tar-riskju tal-IRRBB</w:t>
            </w:r>
          </w:p>
          <w:p w14:paraId="31219071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jindikaw jekk jiġix osservat xi impatt mhux intenzjonat f’termini ta’ ġestjoni tar-riskju u strateġiji tal-iħħeġġjar tal-IRRBB, minħabba l-limitu massimu ta’ 5 snin fuq l-ipprezzar mill-ġdid fl-IMS IRRBB:</w:t>
            </w:r>
          </w:p>
          <w:p w14:paraId="6FAF1EC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iva;</w:t>
            </w:r>
          </w:p>
          <w:p w14:paraId="2C3DCA4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le;</w:t>
            </w:r>
          </w:p>
          <w:p w14:paraId="59861953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mhux applikabbli.</w:t>
            </w:r>
          </w:p>
        </w:tc>
      </w:tr>
      <w:tr w:rsidR="004E6C70" w:rsidRPr="00D82419" w14:paraId="01648FD6" w14:textId="77777777" w:rsidTr="00E73145">
        <w:tc>
          <w:tcPr>
            <w:tcW w:w="1129" w:type="dxa"/>
          </w:tcPr>
          <w:p w14:paraId="29B43CE2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620" w:type="dxa"/>
          </w:tcPr>
          <w:p w14:paraId="029065E6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Eżenzjonijiet għal-limitu massimu ta’ 5 snin fuq l-ipprezzar mill-ġdid tal-NMDs</w:t>
            </w:r>
          </w:p>
          <w:p w14:paraId="78A1DA14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L-istituzzjonijiet għandhom jindikaw jekk jużawx l-eżenzjonijiet għal-limitu massimu ta’ 5 snin fuq l-ipprezzar mill-ġdid għal kwalunkwe wieħed mill-prodotti tagħhom tal-IRRBB:</w:t>
            </w:r>
          </w:p>
          <w:p w14:paraId="743833F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iva;</w:t>
            </w:r>
          </w:p>
          <w:p w14:paraId="2B2D8D1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le;</w:t>
            </w:r>
          </w:p>
          <w:p w14:paraId="0D89FABB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mhux applikabbli.</w:t>
            </w:r>
          </w:p>
        </w:tc>
      </w:tr>
      <w:tr w:rsidR="004E6C70" w:rsidRPr="00D82419" w14:paraId="4BE978DB" w14:textId="77777777" w:rsidTr="00E73145">
        <w:tc>
          <w:tcPr>
            <w:tcW w:w="1129" w:type="dxa"/>
          </w:tcPr>
          <w:p w14:paraId="09EEA531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0240</w:t>
            </w:r>
          </w:p>
        </w:tc>
        <w:tc>
          <w:tcPr>
            <w:tcW w:w="7620" w:type="dxa"/>
          </w:tcPr>
          <w:p w14:paraId="2343EEDE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Immudellar tal-NMDs operazzjonali mill-klijenti finanzjarji</w:t>
            </w:r>
          </w:p>
          <w:p w14:paraId="002F841F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jindikaw jekk l-NMDs mill-klijenti finanzjarji kklassifikati bħala depożiti operazzjonali, li għalihom japplika l-Artikolu 27(1), il-punt (a), tar-Regolament Delegat (UE) 2015/61, humiex soġġetti għall-immudellar komportamentali:</w:t>
            </w:r>
          </w:p>
          <w:p w14:paraId="39EC3D5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iva;</w:t>
            </w:r>
          </w:p>
          <w:p w14:paraId="36FA0AE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le;</w:t>
            </w:r>
          </w:p>
          <w:p w14:paraId="31816416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mhux applikabbli.</w:t>
            </w:r>
          </w:p>
        </w:tc>
      </w:tr>
      <w:tr w:rsidR="004E6C70" w:rsidRPr="00D82419" w14:paraId="4AB472EF" w14:textId="77777777" w:rsidTr="00E73145">
        <w:tc>
          <w:tcPr>
            <w:tcW w:w="1129" w:type="dxa"/>
          </w:tcPr>
          <w:p w14:paraId="56CE53BB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7620" w:type="dxa"/>
          </w:tcPr>
          <w:p w14:paraId="446F1589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Bidliet fl-istruttura tal-karta bilanċjali minħabba r-rati tal-imgħax</w:t>
            </w:r>
          </w:p>
          <w:p w14:paraId="7499F21F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jindikaw il-bidliet li jkunu saru fl-istruttura tal-karta bilanċjali tagħhom minn mindu sar l-aktar rapportar riċenti dwar l-IRRBB: </w:t>
            </w:r>
          </w:p>
          <w:p w14:paraId="50EA88CB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tnaqqis fid-differenza fid-durata bejn l-assi/obbligazzjonijiet permezz ta’ tnaqqis fid-durata tal-assi;</w:t>
            </w:r>
          </w:p>
          <w:p w14:paraId="508EC590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tnaqqis fid-differenza fid-durata bejn l-assi/obbligazzjonijiet permezz ta’ żieda fid-durata tal-obbligazzjonijiet;</w:t>
            </w:r>
          </w:p>
          <w:p w14:paraId="103DFBC8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tnaqqis fid-differenza fid-durata bejn l-assi/obbligazzjonijiet permezz ta’ tnaqqis fid-durata tal-assi u żieda fid-durata tal-obbligazzjonijiet;</w:t>
            </w:r>
          </w:p>
          <w:p w14:paraId="34F0F2A9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żieda fid-differenza fid-durata permezz ta’ żieda fid-durata tal-assi;</w:t>
            </w:r>
          </w:p>
          <w:p w14:paraId="1A9A106B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żieda fid-differenza fid-durata permezz ta’ tnaqqis fid-durata tal-obbligazzjonijiet;</w:t>
            </w:r>
          </w:p>
          <w:p w14:paraId="2374963D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żieda fid-differenza fid-durata permezz ta’ żieda fid-durata tal-assi u tnaqqis fid-durata tal-obbligazzjonijiet.</w:t>
            </w:r>
          </w:p>
        </w:tc>
      </w:tr>
      <w:tr w:rsidR="004E6C70" w:rsidRPr="00D82419" w14:paraId="7BE59AE7" w14:textId="77777777" w:rsidTr="00E73145">
        <w:tc>
          <w:tcPr>
            <w:tcW w:w="1129" w:type="dxa"/>
          </w:tcPr>
          <w:p w14:paraId="07AA0D5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620" w:type="dxa"/>
          </w:tcPr>
          <w:p w14:paraId="21CDDC1B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Strateġiji tal-mitigazzjoni u tal-iħħeġġjar tal-IRRBB (EVE)</w:t>
            </w:r>
          </w:p>
          <w:p w14:paraId="7181BF10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jindikaw jekk humiex qegħdin jistennew li jiżviluppaw bidliet fl-istrateġiji tagħhom tal-mitigazzjoni u tal-iħħeġġjar tal-IRR fi kwalunkwe xenarju previst fir-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Regolament Delegat (UE) …/… (OP jekk jogħġbok żid referenza</w:t>
            </w:r>
            <w:r>
              <w:rPr>
                <w:rFonts w:ascii="Times New Roman" w:hAnsi="Times New Roman"/>
                <w:sz w:val="24"/>
              </w:rPr>
              <w:t xml:space="preserve"> għall-RTS fuq l-SOT) għall-EVE:</w:t>
            </w:r>
          </w:p>
          <w:p w14:paraId="198BBF0D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xokk parallel ’il fuq:</w:t>
            </w:r>
          </w:p>
          <w:p w14:paraId="212D217A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xokk parallel ’l isfel;</w:t>
            </w:r>
          </w:p>
          <w:p w14:paraId="5B6A114C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xokk ta’ żieda fil-kurva tar-rendiment;</w:t>
            </w:r>
          </w:p>
          <w:p w14:paraId="0F26717F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xokk ta’ tnaqqis fil-kurva tar-rendiment;</w:t>
            </w:r>
          </w:p>
          <w:p w14:paraId="50DCC34B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xokk ’il fuq qasir tar-rati;</w:t>
            </w:r>
          </w:p>
          <w:p w14:paraId="403CE9E4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xokk ’l isfel qasir tar-rati.</w:t>
            </w:r>
          </w:p>
        </w:tc>
      </w:tr>
      <w:tr w:rsidR="004E6C70" w:rsidRPr="00D82419" w14:paraId="189B8E64" w14:textId="77777777" w:rsidTr="00E73145">
        <w:tc>
          <w:tcPr>
            <w:tcW w:w="1129" w:type="dxa"/>
          </w:tcPr>
          <w:p w14:paraId="32749045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0270</w:t>
            </w:r>
          </w:p>
        </w:tc>
        <w:tc>
          <w:tcPr>
            <w:tcW w:w="7620" w:type="dxa"/>
          </w:tcPr>
          <w:p w14:paraId="3CCF86C0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Strateġiji tal-mitigazzjoni u tal-iħħeġġjar tal-IRRBB (EVE)</w:t>
            </w:r>
          </w:p>
          <w:p w14:paraId="00714BDF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jindikaw jekk humiex qegħdin jistennew li jiżviluppaw bidliet fl-istrateġiji tagħhom tal-mitigazzjoni u tal-iħħeġġjar tal-IRR fi kwalunkwe xenarju previst fir-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Regolament Delegat (UE) …/… (OP jekk jogħġbok żid referenza għall-RTS fuq l-SOT)</w:t>
            </w:r>
            <w:r>
              <w:rPr>
                <w:rFonts w:ascii="Times New Roman" w:hAnsi="Times New Roman"/>
                <w:sz w:val="24"/>
              </w:rPr>
              <w:t xml:space="preserve"> għall-NII:</w:t>
            </w:r>
          </w:p>
          <w:p w14:paraId="15784E81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xokk parallel ’il fuq;</w:t>
            </w:r>
          </w:p>
          <w:p w14:paraId="43686FF3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xokk parallel ’l isfel.</w:t>
            </w:r>
          </w:p>
        </w:tc>
      </w:tr>
      <w:tr w:rsidR="004E6C70" w:rsidRPr="00D82419" w14:paraId="143E0368" w14:textId="77777777" w:rsidTr="00E73145">
        <w:tc>
          <w:tcPr>
            <w:tcW w:w="1129" w:type="dxa"/>
          </w:tcPr>
          <w:p w14:paraId="22B24AAD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620" w:type="dxa"/>
          </w:tcPr>
          <w:p w14:paraId="2CE7991A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SOT fuq il-kejl tar-riskju tal-NII taħt l-Approċċ IMS - PTR tad-Depożiti b’terminu fil-livell tal-konsumatur</w:t>
            </w:r>
          </w:p>
          <w:p w14:paraId="4BE95482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jindikaw jekk iwettqux pass-through ta’ 100 % tal-bidliet fir-rati tal-imgħax tas-suq fl-ipprezzar mill-ġdid tad-depożiti b’terminu fil-livell tal-konsumatur wara l-maturità tagħhom fix-xenarju tar-rata tal-interess parallel ta’ +200: </w:t>
            </w:r>
          </w:p>
          <w:p w14:paraId="515BE5C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iva;</w:t>
            </w:r>
          </w:p>
          <w:p w14:paraId="4D8BDCDD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le;</w:t>
            </w:r>
          </w:p>
          <w:p w14:paraId="09A4D9A3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mhux applikabbli.</w:t>
            </w:r>
          </w:p>
        </w:tc>
      </w:tr>
      <w:tr w:rsidR="004E6C70" w:rsidRPr="00D82419" w14:paraId="7B8E70B8" w14:textId="77777777" w:rsidTr="00E73145">
        <w:tc>
          <w:tcPr>
            <w:tcW w:w="1129" w:type="dxa"/>
          </w:tcPr>
          <w:p w14:paraId="2A15614F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620" w:type="dxa"/>
          </w:tcPr>
          <w:p w14:paraId="1142D3D7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SOT fuq il-kejl tar-riskju tal-NII taħt l-Approċċ IMS - PTR tas-Self b’rata fissa fil-livell tal-konsumatur</w:t>
            </w:r>
          </w:p>
          <w:p w14:paraId="4BC5A52A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jindikaw jekk iwettqux pass-through ta’ 100 % tal-bidliet fir-rati tal-imgħax tas-suq fl-ipprezzar mill-ġdid tas-self b’rata fissa fil-livell tal-konsumatur wara l-maturità tiegħu fix-xenarju tar-rata tal-interess parallel ta’ +200: </w:t>
            </w:r>
          </w:p>
          <w:p w14:paraId="785E0FB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iva;</w:t>
            </w:r>
          </w:p>
          <w:p w14:paraId="4B8E39B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le;</w:t>
            </w:r>
          </w:p>
          <w:p w14:paraId="2A4A32DF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mhux applikabbli.</w:t>
            </w:r>
          </w:p>
        </w:tc>
      </w:tr>
      <w:tr w:rsidR="004E6C70" w:rsidRPr="00D82419" w14:paraId="53091B2A" w14:textId="77777777" w:rsidTr="00E73145">
        <w:tc>
          <w:tcPr>
            <w:tcW w:w="1129" w:type="dxa"/>
          </w:tcPr>
          <w:p w14:paraId="22874FA3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620" w:type="dxa"/>
          </w:tcPr>
          <w:p w14:paraId="3C06DF61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Riskju ta’ bażi</w:t>
            </w:r>
          </w:p>
          <w:p w14:paraId="6EB46ACC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jindikaw jekk iqisux ir-riskju ta’ bażi bħala wieħed materjali: </w:t>
            </w:r>
          </w:p>
          <w:p w14:paraId="1A71F6C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iva;</w:t>
            </w:r>
          </w:p>
          <w:p w14:paraId="211585C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le;</w:t>
            </w:r>
          </w:p>
          <w:p w14:paraId="51B976A3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mhux applikabbli.</w:t>
            </w:r>
          </w:p>
        </w:tc>
      </w:tr>
      <w:tr w:rsidR="004E6C70" w:rsidRPr="00D82419" w14:paraId="0D0A5FB5" w14:textId="77777777" w:rsidTr="00E73145">
        <w:tc>
          <w:tcPr>
            <w:tcW w:w="1129" w:type="dxa"/>
          </w:tcPr>
          <w:p w14:paraId="1F63ECD5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620" w:type="dxa"/>
          </w:tcPr>
          <w:p w14:paraId="5781614C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Riskju ta’ kreditu fil-portafoll bankarju (CSRBB, Credit Spread Risk in the Banking Book)</w:t>
            </w:r>
          </w:p>
          <w:p w14:paraId="197E8A1C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jindikaw jekk ikkunsidrawx perimetru ta’ strumenti differenti soġġetti għas-CSRBB, kif imsemmi fl-Artikolu 84(2) tad-Direttiva 2013/36/UE, għall-metriċi tal-NII u l-EVE:</w:t>
            </w:r>
          </w:p>
          <w:p w14:paraId="2685246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iva;</w:t>
            </w:r>
          </w:p>
          <w:p w14:paraId="5CD30B5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le;</w:t>
            </w:r>
          </w:p>
          <w:p w14:paraId="2765F23A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- mhux applikabbli.</w:t>
            </w:r>
          </w:p>
        </w:tc>
      </w:tr>
      <w:tr w:rsidR="004E6C70" w:rsidRPr="00D82419" w14:paraId="786ECF3D" w14:textId="77777777" w:rsidTr="00E73145">
        <w:tc>
          <w:tcPr>
            <w:tcW w:w="1129" w:type="dxa"/>
          </w:tcPr>
          <w:p w14:paraId="620664EA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0320</w:t>
            </w:r>
          </w:p>
        </w:tc>
        <w:tc>
          <w:tcPr>
            <w:tcW w:w="7620" w:type="dxa"/>
          </w:tcPr>
          <w:p w14:paraId="2A5A4DC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Kurva tar-rendiment mingħajr riskju (skontar fl-SOT fuq l-EVE) </w:t>
            </w:r>
          </w:p>
          <w:p w14:paraId="6565E2C4" w14:textId="77777777" w:rsidR="004E6C70" w:rsidRPr="00D82419" w:rsidRDefault="004E6C70" w:rsidP="00E73145">
            <w:pPr>
              <w:pStyle w:val="InstructionsText"/>
            </w:pPr>
            <w:r>
              <w:t>L-istituzzjonijiet għandhom jirrapportaw il-kurva tar-rendiment mingħajr riskju li ntużat għall-iskontar f’konformità mal-Artikolu 3(10) tar-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Regolament Delegat (UE) …/… (OP jekk jogħġbok żid referenza għall-RTS fuq l-SOT)</w:t>
            </w:r>
            <w:r>
              <w:t>:</w:t>
            </w:r>
          </w:p>
          <w:p w14:paraId="10B96A7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self interbankarju garantit;</w:t>
            </w:r>
          </w:p>
          <w:p w14:paraId="3437563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self interbankarju mil-lum għall-għada mhux garantit;</w:t>
            </w:r>
          </w:p>
          <w:p w14:paraId="49F2574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self interbankarju b’terminu mhux garantit;</w:t>
            </w:r>
          </w:p>
          <w:p w14:paraId="710B824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kurva sovrana;</w:t>
            </w:r>
          </w:p>
          <w:p w14:paraId="6191DA2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kurva speċifika tal-prodott;</w:t>
            </w:r>
          </w:p>
          <w:p w14:paraId="336BB7E8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kurva speċifika tal-entità;</w:t>
            </w:r>
          </w:p>
          <w:p w14:paraId="467B04A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oħrajn.</w:t>
            </w:r>
          </w:p>
        </w:tc>
      </w:tr>
      <w:tr w:rsidR="004E6C70" w:rsidRPr="00D82419" w14:paraId="727E5DD3" w14:textId="77777777" w:rsidTr="00E73145">
        <w:tc>
          <w:tcPr>
            <w:tcW w:w="1129" w:type="dxa"/>
          </w:tcPr>
          <w:p w14:paraId="4E113D10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620" w:type="dxa"/>
          </w:tcPr>
          <w:p w14:paraId="066069D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Kurva tar-rendiment mingħajr riskju (kejl tar-riskju intern tal-EVE)</w:t>
            </w:r>
          </w:p>
          <w:p w14:paraId="3BC99E45" w14:textId="77777777" w:rsidR="004E6C70" w:rsidRPr="00D82419" w:rsidRDefault="004E6C70" w:rsidP="00E73145">
            <w:pPr>
              <w:pStyle w:val="InstructionsText"/>
            </w:pPr>
            <w:r>
              <w:t>L-istituzzjonijiet għandhom jirrapportaw il-kurva tar-rendiment mingħajr riskju li ntużaw għall-finijiet interni għall-iskontar tal-kejl tar-riskju intern tal-EVE:</w:t>
            </w:r>
          </w:p>
          <w:p w14:paraId="40C9A13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self interbankarju garantit;</w:t>
            </w:r>
          </w:p>
          <w:p w14:paraId="123BC21C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self interbankarju mil-lum għall-għada mhux garantit;</w:t>
            </w:r>
          </w:p>
          <w:p w14:paraId="199265F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self interbankarju b’terminu mhux garantit;</w:t>
            </w:r>
          </w:p>
          <w:p w14:paraId="205DAA1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kurva sovrana;</w:t>
            </w:r>
          </w:p>
          <w:p w14:paraId="4453F30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kurva speċifika tal-prodott;</w:t>
            </w:r>
          </w:p>
          <w:p w14:paraId="639F1ADF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kurva speċifika tal-entità;</w:t>
            </w:r>
          </w:p>
          <w:p w14:paraId="69D6DA37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oħrajn.</w:t>
            </w:r>
          </w:p>
        </w:tc>
      </w:tr>
      <w:tr w:rsidR="004E6C70" w:rsidRPr="00D82419" w14:paraId="5A747E60" w14:textId="77777777" w:rsidTr="00E73145">
        <w:tc>
          <w:tcPr>
            <w:tcW w:w="1129" w:type="dxa"/>
          </w:tcPr>
          <w:p w14:paraId="74E24C6E" w14:textId="77777777" w:rsidR="004E6C70" w:rsidRPr="00D82419" w:rsidDel="00DD0AD0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0340</w:t>
            </w:r>
          </w:p>
        </w:tc>
        <w:tc>
          <w:tcPr>
            <w:tcW w:w="7620" w:type="dxa"/>
          </w:tcPr>
          <w:p w14:paraId="289AFDA4" w14:textId="77777777" w:rsidR="004E6C70" w:rsidRPr="00D82419" w:rsidRDefault="004E6C70" w:rsidP="00E73145">
            <w:pPr>
              <w:suppressAutoHyphens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Bidla fis-suppożizzjonijiet materjali (EVE)</w:t>
            </w:r>
          </w:p>
          <w:p w14:paraId="5D0142C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>L-istituzzjonijiet għandhom jindikaw jekk inbidlitx xi suppożizzjoni materjali sottostanti għall-kalkolu tax-xokk superviżorju standard fil-metriċi tal-SOT fuq l-EVE minn mindu sar l-aktar rapportar riċenti:</w:t>
            </w:r>
          </w:p>
          <w:p w14:paraId="146BFA6E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iva;</w:t>
            </w:r>
          </w:p>
          <w:p w14:paraId="0D730689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le;</w:t>
            </w:r>
          </w:p>
          <w:p w14:paraId="10CE6E92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mhux applikabbli.</w:t>
            </w:r>
          </w:p>
        </w:tc>
      </w:tr>
      <w:tr w:rsidR="004E6C70" w:rsidRPr="00D82419" w14:paraId="10994296" w14:textId="77777777" w:rsidTr="00E73145">
        <w:tc>
          <w:tcPr>
            <w:tcW w:w="1129" w:type="dxa"/>
          </w:tcPr>
          <w:p w14:paraId="42211093" w14:textId="77777777" w:rsidR="004E6C70" w:rsidRPr="00D82419" w:rsidDel="00DD0AD0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7620" w:type="dxa"/>
          </w:tcPr>
          <w:p w14:paraId="0985C03B" w14:textId="77777777" w:rsidR="004E6C70" w:rsidRPr="00D82419" w:rsidRDefault="004E6C70" w:rsidP="00E73145">
            <w:pPr>
              <w:suppressAutoHyphens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Bidla fis-suppożizzjonijiet materjali (NII)</w:t>
            </w:r>
          </w:p>
          <w:p w14:paraId="6B2C4F54" w14:textId="77777777" w:rsidR="004E6C70" w:rsidRPr="00D82419" w:rsidRDefault="004E6C70" w:rsidP="00E73145">
            <w:pPr>
              <w:pStyle w:val="InstructionsText"/>
            </w:pPr>
            <w:r>
              <w:t>L-istituzzjonijiet għandhom jindikaw jekk inbidlitx xi suppożizzjoni materjali sottostanti għall-kalkolu tax-xokk superviżorju standard fil-metriċi tal-SOT fuq l-EVE minn mindu sar l-aktar rapportar riċenti:</w:t>
            </w:r>
            <w:r>
              <w:rPr>
                <w:color w:val="333333"/>
                <w:sz w:val="18"/>
              </w:rPr>
              <w:t xml:space="preserve"> </w:t>
            </w:r>
          </w:p>
          <w:p w14:paraId="1DEC36B0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iva;</w:t>
            </w:r>
          </w:p>
          <w:p w14:paraId="09FACA71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le;</w:t>
            </w:r>
          </w:p>
          <w:p w14:paraId="753515F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- mhux applikabbli.</w:t>
            </w:r>
          </w:p>
        </w:tc>
      </w:tr>
      <w:tr w:rsidR="004E6C70" w:rsidRPr="00D82419" w14:paraId="73C56C5F" w14:textId="77777777" w:rsidTr="00E73145">
        <w:tc>
          <w:tcPr>
            <w:tcW w:w="1129" w:type="dxa"/>
          </w:tcPr>
          <w:p w14:paraId="629C2678" w14:textId="77777777" w:rsidR="004E6C70" w:rsidRPr="00D82419" w:rsidRDefault="004E6C70" w:rsidP="00E731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0360</w:t>
            </w:r>
          </w:p>
        </w:tc>
        <w:tc>
          <w:tcPr>
            <w:tcW w:w="7620" w:type="dxa"/>
          </w:tcPr>
          <w:p w14:paraId="1B7CA95B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Rata tal-imgħax minima wara x-xokk (NII/EVE)</w:t>
            </w:r>
          </w:p>
          <w:p w14:paraId="1879C0C8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F’konformità mal-Artikolu 3(7)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tar-Regolament Delegat (UE) …/… (OP jekk jogħġbok żid referenza għall-SOT)</w:t>
            </w:r>
            <w:r>
              <w:t>, l-istituzzjonijiet għandhom jindikaw jekk ir-rata tal-imgħax minima wara x-xokk li tiddependi mill-maturità hijiex vinkolanti għal xi waħda mill-muniti speċifiċi rrapportati:</w:t>
            </w:r>
          </w:p>
          <w:p w14:paraId="11E57F64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iva;</w:t>
            </w:r>
          </w:p>
          <w:p w14:paraId="2C54E4CA" w14:textId="77777777" w:rsidR="004E6C70" w:rsidRPr="00D82419" w:rsidRDefault="004E6C70" w:rsidP="00E731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le;</w:t>
            </w:r>
          </w:p>
          <w:p w14:paraId="4FD9DB78" w14:textId="77777777" w:rsidR="004E6C70" w:rsidRPr="00D82419" w:rsidRDefault="004E6C70" w:rsidP="00E73145">
            <w:pPr>
              <w:suppressAutoHyphens/>
              <w:spacing w:before="0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 mhux applikabbli.</w:t>
            </w:r>
          </w:p>
        </w:tc>
      </w:tr>
    </w:tbl>
    <w:p w14:paraId="77DB7A49" w14:textId="77777777" w:rsidR="004E6C70" w:rsidRPr="00D82419" w:rsidRDefault="004E6C70" w:rsidP="004E6C70">
      <w:pPr>
        <w:suppressAutoHyphens/>
        <w:spacing w:after="0"/>
        <w:rPr>
          <w:rStyle w:val="InstructionsTabelleText"/>
          <w:rFonts w:ascii="Times New Roman" w:hAnsi="Times New Roman"/>
          <w:sz w:val="24"/>
        </w:rPr>
      </w:pPr>
    </w:p>
    <w:p w14:paraId="39EF3370" w14:textId="77777777" w:rsidR="004E6C70" w:rsidRPr="0071714D" w:rsidRDefault="004E6C70" w:rsidP="004E6C70">
      <w:pPr>
        <w:suppressAutoHyphens/>
        <w:spacing w:after="0"/>
        <w:ind w:left="705" w:hanging="345"/>
        <w:rPr>
          <w:rStyle w:val="InstructionsTabelleText"/>
          <w:rFonts w:ascii="Times New Roman" w:hAnsi="Times New Roman"/>
          <w:szCs w:val="20"/>
        </w:rPr>
      </w:pPr>
    </w:p>
    <w:p w14:paraId="422C24B0" w14:textId="77777777" w:rsidR="00E240EE" w:rsidRDefault="00E240EE"/>
    <w:sectPr w:rsidR="00E240EE" w:rsidSect="00B51F4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E83AC" w14:textId="77777777" w:rsidR="004E6C70" w:rsidRDefault="004E6C70" w:rsidP="004E6C70">
      <w:pPr>
        <w:spacing w:before="0" w:after="0"/>
      </w:pPr>
      <w:r>
        <w:separator/>
      </w:r>
    </w:p>
  </w:endnote>
  <w:endnote w:type="continuationSeparator" w:id="0">
    <w:p w14:paraId="071D8FD2" w14:textId="77777777" w:rsidR="004E6C70" w:rsidRDefault="004E6C70" w:rsidP="004E6C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ndnya">
    <w:panose1 w:val="00000400000000000000"/>
    <w:charset w:val="01"/>
    <w:family w:val="roman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B64D9" w14:textId="77777777" w:rsidR="004E6C70" w:rsidRDefault="004E6C70">
    <w:pPr>
      <w:pStyle w:val="Footer"/>
    </w:pPr>
  </w:p>
  <w:p w14:paraId="3718B093" w14:textId="77777777" w:rsidR="004E6C70" w:rsidRDefault="004E6C70"/>
  <w:p w14:paraId="493AC5C7" w14:textId="77777777" w:rsidR="004E6C70" w:rsidRDefault="004E6C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A5349" w14:textId="77777777" w:rsidR="004E6C70" w:rsidRPr="00ED1956" w:rsidRDefault="004E6C70">
    <w:pPr>
      <w:pStyle w:val="Footer"/>
      <w:jc w:val="right"/>
      <w:rPr>
        <w:rFonts w:ascii="Times New Roman" w:hAnsi="Times New Roman"/>
        <w:sz w:val="22"/>
        <w:szCs w:val="22"/>
      </w:rPr>
    </w:pPr>
    <w:r w:rsidRPr="00ED1956">
      <w:rPr>
        <w:rFonts w:ascii="Times New Roman" w:hAnsi="Times New Roman"/>
        <w:color w:val="2B579A"/>
        <w:sz w:val="22"/>
        <w:shd w:val="clear" w:color="auto" w:fill="E6E6E6"/>
      </w:rPr>
      <w:fldChar w:fldCharType="begin"/>
    </w:r>
    <w:r w:rsidRPr="00ED1956">
      <w:rPr>
        <w:rFonts w:ascii="Times New Roman" w:hAnsi="Times New Roman"/>
        <w:sz w:val="22"/>
      </w:rPr>
      <w:instrText xml:space="preserve"> PAGE   \* MERGEFORMAT </w:instrText>
    </w:r>
    <w:r w:rsidRPr="00ED1956">
      <w:rPr>
        <w:rFonts w:ascii="Times New Roman" w:hAnsi="Times New Roman"/>
        <w:color w:val="2B579A"/>
        <w:sz w:val="22"/>
        <w:shd w:val="clear" w:color="auto" w:fill="E6E6E6"/>
      </w:rPr>
      <w:fldChar w:fldCharType="separate"/>
    </w:r>
    <w:r>
      <w:rPr>
        <w:rFonts w:ascii="Times New Roman" w:hAnsi="Times New Roman"/>
        <w:sz w:val="22"/>
      </w:rPr>
      <w:t>2</w:t>
    </w:r>
    <w:r w:rsidRPr="00ED1956">
      <w:rPr>
        <w:rFonts w:ascii="Times New Roman" w:hAnsi="Times New Roman"/>
        <w:color w:val="2B579A"/>
        <w:sz w:val="22"/>
        <w:shd w:val="clear" w:color="auto" w:fill="E6E6E6"/>
      </w:rPr>
      <w:fldChar w:fldCharType="end"/>
    </w:r>
  </w:p>
  <w:p w14:paraId="1D49D2CA" w14:textId="77777777" w:rsidR="004E6C70" w:rsidRDefault="004E6C70">
    <w:pPr>
      <w:pStyle w:val="Footer"/>
    </w:pPr>
  </w:p>
  <w:p w14:paraId="34285CDC" w14:textId="77777777" w:rsidR="004E6C70" w:rsidRDefault="004E6C70"/>
  <w:p w14:paraId="0B7F36B9" w14:textId="77777777" w:rsidR="004E6C70" w:rsidRDefault="004E6C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01B37" w14:textId="77777777" w:rsidR="004E6C70" w:rsidRPr="00E85358" w:rsidRDefault="004E6C70">
    <w:pPr>
      <w:pStyle w:val="Footer"/>
      <w:jc w:val="right"/>
      <w:rPr>
        <w:sz w:val="22"/>
        <w:szCs w:val="22"/>
      </w:rPr>
    </w:pPr>
    <w:r w:rsidRPr="00E85358">
      <w:rPr>
        <w:color w:val="2B579A"/>
        <w:sz w:val="22"/>
        <w:shd w:val="clear" w:color="auto" w:fill="E6E6E6"/>
      </w:rPr>
      <w:fldChar w:fldCharType="begin"/>
    </w:r>
    <w:r w:rsidRPr="00E85358">
      <w:rPr>
        <w:sz w:val="22"/>
      </w:rPr>
      <w:instrText xml:space="preserve"> PAGE   \* MERGEFORMAT </w:instrText>
    </w:r>
    <w:r w:rsidRPr="00E85358">
      <w:rPr>
        <w:color w:val="2B579A"/>
        <w:sz w:val="22"/>
        <w:shd w:val="clear" w:color="auto" w:fill="E6E6E6"/>
      </w:rPr>
      <w:fldChar w:fldCharType="separate"/>
    </w:r>
    <w:r>
      <w:rPr>
        <w:sz w:val="22"/>
      </w:rPr>
      <w:t>1</w:t>
    </w:r>
    <w:r w:rsidRPr="00E85358">
      <w:rPr>
        <w:color w:val="2B579A"/>
        <w:sz w:val="22"/>
        <w:shd w:val="clear" w:color="auto" w:fill="E6E6E6"/>
      </w:rPr>
      <w:fldChar w:fldCharType="end"/>
    </w:r>
  </w:p>
  <w:p w14:paraId="5B80C553" w14:textId="77777777" w:rsidR="004E6C70" w:rsidRDefault="004E6C70">
    <w:pPr>
      <w:pStyle w:val="Footer"/>
    </w:pPr>
  </w:p>
  <w:p w14:paraId="761EF1C4" w14:textId="77777777" w:rsidR="004E6C70" w:rsidRDefault="004E6C70"/>
  <w:p w14:paraId="1C2DECA2" w14:textId="77777777" w:rsidR="004E6C70" w:rsidRDefault="004E6C7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8075A" w14:textId="77777777" w:rsidR="004E6C70" w:rsidRDefault="004E6C70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547EEC9F" w14:textId="77777777" w:rsidR="004E6C70" w:rsidRDefault="004E6C70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1FE43" w14:textId="77777777" w:rsidR="004E6C70" w:rsidRPr="00ED1956" w:rsidRDefault="004E6C70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color w:val="2B579A"/>
        <w:sz w:val="20"/>
        <w:shd w:val="clear" w:color="auto" w:fill="E6E6E6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color w:val="2B579A"/>
        <w:sz w:val="20"/>
        <w:shd w:val="clear" w:color="auto" w:fill="E6E6E6"/>
      </w:rPr>
      <w:fldChar w:fldCharType="separate"/>
    </w:r>
    <w:r>
      <w:rPr>
        <w:rFonts w:ascii="Times New Roman" w:hAnsi="Times New Roman"/>
        <w:sz w:val="20"/>
      </w:rPr>
      <w:t>24</w:t>
    </w:r>
    <w:r w:rsidRPr="00ED1956">
      <w:rPr>
        <w:rFonts w:ascii="Times New Roman" w:hAnsi="Times New Roman"/>
        <w:color w:val="2B579A"/>
        <w:sz w:val="20"/>
        <w:shd w:val="clear" w:color="auto" w:fill="E6E6E6"/>
      </w:rPr>
      <w:fldChar w:fldCharType="end"/>
    </w:r>
  </w:p>
  <w:p w14:paraId="54E40949" w14:textId="77777777" w:rsidR="004E6C70" w:rsidRPr="00A772B4" w:rsidRDefault="004E6C70" w:rsidP="00A772B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1ED44" w14:textId="77777777" w:rsidR="004E6C70" w:rsidRPr="00E85358" w:rsidRDefault="004E6C70">
    <w:pPr>
      <w:pStyle w:val="Footer"/>
      <w:jc w:val="right"/>
      <w:rPr>
        <w:sz w:val="22"/>
        <w:szCs w:val="22"/>
      </w:rPr>
    </w:pPr>
    <w:r w:rsidRPr="00E85358">
      <w:rPr>
        <w:color w:val="2B579A"/>
        <w:sz w:val="22"/>
        <w:shd w:val="clear" w:color="auto" w:fill="E6E6E6"/>
      </w:rPr>
      <w:fldChar w:fldCharType="begin"/>
    </w:r>
    <w:r w:rsidRPr="00E85358">
      <w:rPr>
        <w:sz w:val="22"/>
      </w:rPr>
      <w:instrText xml:space="preserve"> PAGE   \* MERGEFORMAT </w:instrText>
    </w:r>
    <w:r w:rsidRPr="00E85358">
      <w:rPr>
        <w:color w:val="2B579A"/>
        <w:sz w:val="22"/>
        <w:shd w:val="clear" w:color="auto" w:fill="E6E6E6"/>
      </w:rPr>
      <w:fldChar w:fldCharType="separate"/>
    </w:r>
    <w:r>
      <w:rPr>
        <w:sz w:val="22"/>
      </w:rPr>
      <w:t>1</w:t>
    </w:r>
    <w:r w:rsidRPr="00E85358">
      <w:rPr>
        <w:color w:val="2B579A"/>
        <w:sz w:val="22"/>
        <w:shd w:val="clear" w:color="auto" w:fill="E6E6E6"/>
      </w:rPr>
      <w:fldChar w:fldCharType="end"/>
    </w:r>
  </w:p>
  <w:p w14:paraId="35780DAA" w14:textId="77777777" w:rsidR="004E6C70" w:rsidRDefault="004E6C70">
    <w:pPr>
      <w:pStyle w:val="Footer"/>
    </w:pPr>
  </w:p>
  <w:p w14:paraId="59B102EE" w14:textId="77777777" w:rsidR="004E6C70" w:rsidRDefault="004E6C70"/>
  <w:p w14:paraId="76CA4BEF" w14:textId="77777777" w:rsidR="004E6C70" w:rsidRDefault="004E6C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B23D5" w14:textId="77777777" w:rsidR="004E6C70" w:rsidRDefault="004E6C70" w:rsidP="004E6C70">
      <w:pPr>
        <w:spacing w:before="0" w:after="0"/>
      </w:pPr>
      <w:r>
        <w:separator/>
      </w:r>
    </w:p>
  </w:footnote>
  <w:footnote w:type="continuationSeparator" w:id="0">
    <w:p w14:paraId="3FC24AB3" w14:textId="77777777" w:rsidR="004E6C70" w:rsidRDefault="004E6C70" w:rsidP="004E6C70">
      <w:pPr>
        <w:spacing w:before="0" w:after="0"/>
      </w:pPr>
      <w:r>
        <w:continuationSeparator/>
      </w:r>
    </w:p>
  </w:footnote>
  <w:footnote w:id="1">
    <w:p w14:paraId="28951F57" w14:textId="77777777" w:rsidR="004E6C70" w:rsidRPr="00CB270D" w:rsidRDefault="004E6C70" w:rsidP="004E6C70">
      <w:pPr>
        <w:pStyle w:val="footnotedescription"/>
        <w:spacing w:line="240" w:lineRule="auto"/>
        <w:ind w:left="567" w:right="0" w:hanging="567"/>
        <w:rPr>
          <w:rFonts w:ascii="Times New Roman" w:hAnsi="Times New Roman" w:cs="Times New Roman"/>
          <w:sz w:val="20"/>
          <w:szCs w:val="20"/>
        </w:rPr>
      </w:pPr>
      <w:r>
        <w:rPr>
          <w:rStyle w:val="footnotemark"/>
          <w:rFonts w:ascii="Times New Roman" w:hAnsi="Times New Roman" w:cs="Times New Roman"/>
          <w:szCs w:val="20"/>
        </w:rPr>
        <w:footnoteRef/>
      </w:r>
      <w:r>
        <w:t xml:space="preserve"> </w:t>
      </w:r>
      <w:r>
        <w:rPr>
          <w:rFonts w:ascii="Times New Roman" w:hAnsi="Times New Roman"/>
          <w:sz w:val="20"/>
        </w:rPr>
        <w:t>Ir-Regolament Delegat tal-Kummissjoni (UE) …/… ta’ XXX li jissupplimenta d-Direttiva 2013/36/UE tal-Parlament Ewropew u tal-Kunsill rigward l-istandards tekniċi regolatorji li jispeċifikaw metodoloġija standardizzata u metodoloġija standardizzata ssimplifikata biex jiġu evalwati r-riskji li jirriżultaw minn bidliet potenzjali fir-rati tal-imgħax li jaffettwaw kemm il-valur ekonomiku tal-ekwità kif ukoll l-introjtu mill-imgħax nett ta’ attivitajiet tal-portafoll mhux tan-negozjar ta’ istituzzjoni (......).</w:t>
      </w:r>
    </w:p>
  </w:footnote>
  <w:footnote w:id="2">
    <w:p w14:paraId="7BE0034D" w14:textId="77777777" w:rsidR="004E6C70" w:rsidRPr="005B6DAC" w:rsidRDefault="004E6C70" w:rsidP="004E6C70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/>
          <w:sz w:val="20"/>
        </w:rPr>
        <w:tab/>
        <w:t>Ir-Regolament (UE) Nru 600/2014 tal-Parlament Ewropew u tal-Kunsill tal-15 ta’ Mejju 2014 dwar is-swieq tal-istrumenti finanzjarji u li jemenda r-Regolament (UE) Nru 648/2012 (ĠU L 173, 12.6.2014, p. 84, ELI: http://data.europa.eu/eli/reg/2014/600/oj).</w:t>
      </w:r>
    </w:p>
  </w:footnote>
  <w:footnote w:id="3">
    <w:p w14:paraId="5BEB91BD" w14:textId="77777777" w:rsidR="004E6C70" w:rsidRPr="005B6DAC" w:rsidRDefault="004E6C70" w:rsidP="004E6C70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/>
          <w:sz w:val="20"/>
        </w:rPr>
        <w:t>Ir-Regolament ta’ Delega tal-Kummissjoni (UE) 2015/61 tal-10 ta’ Ottubru 2014 li jissupplimenta r-Regolament (UE) Nru 575/2013 tal-Parlament Ewropew u tal-Kunsill rigward ir-rekwiżit ta’ kopertura tal-likwidità għall-Istituzzjonijiet ta’ Kreditu (ĠU L 11, 17.1.2015, p. 1, ELI: http://data.europa.eu/eli/reg_del/2015/61/oj).</w:t>
      </w:r>
    </w:p>
  </w:footnote>
  <w:footnote w:id="4">
    <w:p w14:paraId="7742E7BC" w14:textId="77777777" w:rsidR="004E6C70" w:rsidRPr="005B6DAC" w:rsidRDefault="004E6C70" w:rsidP="004E6C70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tab/>
      </w:r>
      <w:r>
        <w:rPr>
          <w:rFonts w:ascii="Times New Roman" w:hAnsi="Times New Roman"/>
          <w:sz w:val="20"/>
        </w:rPr>
        <w:t>Ir-Regolament (KE) Nru 1606/2002 tal-Parlament Ewropew u tal-Kunsill tad-19 ta’ Lulju 2002 rigward l-applikazzjoni ta’ standards internazzjonali tal-kontabilità (ĠU L 243, 11.9.2002, p. 1, ELI: http://data.europa.eu/eli/reg/2002/1606/oj).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B878" w14:textId="436D5C69" w:rsidR="004E6C70" w:rsidRDefault="005A7D4C">
    <w:pPr>
      <w:pStyle w:val="Header"/>
    </w:pPr>
    <w:r>
      <w:pict w14:anchorId="2D4BADAF"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1026" type="#_x0000_t202" alt="Użu Regolari tal-EBA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<v:textbox style="mso-fit-shape-to-text:t" inset="5pt,0,0,0">
            <w:txbxContent>
              <w:p w14:paraId="5CC0FC99" w14:textId="77777777" w:rsidR="004E6C70" w:rsidRPr="00D7661F" w:rsidRDefault="004E6C70">
                <w:pPr>
                  <w:rPr>
                    <w:rFonts w:ascii="Calibri" w:eastAsia="Calibri" w:hAnsi="Calibri" w:cs="Calibri"/>
                    <w:noProof/>
                    <w:color w:val="000000"/>
                    <w:sz w:val="24"/>
                  </w:rPr>
                </w:pPr>
                <w:r>
                  <w:rPr>
                    <w:rFonts w:ascii="Calibri" w:hAnsi="Calibri"/>
                    <w:color w:val="000000"/>
                    <w:sz w:val="24"/>
                  </w:rPr>
                  <w:t>Użu Regolari tal-EBA</w:t>
                </w:r>
              </w:p>
            </w:txbxContent>
          </v:textbox>
          <w10:wrap type="square" anchorx="margin"/>
        </v:shape>
      </w:pict>
    </w:r>
  </w:p>
  <w:p w14:paraId="5785B6DF" w14:textId="77777777" w:rsidR="004E6C70" w:rsidRDefault="004E6C70"/>
  <w:p w14:paraId="3FC57CC7" w14:textId="77777777" w:rsidR="004E6C70" w:rsidRDefault="004E6C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3A35" w14:textId="2A7F1ED1" w:rsidR="004E6C70" w:rsidRDefault="005A7D4C">
    <w:pPr>
      <w:pStyle w:val="Header"/>
    </w:pPr>
    <w:r>
      <w:pict w14:anchorId="2FBF929B"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1025" type="#_x0000_t202" alt="Użu Regolari tal-EBA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<v:textbox style="mso-fit-shape-to-text:t" inset="5pt,0,0,0">
            <w:txbxContent>
              <w:p w14:paraId="1B8B01A1" w14:textId="77777777" w:rsidR="004E6C70" w:rsidRPr="00D7661F" w:rsidRDefault="004E6C70">
                <w:pPr>
                  <w:rPr>
                    <w:rFonts w:ascii="Calibri" w:eastAsia="Calibri" w:hAnsi="Calibri" w:cs="Calibri"/>
                    <w:noProof/>
                    <w:color w:val="000000"/>
                    <w:sz w:val="24"/>
                  </w:rPr>
                </w:pPr>
                <w:r>
                  <w:rPr>
                    <w:rFonts w:ascii="Calibri" w:hAnsi="Calibri"/>
                    <w:color w:val="000000"/>
                    <w:sz w:val="24"/>
                  </w:rPr>
                  <w:t>Użu Regolari tal-EBA</w:t>
                </w:r>
              </w:p>
            </w:txbxContent>
          </v:textbox>
          <w10:wrap type="square" anchorx="margin"/>
        </v:shape>
      </w:pict>
    </w:r>
  </w:p>
  <w:p w14:paraId="7114E003" w14:textId="77777777" w:rsidR="004E6C70" w:rsidRDefault="004E6C70"/>
  <w:p w14:paraId="48E2CE59" w14:textId="77777777" w:rsidR="004E6C70" w:rsidRDefault="004E6C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72042" w14:textId="77777777" w:rsidR="004E6C70" w:rsidRDefault="004E6C7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64AD" w14:textId="77777777" w:rsidR="004E6C70" w:rsidRDefault="004E6C7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23D26" w14:textId="77777777" w:rsidR="004E6C70" w:rsidRPr="00D82419" w:rsidRDefault="004E6C70" w:rsidP="00D8241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00AFE" w14:textId="77777777" w:rsidR="004E6C70" w:rsidRDefault="004E6C70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34E60"/>
    <w:multiLevelType w:val="hybridMultilevel"/>
    <w:tmpl w:val="92F2BE84"/>
    <w:lvl w:ilvl="0" w:tplc="72242C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5022C"/>
    <w:multiLevelType w:val="hybridMultilevel"/>
    <w:tmpl w:val="0A268F84"/>
    <w:lvl w:ilvl="0" w:tplc="FFFFFFFF">
      <w:start w:val="1"/>
      <w:numFmt w:val="decimal"/>
      <w:lvlText w:val="%1."/>
      <w:lvlJc w:val="left"/>
      <w:pPr>
        <w:ind w:left="1341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E456B8">
      <w:start w:val="1"/>
      <w:numFmt w:val="lowerRoman"/>
      <w:lvlText w:val="%2.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E60374">
      <w:start w:val="1"/>
      <w:numFmt w:val="lowerRoman"/>
      <w:lvlText w:val="%3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48D032">
      <w:start w:val="1"/>
      <w:numFmt w:val="decimal"/>
      <w:lvlText w:val="%4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FE69E4">
      <w:start w:val="1"/>
      <w:numFmt w:val="lowerLetter"/>
      <w:lvlText w:val="%5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FE6764">
      <w:start w:val="1"/>
      <w:numFmt w:val="lowerRoman"/>
      <w:lvlText w:val="%6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EA60C8">
      <w:start w:val="1"/>
      <w:numFmt w:val="decimal"/>
      <w:lvlText w:val="%7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FA01C2">
      <w:start w:val="1"/>
      <w:numFmt w:val="lowerLetter"/>
      <w:lvlText w:val="%8"/>
      <w:lvlJc w:val="left"/>
      <w:pPr>
        <w:ind w:left="6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C9D6A">
      <w:start w:val="1"/>
      <w:numFmt w:val="lowerRoman"/>
      <w:lvlText w:val="%9"/>
      <w:lvlJc w:val="left"/>
      <w:pPr>
        <w:ind w:left="7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4" w15:restartNumberingAfterBreak="0">
    <w:nsid w:val="1A2E174F"/>
    <w:multiLevelType w:val="hybridMultilevel"/>
    <w:tmpl w:val="BD90AF9A"/>
    <w:lvl w:ilvl="0" w:tplc="251E6CDA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E0AB7A">
      <w:start w:val="1"/>
      <w:numFmt w:val="bullet"/>
      <w:lvlText w:val="o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50B774">
      <w:start w:val="1"/>
      <w:numFmt w:val="bullet"/>
      <w:lvlText w:val="▪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8AED44">
      <w:start w:val="1"/>
      <w:numFmt w:val="bullet"/>
      <w:lvlText w:val="•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64150C">
      <w:start w:val="1"/>
      <w:numFmt w:val="bullet"/>
      <w:lvlText w:val="o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C0E6D0">
      <w:start w:val="1"/>
      <w:numFmt w:val="bullet"/>
      <w:lvlText w:val="▪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47B6A">
      <w:start w:val="1"/>
      <w:numFmt w:val="bullet"/>
      <w:lvlText w:val="•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86E57C">
      <w:start w:val="1"/>
      <w:numFmt w:val="bullet"/>
      <w:lvlText w:val="o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30E6B6">
      <w:start w:val="1"/>
      <w:numFmt w:val="bullet"/>
      <w:lvlText w:val="▪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431A91"/>
    <w:multiLevelType w:val="hybridMultilevel"/>
    <w:tmpl w:val="63F6440E"/>
    <w:lvl w:ilvl="0" w:tplc="C66A659A">
      <w:start w:val="10"/>
      <w:numFmt w:val="bullet"/>
      <w:lvlText w:val="-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1DD64DB5"/>
    <w:multiLevelType w:val="hybridMultilevel"/>
    <w:tmpl w:val="BAC48346"/>
    <w:lvl w:ilvl="0" w:tplc="7E4C9BA8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1" w:tplc="0DC22724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2" w:tplc="E6609E1E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3" w:tplc="66424DCA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4" w:tplc="AE24229C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5" w:tplc="FF027BA0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6" w:tplc="25C0A806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7" w:tplc="82069E6E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8" w:tplc="66764BC2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</w:abstractNum>
  <w:abstractNum w:abstractNumId="8" w15:restartNumberingAfterBreak="0">
    <w:nsid w:val="1E12B389"/>
    <w:multiLevelType w:val="hybridMultilevel"/>
    <w:tmpl w:val="F032424E"/>
    <w:lvl w:ilvl="0" w:tplc="2C1EF29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AC44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BEA6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62D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E8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824C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101B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A48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0C1E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399172"/>
    <w:multiLevelType w:val="hybridMultilevel"/>
    <w:tmpl w:val="1FCC59BE"/>
    <w:lvl w:ilvl="0" w:tplc="5CCC970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4AC4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8A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5A83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C67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12DC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020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EE11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2E2C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458B5"/>
    <w:multiLevelType w:val="hybridMultilevel"/>
    <w:tmpl w:val="CD14FC02"/>
    <w:lvl w:ilvl="0" w:tplc="5E2C2E80">
      <w:start w:val="12"/>
      <w:numFmt w:val="decimal"/>
      <w:lvlText w:val="%1.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44A6BC">
      <w:start w:val="1"/>
      <w:numFmt w:val="lowerLetter"/>
      <w:lvlText w:val="%2"/>
      <w:lvlJc w:val="left"/>
      <w:pPr>
        <w:ind w:left="2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1A06D8">
      <w:start w:val="1"/>
      <w:numFmt w:val="lowerRoman"/>
      <w:lvlText w:val="%3"/>
      <w:lvlJc w:val="left"/>
      <w:pPr>
        <w:ind w:left="2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76B166">
      <w:start w:val="1"/>
      <w:numFmt w:val="decimal"/>
      <w:lvlText w:val="%4"/>
      <w:lvlJc w:val="left"/>
      <w:pPr>
        <w:ind w:left="3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247174">
      <w:start w:val="1"/>
      <w:numFmt w:val="lowerLetter"/>
      <w:lvlText w:val="%5"/>
      <w:lvlJc w:val="left"/>
      <w:pPr>
        <w:ind w:left="4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6EDFA">
      <w:start w:val="1"/>
      <w:numFmt w:val="lowerRoman"/>
      <w:lvlText w:val="%6"/>
      <w:lvlJc w:val="left"/>
      <w:pPr>
        <w:ind w:left="4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7848E2">
      <w:start w:val="1"/>
      <w:numFmt w:val="decimal"/>
      <w:lvlText w:val="%7"/>
      <w:lvlJc w:val="left"/>
      <w:pPr>
        <w:ind w:left="5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DC5D2E">
      <w:start w:val="1"/>
      <w:numFmt w:val="lowerLetter"/>
      <w:lvlText w:val="%8"/>
      <w:lvlJc w:val="left"/>
      <w:pPr>
        <w:ind w:left="6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16282C">
      <w:start w:val="1"/>
      <w:numFmt w:val="lowerRoman"/>
      <w:lvlText w:val="%9"/>
      <w:lvlJc w:val="left"/>
      <w:pPr>
        <w:ind w:left="7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7D7F02"/>
    <w:multiLevelType w:val="multilevel"/>
    <w:tmpl w:val="0407001D"/>
    <w:numStyleLink w:val="Formatvorlage3"/>
  </w:abstractNum>
  <w:abstractNum w:abstractNumId="14" w15:restartNumberingAfterBreak="0">
    <w:nsid w:val="33057CB8"/>
    <w:multiLevelType w:val="hybridMultilevel"/>
    <w:tmpl w:val="46489498"/>
    <w:lvl w:ilvl="0" w:tplc="FFFFFFFF">
      <w:start w:val="1"/>
      <w:numFmt w:val="decimal"/>
      <w:pStyle w:val="InstructionsText2"/>
      <w:lvlText w:val="%1."/>
      <w:lvlJc w:val="left"/>
      <w:pPr>
        <w:ind w:left="2487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578786"/>
    <w:multiLevelType w:val="hybridMultilevel"/>
    <w:tmpl w:val="FFFFFFFF"/>
    <w:lvl w:ilvl="0" w:tplc="D27A5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F03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ACF2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697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A9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04CC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067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EA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CCE6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D1EF8"/>
    <w:multiLevelType w:val="hybridMultilevel"/>
    <w:tmpl w:val="51547EAE"/>
    <w:lvl w:ilvl="0" w:tplc="73120B5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0AE5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D423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26B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CA13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284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3EC7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A04A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68A8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0D2B3E"/>
    <w:multiLevelType w:val="hybridMultilevel"/>
    <w:tmpl w:val="87F6650E"/>
    <w:lvl w:ilvl="0" w:tplc="7B74ACD2">
      <w:start w:val="6"/>
      <w:numFmt w:val="bullet"/>
      <w:lvlText w:val="*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42F608E3"/>
    <w:multiLevelType w:val="hybridMultilevel"/>
    <w:tmpl w:val="352A1ECC"/>
    <w:lvl w:ilvl="0" w:tplc="0809001B">
      <w:start w:val="1"/>
      <w:numFmt w:val="lowerRoman"/>
      <w:lvlText w:val="%1."/>
      <w:lvlJc w:val="righ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6F0AD3"/>
    <w:multiLevelType w:val="hybridMultilevel"/>
    <w:tmpl w:val="CCCA0DD2"/>
    <w:lvl w:ilvl="0" w:tplc="0809001B">
      <w:start w:val="1"/>
      <w:numFmt w:val="lowerRoman"/>
      <w:lvlText w:val="%1."/>
      <w:lvlJc w:val="right"/>
      <w:pPr>
        <w:ind w:left="2484" w:hanging="360"/>
      </w:pPr>
    </w:lvl>
    <w:lvl w:ilvl="1" w:tplc="08090019" w:tentative="1">
      <w:start w:val="1"/>
      <w:numFmt w:val="lowerLetter"/>
      <w:lvlText w:val="%2."/>
      <w:lvlJc w:val="left"/>
      <w:pPr>
        <w:ind w:left="3204" w:hanging="360"/>
      </w:pPr>
    </w:lvl>
    <w:lvl w:ilvl="2" w:tplc="0809001B" w:tentative="1">
      <w:start w:val="1"/>
      <w:numFmt w:val="lowerRoman"/>
      <w:lvlText w:val="%3."/>
      <w:lvlJc w:val="right"/>
      <w:pPr>
        <w:ind w:left="3924" w:hanging="180"/>
      </w:pPr>
    </w:lvl>
    <w:lvl w:ilvl="3" w:tplc="0809000F" w:tentative="1">
      <w:start w:val="1"/>
      <w:numFmt w:val="decimal"/>
      <w:lvlText w:val="%4."/>
      <w:lvlJc w:val="left"/>
      <w:pPr>
        <w:ind w:left="4644" w:hanging="360"/>
      </w:pPr>
    </w:lvl>
    <w:lvl w:ilvl="4" w:tplc="08090019" w:tentative="1">
      <w:start w:val="1"/>
      <w:numFmt w:val="lowerLetter"/>
      <w:lvlText w:val="%5."/>
      <w:lvlJc w:val="left"/>
      <w:pPr>
        <w:ind w:left="5364" w:hanging="360"/>
      </w:pPr>
    </w:lvl>
    <w:lvl w:ilvl="5" w:tplc="0809001B" w:tentative="1">
      <w:start w:val="1"/>
      <w:numFmt w:val="lowerRoman"/>
      <w:lvlText w:val="%6."/>
      <w:lvlJc w:val="right"/>
      <w:pPr>
        <w:ind w:left="6084" w:hanging="180"/>
      </w:pPr>
    </w:lvl>
    <w:lvl w:ilvl="6" w:tplc="0809000F" w:tentative="1">
      <w:start w:val="1"/>
      <w:numFmt w:val="decimal"/>
      <w:lvlText w:val="%7."/>
      <w:lvlJc w:val="left"/>
      <w:pPr>
        <w:ind w:left="6804" w:hanging="360"/>
      </w:pPr>
    </w:lvl>
    <w:lvl w:ilvl="7" w:tplc="08090019" w:tentative="1">
      <w:start w:val="1"/>
      <w:numFmt w:val="lowerLetter"/>
      <w:lvlText w:val="%8."/>
      <w:lvlJc w:val="left"/>
      <w:pPr>
        <w:ind w:left="7524" w:hanging="360"/>
      </w:pPr>
    </w:lvl>
    <w:lvl w:ilvl="8" w:tplc="08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 w15:restartNumberingAfterBreak="0">
    <w:nsid w:val="592E7523"/>
    <w:multiLevelType w:val="hybridMultilevel"/>
    <w:tmpl w:val="AC18BAD0"/>
    <w:lvl w:ilvl="0" w:tplc="435A4D3E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6CA2C8C"/>
    <w:multiLevelType w:val="hybridMultilevel"/>
    <w:tmpl w:val="47A02D24"/>
    <w:lvl w:ilvl="0" w:tplc="FFFFFFFF">
      <w:start w:val="1"/>
      <w:numFmt w:val="decimal"/>
      <w:pStyle w:val="Instructionsberschrift2"/>
      <w:lvlText w:val="%1."/>
      <w:lvlJc w:val="left"/>
      <w:pPr>
        <w:ind w:left="1920" w:hanging="360"/>
      </w:pPr>
    </w:lvl>
    <w:lvl w:ilvl="1" w:tplc="E7565B6A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30" w15:restartNumberingAfterBreak="0">
    <w:nsid w:val="67027381"/>
    <w:multiLevelType w:val="hybridMultilevel"/>
    <w:tmpl w:val="6FDA6644"/>
    <w:lvl w:ilvl="0" w:tplc="7BD05822">
      <w:start w:val="5"/>
      <w:numFmt w:val="bullet"/>
      <w:lvlText w:val="-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C1EBB"/>
    <w:multiLevelType w:val="hybridMultilevel"/>
    <w:tmpl w:val="58E6E75A"/>
    <w:lvl w:ilvl="0" w:tplc="0809001B">
      <w:start w:val="1"/>
      <w:numFmt w:val="lowerRoman"/>
      <w:lvlText w:val="%1."/>
      <w:lvlJc w:val="right"/>
      <w:pPr>
        <w:ind w:left="4188" w:hanging="360"/>
      </w:pPr>
    </w:lvl>
    <w:lvl w:ilvl="1" w:tplc="08090019" w:tentative="1">
      <w:start w:val="1"/>
      <w:numFmt w:val="lowerLetter"/>
      <w:lvlText w:val="%2."/>
      <w:lvlJc w:val="left"/>
      <w:pPr>
        <w:ind w:left="4908" w:hanging="360"/>
      </w:pPr>
    </w:lvl>
    <w:lvl w:ilvl="2" w:tplc="0809001B" w:tentative="1">
      <w:start w:val="1"/>
      <w:numFmt w:val="lowerRoman"/>
      <w:lvlText w:val="%3."/>
      <w:lvlJc w:val="right"/>
      <w:pPr>
        <w:ind w:left="5628" w:hanging="180"/>
      </w:pPr>
    </w:lvl>
    <w:lvl w:ilvl="3" w:tplc="0809000F" w:tentative="1">
      <w:start w:val="1"/>
      <w:numFmt w:val="decimal"/>
      <w:lvlText w:val="%4."/>
      <w:lvlJc w:val="left"/>
      <w:pPr>
        <w:ind w:left="6348" w:hanging="360"/>
      </w:pPr>
    </w:lvl>
    <w:lvl w:ilvl="4" w:tplc="08090019" w:tentative="1">
      <w:start w:val="1"/>
      <w:numFmt w:val="lowerLetter"/>
      <w:lvlText w:val="%5."/>
      <w:lvlJc w:val="left"/>
      <w:pPr>
        <w:ind w:left="7068" w:hanging="360"/>
      </w:pPr>
    </w:lvl>
    <w:lvl w:ilvl="5" w:tplc="0809001B" w:tentative="1">
      <w:start w:val="1"/>
      <w:numFmt w:val="lowerRoman"/>
      <w:lvlText w:val="%6."/>
      <w:lvlJc w:val="right"/>
      <w:pPr>
        <w:ind w:left="7788" w:hanging="180"/>
      </w:pPr>
    </w:lvl>
    <w:lvl w:ilvl="6" w:tplc="0809000F" w:tentative="1">
      <w:start w:val="1"/>
      <w:numFmt w:val="decimal"/>
      <w:lvlText w:val="%7."/>
      <w:lvlJc w:val="left"/>
      <w:pPr>
        <w:ind w:left="8508" w:hanging="360"/>
      </w:pPr>
    </w:lvl>
    <w:lvl w:ilvl="7" w:tplc="08090019" w:tentative="1">
      <w:start w:val="1"/>
      <w:numFmt w:val="lowerLetter"/>
      <w:lvlText w:val="%8."/>
      <w:lvlJc w:val="left"/>
      <w:pPr>
        <w:ind w:left="9228" w:hanging="360"/>
      </w:pPr>
    </w:lvl>
    <w:lvl w:ilvl="8" w:tplc="080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4" w15:restartNumberingAfterBreak="0">
    <w:nsid w:val="6C81B250"/>
    <w:multiLevelType w:val="hybridMultilevel"/>
    <w:tmpl w:val="B82E5418"/>
    <w:lvl w:ilvl="0" w:tplc="8DE065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9C66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3E6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78E2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40EE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3CDE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6AD8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695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1C3A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B106DB"/>
    <w:multiLevelType w:val="hybridMultilevel"/>
    <w:tmpl w:val="018A7AAE"/>
    <w:lvl w:ilvl="0" w:tplc="CABE4E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220B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E8E7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B0FE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AA28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A09F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868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0AD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4A6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E950A"/>
    <w:multiLevelType w:val="hybridMultilevel"/>
    <w:tmpl w:val="FFFFFFFF"/>
    <w:lvl w:ilvl="0" w:tplc="8B3C0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2291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30BC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CD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F40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807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ECF9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287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1CF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E1B99"/>
    <w:multiLevelType w:val="hybridMultilevel"/>
    <w:tmpl w:val="13505A02"/>
    <w:lvl w:ilvl="0" w:tplc="5F9E9B8C">
      <w:numFmt w:val="bullet"/>
      <w:lvlText w:val="-"/>
      <w:lvlJc w:val="left"/>
      <w:pPr>
        <w:ind w:left="1920" w:hanging="360"/>
      </w:pPr>
      <w:rPr>
        <w:rFonts w:ascii="Verdana" w:eastAsia="Times New Roman" w:hAnsi="Verdana" w:cs="Times New Roman" w:hint="default"/>
        <w:b w:val="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CD69BE"/>
    <w:multiLevelType w:val="hybridMultilevel"/>
    <w:tmpl w:val="DBF4DE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907587">
    <w:abstractNumId w:val="16"/>
  </w:num>
  <w:num w:numId="2" w16cid:durableId="1492793953">
    <w:abstractNumId w:val="34"/>
  </w:num>
  <w:num w:numId="3" w16cid:durableId="1391806635">
    <w:abstractNumId w:val="10"/>
  </w:num>
  <w:num w:numId="4" w16cid:durableId="417944783">
    <w:abstractNumId w:val="8"/>
  </w:num>
  <w:num w:numId="5" w16cid:durableId="1045957012">
    <w:abstractNumId w:val="35"/>
  </w:num>
  <w:num w:numId="6" w16cid:durableId="743069292">
    <w:abstractNumId w:val="2"/>
  </w:num>
  <w:num w:numId="7" w16cid:durableId="1057096385">
    <w:abstractNumId w:val="27"/>
  </w:num>
  <w:num w:numId="8" w16cid:durableId="1415665581">
    <w:abstractNumId w:val="37"/>
  </w:num>
  <w:num w:numId="9" w16cid:durableId="1187133910">
    <w:abstractNumId w:val="21"/>
  </w:num>
  <w:num w:numId="10" w16cid:durableId="2034645730">
    <w:abstractNumId w:val="32"/>
  </w:num>
  <w:num w:numId="11" w16cid:durableId="1063723755">
    <w:abstractNumId w:val="19"/>
  </w:num>
  <w:num w:numId="12" w16cid:durableId="1256675145">
    <w:abstractNumId w:val="36"/>
  </w:num>
  <w:num w:numId="13" w16cid:durableId="1424260129">
    <w:abstractNumId w:val="6"/>
  </w:num>
  <w:num w:numId="14" w16cid:durableId="1385063453">
    <w:abstractNumId w:val="28"/>
  </w:num>
  <w:num w:numId="15" w16cid:durableId="2045396970">
    <w:abstractNumId w:val="17"/>
  </w:num>
  <w:num w:numId="16" w16cid:durableId="503857842">
    <w:abstractNumId w:val="23"/>
  </w:num>
  <w:num w:numId="17" w16cid:durableId="1871143549">
    <w:abstractNumId w:val="12"/>
  </w:num>
  <w:num w:numId="18" w16cid:durableId="258955382">
    <w:abstractNumId w:val="29"/>
  </w:num>
  <w:num w:numId="19" w16cid:durableId="2001929805">
    <w:abstractNumId w:val="26"/>
  </w:num>
  <w:num w:numId="20" w16cid:durableId="1824732467">
    <w:abstractNumId w:val="14"/>
  </w:num>
  <w:num w:numId="21" w16cid:durableId="557470765">
    <w:abstractNumId w:val="22"/>
  </w:num>
  <w:num w:numId="22" w16cid:durableId="221718008">
    <w:abstractNumId w:val="13"/>
  </w:num>
  <w:num w:numId="23" w16cid:durableId="1266890484">
    <w:abstractNumId w:val="33"/>
  </w:num>
  <w:num w:numId="24" w16cid:durableId="2040692701">
    <w:abstractNumId w:val="3"/>
  </w:num>
  <w:num w:numId="25" w16cid:durableId="611128883">
    <w:abstractNumId w:val="0"/>
  </w:num>
  <w:num w:numId="26" w16cid:durableId="1406298355">
    <w:abstractNumId w:val="39"/>
  </w:num>
  <w:num w:numId="27" w16cid:durableId="1827277123">
    <w:abstractNumId w:val="25"/>
  </w:num>
  <w:num w:numId="28" w16cid:durableId="20906214">
    <w:abstractNumId w:val="15"/>
  </w:num>
  <w:num w:numId="29" w16cid:durableId="464129291">
    <w:abstractNumId w:val="38"/>
  </w:num>
  <w:num w:numId="30" w16cid:durableId="202251111">
    <w:abstractNumId w:val="20"/>
  </w:num>
  <w:num w:numId="31" w16cid:durableId="1954743456">
    <w:abstractNumId w:val="31"/>
  </w:num>
  <w:num w:numId="32" w16cid:durableId="550196870">
    <w:abstractNumId w:val="24"/>
  </w:num>
  <w:num w:numId="33" w16cid:durableId="560871549">
    <w:abstractNumId w:val="5"/>
  </w:num>
  <w:num w:numId="34" w16cid:durableId="346954162">
    <w:abstractNumId w:val="29"/>
    <w:lvlOverride w:ilvl="0">
      <w:startOverride w:val="1"/>
    </w:lvlOverride>
  </w:num>
  <w:num w:numId="35" w16cid:durableId="544027490">
    <w:abstractNumId w:val="29"/>
    <w:lvlOverride w:ilvl="0">
      <w:startOverride w:val="1"/>
    </w:lvlOverride>
  </w:num>
  <w:num w:numId="36" w16cid:durableId="15661387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76401190">
    <w:abstractNumId w:val="30"/>
  </w:num>
  <w:num w:numId="38" w16cid:durableId="2017540488">
    <w:abstractNumId w:val="11"/>
  </w:num>
  <w:num w:numId="39" w16cid:durableId="1708991835">
    <w:abstractNumId w:val="4"/>
  </w:num>
  <w:num w:numId="40" w16cid:durableId="1114904075">
    <w:abstractNumId w:val="40"/>
  </w:num>
  <w:num w:numId="41" w16cid:durableId="1280376847">
    <w:abstractNumId w:val="1"/>
  </w:num>
  <w:num w:numId="42" w16cid:durableId="1978990885">
    <w:abstractNumId w:val="7"/>
  </w:num>
  <w:num w:numId="43" w16cid:durableId="23116078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4E6C70"/>
    <w:rsid w:val="00026705"/>
    <w:rsid w:val="0004095C"/>
    <w:rsid w:val="000442C3"/>
    <w:rsid w:val="000468CF"/>
    <w:rsid w:val="000501D0"/>
    <w:rsid w:val="00056211"/>
    <w:rsid w:val="00057928"/>
    <w:rsid w:val="00062A28"/>
    <w:rsid w:val="00070580"/>
    <w:rsid w:val="000934EF"/>
    <w:rsid w:val="000A42C6"/>
    <w:rsid w:val="000B271F"/>
    <w:rsid w:val="000B7C71"/>
    <w:rsid w:val="000C3B1C"/>
    <w:rsid w:val="000D1F54"/>
    <w:rsid w:val="000D32E6"/>
    <w:rsid w:val="000E378E"/>
    <w:rsid w:val="000F489E"/>
    <w:rsid w:val="00100BA6"/>
    <w:rsid w:val="00102ADD"/>
    <w:rsid w:val="00110E94"/>
    <w:rsid w:val="0011401E"/>
    <w:rsid w:val="001174B9"/>
    <w:rsid w:val="001244B4"/>
    <w:rsid w:val="00131C88"/>
    <w:rsid w:val="0013626C"/>
    <w:rsid w:val="00136683"/>
    <w:rsid w:val="0016166A"/>
    <w:rsid w:val="00163262"/>
    <w:rsid w:val="001668F4"/>
    <w:rsid w:val="001A38DC"/>
    <w:rsid w:val="001A6180"/>
    <w:rsid w:val="001B7D64"/>
    <w:rsid w:val="001C2205"/>
    <w:rsid w:val="001C6D5A"/>
    <w:rsid w:val="001D265C"/>
    <w:rsid w:val="001D42C8"/>
    <w:rsid w:val="00206BA7"/>
    <w:rsid w:val="002101EA"/>
    <w:rsid w:val="002314D6"/>
    <w:rsid w:val="00243040"/>
    <w:rsid w:val="0024328F"/>
    <w:rsid w:val="00244213"/>
    <w:rsid w:val="002473C2"/>
    <w:rsid w:val="002553FB"/>
    <w:rsid w:val="002710CF"/>
    <w:rsid w:val="002855A3"/>
    <w:rsid w:val="00290BC1"/>
    <w:rsid w:val="002C5ABE"/>
    <w:rsid w:val="002C7637"/>
    <w:rsid w:val="002D12B1"/>
    <w:rsid w:val="002D67F6"/>
    <w:rsid w:val="002E1ED0"/>
    <w:rsid w:val="002E320B"/>
    <w:rsid w:val="002F0518"/>
    <w:rsid w:val="002F3BE0"/>
    <w:rsid w:val="002F4E91"/>
    <w:rsid w:val="00301BDA"/>
    <w:rsid w:val="003060A1"/>
    <w:rsid w:val="00312EC1"/>
    <w:rsid w:val="00321E76"/>
    <w:rsid w:val="003240FB"/>
    <w:rsid w:val="003320D4"/>
    <w:rsid w:val="0034389F"/>
    <w:rsid w:val="003561E0"/>
    <w:rsid w:val="00366CB7"/>
    <w:rsid w:val="00380BD2"/>
    <w:rsid w:val="00385C37"/>
    <w:rsid w:val="003D1EC2"/>
    <w:rsid w:val="003D3543"/>
    <w:rsid w:val="003E5759"/>
    <w:rsid w:val="004005FF"/>
    <w:rsid w:val="00410F41"/>
    <w:rsid w:val="00422422"/>
    <w:rsid w:val="0042309D"/>
    <w:rsid w:val="004351C1"/>
    <w:rsid w:val="00455021"/>
    <w:rsid w:val="004553FF"/>
    <w:rsid w:val="00456C1A"/>
    <w:rsid w:val="00460D6B"/>
    <w:rsid w:val="0048084E"/>
    <w:rsid w:val="00481FB2"/>
    <w:rsid w:val="004940CB"/>
    <w:rsid w:val="004B4B17"/>
    <w:rsid w:val="004C1BFB"/>
    <w:rsid w:val="004C30F0"/>
    <w:rsid w:val="004C70E4"/>
    <w:rsid w:val="004C78B6"/>
    <w:rsid w:val="004D11A5"/>
    <w:rsid w:val="004D32EA"/>
    <w:rsid w:val="004E6C70"/>
    <w:rsid w:val="004F2690"/>
    <w:rsid w:val="004F27E0"/>
    <w:rsid w:val="005157C3"/>
    <w:rsid w:val="005202EF"/>
    <w:rsid w:val="00523B17"/>
    <w:rsid w:val="00572270"/>
    <w:rsid w:val="00594634"/>
    <w:rsid w:val="005A1937"/>
    <w:rsid w:val="005A3E41"/>
    <w:rsid w:val="005A7D4C"/>
    <w:rsid w:val="005B68FF"/>
    <w:rsid w:val="005F0E62"/>
    <w:rsid w:val="0061075D"/>
    <w:rsid w:val="006136E6"/>
    <w:rsid w:val="00627B6C"/>
    <w:rsid w:val="00627F82"/>
    <w:rsid w:val="00666009"/>
    <w:rsid w:val="00690B62"/>
    <w:rsid w:val="006E036B"/>
    <w:rsid w:val="006E1AED"/>
    <w:rsid w:val="006E3D74"/>
    <w:rsid w:val="006F3E70"/>
    <w:rsid w:val="007005D8"/>
    <w:rsid w:val="00710C86"/>
    <w:rsid w:val="00720F2C"/>
    <w:rsid w:val="00735613"/>
    <w:rsid w:val="00736B6B"/>
    <w:rsid w:val="0074313A"/>
    <w:rsid w:val="00747E54"/>
    <w:rsid w:val="00767F39"/>
    <w:rsid w:val="0079333F"/>
    <w:rsid w:val="007952E1"/>
    <w:rsid w:val="00795BB6"/>
    <w:rsid w:val="007A2CBA"/>
    <w:rsid w:val="007B5445"/>
    <w:rsid w:val="007C069D"/>
    <w:rsid w:val="007C3F3B"/>
    <w:rsid w:val="007D4920"/>
    <w:rsid w:val="007D62B8"/>
    <w:rsid w:val="007E7392"/>
    <w:rsid w:val="00806975"/>
    <w:rsid w:val="008268B7"/>
    <w:rsid w:val="0084011D"/>
    <w:rsid w:val="008476CA"/>
    <w:rsid w:val="008619DA"/>
    <w:rsid w:val="00877355"/>
    <w:rsid w:val="00881979"/>
    <w:rsid w:val="00885ABE"/>
    <w:rsid w:val="0089189A"/>
    <w:rsid w:val="00895255"/>
    <w:rsid w:val="008A6564"/>
    <w:rsid w:val="008A7095"/>
    <w:rsid w:val="008B3361"/>
    <w:rsid w:val="008F4900"/>
    <w:rsid w:val="008F7412"/>
    <w:rsid w:val="00906EEE"/>
    <w:rsid w:val="00930106"/>
    <w:rsid w:val="00946F6A"/>
    <w:rsid w:val="0095072F"/>
    <w:rsid w:val="00950B6E"/>
    <w:rsid w:val="00957D69"/>
    <w:rsid w:val="009A7435"/>
    <w:rsid w:val="009B3284"/>
    <w:rsid w:val="009D47A5"/>
    <w:rsid w:val="009E3684"/>
    <w:rsid w:val="009E3DAA"/>
    <w:rsid w:val="009F7125"/>
    <w:rsid w:val="00A012F8"/>
    <w:rsid w:val="00A303A1"/>
    <w:rsid w:val="00A307DF"/>
    <w:rsid w:val="00A315BB"/>
    <w:rsid w:val="00A35B39"/>
    <w:rsid w:val="00A54CBD"/>
    <w:rsid w:val="00A649B3"/>
    <w:rsid w:val="00A7013A"/>
    <w:rsid w:val="00A9267F"/>
    <w:rsid w:val="00AA7D9C"/>
    <w:rsid w:val="00AB1B4E"/>
    <w:rsid w:val="00AB54CF"/>
    <w:rsid w:val="00AD1495"/>
    <w:rsid w:val="00AE7AED"/>
    <w:rsid w:val="00B159B3"/>
    <w:rsid w:val="00B1610B"/>
    <w:rsid w:val="00B35DC2"/>
    <w:rsid w:val="00B46511"/>
    <w:rsid w:val="00B52B1B"/>
    <w:rsid w:val="00B74754"/>
    <w:rsid w:val="00B75CF8"/>
    <w:rsid w:val="00B77413"/>
    <w:rsid w:val="00B82862"/>
    <w:rsid w:val="00B90F3E"/>
    <w:rsid w:val="00B918E8"/>
    <w:rsid w:val="00B96BE3"/>
    <w:rsid w:val="00BC0F23"/>
    <w:rsid w:val="00BD106A"/>
    <w:rsid w:val="00BE3B70"/>
    <w:rsid w:val="00BF35DB"/>
    <w:rsid w:val="00C04B6F"/>
    <w:rsid w:val="00C06C1F"/>
    <w:rsid w:val="00C10B1F"/>
    <w:rsid w:val="00C10C32"/>
    <w:rsid w:val="00C22A66"/>
    <w:rsid w:val="00C277DE"/>
    <w:rsid w:val="00C4741B"/>
    <w:rsid w:val="00C64990"/>
    <w:rsid w:val="00C71126"/>
    <w:rsid w:val="00C82A20"/>
    <w:rsid w:val="00CA4F57"/>
    <w:rsid w:val="00CB4F43"/>
    <w:rsid w:val="00CC5AA9"/>
    <w:rsid w:val="00CD750E"/>
    <w:rsid w:val="00CF03A4"/>
    <w:rsid w:val="00CF1B41"/>
    <w:rsid w:val="00CF1E1F"/>
    <w:rsid w:val="00CF43AB"/>
    <w:rsid w:val="00CF555A"/>
    <w:rsid w:val="00D0017F"/>
    <w:rsid w:val="00D050BB"/>
    <w:rsid w:val="00D16FB9"/>
    <w:rsid w:val="00D17133"/>
    <w:rsid w:val="00D3169B"/>
    <w:rsid w:val="00D366C2"/>
    <w:rsid w:val="00D426DD"/>
    <w:rsid w:val="00D44D05"/>
    <w:rsid w:val="00D576D2"/>
    <w:rsid w:val="00D67E25"/>
    <w:rsid w:val="00D82C67"/>
    <w:rsid w:val="00D836C2"/>
    <w:rsid w:val="00D86D08"/>
    <w:rsid w:val="00D86F86"/>
    <w:rsid w:val="00D94ADA"/>
    <w:rsid w:val="00D95667"/>
    <w:rsid w:val="00DB4083"/>
    <w:rsid w:val="00DB68C1"/>
    <w:rsid w:val="00DD12D9"/>
    <w:rsid w:val="00DD42F0"/>
    <w:rsid w:val="00DE1562"/>
    <w:rsid w:val="00DF44AB"/>
    <w:rsid w:val="00DF66DE"/>
    <w:rsid w:val="00DF691A"/>
    <w:rsid w:val="00DF742F"/>
    <w:rsid w:val="00E056F2"/>
    <w:rsid w:val="00E07B1C"/>
    <w:rsid w:val="00E15642"/>
    <w:rsid w:val="00E22D36"/>
    <w:rsid w:val="00E240EE"/>
    <w:rsid w:val="00E25820"/>
    <w:rsid w:val="00E3330A"/>
    <w:rsid w:val="00E33D62"/>
    <w:rsid w:val="00E42562"/>
    <w:rsid w:val="00E51955"/>
    <w:rsid w:val="00E641F7"/>
    <w:rsid w:val="00E71E13"/>
    <w:rsid w:val="00E7439F"/>
    <w:rsid w:val="00E91FD1"/>
    <w:rsid w:val="00E9610B"/>
    <w:rsid w:val="00EB6792"/>
    <w:rsid w:val="00EC2369"/>
    <w:rsid w:val="00EC2D64"/>
    <w:rsid w:val="00EE4D43"/>
    <w:rsid w:val="00EF7A96"/>
    <w:rsid w:val="00F047B5"/>
    <w:rsid w:val="00F1184F"/>
    <w:rsid w:val="00F22A4A"/>
    <w:rsid w:val="00F4086F"/>
    <w:rsid w:val="00F408A5"/>
    <w:rsid w:val="00F60462"/>
    <w:rsid w:val="00F650E1"/>
    <w:rsid w:val="00F663EF"/>
    <w:rsid w:val="00F94D57"/>
    <w:rsid w:val="00F97D6E"/>
    <w:rsid w:val="00FB101E"/>
    <w:rsid w:val="00FB5CAD"/>
    <w:rsid w:val="00FC22C3"/>
    <w:rsid w:val="00FD3670"/>
    <w:rsid w:val="00FF186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0D22AF"/>
  <w15:chartTrackingRefBased/>
  <w15:docId w15:val="{95CDF542-EAFF-4473-87E1-9D3D70020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C70"/>
    <w:pPr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4E6C70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E6C70"/>
    <w:pPr>
      <w:keepNext/>
      <w:spacing w:before="240"/>
      <w:outlineLvl w:val="1"/>
    </w:pPr>
    <w:rPr>
      <w:rFonts w:ascii="Times New Roman" w:eastAsia="Arial" w:hAnsi="Times New Roman"/>
      <w:b/>
      <w:sz w:val="24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4E6C70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4E6C70"/>
    <w:pPr>
      <w:keepNext/>
      <w:numPr>
        <w:numId w:val="22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4E6C70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4E6C70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4E6C70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4E6C70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4E6C70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6C70"/>
    <w:rPr>
      <w:rFonts w:ascii="Verdana" w:eastAsia="Arial" w:hAnsi="Verdana" w:cs="Times New Roman"/>
      <w:b/>
      <w:sz w:val="20"/>
      <w:szCs w:val="20"/>
      <w:u w:val="single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9"/>
    <w:rsid w:val="004E6C70"/>
    <w:rPr>
      <w:rFonts w:ascii="Times New Roman" w:eastAsia="Arial" w:hAnsi="Times New Roman" w:cs="Times New Roman"/>
      <w:b/>
      <w:sz w:val="24"/>
      <w:szCs w:val="24"/>
      <w:lang w:eastAsia="x-none"/>
    </w:rPr>
  </w:style>
  <w:style w:type="character" w:customStyle="1" w:styleId="Heading3Char">
    <w:name w:val="Heading 3 Char"/>
    <w:basedOn w:val="DefaultParagraphFont"/>
    <w:uiPriority w:val="99"/>
    <w:rsid w:val="004E6C7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4E6C70"/>
    <w:rPr>
      <w:rFonts w:ascii="Verdana" w:eastAsia="Times New Roman" w:hAnsi="Verdana" w:cs="Times New Roman"/>
      <w:b/>
      <w:sz w:val="20"/>
      <w:szCs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1"/>
    <w:rsid w:val="004E6C70"/>
    <w:rPr>
      <w:rFonts w:ascii="Arial" w:eastAsia="Arial" w:hAnsi="Arial" w:cs="Times New Roman"/>
      <w:b/>
      <w:i/>
      <w:sz w:val="20"/>
      <w:szCs w:val="20"/>
      <w:lang w:val="mt-MT" w:eastAsia="de-DE"/>
    </w:rPr>
  </w:style>
  <w:style w:type="character" w:customStyle="1" w:styleId="Heading6Char">
    <w:name w:val="Heading 6 Char"/>
    <w:basedOn w:val="DefaultParagraphFont"/>
    <w:link w:val="Heading6"/>
    <w:rsid w:val="004E6C70"/>
    <w:rPr>
      <w:rFonts w:ascii="Times New Roman" w:eastAsia="Arial" w:hAnsi="Times New Roman" w:cs="Times New Roman"/>
      <w:b/>
      <w:bCs/>
      <w:sz w:val="20"/>
      <w:szCs w:val="20"/>
      <w:lang w:val="mt-MT" w:eastAsia="de-DE"/>
    </w:rPr>
  </w:style>
  <w:style w:type="character" w:customStyle="1" w:styleId="Heading7Char">
    <w:name w:val="Heading 7 Char"/>
    <w:basedOn w:val="DefaultParagraphFont"/>
    <w:link w:val="Heading7"/>
    <w:rsid w:val="004E6C70"/>
    <w:rPr>
      <w:rFonts w:ascii="Times New Roman" w:eastAsia="Arial" w:hAnsi="Times New Roman" w:cs="Times New Roman"/>
      <w:sz w:val="20"/>
      <w:szCs w:val="20"/>
      <w:lang w:val="mt-MT" w:eastAsia="de-DE"/>
    </w:rPr>
  </w:style>
  <w:style w:type="character" w:customStyle="1" w:styleId="Heading8Char">
    <w:name w:val="Heading 8 Char"/>
    <w:basedOn w:val="DefaultParagraphFont"/>
    <w:link w:val="Heading8"/>
    <w:rsid w:val="004E6C70"/>
    <w:rPr>
      <w:rFonts w:ascii="Times New Roman" w:eastAsia="Arial" w:hAnsi="Times New Roman" w:cs="Times New Roman"/>
      <w:i/>
      <w:iCs/>
      <w:sz w:val="20"/>
      <w:szCs w:val="20"/>
      <w:lang w:val="mt-MT" w:eastAsia="de-DE"/>
    </w:rPr>
  </w:style>
  <w:style w:type="character" w:customStyle="1" w:styleId="Heading9Char">
    <w:name w:val="Heading 9 Char"/>
    <w:basedOn w:val="DefaultParagraphFont"/>
    <w:link w:val="Heading9"/>
    <w:rsid w:val="004E6C70"/>
    <w:rPr>
      <w:rFonts w:ascii="Arial" w:eastAsia="Arial" w:hAnsi="Arial" w:cs="Times New Roman"/>
      <w:sz w:val="20"/>
      <w:szCs w:val="20"/>
      <w:lang w:val="mt-MT" w:eastAsia="de-DE"/>
    </w:rPr>
  </w:style>
  <w:style w:type="paragraph" w:styleId="TableofFigures">
    <w:name w:val="table of figures"/>
    <w:basedOn w:val="Normal"/>
    <w:next w:val="Normal"/>
    <w:semiHidden/>
    <w:rsid w:val="004E6C70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4E6C70"/>
    <w:pPr>
      <w:numPr>
        <w:numId w:val="6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4E6C70"/>
    <w:pPr>
      <w:numPr>
        <w:numId w:val="7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4E6C70"/>
    <w:pPr>
      <w:numPr>
        <w:numId w:val="8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4E6C70"/>
    <w:pPr>
      <w:numPr>
        <w:numId w:val="9"/>
      </w:numPr>
      <w:spacing w:line="240" w:lineRule="exact"/>
    </w:pPr>
  </w:style>
  <w:style w:type="paragraph" w:styleId="FootnoteText">
    <w:name w:val="footnote text"/>
    <w:aliases w:val="EBA_Footnote Text,Footnote Text Char Char,Footnote,Fußnote,FSR footnote,lábléc Car Car Car,Fodnotetekst Tegn Tegn Tegn Tegn Tegn Tegn Tegn Char Char,Fodnotetekst Tegn Tegn Tegn Tegn Tegn Tegn Tegn Char Char Char Char,fn,lábléc"/>
    <w:basedOn w:val="Normal"/>
    <w:link w:val="FootnoteTextChar"/>
    <w:uiPriority w:val="99"/>
    <w:qFormat/>
    <w:rsid w:val="004E6C70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aliases w:val="EBA_Footnote Text Char,Footnote Text Char Char Char,Footnote Char,Fußnote Char,FSR footnote Char,lábléc Car Car Car Char,Fodnotetekst Tegn Tegn Tegn Tegn Tegn Tegn Tegn Char Char Char,fn Char,lábléc Char"/>
    <w:basedOn w:val="DefaultParagraphFont"/>
    <w:link w:val="FootnoteText"/>
    <w:uiPriority w:val="99"/>
    <w:rsid w:val="004E6C70"/>
    <w:rPr>
      <w:rFonts w:ascii="Arial" w:eastAsia="Arial" w:hAnsi="Arial" w:cs="Times New Roman"/>
      <w:sz w:val="16"/>
      <w:szCs w:val="16"/>
      <w:lang w:val="mt-MT"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4E6C7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4E6C70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4E6C70"/>
    <w:rPr>
      <w:rFonts w:ascii="Arial" w:eastAsia="Arial" w:hAnsi="Arial" w:cs="Times New Roman"/>
      <w:sz w:val="14"/>
      <w:szCs w:val="14"/>
      <w:lang w:val="mt-MT"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4E6C70"/>
    <w:pPr>
      <w:numPr>
        <w:numId w:val="12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4E6C70"/>
    <w:pPr>
      <w:numPr>
        <w:numId w:val="13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4E6C70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4E6C70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4E6C70"/>
    <w:pPr>
      <w:spacing w:line="312" w:lineRule="auto"/>
      <w:ind w:left="1701" w:hanging="567"/>
    </w:pPr>
  </w:style>
  <w:style w:type="character" w:styleId="Hyperlink">
    <w:name w:val="Hyperlink"/>
    <w:uiPriority w:val="99"/>
    <w:rsid w:val="004E6C7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E6C70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4E6C70"/>
    <w:rPr>
      <w:rFonts w:ascii="Arial" w:eastAsia="Arial" w:hAnsi="Arial" w:cs="Times New Roman"/>
      <w:sz w:val="20"/>
      <w:szCs w:val="20"/>
      <w:lang w:val="mt-MT" w:eastAsia="de-DE"/>
    </w:rPr>
  </w:style>
  <w:style w:type="paragraph" w:customStyle="1" w:styleId="Marginalspalte">
    <w:name w:val="Marginalspalte"/>
    <w:basedOn w:val="Normal"/>
    <w:uiPriority w:val="1"/>
    <w:qFormat/>
    <w:rsid w:val="004E6C70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4E6C70"/>
    <w:pPr>
      <w:numPr>
        <w:numId w:val="14"/>
      </w:numPr>
    </w:pPr>
  </w:style>
  <w:style w:type="paragraph" w:customStyle="1" w:styleId="Nummerierungsart2">
    <w:name w:val="Nummerierungsart2"/>
    <w:basedOn w:val="Normal"/>
    <w:uiPriority w:val="1"/>
    <w:qFormat/>
    <w:rsid w:val="004E6C70"/>
    <w:pPr>
      <w:numPr>
        <w:numId w:val="15"/>
      </w:numPr>
    </w:pPr>
  </w:style>
  <w:style w:type="paragraph" w:customStyle="1" w:styleId="Nummerierungsart3">
    <w:name w:val="Nummerierungsart3"/>
    <w:basedOn w:val="Normal"/>
    <w:uiPriority w:val="1"/>
    <w:qFormat/>
    <w:rsid w:val="004E6C70"/>
    <w:pPr>
      <w:numPr>
        <w:numId w:val="16"/>
      </w:numPr>
    </w:pPr>
  </w:style>
  <w:style w:type="paragraph" w:customStyle="1" w:styleId="Nummerierungsart4">
    <w:name w:val="Nummerierungsart4"/>
    <w:basedOn w:val="Normal"/>
    <w:uiPriority w:val="1"/>
    <w:qFormat/>
    <w:rsid w:val="004E6C70"/>
    <w:pPr>
      <w:numPr>
        <w:numId w:val="17"/>
      </w:numPr>
    </w:pPr>
  </w:style>
  <w:style w:type="character" w:styleId="PageNumber">
    <w:name w:val="page number"/>
    <w:uiPriority w:val="99"/>
    <w:rsid w:val="004E6C70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4E6C70"/>
    <w:rPr>
      <w:rFonts w:ascii="Arial" w:eastAsia="Arial" w:hAnsi="Arial" w:cs="Times New Roman"/>
      <w:b/>
      <w:sz w:val="20"/>
      <w:szCs w:val="20"/>
      <w:lang w:val="mt-MT" w:eastAsia="de-DE"/>
    </w:rPr>
  </w:style>
  <w:style w:type="paragraph" w:styleId="TOC1">
    <w:name w:val="toc 1"/>
    <w:basedOn w:val="Normal"/>
    <w:next w:val="Normal"/>
    <w:autoRedefine/>
    <w:uiPriority w:val="39"/>
    <w:qFormat/>
    <w:rsid w:val="004E6C70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4E6C70"/>
    <w:pPr>
      <w:tabs>
        <w:tab w:val="left" w:pos="794"/>
        <w:tab w:val="right" w:leader="dot" w:pos="9071"/>
      </w:tabs>
      <w:suppressAutoHyphens/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4E6C70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4E6C7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4E6C7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4E6C70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4E6C70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4E6C70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4E6C70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4E6C70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basedOn w:val="DefaultParagraphFont"/>
    <w:link w:val="Quote"/>
    <w:uiPriority w:val="29"/>
    <w:rsid w:val="004E6C70"/>
    <w:rPr>
      <w:rFonts w:ascii="Arial" w:eastAsia="Arial" w:hAnsi="Arial" w:cs="Times New Roman"/>
      <w:i/>
      <w:iCs/>
      <w:color w:val="000000"/>
      <w:sz w:val="20"/>
      <w:szCs w:val="20"/>
      <w:lang w:val="mt-MT" w:eastAsia="de-DE"/>
    </w:rPr>
  </w:style>
  <w:style w:type="paragraph" w:styleId="TOCHeading">
    <w:name w:val="TOC Heading"/>
    <w:basedOn w:val="Heading1"/>
    <w:next w:val="Normal"/>
    <w:uiPriority w:val="39"/>
    <w:qFormat/>
    <w:rsid w:val="004E6C7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4E6C70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4E6C70"/>
    <w:rPr>
      <w:rFonts w:ascii="Arial" w:eastAsia="Arial" w:hAnsi="Arial" w:cs="Times New Roman"/>
      <w:sz w:val="20"/>
      <w:szCs w:val="20"/>
      <w:lang w:val="mt-MT" w:eastAsia="de-DE"/>
    </w:rPr>
  </w:style>
  <w:style w:type="character" w:styleId="EndnoteReference">
    <w:name w:val="endnote reference"/>
    <w:uiPriority w:val="1"/>
    <w:rsid w:val="004E6C7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4E6C7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4E6C7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E6C70"/>
    <w:rPr>
      <w:rFonts w:eastAsia="Arial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6C70"/>
    <w:rPr>
      <w:rFonts w:ascii="Verdana" w:eastAsia="Arial" w:hAnsi="Verdana" w:cs="Times New Roman"/>
      <w:sz w:val="20"/>
      <w:szCs w:val="20"/>
      <w:lang w:val="mt-MT" w:eastAsia="x-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4E6C70"/>
    <w:rPr>
      <w:b/>
      <w:bCs/>
    </w:rPr>
  </w:style>
  <w:style w:type="character" w:styleId="FollowedHyperlink">
    <w:name w:val="FollowedHyperlink"/>
    <w:uiPriority w:val="99"/>
    <w:rsid w:val="004E6C7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4E6C70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E6C70"/>
    <w:rPr>
      <w:rFonts w:ascii="Tahoma" w:eastAsia="Arial" w:hAnsi="Tahoma" w:cs="Times New Roman"/>
      <w:sz w:val="16"/>
      <w:szCs w:val="16"/>
      <w:lang w:val="mt-MT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E6C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E6C70"/>
    <w:rPr>
      <w:rFonts w:ascii="Verdana" w:eastAsia="Arial" w:hAnsi="Verdana" w:cs="Times New Roman"/>
      <w:b/>
      <w:bCs/>
      <w:sz w:val="20"/>
      <w:szCs w:val="20"/>
      <w:lang w:val="mt-MT" w:eastAsia="x-none"/>
    </w:rPr>
  </w:style>
  <w:style w:type="table" w:styleId="TableGrid">
    <w:name w:val="Table Grid"/>
    <w:aliases w:val="Tabla CUADROS"/>
    <w:basedOn w:val="TableNormal"/>
    <w:uiPriority w:val="59"/>
    <w:rsid w:val="004E6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 w:bidi="ne-N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4E6C70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4E6C70"/>
    <w:rPr>
      <w:rFonts w:ascii="Verdana" w:eastAsia="Times New Roman" w:hAnsi="Verdana" w:cs="Times New Roman"/>
      <w:b/>
      <w:iCs/>
      <w:sz w:val="20"/>
      <w:szCs w:val="28"/>
      <w:u w:val="single"/>
    </w:rPr>
  </w:style>
  <w:style w:type="paragraph" w:customStyle="1" w:styleId="Instructionsberschrift1">
    <w:name w:val="Instructions Überschrift 1"/>
    <w:basedOn w:val="Heading1"/>
    <w:rsid w:val="004E6C70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4E6C70"/>
    <w:pPr>
      <w:numPr>
        <w:numId w:val="18"/>
      </w:numPr>
      <w:spacing w:after="240"/>
      <w:ind w:left="2204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4E6C70"/>
    <w:pPr>
      <w:numPr>
        <w:numId w:val="19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4E6C70"/>
    <w:rPr>
      <w:rFonts w:ascii="Verdana" w:eastAsia="Times New Roman" w:hAnsi="Verdana" w:cs="Times New Roman"/>
      <w:b/>
      <w:sz w:val="20"/>
      <w:szCs w:val="26"/>
      <w:u w:val="singl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4E6C70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4E6C70"/>
    <w:pPr>
      <w:suppressAutoHyphens/>
      <w:spacing w:before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4E6C70"/>
    <w:rPr>
      <w:rFonts w:ascii="Verdana" w:eastAsia="Times New Roman" w:hAnsi="Verdana" w:cs="Times New Roman"/>
      <w:b/>
      <w:bCs/>
      <w:sz w:val="20"/>
      <w:szCs w:val="24"/>
      <w:u w:val="single"/>
    </w:rPr>
  </w:style>
  <w:style w:type="character" w:customStyle="1" w:styleId="InstructionsTabelleberschrift">
    <w:name w:val="Instructions Tabelle Überschrift"/>
    <w:qFormat/>
    <w:rsid w:val="004E6C7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4E6C7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E6C7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4E6C7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4E6C70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4E6C70"/>
    <w:pPr>
      <w:ind w:left="720"/>
    </w:pPr>
  </w:style>
  <w:style w:type="paragraph" w:customStyle="1" w:styleId="Prrafodelista2">
    <w:name w:val="Párrafo de lista2"/>
    <w:basedOn w:val="Normal"/>
    <w:uiPriority w:val="99"/>
    <w:rsid w:val="004E6C70"/>
    <w:pPr>
      <w:ind w:left="708"/>
    </w:pPr>
  </w:style>
  <w:style w:type="paragraph" w:styleId="PlainText">
    <w:name w:val="Plain Text"/>
    <w:basedOn w:val="Normal"/>
    <w:link w:val="PlainTextChar"/>
    <w:uiPriority w:val="99"/>
    <w:rsid w:val="004E6C70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4E6C70"/>
    <w:rPr>
      <w:rFonts w:ascii="Verdana" w:eastAsia="Arial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4E6C70"/>
    <w:pPr>
      <w:ind w:left="708"/>
    </w:pPr>
  </w:style>
  <w:style w:type="character" w:customStyle="1" w:styleId="InstructionsTextChar">
    <w:name w:val="Instructions Text Char"/>
    <w:link w:val="InstructionsText"/>
    <w:locked/>
    <w:rsid w:val="004E6C7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Revision">
    <w:name w:val="Revision"/>
    <w:hidden/>
    <w:uiPriority w:val="99"/>
    <w:semiHidden/>
    <w:rsid w:val="004E6C70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4E6C70"/>
    <w:pPr>
      <w:ind w:left="708"/>
    </w:pPr>
  </w:style>
  <w:style w:type="character" w:styleId="PlaceholderText">
    <w:name w:val="Placeholder Text"/>
    <w:uiPriority w:val="99"/>
    <w:semiHidden/>
    <w:rsid w:val="004E6C70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4E6C70"/>
    <w:pPr>
      <w:numPr>
        <w:numId w:val="20"/>
      </w:numPr>
      <w:spacing w:after="240"/>
    </w:pPr>
  </w:style>
  <w:style w:type="character" w:customStyle="1" w:styleId="Instructionsberschrift3Char">
    <w:name w:val="Instructions Überschrift 3 Char"/>
    <w:locked/>
    <w:rsid w:val="004E6C70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4E6C70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4E6C70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6C70"/>
    <w:rPr>
      <w:rFonts w:ascii="Tahoma" w:eastAsia="Arial" w:hAnsi="Tahoma" w:cs="Times New Roman"/>
      <w:sz w:val="16"/>
      <w:szCs w:val="16"/>
      <w:lang w:val="mt-MT" w:eastAsia="x-none"/>
    </w:rPr>
  </w:style>
  <w:style w:type="paragraph" w:customStyle="1" w:styleId="Titrearticle">
    <w:name w:val="Titre article"/>
    <w:basedOn w:val="Normal"/>
    <w:next w:val="Normal"/>
    <w:rsid w:val="004E6C70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4E6C70"/>
    <w:pPr>
      <w:numPr>
        <w:numId w:val="24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4E6C70"/>
    <w:rPr>
      <w:rFonts w:ascii="Times New Roman" w:eastAsia="Arial" w:hAnsi="Times New Roman" w:cs="Times New Roman"/>
      <w:sz w:val="24"/>
      <w:szCs w:val="20"/>
      <w:lang w:eastAsia="en-GB"/>
    </w:rPr>
  </w:style>
  <w:style w:type="character" w:customStyle="1" w:styleId="NumPar1Char">
    <w:name w:val="NumPar 1 Char"/>
    <w:link w:val="NumPar1"/>
    <w:uiPriority w:val="99"/>
    <w:locked/>
    <w:rsid w:val="004E6C7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4E6C70"/>
    <w:pPr>
      <w:tabs>
        <w:tab w:val="num" w:pos="850"/>
      </w:tabs>
      <w:ind w:left="850" w:hanging="850"/>
    </w:pPr>
    <w:rPr>
      <w:rFonts w:asciiTheme="minorHAnsi" w:eastAsiaTheme="minorHAnsi" w:hAnsiTheme="minorHAnsi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4E6C7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4E6C70"/>
    <w:pPr>
      <w:tabs>
        <w:tab w:val="num" w:pos="360"/>
      </w:tabs>
      <w:ind w:left="1417" w:hanging="567"/>
    </w:pPr>
    <w:rPr>
      <w:rFonts w:asciiTheme="minorHAnsi" w:eastAsiaTheme="minorHAnsi" w:hAnsiTheme="minorHAnsi"/>
      <w:sz w:val="24"/>
    </w:rPr>
  </w:style>
  <w:style w:type="numbering" w:customStyle="1" w:styleId="Formatvorlage2">
    <w:name w:val="Formatvorlage2"/>
    <w:uiPriority w:val="99"/>
    <w:rsid w:val="004E6C70"/>
    <w:pPr>
      <w:numPr>
        <w:numId w:val="11"/>
      </w:numPr>
    </w:pPr>
  </w:style>
  <w:style w:type="numbering" w:customStyle="1" w:styleId="Formatvorlage3">
    <w:name w:val="Formatvorlage3"/>
    <w:uiPriority w:val="99"/>
    <w:rsid w:val="004E6C70"/>
    <w:pPr>
      <w:numPr>
        <w:numId w:val="21"/>
      </w:numPr>
    </w:pPr>
  </w:style>
  <w:style w:type="numbering" w:customStyle="1" w:styleId="Formatvorlage1">
    <w:name w:val="Formatvorlage1"/>
    <w:uiPriority w:val="99"/>
    <w:rsid w:val="004E6C70"/>
    <w:pPr>
      <w:numPr>
        <w:numId w:val="10"/>
      </w:numPr>
    </w:pPr>
  </w:style>
  <w:style w:type="numbering" w:customStyle="1" w:styleId="Formatvorlage4">
    <w:name w:val="Formatvorlage4"/>
    <w:uiPriority w:val="99"/>
    <w:rsid w:val="004E6C70"/>
    <w:pPr>
      <w:numPr>
        <w:numId w:val="23"/>
      </w:numPr>
    </w:pPr>
  </w:style>
  <w:style w:type="paragraph" w:customStyle="1" w:styleId="ListParagraph1">
    <w:name w:val="List Paragraph1"/>
    <w:basedOn w:val="Normal"/>
    <w:uiPriority w:val="99"/>
    <w:qFormat/>
    <w:rsid w:val="004E6C70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4E6C70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4E6C70"/>
    <w:rPr>
      <w:rFonts w:ascii="Verdana" w:eastAsia="Times New Roman" w:hAnsi="Verdana" w:cs="Times New Roman"/>
      <w:i/>
      <w:iCs/>
      <w:color w:val="000000"/>
      <w:sz w:val="20"/>
      <w:szCs w:val="24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4E6C7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4E6C70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paragraph" w:customStyle="1" w:styleId="Listenabsatz2">
    <w:name w:val="Listenabsatz2"/>
    <w:basedOn w:val="Normal"/>
    <w:uiPriority w:val="99"/>
    <w:qFormat/>
    <w:rsid w:val="004E6C70"/>
    <w:pPr>
      <w:ind w:left="708"/>
    </w:pPr>
  </w:style>
  <w:style w:type="character" w:customStyle="1" w:styleId="Platzhaltertext1">
    <w:name w:val="Platzhaltertext1"/>
    <w:uiPriority w:val="99"/>
    <w:semiHidden/>
    <w:rsid w:val="004E6C70"/>
    <w:rPr>
      <w:color w:val="808080"/>
    </w:rPr>
  </w:style>
  <w:style w:type="paragraph" w:customStyle="1" w:styleId="Default">
    <w:name w:val="Default"/>
    <w:rsid w:val="004E6C7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n-GB"/>
    </w:rPr>
  </w:style>
  <w:style w:type="paragraph" w:customStyle="1" w:styleId="CM1">
    <w:name w:val="CM1"/>
    <w:basedOn w:val="Default"/>
    <w:next w:val="Default"/>
    <w:uiPriority w:val="99"/>
    <w:rsid w:val="004E6C7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E6C7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4E6C7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4E6C7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4E6C70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link w:val="bodyChar"/>
    <w:qFormat/>
    <w:rsid w:val="004E6C70"/>
    <w:pPr>
      <w:spacing w:before="240" w:after="120"/>
      <w:jc w:val="both"/>
    </w:pPr>
    <w:rPr>
      <w:rFonts w:eastAsiaTheme="minorEastAsia"/>
      <w:szCs w:val="24"/>
    </w:rPr>
  </w:style>
  <w:style w:type="character" w:customStyle="1" w:styleId="Mention1">
    <w:name w:val="Mention1"/>
    <w:basedOn w:val="DefaultParagraphFont"/>
    <w:uiPriority w:val="99"/>
    <w:unhideWhenUsed/>
    <w:rsid w:val="004E6C70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unhideWhenUsed/>
    <w:rsid w:val="004E6C70"/>
    <w:rPr>
      <w:color w:val="605E5C"/>
      <w:shd w:val="clear" w:color="auto" w:fill="E1DFDD"/>
    </w:rPr>
  </w:style>
  <w:style w:type="paragraph" w:customStyle="1" w:styleId="Chartleft-Measure">
    <w:name w:val="Chart left - Measure"/>
    <w:link w:val="Chartleft-MeasureChar"/>
    <w:uiPriority w:val="3"/>
    <w:qFormat/>
    <w:rsid w:val="004E6C70"/>
    <w:pPr>
      <w:keepNext/>
      <w:keepLines/>
      <w:framePr w:w="4706" w:hSpace="227" w:wrap="around" w:vAnchor="text" w:hAnchor="page" w:x="1135" w:y="1"/>
      <w:spacing w:before="100" w:after="100" w:line="144" w:lineRule="atLeast"/>
      <w:contextualSpacing/>
    </w:pPr>
    <w:rPr>
      <w:rFonts w:ascii="Arial" w:eastAsia="Times New Roman" w:hAnsi="Arial" w:cs="Sendnya"/>
      <w:color w:val="003299"/>
      <w:kern w:val="12"/>
      <w:sz w:val="12"/>
      <w:lang w:eastAsia="en-GB"/>
    </w:rPr>
  </w:style>
  <w:style w:type="character" w:customStyle="1" w:styleId="Chartleft-MeasureChar">
    <w:name w:val="Chart left - Measure Char"/>
    <w:link w:val="Chartleft-Measure"/>
    <w:uiPriority w:val="3"/>
    <w:rsid w:val="004E6C70"/>
    <w:rPr>
      <w:rFonts w:ascii="Arial" w:eastAsia="Times New Roman" w:hAnsi="Arial" w:cs="Sendnya"/>
      <w:color w:val="003299"/>
      <w:kern w:val="12"/>
      <w:sz w:val="12"/>
      <w:lang w:eastAsia="en-GB"/>
    </w:rPr>
  </w:style>
  <w:style w:type="character" w:customStyle="1" w:styleId="lxp-definition-term">
    <w:name w:val="lxp-definition-term"/>
    <w:basedOn w:val="DefaultParagraphFont"/>
    <w:rsid w:val="004E6C70"/>
  </w:style>
  <w:style w:type="character" w:customStyle="1" w:styleId="FooterChar1">
    <w:name w:val="Footer Char1"/>
    <w:uiPriority w:val="99"/>
    <w:locked/>
    <w:rsid w:val="004E6C70"/>
    <w:rPr>
      <w:rFonts w:ascii="Arial" w:hAnsi="Arial" w:cs="Times New Roman"/>
      <w:sz w:val="14"/>
      <w:szCs w:val="14"/>
      <w:lang w:eastAsia="de-DE"/>
    </w:rPr>
  </w:style>
  <w:style w:type="character" w:customStyle="1" w:styleId="HeaderChar1">
    <w:name w:val="Header Char1"/>
    <w:uiPriority w:val="99"/>
    <w:locked/>
    <w:rsid w:val="004E6C70"/>
    <w:rPr>
      <w:rFonts w:ascii="Arial" w:hAnsi="Arial" w:cs="Times New Roman"/>
      <w:sz w:val="20"/>
      <w:szCs w:val="20"/>
      <w:lang w:eastAsia="de-DE"/>
    </w:rPr>
  </w:style>
  <w:style w:type="character" w:customStyle="1" w:styleId="bodyChar">
    <w:name w:val="body Char"/>
    <w:basedOn w:val="DefaultParagraphFont"/>
    <w:link w:val="body"/>
    <w:rsid w:val="004E6C70"/>
    <w:rPr>
      <w:rFonts w:eastAsiaTheme="minorEastAsia"/>
      <w:szCs w:val="24"/>
      <w:lang w:val="mt-MT"/>
    </w:rPr>
  </w:style>
  <w:style w:type="character" w:customStyle="1" w:styleId="Mention2">
    <w:name w:val="Mention2"/>
    <w:basedOn w:val="DefaultParagraphFont"/>
    <w:uiPriority w:val="99"/>
    <w:unhideWhenUsed/>
    <w:rsid w:val="004E6C70"/>
    <w:rPr>
      <w:color w:val="2B579A"/>
      <w:shd w:val="clear" w:color="auto" w:fill="E1DFDD"/>
    </w:rPr>
  </w:style>
  <w:style w:type="paragraph" w:customStyle="1" w:styleId="NumPar2">
    <w:name w:val="NumPar 2"/>
    <w:basedOn w:val="Normal"/>
    <w:next w:val="Normal"/>
    <w:rsid w:val="004E6C70"/>
    <w:pPr>
      <w:tabs>
        <w:tab w:val="num" w:pos="850"/>
      </w:tabs>
      <w:ind w:left="850" w:hanging="850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al"/>
    <w:next w:val="Normal"/>
    <w:rsid w:val="004E6C70"/>
    <w:pPr>
      <w:tabs>
        <w:tab w:val="num" w:pos="850"/>
      </w:tabs>
      <w:ind w:left="850" w:hanging="850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al"/>
    <w:next w:val="Normal"/>
    <w:rsid w:val="004E6C70"/>
    <w:pPr>
      <w:tabs>
        <w:tab w:val="num" w:pos="850"/>
      </w:tabs>
      <w:ind w:left="850" w:hanging="850"/>
    </w:pPr>
    <w:rPr>
      <w:rFonts w:ascii="Times New Roman" w:hAnsi="Times New Roman"/>
      <w:sz w:val="24"/>
      <w:szCs w:val="20"/>
      <w:lang w:eastAsia="en-GB"/>
    </w:rPr>
  </w:style>
  <w:style w:type="character" w:customStyle="1" w:styleId="Mention3">
    <w:name w:val="Mention3"/>
    <w:basedOn w:val="DefaultParagraphFont"/>
    <w:uiPriority w:val="99"/>
    <w:unhideWhenUsed/>
    <w:rsid w:val="004E6C70"/>
    <w:rPr>
      <w:color w:val="2B579A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E6C7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E6C70"/>
  </w:style>
  <w:style w:type="character" w:customStyle="1" w:styleId="cf01">
    <w:name w:val="cf01"/>
    <w:basedOn w:val="DefaultParagraphFont"/>
    <w:rsid w:val="004E6C70"/>
    <w:rPr>
      <w:rFonts w:ascii="Segoe UI" w:hAnsi="Segoe UI" w:cs="Segoe UI" w:hint="default"/>
      <w:sz w:val="18"/>
      <w:szCs w:val="18"/>
    </w:rPr>
  </w:style>
  <w:style w:type="paragraph" w:customStyle="1" w:styleId="footnotedescription">
    <w:name w:val="footnote description"/>
    <w:next w:val="Normal"/>
    <w:link w:val="footnotedescriptionChar"/>
    <w:hidden/>
    <w:rsid w:val="004E6C70"/>
    <w:pPr>
      <w:spacing w:after="0" w:line="241" w:lineRule="auto"/>
      <w:ind w:left="144" w:right="260" w:hanging="144"/>
      <w:jc w:val="both"/>
    </w:pPr>
    <w:rPr>
      <w:rFonts w:ascii="Arial" w:eastAsia="Arial" w:hAnsi="Arial" w:cs="Arial"/>
      <w:color w:val="000000"/>
      <w:sz w:val="16"/>
      <w:lang w:eastAsia="es-ES"/>
    </w:rPr>
  </w:style>
  <w:style w:type="character" w:customStyle="1" w:styleId="footnotedescriptionChar">
    <w:name w:val="footnote description Char"/>
    <w:link w:val="footnotedescription"/>
    <w:rsid w:val="004E6C70"/>
    <w:rPr>
      <w:rFonts w:ascii="Arial" w:eastAsia="Arial" w:hAnsi="Arial" w:cs="Arial"/>
      <w:color w:val="000000"/>
      <w:sz w:val="16"/>
      <w:lang w:val="mt-MT" w:eastAsia="es-ES"/>
    </w:rPr>
  </w:style>
  <w:style w:type="character" w:customStyle="1" w:styleId="footnotemark">
    <w:name w:val="footnote mark"/>
    <w:hidden/>
    <w:rsid w:val="004E6C70"/>
    <w:rPr>
      <w:rFonts w:ascii="Arial" w:eastAsia="Arial" w:hAnsi="Arial" w:cs="Arial"/>
      <w:color w:val="000000"/>
      <w:sz w:val="20"/>
      <w:vertAlign w:val="superscript"/>
    </w:rPr>
  </w:style>
  <w:style w:type="character" w:styleId="Mention">
    <w:name w:val="Mention"/>
    <w:basedOn w:val="DefaultParagraphFont"/>
    <w:uiPriority w:val="99"/>
    <w:unhideWhenUsed/>
    <w:rsid w:val="004E6C70"/>
    <w:rPr>
      <w:color w:val="2B579A"/>
      <w:shd w:val="clear" w:color="auto" w:fill="E1DFDD"/>
    </w:rPr>
  </w:style>
  <w:style w:type="character" w:customStyle="1" w:styleId="Marker">
    <w:name w:val="Marker"/>
    <w:basedOn w:val="DefaultParagraphFont"/>
    <w:rsid w:val="004E6C70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link w:val="PagedecouvertureChar"/>
    <w:rsid w:val="004E6C70"/>
    <w:pPr>
      <w:spacing w:before="0" w:after="0"/>
    </w:pPr>
    <w:rPr>
      <w:rFonts w:ascii="Times New Roman" w:eastAsiaTheme="minorHAns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4E6C7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rFonts w:ascii="Times New Roman" w:hAnsi="Times New Roman"/>
      <w:sz w:val="24"/>
    </w:rPr>
  </w:style>
  <w:style w:type="character" w:customStyle="1" w:styleId="PagedecouvertureChar">
    <w:name w:val="Page de couverture Char"/>
    <w:basedOn w:val="DefaultParagraphFont"/>
    <w:link w:val="Pagedecouverture"/>
    <w:rsid w:val="004E6C70"/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PagedecouvertureChar"/>
    <w:link w:val="FooterCoverPage"/>
    <w:rsid w:val="004E6C70"/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ensitivity">
    <w:name w:val="Footer Sensitivity"/>
    <w:basedOn w:val="Normal"/>
    <w:link w:val="FooterSensitivityChar"/>
    <w:rsid w:val="004E6C7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FooterSensitivityChar">
    <w:name w:val="Footer Sensitivity Char"/>
    <w:basedOn w:val="PagedecouvertureChar"/>
    <w:link w:val="FooterSensitivity"/>
    <w:rsid w:val="004E6C70"/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HeaderCoverPage">
    <w:name w:val="Header Cover Page"/>
    <w:basedOn w:val="Normal"/>
    <w:link w:val="HeaderCoverPageChar"/>
    <w:rsid w:val="004E6C70"/>
    <w:pPr>
      <w:tabs>
        <w:tab w:val="center" w:pos="4535"/>
        <w:tab w:val="right" w:pos="9071"/>
      </w:tabs>
      <w:spacing w:before="0"/>
    </w:pPr>
    <w:rPr>
      <w:rFonts w:ascii="Times New Roman" w:hAnsi="Times New Roman"/>
      <w:sz w:val="24"/>
    </w:rPr>
  </w:style>
  <w:style w:type="character" w:customStyle="1" w:styleId="HeaderCoverPageChar">
    <w:name w:val="Header Cover Page Char"/>
    <w:basedOn w:val="PagedecouvertureChar"/>
    <w:link w:val="HeaderCoverPage"/>
    <w:rsid w:val="004E6C70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Sensitivity">
    <w:name w:val="Header Sensitivity"/>
    <w:basedOn w:val="Normal"/>
    <w:link w:val="HeaderSensitivityChar"/>
    <w:rsid w:val="004E6C7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HeaderSensitivityChar">
    <w:name w:val="Header Sensitivity Char"/>
    <w:basedOn w:val="PagedecouvertureChar"/>
    <w:link w:val="HeaderSensitivity"/>
    <w:rsid w:val="004E6C70"/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HeaderSensitivityRight">
    <w:name w:val="Header Sensitivity Right"/>
    <w:basedOn w:val="Normal"/>
    <w:link w:val="HeaderSensitivityRightChar"/>
    <w:rsid w:val="004E6C70"/>
    <w:pPr>
      <w:spacing w:before="0"/>
      <w:jc w:val="right"/>
    </w:pPr>
    <w:rPr>
      <w:rFonts w:ascii="Times New Roman" w:hAnsi="Times New Roman"/>
      <w:sz w:val="28"/>
    </w:rPr>
  </w:style>
  <w:style w:type="character" w:customStyle="1" w:styleId="HeaderSensitivityRightChar">
    <w:name w:val="Header Sensitivity Right Char"/>
    <w:basedOn w:val="PagedecouvertureChar"/>
    <w:link w:val="HeaderSensitivityRight"/>
    <w:rsid w:val="004E6C70"/>
    <w:rPr>
      <w:rFonts w:ascii="Times New Roman" w:eastAsia="Times New Roman" w:hAnsi="Times New Roman" w:cs="Times New Roman"/>
      <w:sz w:val="28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6C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customXml" Target="../customXml/item3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35336E-DBF1-440D-B1A1-E11773248F28}"/>
</file>

<file path=customXml/itemProps2.xml><?xml version="1.0" encoding="utf-8"?>
<ds:datastoreItem xmlns:ds="http://schemas.openxmlformats.org/officeDocument/2006/customXml" ds:itemID="{7883F76A-A381-4001-8010-3432F93B6F5A}"/>
</file>

<file path=customXml/itemProps3.xml><?xml version="1.0" encoding="utf-8"?>
<ds:datastoreItem xmlns:ds="http://schemas.openxmlformats.org/officeDocument/2006/customXml" ds:itemID="{1233E824-0785-46B1-9EEF-A9ADD3A93D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9611</Words>
  <Characters>69778</Characters>
  <Application>Microsoft Office Word</Application>
  <DocSecurity>0</DocSecurity>
  <Lines>1622</Lines>
  <Paragraphs>872</Paragraphs>
  <ScaleCrop>false</ScaleCrop>
  <Company>European Commission</Company>
  <LinksUpToDate>false</LinksUpToDate>
  <CharactersWithSpaces>78517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 Gheorghe-Cristian (FISMA)</dc:creator>
  <cp:keywords/>
  <dc:description/>
  <cp:lastModifiedBy>GATT Stephen (DGT)</cp:lastModifiedBy>
  <cp:revision>2</cp:revision>
  <dcterms:created xsi:type="dcterms:W3CDTF">2024-07-10T18:58:00Z</dcterms:created>
  <dcterms:modified xsi:type="dcterms:W3CDTF">2025-01-27T07:57:00Z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2024-07-10T18:59:29Z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60f2ebe3-76f3-431b-b5eb-d8ad589febbc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