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SV</w:t>
      </w:r>
      <w:r>
        <w:rPr>
          <w:b/>
          <w:sz w:val="24"/>
          <w:rFonts w:ascii="Times New Roman" w:hAnsi="Times New Roman"/>
        </w:rPr>
        <w:br/>
      </w:r>
      <w:r>
        <w:rPr>
          <w:b/>
          <w:sz w:val="24"/>
          <w:rFonts w:ascii="Times New Roman" w:hAnsi="Times New Roman"/>
        </w:rPr>
        <w:t xml:space="preserve">BILAGA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”BILAGA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INSTRUKTIONER FÖR IFYLLANDE AV MALLEN FÖR KONCENTRATION AV LIKVIDITETSTÄCKNINGSKAPACITET (C 71.00) I BILAGA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Koncentration av likviditetstäckningskapacitet per emittent/motpart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För att göra det möjligt att genom mall C 71.00 samla in uppgifter om de rapporterande institutens koncentration av likviditetstäckningskapacitet fördelat på de tio största tillgångsinnehaven eller likviditetslimiterna som institutet har beviljats i detta syfte ska instituten följa instruktionerna i denna bilaga.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Om en emittent eller motpart hänförs till mer än en produkttyp, en valuta eller ett kreditkvalitetssteg ska det totala beloppet rapporteras.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Den produkttyp, den valuta eller det kreditkvalitetssteg som ska rapporteras ska vara den/det som är relevant för den största andelen av koncentrationen av likviditetstäckningskapacitet.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Likviditetstäckningskapaciteten i C 71.00 ska vara densamma som i C 66.01 förutom att de tillgångar som rapporteras som likviditetstäckningskapacitet i C 71.00 inte ska vara intecknade utan tillgängliga för institutet att omvandla till likvida medel på rapporteringsreferensdatumet.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Vid beräkning av koncentrationer i rapporteringsmall C 71.00 fördelat på väsentlig valuta ska instituten använda koncentrationer i alla valutor.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När en emittent eller motpart tillhör flera grupper av kunder med inbördes anknytning ska den bara rapporteras en gång i den grupp som har den större koncentrationen av likviditetstäckningskapacitet.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Med undantag för rad 0120 ska koncentrationer av likviditetstäckningskapacitet hos en centralbank som emittent eller motpart inte rapporteras i denna mall.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Om ett institut har förpositionerade tillgångar i en centralbank för standardiserade likviditetstransaktioner, och i den utsträckning som dessa tillgångar är relaterade till de tio största emittenterna eller motparterna vad gäller icke intecknad likviditetstäckningskapacitet, ska institutet rapportera den ursprungliga emittenten och den ursprungliga produkttypen.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Kolumn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Namn på emittent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Namnen på de tio största emittenterna av icke intecknade tillgångar eller motparter till outnyttjade likviditetslimiter som beviljats institutet ska rapporteras i kolumn 0010 i fallande ordning.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största posten rapporteras på rad 1.01, den näst största på rad 1.02 och så vidare.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Emittenter och motparter som utgör en grupp av kunder med inbördes anknytning ska rapporteras som en enda koncentration.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Emittentens eller motpartens namn ska vara det fullständiga namnet på den juridiska person som emitterade tillgångarna eller beviljade likviditetslimiterna, samt eventuella hänvisningar till företagstyp i enlighet med nationell bolagsrätt.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LEI-kod (identifieringskod för juridiska personer)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Motpartens LEI-kod (identifieringskod för juridiska personer).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Emittentens sektor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En sektor ska fördelas på varje emittent eller motpart på grundval av följande kategorier av ekonomiska sektorer för finansiell rapportering enligt Finrep (se del 1 i bilaga V till denna genomförandeförordning):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(i) Offentlig sektor.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(ii) Kreditinstitut.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(iii) Övriga finansiella företag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(iv) Icke-finansiella företag.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(v) Hushåll.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För grupper av kunder med inbördes anknytning ska ingen sektor rapporteras.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Emittentens hemvist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Alfa-2-landskoden enligt ISO 3166-1 för det land där emittenten eller motparten är registrerad ska anges (inklusive pseudo-ISO-koder för internationella organisationer, som finns i den senaste utgåvan av Eurostats anvisningar för uppgifter om betalningsbalansen, </w:t>
            </w:r>
            <w:r>
              <w:rPr>
                <w:sz w:val="24"/>
                <w:rStyle w:val="FormatvorlageInstructionsTabelleText"/>
                <w:rStyle w:val="FormatvorlageInstructionsTabelleText"/>
                <w:i/>
                <w:rFonts w:ascii="Times New Roman" w:hAnsi="Times New Roman"/>
              </w:rPr>
              <w:t xml:space="preserve">Balance of Payments Vademecum</w:t>
            </w: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).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Inget land ska anges för grupper av kunder med inbördes anknytning.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Produkttyp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emittenter eller motparter som anges i kolumn 0010 ska åsättas produkttyper som motsvarar den produkt som tillgången innehas i eller som standby-likviditetsfaciliteten har erhållits i med användande av följande koder (med fetstil):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(Obligationer med förmånsrätt)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(Efterställd obligation)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(Företagscertifikat)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(Säkerställda obligationer)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(Ucits-värdepapper, det vill säga finansiella instrument som representerar en andel i eller ett värdepapper som utfärdats av ett företag för kollektiva investeringar i överlåtbara värdepapper)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 (</w:t>
            </w:r>
            <w:r>
              <w:rPr>
                <w:sz w:val="24"/>
                <w:rFonts w:ascii="Times New Roman" w:hAnsi="Times New Roman"/>
              </w:rPr>
              <w:t xml:space="preserve">Tillgångssäkrade värdepapper)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(Kreditfordringar)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(Aktier)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Guld (om fysiskt guld, vilket kan behandlas som en enda motpart)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(Outnyttjade likviditetslimiter som det rapporterande institutet har beviljats)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(Annan produkttyp)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Emittenter eller motparter som anges i kolumn 0010 ska åsättas en valuta ISO kod enligt kolumn 0060 som motsvarar beteckningen för den erhållna tillgången eller outnyttjade beviljade likviditetslinor som beviljats till institutionen.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Instituten ska rapportera valutakod bestående av tre bokstäver enligt 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en limit i flera valutor är en del av en koncentration av likviditetstäckningskapacitet ska limiten anges i den dominerande valutan i resten av koncentrationen.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När det gäller separat rapportering i väsentliga valutor enligt vad som anges i artikel 415.2 i förordning (EU) nr 575/2013 ska instituten göra en bedömning av vilken valuta som flödet troligen kommer att vara i, och endast rapportera posten i den väsentliga valutan, i enlighet med instruktionerna för separat rapportering av väsentliga valutor i likviditetstäckningskravet i enlighet med förordning (EU)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Kreditkvalitetssteg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Lämpligt kreditkvalitetssteg ska tilldelas i enlighet med förordning (EU) nr 575/2013, vilket ska vara detsamma som för posterna som rapporteras i löptidsmetodmallen.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Om kreditvärdering saknas tilldelas steget ”kreditvärdering saknas”.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Marknadsvärde/nominellt värde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Tillgångarnas marknadsvärde eller verkliga värde eller, i tillämpliga fall, den outnyttjade beviljade likviditetsfacilitetens nominella värde.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Värde på säkerheter som är godtagbara enligt centralbanken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Specifika tillgångars värde som säkerheter enligt centralbankens regler för stående faciliteter.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tillgångar denominerade i en valuta som anges i kommissionens genomförandeförordning (EU) 2015/233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</w:t>
            </w:r>
            <w:r>
              <w:rPr>
                <w:sz w:val="24"/>
                <w:rFonts w:ascii="Times New Roman" w:hAnsi="Times New Roman"/>
              </w:rPr>
              <w:t xml:space="preserve"> som en valuta med en extremt snäv definition av belåningsbarhet hos centralbanken ska detta fält lämnas tomt.”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t xml:space="preserve">* Kommissionens genomförandeförordning (EU) 2015/233 av den 13 februari 2015 om fastställande av tekniska genomförandestandarder med avseende på valutor för vilka det finns en extremt snäv definition av belåningsbarhet hos centralbanken i enlighet med Europaparlamentets och rådets förordning (EU) nr 575/2013 (EUT L 39, 14.2.2015, s. 11).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sv-SE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sv-SE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sv-SE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sv-SE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sv-SE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v-SE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v-SE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v-SE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v-SE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sv-SE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sv-SE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sv-SE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sv-SE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sv-SE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sv-SE" w:eastAsia="fr-FR"/>
    </w:rPr>
  </w:style>
  <w:style w:type="table" w:styleId="TableGrid">
    <w:name w:val="Table Grid"/>
    <w:basedOn w:val="TableNormal"/>
    <w:uiPriority w:val="59"/>
    <w:rsid w:val="00E05204"/>
    <w:rPr>
      <w:lang w:val="sv-S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sv-SE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5F9D2-787D-431F-91B2-3623962DCD40}"/>
</file>

<file path=customXml/itemProps4.xml><?xml version="1.0" encoding="utf-8"?>
<ds:datastoreItem xmlns:ds="http://schemas.openxmlformats.org/officeDocument/2006/customXml" ds:itemID="{77E0D53C-CD30-4678-8ED4-79FB1CC79DA4}"/>
</file>

<file path=customXml/itemProps5.xml><?xml version="1.0" encoding="utf-8"?>
<ds:datastoreItem xmlns:ds="http://schemas.openxmlformats.org/officeDocument/2006/customXml" ds:itemID="{12508697-E766-4FA1-98E7-BB545B6804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  <property fmtid="{D5CDD505-2E9C-101B-9397-08002B2CF9AE}" pid="9" name="ContentTypeId">
    <vt:lpwstr>0x010100A640DC13EB184F4EBE5AA21BE9F247DB</vt:lpwstr>
  </property>
</Properties>
</file>