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Default="004B3EB4" w:rsidP="004B3EB4">
      <w:pPr>
        <w:jc w:val="center"/>
        <w:rPr>
          <w:rFonts w:ascii="Times New Roman" w:hAnsi="Times New Roman"/>
          <w:sz w:val="24"/>
          <w:szCs w:val="22"/>
        </w:rPr>
      </w:pPr>
      <w:bookmarkStart w:id="0" w:name="_Toc360188413"/>
      <w:bookmarkStart w:id="1" w:name="_Toc473561053"/>
      <w:bookmarkStart w:id="2" w:name="_Toc117766050"/>
      <w:r>
        <w:rPr>
          <w:rFonts w:ascii="Times New Roman" w:hAnsi="Times New Roman"/>
          <w:sz w:val="24"/>
        </w:rPr>
        <w:t>FR</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rFonts w:ascii="Times New Roman" w:hAnsi="Times New Roman"/>
          <w:sz w:val="24"/>
        </w:rPr>
      </w:pPr>
      <w:r>
        <w:rPr>
          <w:rFonts w:ascii="Times New Roman" w:hAnsi="Times New Roman"/>
          <w:sz w:val="24"/>
        </w:rPr>
        <w:t>ANNEXE II</w:t>
      </w:r>
    </w:p>
    <w:p w14:paraId="025DAC25" w14:textId="77777777" w:rsidR="009A273F" w:rsidRPr="00037E7B" w:rsidRDefault="009A273F" w:rsidP="009A273F">
      <w:pPr>
        <w:jc w:val="center"/>
        <w:rPr>
          <w:rFonts w:ascii="Times New Roman" w:hAnsi="Times New Roman"/>
          <w:sz w:val="24"/>
        </w:rPr>
      </w:pPr>
      <w:r>
        <w:rPr>
          <w:rFonts w:ascii="Times New Roman" w:hAnsi="Times New Roman"/>
          <w:sz w:val="24"/>
        </w:rPr>
        <w:t>«ANNEXE II</w:t>
      </w:r>
    </w:p>
    <w:p w14:paraId="5EA1A82F" w14:textId="77777777" w:rsidR="009A273F" w:rsidRPr="00037E7B" w:rsidRDefault="009A273F" w:rsidP="009A273F">
      <w:pPr>
        <w:jc w:val="center"/>
        <w:rPr>
          <w:rFonts w:ascii="Times New Roman" w:hAnsi="Times New Roman"/>
          <w:b/>
          <w:sz w:val="24"/>
        </w:rPr>
      </w:pPr>
      <w:r>
        <w:rPr>
          <w:rFonts w:ascii="Times New Roman" w:hAnsi="Times New Roman"/>
          <w:b/>
          <w:sz w:val="24"/>
        </w:rPr>
        <w:t>INSTRUCTIONS POUR REMPLIR LA DÉCLARATION RELATIVE AUX FONDS PROPRES ET EXIGENCES DE FONDS PROPRES</w:t>
      </w:r>
    </w:p>
    <w:p w14:paraId="7ABDFB60" w14:textId="77777777" w:rsidR="009A273F" w:rsidRDefault="009A273F" w:rsidP="009A273F"/>
    <w:p w14:paraId="65617CB9" w14:textId="77777777" w:rsidR="009A273F" w:rsidRDefault="009A273F" w:rsidP="009A273F">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PARTIE II: INSTRUCTIONS CONCERNANT LES MODÈLES</w:t>
      </w:r>
    </w:p>
    <w:p w14:paraId="67FA9FF1" w14:textId="4121AEB0" w:rsidR="009A273F" w:rsidRDefault="009A273F" w:rsidP="009A273F">
      <w:pPr>
        <w:spacing w:before="0" w:after="0"/>
        <w:jc w:val="left"/>
        <w:rPr>
          <w:rStyle w:val="InstructionsTabelleText"/>
          <w:rFonts w:ascii="Times New Roman" w:hAnsi="Times New Roman"/>
          <w:sz w:val="24"/>
        </w:rPr>
      </w:pPr>
    </w:p>
    <w:p w14:paraId="49367E83"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rFonts w:ascii="Times New Roman" w:hAnsi="Times New Roman"/>
          <w:sz w:val="24"/>
        </w:rPr>
      </w:pPr>
      <w:r>
        <w:rPr>
          <w:rFonts w:ascii="Times New Roman" w:hAnsi="Times New Roman"/>
          <w:sz w:val="24"/>
        </w:rPr>
        <w:t>5.8.</w:t>
      </w:r>
      <w:r>
        <w:rPr>
          <w:rFonts w:ascii="Times New Roman" w:hAnsi="Times New Roman"/>
          <w:sz w:val="24"/>
        </w:rPr>
        <w:tab/>
        <w:t xml:space="preserve">C 25.01 - RISQUE D'AJUSTEMENT DE L'ÉVALUATION DE CRÉDIT </w:t>
      </w:r>
      <w:bookmarkEnd w:id="0"/>
      <w:r>
        <w:rPr>
          <w:rFonts w:ascii="Times New Roman" w:hAnsi="Times New Roman"/>
          <w:sz w:val="24"/>
        </w:rPr>
        <w:t>(CVA)</w:t>
      </w:r>
      <w:bookmarkEnd w:id="1"/>
      <w:bookmarkEnd w:id="2"/>
    </w:p>
    <w:p w14:paraId="33239E01" w14:textId="77777777" w:rsidR="00606FB5" w:rsidRDefault="00606FB5" w:rsidP="00606FB5">
      <w:pPr>
        <w:pStyle w:val="Instructionsberschrift2"/>
        <w:numPr>
          <w:ilvl w:val="0"/>
          <w:numId w:val="0"/>
        </w:numPr>
        <w:ind w:left="357" w:hanging="357"/>
        <w:rPr>
          <w:rFonts w:ascii="Times New Roman" w:hAnsi="Times New Roman" w:cs="Times New Roman"/>
          <w:sz w:val="24"/>
        </w:rPr>
      </w:pPr>
      <w:bookmarkStart w:id="3" w:name="_Toc360188414"/>
      <w:bookmarkStart w:id="4" w:name="_Toc473561054"/>
      <w:bookmarkStart w:id="5" w:name="_Toc117766051"/>
      <w:bookmarkStart w:id="6" w:name="_Toc310008820"/>
      <w:r>
        <w:rPr>
          <w:rFonts w:ascii="Times New Roman" w:hAnsi="Times New Roman"/>
          <w:sz w:val="24"/>
          <w:u w:val="none"/>
        </w:rPr>
        <w:t>5.8.1.</w:t>
      </w:r>
      <w:r>
        <w:rPr>
          <w:rFonts w:ascii="Times New Roman" w:hAnsi="Times New Roman"/>
          <w:sz w:val="24"/>
          <w:u w:val="none"/>
        </w:rPr>
        <w:tab/>
      </w:r>
      <w:r>
        <w:rPr>
          <w:rFonts w:ascii="Times New Roman" w:hAnsi="Times New Roman"/>
          <w:sz w:val="24"/>
        </w:rPr>
        <w:t>Instructions concernant certaines positions</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rFonts w:ascii="Times New Roman" w:hAnsi="Times New Roman"/>
                <w:b/>
                <w:sz w:val="24"/>
              </w:rPr>
            </w:pPr>
            <w:r>
              <w:rPr>
                <w:rFonts w:ascii="Times New Roman" w:hAnsi="Times New Roman"/>
                <w:b/>
                <w:sz w:val="24"/>
              </w:rPr>
              <w:t>Colonnes</w:t>
            </w:r>
          </w:p>
        </w:tc>
      </w:tr>
      <w:tr w:rsidR="00680687" w:rsidRPr="002A677E" w14:paraId="22C86396" w14:textId="77777777" w:rsidTr="006A3ADC">
        <w:tc>
          <w:tcPr>
            <w:tcW w:w="1172" w:type="dxa"/>
          </w:tcPr>
          <w:p w14:paraId="013E2964"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48C69E8C" w14:textId="77777777" w:rsidR="00680687" w:rsidRDefault="00680687" w:rsidP="006A3ADC">
            <w:pPr>
              <w:rPr>
                <w:rFonts w:ascii="Times New Roman" w:hAnsi="Times New Roman"/>
                <w:b/>
                <w:bCs/>
                <w:sz w:val="24"/>
                <w:u w:val="single"/>
              </w:rPr>
            </w:pPr>
            <w:r>
              <w:rPr>
                <w:rFonts w:ascii="Times New Roman" w:hAnsi="Times New Roman"/>
                <w:b/>
                <w:sz w:val="24"/>
                <w:u w:val="single"/>
              </w:rPr>
              <w:t>Valeur de l’exposition au CCR</w:t>
            </w:r>
          </w:p>
          <w:p w14:paraId="06BD2F33" w14:textId="77777777" w:rsidR="00680687" w:rsidRPr="002A677E" w:rsidRDefault="00680687" w:rsidP="006A3ADC">
            <w:pPr>
              <w:rPr>
                <w:rFonts w:ascii="Times New Roman" w:hAnsi="Times New Roman"/>
                <w:sz w:val="24"/>
              </w:rPr>
            </w:pPr>
            <w:r>
              <w:rPr>
                <w:rFonts w:ascii="Times New Roman" w:hAnsi="Times New Roman"/>
                <w:sz w:val="24"/>
              </w:rPr>
              <w:t>Valeur exposée au risque de crédit de contrepartie (CCR) calculée conformément aux méthodes prévues à la troisième partie, titre II, chapitres 4 et 6, du règlement (UE) nº 575/2013.</w:t>
            </w:r>
          </w:p>
        </w:tc>
      </w:tr>
      <w:tr w:rsidR="00680687" w:rsidRPr="002A677E" w14:paraId="117387BA" w14:textId="77777777" w:rsidTr="006A3ADC">
        <w:tc>
          <w:tcPr>
            <w:tcW w:w="1172" w:type="dxa"/>
          </w:tcPr>
          <w:p w14:paraId="7CA143D6"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1B45A7C" w14:textId="77777777" w:rsidR="00680687" w:rsidRDefault="00680687" w:rsidP="006A3ADC">
            <w:pPr>
              <w:rPr>
                <w:rFonts w:ascii="Times New Roman" w:hAnsi="Times New Roman"/>
                <w:b/>
                <w:bCs/>
                <w:sz w:val="24"/>
                <w:u w:val="single"/>
              </w:rPr>
            </w:pPr>
            <w:r>
              <w:rPr>
                <w:rFonts w:ascii="Times New Roman" w:hAnsi="Times New Roman"/>
                <w:b/>
                <w:sz w:val="24"/>
                <w:u w:val="single"/>
              </w:rPr>
              <w:t>Exigences de fonds propres pour CCR</w:t>
            </w:r>
          </w:p>
          <w:p w14:paraId="0F0016B3" w14:textId="77777777" w:rsidR="00680687" w:rsidRPr="002A677E" w:rsidRDefault="00680687" w:rsidP="006A3ADC">
            <w:pPr>
              <w:rPr>
                <w:rFonts w:ascii="Times New Roman" w:hAnsi="Times New Roman"/>
                <w:sz w:val="24"/>
              </w:rPr>
            </w:pPr>
            <w:r>
              <w:rPr>
                <w:rFonts w:ascii="Times New Roman" w:hAnsi="Times New Roman"/>
                <w:sz w:val="24"/>
              </w:rPr>
              <w:t>Exigences de fonds propres pour le CCR [article 92, paragraphe 4, points a) et g), et troisième partie, titre VI, du règlement (UE) nº 575/2013].</w:t>
            </w:r>
          </w:p>
        </w:tc>
      </w:tr>
      <w:tr w:rsidR="00680687" w:rsidRPr="002A677E" w14:paraId="5F978FE1" w14:textId="77777777" w:rsidTr="006A3ADC">
        <w:tc>
          <w:tcPr>
            <w:tcW w:w="1172" w:type="dxa"/>
          </w:tcPr>
          <w:p w14:paraId="182AB4FA"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96D9C75" w14:textId="77777777" w:rsidR="00680687" w:rsidRDefault="00680687" w:rsidP="006A3ADC">
            <w:pPr>
              <w:rPr>
                <w:rFonts w:ascii="Times New Roman" w:hAnsi="Times New Roman"/>
                <w:b/>
                <w:bCs/>
                <w:sz w:val="24"/>
                <w:u w:val="single"/>
              </w:rPr>
            </w:pPr>
            <w:r>
              <w:rPr>
                <w:rFonts w:ascii="Times New Roman" w:hAnsi="Times New Roman"/>
                <w:b/>
                <w:sz w:val="24"/>
                <w:u w:val="single"/>
              </w:rPr>
              <w:t>Montant notionnel</w:t>
            </w:r>
          </w:p>
          <w:p w14:paraId="3D1812D7" w14:textId="77777777" w:rsidR="00680687" w:rsidRPr="002A677E" w:rsidRDefault="00680687" w:rsidP="006A3ADC">
            <w:pPr>
              <w:rPr>
                <w:rFonts w:ascii="Times New Roman" w:hAnsi="Times New Roman"/>
                <w:sz w:val="24"/>
              </w:rPr>
            </w:pPr>
            <w:r>
              <w:rPr>
                <w:rFonts w:ascii="Times New Roman" w:hAnsi="Times New Roman"/>
                <w:sz w:val="24"/>
              </w:rPr>
              <w:t>Somme des montants notionnels pour les dérivés avant toute compensation et sans aucun ajustement conformément à l’article 279 </w:t>
            </w:r>
            <w:r>
              <w:rPr>
                <w:rFonts w:ascii="Times New Roman" w:hAnsi="Times New Roman"/>
                <w:i/>
                <w:iCs/>
                <w:sz w:val="24"/>
              </w:rPr>
              <w:t>ter</w:t>
            </w:r>
            <w:r>
              <w:rPr>
                <w:rFonts w:ascii="Times New Roman" w:hAnsi="Times New Roman"/>
                <w:sz w:val="24"/>
              </w:rPr>
              <w:t xml:space="preserve"> du règlement (UE) nº 575/2013.</w:t>
            </w:r>
          </w:p>
        </w:tc>
      </w:tr>
      <w:tr w:rsidR="00680687" w:rsidRPr="002A677E" w14:paraId="26F18ADD" w14:textId="77777777" w:rsidTr="006A3ADC">
        <w:tc>
          <w:tcPr>
            <w:tcW w:w="1172" w:type="dxa"/>
          </w:tcPr>
          <w:p w14:paraId="54779968"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0B450F7D" w14:textId="77777777" w:rsidR="00680687" w:rsidRDefault="00680687" w:rsidP="006A3ADC">
            <w:pPr>
              <w:rPr>
                <w:rFonts w:ascii="Times New Roman" w:hAnsi="Times New Roman"/>
                <w:b/>
                <w:bCs/>
                <w:sz w:val="24"/>
                <w:u w:val="single"/>
              </w:rPr>
            </w:pPr>
            <w:r>
              <w:rPr>
                <w:rFonts w:ascii="Times New Roman" w:hAnsi="Times New Roman"/>
                <w:b/>
                <w:sz w:val="24"/>
                <w:u w:val="single"/>
              </w:rPr>
              <w:t>CVA effectué</w:t>
            </w:r>
          </w:p>
          <w:p w14:paraId="736FE6AE" w14:textId="77777777" w:rsidR="00680687" w:rsidRPr="002A677E" w:rsidRDefault="00680687" w:rsidP="006A3ADC">
            <w:pPr>
              <w:rPr>
                <w:rFonts w:ascii="Times New Roman" w:hAnsi="Times New Roman"/>
                <w:sz w:val="24"/>
              </w:rPr>
            </w:pPr>
            <w:r>
              <w:rPr>
                <w:rFonts w:ascii="Times New Roman" w:hAnsi="Times New Roman"/>
                <w:sz w:val="24"/>
              </w:rPr>
              <w:t>Provisions comptables effectuées en raison d'une baisse de la qualité de crédit des contreparties des dérivés.</w:t>
            </w:r>
          </w:p>
        </w:tc>
      </w:tr>
      <w:tr w:rsidR="00680687" w:rsidRPr="002A677E" w14:paraId="31462293" w14:textId="77777777" w:rsidTr="006A3ADC">
        <w:tc>
          <w:tcPr>
            <w:tcW w:w="1172" w:type="dxa"/>
          </w:tcPr>
          <w:p w14:paraId="1B68F842"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2508C9C1" w14:textId="77777777" w:rsidR="00680687" w:rsidRDefault="00680687" w:rsidP="006A3ADC">
            <w:pPr>
              <w:rPr>
                <w:rFonts w:ascii="Times New Roman" w:hAnsi="Times New Roman"/>
                <w:b/>
                <w:bCs/>
                <w:sz w:val="24"/>
                <w:u w:val="single"/>
              </w:rPr>
            </w:pPr>
            <w:r>
              <w:rPr>
                <w:rFonts w:ascii="Times New Roman" w:hAnsi="Times New Roman"/>
                <w:b/>
                <w:sz w:val="24"/>
                <w:u w:val="single"/>
              </w:rPr>
              <w:t>Traitement simplifié des positions sur instruments dérivés sur OPC</w:t>
            </w:r>
          </w:p>
          <w:p w14:paraId="5D30B96B" w14:textId="77777777" w:rsidR="00680687" w:rsidRPr="002A677E" w:rsidRDefault="00680687" w:rsidP="006A3ADC">
            <w:pPr>
              <w:rPr>
                <w:rFonts w:ascii="Times New Roman" w:hAnsi="Times New Roman"/>
                <w:sz w:val="24"/>
              </w:rPr>
            </w:pPr>
            <w:r>
              <w:rPr>
                <w:rFonts w:ascii="Times New Roman" w:hAnsi="Times New Roman"/>
                <w:sz w:val="24"/>
              </w:rPr>
              <w:t>Exigences de fonds propres pour CVA [article 92, paragraphe 4, point d), et troisième partie, titre VI, du règlement (UE) nº 575/2013], calculées conformément au traitement simplifié pour les positions sur dérivés sur OPC défini à l’article 132 </w:t>
            </w:r>
            <w:r>
              <w:rPr>
                <w:rFonts w:ascii="Times New Roman" w:hAnsi="Times New Roman"/>
                <w:i/>
                <w:iCs/>
                <w:sz w:val="24"/>
              </w:rPr>
              <w:t>bis</w:t>
            </w:r>
            <w:r>
              <w:rPr>
                <w:rFonts w:ascii="Times New Roman" w:hAnsi="Times New Roman"/>
                <w:sz w:val="24"/>
              </w:rPr>
              <w:t>, paragraphe 3, à l’article 152, paragraphe 3, et à l’article 325 </w:t>
            </w:r>
            <w:r>
              <w:rPr>
                <w:rFonts w:ascii="Times New Roman" w:hAnsi="Times New Roman"/>
                <w:i/>
                <w:iCs/>
                <w:sz w:val="24"/>
              </w:rPr>
              <w:t>undecies</w:t>
            </w:r>
            <w:r>
              <w:rPr>
                <w:rFonts w:ascii="Times New Roman" w:hAnsi="Times New Roman"/>
                <w:sz w:val="24"/>
              </w:rPr>
              <w:t>, paragraphe 1, du règlement (UE) nº 575/2013.</w:t>
            </w:r>
          </w:p>
        </w:tc>
      </w:tr>
      <w:tr w:rsidR="00680687" w:rsidRPr="002A677E" w14:paraId="30F1E0DD" w14:textId="77777777" w:rsidTr="006A3ADC">
        <w:tc>
          <w:tcPr>
            <w:tcW w:w="1172" w:type="dxa"/>
          </w:tcPr>
          <w:p w14:paraId="6AA9400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7A0A82EA" w14:textId="77777777" w:rsidR="00680687" w:rsidRDefault="00680687" w:rsidP="006A3ADC">
            <w:pPr>
              <w:rPr>
                <w:rFonts w:ascii="Times New Roman" w:hAnsi="Times New Roman"/>
                <w:b/>
                <w:bCs/>
                <w:sz w:val="24"/>
                <w:u w:val="single"/>
              </w:rPr>
            </w:pPr>
            <w:r>
              <w:rPr>
                <w:rFonts w:ascii="Times New Roman" w:hAnsi="Times New Roman"/>
                <w:b/>
                <w:sz w:val="24"/>
                <w:u w:val="single"/>
              </w:rPr>
              <w:t>Approche simplifiée</w:t>
            </w:r>
          </w:p>
          <w:p w14:paraId="004D4F8F" w14:textId="77777777" w:rsidR="00680687" w:rsidRPr="002A677E" w:rsidRDefault="00680687" w:rsidP="006A3ADC">
            <w:pPr>
              <w:rPr>
                <w:rFonts w:ascii="Times New Roman" w:hAnsi="Times New Roman"/>
                <w:sz w:val="24"/>
              </w:rPr>
            </w:pPr>
            <w:r>
              <w:rPr>
                <w:rFonts w:ascii="Times New Roman" w:hAnsi="Times New Roman"/>
                <w:sz w:val="24"/>
              </w:rPr>
              <w:lastRenderedPageBreak/>
              <w:t>Exigences de fonds propres pour les opérations soumises à l'approche simplifiée prévue par l'article 385 du règlement (UE) nº 575/2013.</w:t>
            </w:r>
          </w:p>
        </w:tc>
      </w:tr>
      <w:tr w:rsidR="00680687" w:rsidRPr="002A677E" w14:paraId="5F75A918" w14:textId="77777777" w:rsidTr="006A3ADC">
        <w:tc>
          <w:tcPr>
            <w:tcW w:w="1172" w:type="dxa"/>
          </w:tcPr>
          <w:p w14:paraId="4A4C55CD" w14:textId="77777777" w:rsidR="00680687" w:rsidRPr="002A677E" w:rsidRDefault="00680687" w:rsidP="006A3ADC">
            <w:pPr>
              <w:rPr>
                <w:rFonts w:ascii="Times New Roman" w:hAnsi="Times New Roman"/>
                <w:sz w:val="24"/>
              </w:rPr>
            </w:pPr>
            <w:r>
              <w:rPr>
                <w:rFonts w:ascii="Times New Roman" w:hAnsi="Times New Roman"/>
                <w:sz w:val="24"/>
              </w:rPr>
              <w:lastRenderedPageBreak/>
              <w:t>0070</w:t>
            </w:r>
          </w:p>
        </w:tc>
        <w:tc>
          <w:tcPr>
            <w:tcW w:w="7844" w:type="dxa"/>
          </w:tcPr>
          <w:p w14:paraId="6D8487B1" w14:textId="77777777" w:rsidR="00680687" w:rsidRDefault="00680687" w:rsidP="006A3ADC">
            <w:pPr>
              <w:rPr>
                <w:rFonts w:ascii="Times New Roman" w:hAnsi="Times New Roman"/>
                <w:b/>
                <w:bCs/>
                <w:sz w:val="24"/>
                <w:u w:val="single"/>
              </w:rPr>
            </w:pPr>
            <w:r>
              <w:rPr>
                <w:rFonts w:ascii="Times New Roman" w:hAnsi="Times New Roman"/>
                <w:b/>
                <w:sz w:val="24"/>
                <w:u w:val="single"/>
              </w:rPr>
              <w:t>Approche BA-CVA réduite</w:t>
            </w:r>
          </w:p>
          <w:p w14:paraId="10567290" w14:textId="77777777" w:rsidR="00680687" w:rsidRPr="002A677E" w:rsidRDefault="00680687" w:rsidP="006A3ADC">
            <w:pPr>
              <w:rPr>
                <w:rFonts w:ascii="Times New Roman" w:hAnsi="Times New Roman"/>
                <w:sz w:val="24"/>
              </w:rPr>
            </w:pPr>
            <w:r>
              <w:rPr>
                <w:rFonts w:ascii="Times New Roman" w:hAnsi="Times New Roman"/>
                <w:sz w:val="24"/>
              </w:rPr>
              <w:t>Exigences de fonds propres pour CVA [article 92, paragraphe 4, point d), et troisième partie, titre VI, du règlement (UE) nº 575/2013], calculées conformément à l’article 384, paragraphe 3, pour un établissement remplissant la condition prévue à l’article 384, paragraphe 1, point b), du règlement (UE) nº 575/2013.</w:t>
            </w:r>
          </w:p>
        </w:tc>
      </w:tr>
      <w:tr w:rsidR="00680687" w:rsidRPr="002A677E" w14:paraId="775123CE" w14:textId="77777777" w:rsidTr="006A3ADC">
        <w:tc>
          <w:tcPr>
            <w:tcW w:w="1172" w:type="dxa"/>
          </w:tcPr>
          <w:p w14:paraId="3FE4F30F" w14:textId="77777777" w:rsidR="00680687" w:rsidRPr="002A677E" w:rsidRDefault="00680687" w:rsidP="006A3ADC">
            <w:pPr>
              <w:rPr>
                <w:rFonts w:ascii="Times New Roman" w:hAnsi="Times New Roman"/>
                <w:sz w:val="24"/>
              </w:rPr>
            </w:pPr>
            <w:r>
              <w:rPr>
                <w:rFonts w:ascii="Times New Roman" w:hAnsi="Times New Roman"/>
                <w:sz w:val="24"/>
              </w:rPr>
              <w:t>0080-0110</w:t>
            </w:r>
          </w:p>
        </w:tc>
        <w:tc>
          <w:tcPr>
            <w:tcW w:w="7844" w:type="dxa"/>
          </w:tcPr>
          <w:p w14:paraId="4D4D4B28" w14:textId="77777777" w:rsidR="00680687" w:rsidRDefault="00680687" w:rsidP="006A3ADC">
            <w:pPr>
              <w:rPr>
                <w:rFonts w:ascii="Times New Roman" w:hAnsi="Times New Roman"/>
                <w:b/>
                <w:bCs/>
                <w:sz w:val="24"/>
                <w:u w:val="single"/>
              </w:rPr>
            </w:pPr>
            <w:r>
              <w:rPr>
                <w:rFonts w:ascii="Times New Roman" w:hAnsi="Times New Roman"/>
                <w:b/>
                <w:sz w:val="24"/>
                <w:u w:val="single"/>
              </w:rPr>
              <w:t>Approche BA-CVA complète</w:t>
            </w:r>
          </w:p>
          <w:p w14:paraId="29492D07" w14:textId="77777777" w:rsidR="00680687" w:rsidRPr="002A677E" w:rsidRDefault="00680687" w:rsidP="006A3ADC">
            <w:pPr>
              <w:rPr>
                <w:rFonts w:ascii="Times New Roman" w:hAnsi="Times New Roman"/>
                <w:b/>
                <w:sz w:val="24"/>
                <w:u w:val="single"/>
              </w:rPr>
            </w:pPr>
            <w:r>
              <w:rPr>
                <w:rFonts w:ascii="Times New Roman" w:hAnsi="Times New Roman"/>
                <w:sz w:val="24"/>
              </w:rPr>
              <w:t>Exigences de fonds propres pour CVA [article 92, paragraphe 4, point d), et troisième partie, titre VI, du règlement (UE) nº 575/2013], calculées conformément à l’article 384, paragraphe 2, pour un établissement remplissant la condition prévue à l’article 384, paragraphe 1, point a), du règlement (UE) nº 575/2013.</w:t>
            </w:r>
          </w:p>
        </w:tc>
      </w:tr>
      <w:tr w:rsidR="00680687" w:rsidRPr="002A677E" w14:paraId="5CC39791" w14:textId="77777777" w:rsidTr="006A3ADC">
        <w:tc>
          <w:tcPr>
            <w:tcW w:w="1172" w:type="dxa"/>
          </w:tcPr>
          <w:p w14:paraId="7ED793DD"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2F507335" w14:textId="77777777" w:rsidR="00680687" w:rsidRDefault="00680687" w:rsidP="006A3ADC">
            <w:pPr>
              <w:rPr>
                <w:rFonts w:ascii="Times New Roman" w:hAnsi="Times New Roman"/>
                <w:b/>
                <w:bCs/>
                <w:sz w:val="24"/>
                <w:u w:val="single"/>
              </w:rPr>
            </w:pPr>
            <w:r>
              <w:rPr>
                <w:rFonts w:ascii="Times New Roman" w:hAnsi="Times New Roman"/>
                <w:b/>
                <w:sz w:val="24"/>
                <w:u w:val="single"/>
              </w:rPr>
              <w:t>Montant notionnel des couvertures du risque de CVA</w:t>
            </w:r>
          </w:p>
          <w:p w14:paraId="3C607DB7" w14:textId="77777777" w:rsidR="00680687" w:rsidRPr="002A677E" w:rsidRDefault="00680687" w:rsidP="006A3ADC">
            <w:pPr>
              <w:rPr>
                <w:rFonts w:ascii="Times New Roman" w:hAnsi="Times New Roman"/>
                <w:sz w:val="24"/>
              </w:rPr>
            </w:pPr>
            <w:r>
              <w:rPr>
                <w:rFonts w:ascii="Times New Roman" w:hAnsi="Times New Roman"/>
                <w:sz w:val="24"/>
              </w:rPr>
              <w:t>Montant notionnel des couvertures du risque de CVA éligibles (montants bruts) comptabilisées conformément à l’article 386 du règlement (UE) nº 575/2013.</w:t>
            </w:r>
          </w:p>
        </w:tc>
      </w:tr>
      <w:tr w:rsidR="00680687" w:rsidRPr="002A677E" w14:paraId="25B5BEC0" w14:textId="77777777" w:rsidTr="006A3ADC">
        <w:tc>
          <w:tcPr>
            <w:tcW w:w="1172" w:type="dxa"/>
          </w:tcPr>
          <w:p w14:paraId="569A7775"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7EE59EEA" w14:textId="77777777" w:rsidR="00680687" w:rsidRPr="005C217A" w:rsidRDefault="00680687" w:rsidP="006A3ADC">
            <w:pPr>
              <w:rPr>
                <w:rFonts w:ascii="Times New Roman" w:hAnsi="Times New Roman"/>
                <w:sz w:val="24"/>
              </w:rPr>
            </w:pPr>
            <w:r>
              <w:rPr>
                <w:rFonts w:ascii="Times New Roman" w:hAnsi="Times New Roman"/>
                <w:b/>
                <w:sz w:val="24"/>
                <w:u w:val="single"/>
              </w:rPr>
              <w:t>BACVA</w:t>
            </w:r>
            <w:r>
              <w:rPr>
                <w:rFonts w:ascii="Times New Roman" w:hAnsi="Times New Roman"/>
                <w:b/>
                <w:sz w:val="24"/>
                <w:vertAlign w:val="superscript"/>
              </w:rPr>
              <w:t>csr-noncouvert</w:t>
            </w:r>
          </w:p>
          <w:p w14:paraId="4A0E67ED" w14:textId="77777777" w:rsidR="00680687" w:rsidRPr="002A677E" w:rsidRDefault="00680687" w:rsidP="006A3ADC">
            <w:pPr>
              <w:rPr>
                <w:rFonts w:ascii="Times New Roman" w:hAnsi="Times New Roman"/>
                <w:sz w:val="24"/>
              </w:rPr>
            </w:pPr>
            <w:r>
              <w:rPr>
                <w:rFonts w:ascii="Times New Roman" w:hAnsi="Times New Roman"/>
                <w:sz w:val="24"/>
              </w:rPr>
              <w:t>BACVA</w:t>
            </w:r>
            <w:r>
              <w:rPr>
                <w:rFonts w:ascii="Times New Roman" w:hAnsi="Times New Roman"/>
                <w:sz w:val="24"/>
                <w:vertAlign w:val="superscript"/>
              </w:rPr>
              <w:t>csr-noncouvert</w:t>
            </w:r>
            <w:r>
              <w:rPr>
                <w:rFonts w:ascii="Times New Roman" w:hAnsi="Times New Roman"/>
                <w:sz w:val="24"/>
              </w:rPr>
              <w:t xml:space="preserve"> pour les opérations soumises à l’approche de base, calculé conformément à l’article 384, paragraphe 3, pour un établissement qui remplit la condition visée à l’article 384, paragraphe 1, point b), du règlement (UE) nº 575/2013.</w:t>
            </w:r>
          </w:p>
        </w:tc>
      </w:tr>
      <w:tr w:rsidR="00680687" w:rsidRPr="002A677E" w14:paraId="1E238074" w14:textId="77777777" w:rsidTr="006A3ADC">
        <w:tc>
          <w:tcPr>
            <w:tcW w:w="1172" w:type="dxa"/>
          </w:tcPr>
          <w:p w14:paraId="48638273" w14:textId="77777777" w:rsidR="00680687" w:rsidRPr="002A677E" w:rsidDel="00024DEA" w:rsidRDefault="00680687" w:rsidP="006A3ADC">
            <w:pPr>
              <w:rPr>
                <w:rFonts w:ascii="Times New Roman" w:hAnsi="Times New Roman"/>
                <w:sz w:val="24"/>
              </w:rPr>
            </w:pPr>
            <w:r>
              <w:rPr>
                <w:rFonts w:ascii="Times New Roman" w:hAnsi="Times New Roman"/>
                <w:sz w:val="24"/>
              </w:rPr>
              <w:t>0100</w:t>
            </w:r>
          </w:p>
        </w:tc>
        <w:tc>
          <w:tcPr>
            <w:tcW w:w="7844" w:type="dxa"/>
          </w:tcPr>
          <w:p w14:paraId="2C90402F" w14:textId="77777777" w:rsidR="00680687" w:rsidRDefault="00680687" w:rsidP="006A3ADC">
            <w:pPr>
              <w:rPr>
                <w:rFonts w:ascii="Times New Roman" w:hAnsi="Times New Roman"/>
                <w:b/>
                <w:sz w:val="24"/>
                <w:vertAlign w:val="superscript"/>
              </w:rPr>
            </w:pPr>
            <w:r>
              <w:rPr>
                <w:rFonts w:ascii="Times New Roman" w:hAnsi="Times New Roman"/>
                <w:b/>
                <w:sz w:val="24"/>
                <w:u w:val="single"/>
              </w:rPr>
              <w:t>BACVA</w:t>
            </w:r>
            <w:r>
              <w:rPr>
                <w:rFonts w:ascii="Times New Roman" w:hAnsi="Times New Roman"/>
                <w:b/>
                <w:sz w:val="24"/>
                <w:vertAlign w:val="superscript"/>
              </w:rPr>
              <w:t>csr-couvert</w:t>
            </w:r>
          </w:p>
          <w:p w14:paraId="34FB0CB6" w14:textId="44377399" w:rsidR="00680687" w:rsidRPr="002A677E" w:rsidDel="00024DEA" w:rsidRDefault="00680687" w:rsidP="006A3ADC">
            <w:pPr>
              <w:rPr>
                <w:rFonts w:ascii="Times New Roman" w:hAnsi="Times New Roman"/>
                <w:b/>
                <w:sz w:val="24"/>
                <w:u w:val="single"/>
              </w:rPr>
            </w:pPr>
            <w:r>
              <w:rPr>
                <w:rFonts w:ascii="Times New Roman" w:hAnsi="Times New Roman"/>
                <w:sz w:val="24"/>
              </w:rPr>
              <w:t>BACVA</w:t>
            </w:r>
            <w:r>
              <w:rPr>
                <w:rFonts w:ascii="Times New Roman" w:hAnsi="Times New Roman"/>
                <w:sz w:val="24"/>
                <w:vertAlign w:val="superscript"/>
              </w:rPr>
              <w:t>csr-noncouvert</w:t>
            </w:r>
            <w:r>
              <w:rPr>
                <w:rFonts w:ascii="Times New Roman" w:hAnsi="Times New Roman"/>
                <w:sz w:val="24"/>
              </w:rPr>
              <w:t xml:space="preserve"> pour les opérations soumises à l’approche de base, calculé conformément à l’article 384, paragraphe 2, pour un établissement qui remplit la condition visée à l’article 384, paragraphe 1, point a), du règlement (UE) nº 575/2013.</w:t>
            </w:r>
          </w:p>
        </w:tc>
      </w:tr>
      <w:tr w:rsidR="00680687" w:rsidRPr="002A677E" w14:paraId="00FE8EDC" w14:textId="77777777" w:rsidTr="006A3ADC">
        <w:tc>
          <w:tcPr>
            <w:tcW w:w="1172" w:type="dxa"/>
          </w:tcPr>
          <w:p w14:paraId="5303AFEA" w14:textId="77777777" w:rsidR="00680687" w:rsidRPr="002A677E" w:rsidDel="00024DEA" w:rsidRDefault="00680687" w:rsidP="006A3ADC">
            <w:pPr>
              <w:rPr>
                <w:rFonts w:ascii="Times New Roman" w:hAnsi="Times New Roman"/>
                <w:sz w:val="24"/>
              </w:rPr>
            </w:pPr>
            <w:r>
              <w:rPr>
                <w:rFonts w:ascii="Times New Roman" w:hAnsi="Times New Roman"/>
                <w:sz w:val="24"/>
              </w:rPr>
              <w:t>0110</w:t>
            </w:r>
          </w:p>
        </w:tc>
        <w:tc>
          <w:tcPr>
            <w:tcW w:w="7844" w:type="dxa"/>
          </w:tcPr>
          <w:p w14:paraId="4F8092AD" w14:textId="77777777" w:rsidR="00680687" w:rsidRDefault="00680687" w:rsidP="006A3ADC">
            <w:pPr>
              <w:rPr>
                <w:rFonts w:ascii="Times New Roman" w:hAnsi="Times New Roman"/>
                <w:b/>
                <w:bCs/>
                <w:sz w:val="24"/>
                <w:u w:val="single"/>
              </w:rPr>
            </w:pPr>
            <w:r>
              <w:rPr>
                <w:rFonts w:ascii="Times New Roman" w:hAnsi="Times New Roman"/>
                <w:b/>
                <w:sz w:val="24"/>
                <w:u w:val="single"/>
              </w:rPr>
              <w:t>Exigences de fonds propres</w:t>
            </w:r>
          </w:p>
          <w:p w14:paraId="1287DB8E"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Total des exigences de fonds propres pour les opérations soumises à l’approche de base complète, calculé conformément à l’article 384, paragraphe 2, pour un établissement qui remplit la condition visée à l’article 384, paragraphe 1, point a), du règlement (UE) nº 575/2013.</w:t>
            </w:r>
          </w:p>
        </w:tc>
      </w:tr>
      <w:tr w:rsidR="00680687" w:rsidRPr="002A677E" w14:paraId="4D9D19AA" w14:textId="77777777" w:rsidTr="006A3ADC">
        <w:tc>
          <w:tcPr>
            <w:tcW w:w="1172" w:type="dxa"/>
          </w:tcPr>
          <w:p w14:paraId="40BB5135" w14:textId="77777777" w:rsidR="00680687" w:rsidRPr="002A677E" w:rsidDel="00024DEA" w:rsidRDefault="00680687" w:rsidP="006A3ADC">
            <w:pPr>
              <w:rPr>
                <w:rFonts w:ascii="Times New Roman" w:hAnsi="Times New Roman"/>
                <w:sz w:val="24"/>
              </w:rPr>
            </w:pPr>
            <w:r>
              <w:rPr>
                <w:rFonts w:ascii="Times New Roman" w:hAnsi="Times New Roman"/>
                <w:sz w:val="24"/>
              </w:rPr>
              <w:t>0120-0270</w:t>
            </w:r>
          </w:p>
        </w:tc>
        <w:tc>
          <w:tcPr>
            <w:tcW w:w="7844" w:type="dxa"/>
          </w:tcPr>
          <w:p w14:paraId="6D273C70" w14:textId="77777777" w:rsidR="00680687" w:rsidRDefault="00680687" w:rsidP="006A3ADC">
            <w:pPr>
              <w:rPr>
                <w:rFonts w:ascii="Times New Roman" w:hAnsi="Times New Roman"/>
                <w:b/>
                <w:bCs/>
                <w:sz w:val="24"/>
                <w:u w:val="single"/>
              </w:rPr>
            </w:pPr>
            <w:r>
              <w:rPr>
                <w:rFonts w:ascii="Times New Roman" w:hAnsi="Times New Roman"/>
                <w:b/>
                <w:sz w:val="24"/>
                <w:u w:val="single"/>
              </w:rPr>
              <w:t>Approche SA-CVA</w:t>
            </w:r>
          </w:p>
          <w:p w14:paraId="15468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Exigences de fonds propres pour CVA [article 92, paragraphe 4, point d), et troisième partie, titre VI, du règlement (UE) nº 575/2013], calculées conformément à l’article 383 pour un établissement remplissant la condition prévue à l’article 382 </w:t>
            </w:r>
            <w:r>
              <w:rPr>
                <w:rFonts w:ascii="Times New Roman" w:hAnsi="Times New Roman"/>
                <w:i/>
                <w:iCs/>
                <w:sz w:val="24"/>
              </w:rPr>
              <w:t>bis</w:t>
            </w:r>
            <w:r>
              <w:rPr>
                <w:rFonts w:ascii="Times New Roman" w:hAnsi="Times New Roman"/>
                <w:sz w:val="24"/>
              </w:rPr>
              <w:t>, paragraphe 1, point a), du règlement (UE) nº 575/2013.</w:t>
            </w:r>
          </w:p>
        </w:tc>
      </w:tr>
      <w:tr w:rsidR="00680687" w:rsidRPr="002A677E" w14:paraId="25255F9B" w14:textId="77777777" w:rsidTr="006A3ADC">
        <w:tc>
          <w:tcPr>
            <w:tcW w:w="1172" w:type="dxa"/>
          </w:tcPr>
          <w:p w14:paraId="1EEE68F9" w14:textId="77777777" w:rsidR="00680687" w:rsidRPr="002A677E" w:rsidDel="00024DEA" w:rsidRDefault="00680687" w:rsidP="006A3ADC">
            <w:pPr>
              <w:rPr>
                <w:rFonts w:ascii="Times New Roman" w:hAnsi="Times New Roman"/>
                <w:sz w:val="24"/>
              </w:rPr>
            </w:pPr>
            <w:r>
              <w:rPr>
                <w:rFonts w:ascii="Times New Roman" w:hAnsi="Times New Roman"/>
                <w:sz w:val="24"/>
              </w:rPr>
              <w:t>0120</w:t>
            </w:r>
          </w:p>
        </w:tc>
        <w:tc>
          <w:tcPr>
            <w:tcW w:w="7844" w:type="dxa"/>
          </w:tcPr>
          <w:p w14:paraId="3B3DE69C" w14:textId="77777777" w:rsidR="00680687" w:rsidRDefault="00680687" w:rsidP="006A3ADC">
            <w:pPr>
              <w:rPr>
                <w:rFonts w:ascii="Times New Roman" w:hAnsi="Times New Roman"/>
                <w:b/>
                <w:bCs/>
                <w:sz w:val="24"/>
                <w:u w:val="single"/>
              </w:rPr>
            </w:pPr>
            <w:r>
              <w:rPr>
                <w:rFonts w:ascii="Times New Roman" w:hAnsi="Times New Roman"/>
                <w:b/>
                <w:sz w:val="24"/>
                <w:u w:val="single"/>
              </w:rPr>
              <w:t>Montant notionnel des couvertures du risque de CVA</w:t>
            </w:r>
          </w:p>
          <w:p w14:paraId="50C4B375"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lastRenderedPageBreak/>
              <w:t>Montant notionnel des couvertures du risque de CVA éligibles comptabilisées conformément à l’article 386 du règlement (UE) nº 575/2013.</w:t>
            </w:r>
          </w:p>
        </w:tc>
      </w:tr>
      <w:tr w:rsidR="00680687" w:rsidRPr="002A677E" w14:paraId="6842E160" w14:textId="77777777" w:rsidTr="006A3ADC">
        <w:tc>
          <w:tcPr>
            <w:tcW w:w="1172" w:type="dxa"/>
          </w:tcPr>
          <w:p w14:paraId="25D17774"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0130</w:t>
            </w:r>
          </w:p>
        </w:tc>
        <w:tc>
          <w:tcPr>
            <w:tcW w:w="7844" w:type="dxa"/>
          </w:tcPr>
          <w:p w14:paraId="6FE0752E" w14:textId="77777777" w:rsidR="00680687" w:rsidRPr="002A677E" w:rsidRDefault="00680687" w:rsidP="006A3ADC">
            <w:pPr>
              <w:rPr>
                <w:rFonts w:ascii="Times New Roman" w:hAnsi="Times New Roman"/>
                <w:b/>
                <w:sz w:val="24"/>
                <w:u w:val="single"/>
              </w:rPr>
            </w:pPr>
            <w:r>
              <w:rPr>
                <w:rFonts w:ascii="Times New Roman" w:hAnsi="Times New Roman"/>
                <w:b/>
                <w:sz w:val="24"/>
                <w:u w:val="single"/>
              </w:rPr>
              <w:t>Nombre de contreparties</w:t>
            </w:r>
          </w:p>
          <w:p w14:paraId="10FC4FF6" w14:textId="77777777" w:rsidR="00680687" w:rsidRPr="002A677E" w:rsidRDefault="00680687" w:rsidP="006A3ADC">
            <w:pPr>
              <w:rPr>
                <w:rFonts w:ascii="Times New Roman" w:hAnsi="Times New Roman"/>
                <w:sz w:val="24"/>
              </w:rPr>
            </w:pPr>
            <w:r>
              <w:rPr>
                <w:rFonts w:ascii="Times New Roman" w:hAnsi="Times New Roman"/>
                <w:sz w:val="24"/>
              </w:rPr>
              <w:t>Article 445 </w:t>
            </w:r>
            <w:r>
              <w:rPr>
                <w:rFonts w:ascii="Times New Roman" w:hAnsi="Times New Roman"/>
                <w:i/>
                <w:iCs/>
                <w:sz w:val="24"/>
              </w:rPr>
              <w:t>bis</w:t>
            </w:r>
            <w:r>
              <w:rPr>
                <w:rFonts w:ascii="Times New Roman" w:hAnsi="Times New Roman"/>
                <w:sz w:val="24"/>
              </w:rPr>
              <w:t>, paragraphe 1, point c), du règlement (UE) nº 575/2013</w:t>
            </w:r>
          </w:p>
          <w:p w14:paraId="3A9459B9" w14:textId="77777777" w:rsidR="00680687" w:rsidRPr="005C217A" w:rsidDel="00024DEA" w:rsidRDefault="00680687" w:rsidP="006A3ADC">
            <w:pPr>
              <w:rPr>
                <w:rFonts w:ascii="Times New Roman" w:hAnsi="Times New Roman"/>
                <w:sz w:val="24"/>
              </w:rPr>
            </w:pPr>
            <w:r>
              <w:rPr>
                <w:rFonts w:ascii="Times New Roman" w:hAnsi="Times New Roman"/>
                <w:sz w:val="24"/>
              </w:rPr>
              <w:t>Nombre de contreparties, au sens de l’article 383, paragraphe 1, du règlement (UE) nº 575/2013, incluses dans le calcul des fonds propres pour risque SA-CVA. Le nombre total est inscrit sur la ligne 0010 et la ventilation par type de contrepartie sur les lignes 0170 à 0220.</w:t>
            </w:r>
          </w:p>
        </w:tc>
      </w:tr>
      <w:tr w:rsidR="00680687" w:rsidRPr="002A677E" w14:paraId="03E5B4A8" w14:textId="77777777" w:rsidTr="006A3ADC">
        <w:tc>
          <w:tcPr>
            <w:tcW w:w="1172" w:type="dxa"/>
          </w:tcPr>
          <w:p w14:paraId="68CD118A" w14:textId="77777777" w:rsidR="00680687" w:rsidRPr="002A677E" w:rsidDel="00024DEA" w:rsidRDefault="00680687" w:rsidP="006A3ADC">
            <w:pPr>
              <w:rPr>
                <w:rFonts w:ascii="Times New Roman" w:hAnsi="Times New Roman"/>
                <w:sz w:val="24"/>
              </w:rPr>
            </w:pPr>
            <w:r>
              <w:rPr>
                <w:rFonts w:ascii="Times New Roman" w:hAnsi="Times New Roman"/>
                <w:sz w:val="24"/>
              </w:rPr>
              <w:t>0140-0250</w:t>
            </w:r>
          </w:p>
        </w:tc>
        <w:tc>
          <w:tcPr>
            <w:tcW w:w="7844" w:type="dxa"/>
          </w:tcPr>
          <w:p w14:paraId="1E26CA07" w14:textId="77777777" w:rsidR="00680687" w:rsidRDefault="00680687" w:rsidP="006A3ADC">
            <w:pPr>
              <w:rPr>
                <w:rFonts w:ascii="Times New Roman" w:hAnsi="Times New Roman"/>
                <w:b/>
                <w:sz w:val="24"/>
                <w:u w:val="single"/>
              </w:rPr>
            </w:pPr>
            <w:r>
              <w:rPr>
                <w:rFonts w:ascii="Times New Roman" w:hAnsi="Times New Roman"/>
                <w:b/>
                <w:sz w:val="24"/>
                <w:u w:val="single"/>
              </w:rPr>
              <w:t>Exigences de fonds propres pour ensembles de compensation dans l'approche SA-CVA</w:t>
            </w:r>
          </w:p>
          <w:p w14:paraId="512141CA" w14:textId="72FCFDDA" w:rsidR="00680687" w:rsidRPr="002A677E" w:rsidDel="00024DEA" w:rsidRDefault="00680687" w:rsidP="006A3ADC">
            <w:pPr>
              <w:rPr>
                <w:rFonts w:ascii="Times New Roman" w:hAnsi="Times New Roman"/>
                <w:b/>
                <w:sz w:val="24"/>
                <w:u w:val="single"/>
              </w:rPr>
            </w:pPr>
            <w:r>
              <w:rPr>
                <w:rFonts w:ascii="Times New Roman" w:hAnsi="Times New Roman"/>
                <w:sz w:val="24"/>
              </w:rPr>
              <w:t>Exigences de fonds propres pour risque de CVA en approche standard calculé conformément à l’article 383 du règlement (UE) nº 575/2013, ventilées par catégories de risques au sens de l’article 383, paragraphe 2, point 1, et, pour chacune de ces catégories, ventilées entre risque delta et risque vega, comme requis par l’article 383, paragraphe 3, et conformément à l’article 383 </w:t>
            </w:r>
            <w:r>
              <w:rPr>
                <w:rFonts w:ascii="Times New Roman" w:hAnsi="Times New Roman"/>
                <w:i/>
                <w:iCs/>
                <w:sz w:val="24"/>
              </w:rPr>
              <w:t>ter</w:t>
            </w:r>
            <w:r>
              <w:rPr>
                <w:rFonts w:ascii="Times New Roman" w:hAnsi="Times New Roman"/>
                <w:sz w:val="24"/>
              </w:rPr>
              <w:t xml:space="preserve"> du règlement (UE) nº 575/2013.</w:t>
            </w:r>
          </w:p>
        </w:tc>
      </w:tr>
      <w:tr w:rsidR="00680687" w:rsidRPr="002A677E" w14:paraId="1BC8EFF8" w14:textId="77777777" w:rsidTr="006A3ADC">
        <w:tc>
          <w:tcPr>
            <w:tcW w:w="1172" w:type="dxa"/>
          </w:tcPr>
          <w:p w14:paraId="1E505571" w14:textId="77777777" w:rsidR="00680687" w:rsidRPr="002A677E" w:rsidDel="00024DEA" w:rsidRDefault="00680687" w:rsidP="006A3ADC">
            <w:pPr>
              <w:rPr>
                <w:rFonts w:ascii="Times New Roman" w:hAnsi="Times New Roman"/>
                <w:sz w:val="24"/>
              </w:rPr>
            </w:pPr>
            <w:r>
              <w:rPr>
                <w:rFonts w:ascii="Times New Roman" w:hAnsi="Times New Roman"/>
                <w:sz w:val="24"/>
              </w:rPr>
              <w:t>0140-0150</w:t>
            </w:r>
          </w:p>
        </w:tc>
        <w:tc>
          <w:tcPr>
            <w:tcW w:w="7844" w:type="dxa"/>
          </w:tcPr>
          <w:p w14:paraId="0AEAA3AD" w14:textId="77777777" w:rsidR="00680687" w:rsidRDefault="00680687" w:rsidP="006A3ADC">
            <w:pPr>
              <w:rPr>
                <w:rFonts w:ascii="Times New Roman" w:hAnsi="Times New Roman"/>
                <w:b/>
                <w:sz w:val="24"/>
                <w:u w:val="single"/>
              </w:rPr>
            </w:pPr>
            <w:r>
              <w:rPr>
                <w:rFonts w:ascii="Times New Roman" w:hAnsi="Times New Roman"/>
                <w:b/>
                <w:sz w:val="24"/>
                <w:u w:val="single"/>
              </w:rPr>
              <w:t>Exigences de fonds propres pour risque de taux d'intérêt</w:t>
            </w:r>
          </w:p>
          <w:p w14:paraId="6695CC3B" w14:textId="01E1C8B9" w:rsidR="00680687" w:rsidRPr="002A677E" w:rsidDel="00024DEA" w:rsidRDefault="00680687" w:rsidP="006A3ADC">
            <w:pPr>
              <w:rPr>
                <w:rFonts w:ascii="Times New Roman" w:hAnsi="Times New Roman"/>
                <w:b/>
                <w:sz w:val="24"/>
                <w:u w:val="single"/>
              </w:rPr>
            </w:pPr>
            <w:r>
              <w:rPr>
                <w:rFonts w:ascii="Times New Roman" w:hAnsi="Times New Roman"/>
                <w:sz w:val="24"/>
              </w:rPr>
              <w:t>Articles 383 </w:t>
            </w:r>
            <w:r>
              <w:rPr>
                <w:rFonts w:ascii="Times New Roman" w:hAnsi="Times New Roman"/>
                <w:i/>
                <w:iCs/>
                <w:sz w:val="24"/>
              </w:rPr>
              <w:t>quater</w:t>
            </w:r>
            <w:r>
              <w:rPr>
                <w:rFonts w:ascii="Times New Roman" w:hAnsi="Times New Roman"/>
                <w:sz w:val="24"/>
              </w:rPr>
              <w:t>, 383 </w:t>
            </w:r>
            <w:r>
              <w:rPr>
                <w:rFonts w:ascii="Times New Roman" w:hAnsi="Times New Roman"/>
                <w:i/>
                <w:iCs/>
                <w:sz w:val="24"/>
              </w:rPr>
              <w:t>decies</w:t>
            </w:r>
            <w:r>
              <w:rPr>
                <w:rFonts w:ascii="Times New Roman" w:hAnsi="Times New Roman"/>
                <w:sz w:val="24"/>
              </w:rPr>
              <w:t>, 383 </w:t>
            </w:r>
            <w:r>
              <w:rPr>
                <w:rFonts w:ascii="Times New Roman" w:hAnsi="Times New Roman"/>
                <w:i/>
                <w:iCs/>
                <w:sz w:val="24"/>
              </w:rPr>
              <w:t>undecies</w:t>
            </w:r>
            <w:r>
              <w:rPr>
                <w:rFonts w:ascii="Times New Roman" w:hAnsi="Times New Roman"/>
                <w:sz w:val="24"/>
              </w:rPr>
              <w:t>, 383 </w:t>
            </w:r>
            <w:r>
              <w:rPr>
                <w:rFonts w:ascii="Times New Roman" w:hAnsi="Times New Roman"/>
                <w:i/>
                <w:iCs/>
                <w:sz w:val="24"/>
              </w:rPr>
              <w:t>duodecies</w:t>
            </w:r>
            <w:r>
              <w:rPr>
                <w:rFonts w:ascii="Times New Roman" w:hAnsi="Times New Roman"/>
                <w:sz w:val="24"/>
              </w:rPr>
              <w:t>, 383 </w:t>
            </w:r>
            <w:r>
              <w:rPr>
                <w:rFonts w:ascii="Times New Roman" w:hAnsi="Times New Roman"/>
                <w:i/>
                <w:iCs/>
                <w:sz w:val="24"/>
              </w:rPr>
              <w:t>terdecies</w:t>
            </w:r>
            <w:r>
              <w:rPr>
                <w:rFonts w:ascii="Times New Roman" w:hAnsi="Times New Roman"/>
                <w:sz w:val="24"/>
              </w:rPr>
              <w:t xml:space="preserve"> et 383 </w:t>
            </w:r>
            <w:r>
              <w:rPr>
                <w:rFonts w:ascii="Times New Roman" w:hAnsi="Times New Roman"/>
                <w:i/>
                <w:iCs/>
                <w:sz w:val="24"/>
              </w:rPr>
              <w:t>quaterdecies</w:t>
            </w:r>
            <w:r>
              <w:rPr>
                <w:rFonts w:ascii="Times New Roman" w:hAnsi="Times New Roman"/>
                <w:sz w:val="24"/>
              </w:rPr>
              <w:t xml:space="preserve"> du règlement (UE) nº 575/2013.</w:t>
            </w:r>
          </w:p>
        </w:tc>
      </w:tr>
      <w:tr w:rsidR="00680687" w:rsidRPr="002A677E" w14:paraId="728092B0" w14:textId="77777777" w:rsidTr="006A3ADC">
        <w:tc>
          <w:tcPr>
            <w:tcW w:w="1172" w:type="dxa"/>
          </w:tcPr>
          <w:p w14:paraId="06AAAC3A" w14:textId="77777777" w:rsidR="00680687" w:rsidRPr="002A677E" w:rsidDel="00024DEA" w:rsidRDefault="00680687" w:rsidP="006A3ADC">
            <w:pPr>
              <w:rPr>
                <w:rFonts w:ascii="Times New Roman" w:hAnsi="Times New Roman"/>
                <w:sz w:val="24"/>
              </w:rPr>
            </w:pPr>
            <w:r>
              <w:rPr>
                <w:rFonts w:ascii="Times New Roman" w:hAnsi="Times New Roman"/>
                <w:sz w:val="24"/>
              </w:rPr>
              <w:t>0160-0170</w:t>
            </w:r>
          </w:p>
        </w:tc>
        <w:tc>
          <w:tcPr>
            <w:tcW w:w="7844" w:type="dxa"/>
          </w:tcPr>
          <w:p w14:paraId="5C9DEA36" w14:textId="77777777" w:rsidR="00680687" w:rsidRDefault="00680687" w:rsidP="006A3ADC">
            <w:pPr>
              <w:rPr>
                <w:rFonts w:ascii="Times New Roman" w:hAnsi="Times New Roman"/>
                <w:b/>
                <w:sz w:val="24"/>
                <w:u w:val="single"/>
              </w:rPr>
            </w:pPr>
            <w:r>
              <w:rPr>
                <w:rFonts w:ascii="Times New Roman" w:hAnsi="Times New Roman"/>
                <w:b/>
                <w:sz w:val="24"/>
                <w:u w:val="single"/>
              </w:rPr>
              <w:t>Exigences de fonds propres pour risque de change</w:t>
            </w:r>
          </w:p>
          <w:p w14:paraId="312EFBD9" w14:textId="6EA3814A" w:rsidR="00680687" w:rsidRPr="002A677E" w:rsidDel="00024DEA" w:rsidRDefault="00680687" w:rsidP="006A3ADC">
            <w:pPr>
              <w:rPr>
                <w:rFonts w:ascii="Times New Roman" w:hAnsi="Times New Roman"/>
                <w:b/>
                <w:sz w:val="24"/>
                <w:u w:val="single"/>
              </w:rPr>
            </w:pPr>
            <w:r>
              <w:rPr>
                <w:rFonts w:ascii="Times New Roman" w:hAnsi="Times New Roman"/>
                <w:sz w:val="24"/>
              </w:rPr>
              <w:t>Articles 383 </w:t>
            </w:r>
            <w:r>
              <w:rPr>
                <w:rFonts w:ascii="Times New Roman" w:hAnsi="Times New Roman"/>
                <w:i/>
                <w:iCs/>
                <w:sz w:val="24"/>
              </w:rPr>
              <w:t>quinquies</w:t>
            </w:r>
            <w:r>
              <w:rPr>
                <w:rFonts w:ascii="Times New Roman" w:hAnsi="Times New Roman"/>
                <w:sz w:val="24"/>
              </w:rPr>
              <w:t>, 383 </w:t>
            </w:r>
            <w:r>
              <w:rPr>
                <w:rFonts w:ascii="Times New Roman" w:hAnsi="Times New Roman"/>
                <w:i/>
                <w:iCs/>
                <w:sz w:val="24"/>
              </w:rPr>
              <w:t>decies</w:t>
            </w:r>
            <w:r>
              <w:rPr>
                <w:rFonts w:ascii="Times New Roman" w:hAnsi="Times New Roman"/>
                <w:sz w:val="24"/>
              </w:rPr>
              <w:t>, 383 </w:t>
            </w:r>
            <w:r>
              <w:rPr>
                <w:rFonts w:ascii="Times New Roman" w:hAnsi="Times New Roman"/>
                <w:i/>
                <w:iCs/>
                <w:sz w:val="24"/>
              </w:rPr>
              <w:t>undecies</w:t>
            </w:r>
            <w:r>
              <w:rPr>
                <w:rFonts w:ascii="Times New Roman" w:hAnsi="Times New Roman"/>
                <w:sz w:val="24"/>
              </w:rPr>
              <w:t>, 383 </w:t>
            </w:r>
            <w:r>
              <w:rPr>
                <w:rFonts w:ascii="Times New Roman" w:hAnsi="Times New Roman"/>
                <w:i/>
                <w:iCs/>
                <w:sz w:val="24"/>
              </w:rPr>
              <w:t>quindecies</w:t>
            </w:r>
            <w:r>
              <w:rPr>
                <w:rFonts w:ascii="Times New Roman" w:hAnsi="Times New Roman"/>
                <w:sz w:val="24"/>
              </w:rPr>
              <w:t xml:space="preserve"> et 383 </w:t>
            </w:r>
            <w:r>
              <w:rPr>
                <w:rFonts w:ascii="Times New Roman" w:hAnsi="Times New Roman"/>
                <w:i/>
                <w:iCs/>
                <w:sz w:val="24"/>
              </w:rPr>
              <w:t>sexdecies</w:t>
            </w:r>
            <w:r>
              <w:rPr>
                <w:rFonts w:ascii="Times New Roman" w:hAnsi="Times New Roman"/>
                <w:sz w:val="24"/>
              </w:rPr>
              <w:t xml:space="preserve"> du règlement (UE) nº 575/2013.</w:t>
            </w:r>
          </w:p>
        </w:tc>
      </w:tr>
      <w:tr w:rsidR="00680687" w:rsidRPr="002A677E" w14:paraId="2A26F3BC" w14:textId="77777777" w:rsidTr="006A3ADC">
        <w:tc>
          <w:tcPr>
            <w:tcW w:w="1172" w:type="dxa"/>
          </w:tcPr>
          <w:p w14:paraId="4988687E" w14:textId="77777777" w:rsidR="00680687" w:rsidRPr="002A677E" w:rsidDel="00024DEA" w:rsidRDefault="00680687" w:rsidP="006A3ADC">
            <w:pPr>
              <w:rPr>
                <w:rFonts w:ascii="Times New Roman" w:hAnsi="Times New Roman"/>
                <w:sz w:val="24"/>
              </w:rPr>
            </w:pPr>
            <w:r>
              <w:rPr>
                <w:rFonts w:ascii="Times New Roman" w:hAnsi="Times New Roman"/>
                <w:sz w:val="24"/>
              </w:rPr>
              <w:t>0180-0190</w:t>
            </w:r>
          </w:p>
        </w:tc>
        <w:tc>
          <w:tcPr>
            <w:tcW w:w="7844" w:type="dxa"/>
          </w:tcPr>
          <w:p w14:paraId="111D7BAC" w14:textId="77777777" w:rsidR="00680687" w:rsidRDefault="00680687" w:rsidP="006A3ADC">
            <w:pPr>
              <w:rPr>
                <w:rFonts w:ascii="Times New Roman" w:hAnsi="Times New Roman"/>
                <w:b/>
                <w:sz w:val="24"/>
                <w:u w:val="single"/>
              </w:rPr>
            </w:pPr>
            <w:r>
              <w:rPr>
                <w:rFonts w:ascii="Times New Roman" w:hAnsi="Times New Roman"/>
                <w:b/>
                <w:sz w:val="24"/>
                <w:u w:val="single"/>
              </w:rPr>
              <w:t>Exigences de fonds propres pour risque d’écart de crédit de la contrepartie</w:t>
            </w:r>
          </w:p>
          <w:p w14:paraId="331E3D6B" w14:textId="1A5FCDC3" w:rsidR="00680687" w:rsidRPr="002A677E" w:rsidDel="00024DEA" w:rsidRDefault="00680687" w:rsidP="006A3ADC">
            <w:pPr>
              <w:rPr>
                <w:rFonts w:ascii="Times New Roman" w:hAnsi="Times New Roman"/>
                <w:b/>
                <w:sz w:val="24"/>
                <w:u w:val="single"/>
              </w:rPr>
            </w:pPr>
            <w:r>
              <w:rPr>
                <w:rFonts w:ascii="Times New Roman" w:hAnsi="Times New Roman"/>
                <w:sz w:val="24"/>
              </w:rPr>
              <w:t>Articles 383 </w:t>
            </w:r>
            <w:r>
              <w:rPr>
                <w:rFonts w:ascii="Times New Roman" w:hAnsi="Times New Roman"/>
                <w:i/>
                <w:iCs/>
                <w:sz w:val="24"/>
              </w:rPr>
              <w:t>sexies</w:t>
            </w:r>
            <w:r>
              <w:rPr>
                <w:rFonts w:ascii="Times New Roman" w:hAnsi="Times New Roman"/>
                <w:sz w:val="24"/>
              </w:rPr>
              <w:t>, 383 </w:t>
            </w:r>
            <w:r>
              <w:rPr>
                <w:rFonts w:ascii="Times New Roman" w:hAnsi="Times New Roman"/>
                <w:i/>
                <w:iCs/>
                <w:sz w:val="24"/>
              </w:rPr>
              <w:t>decies</w:t>
            </w:r>
            <w:r>
              <w:rPr>
                <w:rFonts w:ascii="Times New Roman" w:hAnsi="Times New Roman"/>
                <w:sz w:val="24"/>
              </w:rPr>
              <w:t>, 383 </w:t>
            </w:r>
            <w:r>
              <w:rPr>
                <w:rFonts w:ascii="Times New Roman" w:hAnsi="Times New Roman"/>
                <w:i/>
                <w:iCs/>
                <w:sz w:val="24"/>
              </w:rPr>
              <w:t>undecies</w:t>
            </w:r>
            <w:r>
              <w:rPr>
                <w:rFonts w:ascii="Times New Roman" w:hAnsi="Times New Roman"/>
                <w:sz w:val="24"/>
              </w:rPr>
              <w:t>, 383 </w:t>
            </w:r>
            <w:r>
              <w:rPr>
                <w:rFonts w:ascii="Times New Roman" w:hAnsi="Times New Roman"/>
                <w:i/>
                <w:iCs/>
                <w:sz w:val="24"/>
              </w:rPr>
              <w:t>septdecies</w:t>
            </w:r>
            <w:r>
              <w:rPr>
                <w:rFonts w:ascii="Times New Roman" w:hAnsi="Times New Roman"/>
                <w:sz w:val="24"/>
              </w:rPr>
              <w:t>, 383 </w:t>
            </w:r>
            <w:r>
              <w:rPr>
                <w:rFonts w:ascii="Times New Roman" w:hAnsi="Times New Roman"/>
                <w:i/>
                <w:iCs/>
                <w:sz w:val="24"/>
              </w:rPr>
              <w:t>octodecies</w:t>
            </w:r>
            <w:r>
              <w:rPr>
                <w:rFonts w:ascii="Times New Roman" w:hAnsi="Times New Roman"/>
                <w:sz w:val="24"/>
              </w:rPr>
              <w:t xml:space="preserve"> et 383 </w:t>
            </w:r>
            <w:r>
              <w:rPr>
                <w:rFonts w:ascii="Times New Roman" w:hAnsi="Times New Roman"/>
                <w:i/>
                <w:iCs/>
                <w:sz w:val="24"/>
              </w:rPr>
              <w:t>novodecies</w:t>
            </w:r>
            <w:r>
              <w:rPr>
                <w:rFonts w:ascii="Times New Roman" w:hAnsi="Times New Roman"/>
                <w:sz w:val="24"/>
              </w:rPr>
              <w:t xml:space="preserve"> du règlement (UE) nº 575/2013.</w:t>
            </w:r>
          </w:p>
        </w:tc>
      </w:tr>
      <w:tr w:rsidR="00680687" w:rsidRPr="002A677E" w14:paraId="589DE234" w14:textId="77777777" w:rsidTr="006A3ADC">
        <w:tc>
          <w:tcPr>
            <w:tcW w:w="1172" w:type="dxa"/>
          </w:tcPr>
          <w:p w14:paraId="3361402D" w14:textId="77777777" w:rsidR="00680687" w:rsidRPr="002A677E" w:rsidDel="00024DEA" w:rsidRDefault="00680687" w:rsidP="006A3ADC">
            <w:pPr>
              <w:rPr>
                <w:rFonts w:ascii="Times New Roman" w:hAnsi="Times New Roman"/>
                <w:sz w:val="24"/>
              </w:rPr>
            </w:pPr>
            <w:r>
              <w:rPr>
                <w:rFonts w:ascii="Times New Roman" w:hAnsi="Times New Roman"/>
                <w:sz w:val="24"/>
              </w:rPr>
              <w:t>0200-0210</w:t>
            </w:r>
          </w:p>
        </w:tc>
        <w:tc>
          <w:tcPr>
            <w:tcW w:w="7844" w:type="dxa"/>
          </w:tcPr>
          <w:p w14:paraId="34E7BFC3" w14:textId="77777777" w:rsidR="00680687" w:rsidRDefault="00680687" w:rsidP="006A3ADC">
            <w:pPr>
              <w:rPr>
                <w:rFonts w:ascii="Times New Roman" w:hAnsi="Times New Roman"/>
                <w:b/>
                <w:sz w:val="24"/>
                <w:u w:val="single"/>
              </w:rPr>
            </w:pPr>
            <w:r>
              <w:rPr>
                <w:rFonts w:ascii="Times New Roman" w:hAnsi="Times New Roman"/>
                <w:b/>
                <w:sz w:val="24"/>
                <w:u w:val="single"/>
              </w:rPr>
              <w:t>Exigences de fonds propres pour risque d’écart de crédit de référence</w:t>
            </w:r>
          </w:p>
          <w:p w14:paraId="39B46545" w14:textId="148AEA7F" w:rsidR="00680687" w:rsidRPr="002A677E" w:rsidDel="00024DEA" w:rsidRDefault="00680687" w:rsidP="006A3ADC">
            <w:pPr>
              <w:rPr>
                <w:rFonts w:ascii="Times New Roman" w:hAnsi="Times New Roman"/>
                <w:b/>
                <w:sz w:val="24"/>
                <w:u w:val="single"/>
              </w:rPr>
            </w:pPr>
            <w:r>
              <w:rPr>
                <w:rFonts w:ascii="Times New Roman" w:hAnsi="Times New Roman"/>
                <w:sz w:val="24"/>
              </w:rPr>
              <w:t>Articles 383 </w:t>
            </w:r>
            <w:r>
              <w:rPr>
                <w:rFonts w:ascii="Times New Roman" w:hAnsi="Times New Roman"/>
                <w:i/>
                <w:iCs/>
                <w:sz w:val="24"/>
              </w:rPr>
              <w:t>septies</w:t>
            </w:r>
            <w:r>
              <w:rPr>
                <w:rFonts w:ascii="Times New Roman" w:hAnsi="Times New Roman"/>
                <w:sz w:val="24"/>
              </w:rPr>
              <w:t>, 383 </w:t>
            </w:r>
            <w:r>
              <w:rPr>
                <w:rFonts w:ascii="Times New Roman" w:hAnsi="Times New Roman"/>
                <w:i/>
                <w:iCs/>
                <w:sz w:val="24"/>
              </w:rPr>
              <w:t>decies</w:t>
            </w:r>
            <w:r>
              <w:rPr>
                <w:rFonts w:ascii="Times New Roman" w:hAnsi="Times New Roman"/>
                <w:sz w:val="24"/>
              </w:rPr>
              <w:t>, 383 </w:t>
            </w:r>
            <w:r>
              <w:rPr>
                <w:rFonts w:ascii="Times New Roman" w:hAnsi="Times New Roman"/>
                <w:i/>
                <w:iCs/>
                <w:sz w:val="24"/>
              </w:rPr>
              <w:t>undecies</w:t>
            </w:r>
            <w:r>
              <w:rPr>
                <w:rFonts w:ascii="Times New Roman" w:hAnsi="Times New Roman"/>
                <w:sz w:val="24"/>
              </w:rPr>
              <w:t>, 383 </w:t>
            </w:r>
            <w:r>
              <w:rPr>
                <w:rFonts w:ascii="Times New Roman" w:hAnsi="Times New Roman"/>
                <w:i/>
                <w:iCs/>
                <w:sz w:val="24"/>
              </w:rPr>
              <w:t>vicies</w:t>
            </w:r>
            <w:r>
              <w:rPr>
                <w:rFonts w:ascii="Times New Roman" w:hAnsi="Times New Roman"/>
                <w:sz w:val="24"/>
              </w:rPr>
              <w:t xml:space="preserve"> et 383 </w:t>
            </w:r>
            <w:r>
              <w:rPr>
                <w:rFonts w:ascii="Times New Roman" w:hAnsi="Times New Roman"/>
                <w:i/>
                <w:iCs/>
                <w:sz w:val="24"/>
              </w:rPr>
              <w:t>duovicies</w:t>
            </w:r>
            <w:r>
              <w:rPr>
                <w:rFonts w:ascii="Times New Roman" w:hAnsi="Times New Roman"/>
                <w:sz w:val="24"/>
              </w:rPr>
              <w:t xml:space="preserve"> du règlement (UE) nº 575/2013.</w:t>
            </w:r>
          </w:p>
        </w:tc>
      </w:tr>
      <w:tr w:rsidR="00680687" w:rsidRPr="002A677E" w14:paraId="0AA17295" w14:textId="77777777" w:rsidTr="006A3ADC">
        <w:tc>
          <w:tcPr>
            <w:tcW w:w="1172" w:type="dxa"/>
          </w:tcPr>
          <w:p w14:paraId="3BFBD270" w14:textId="77777777" w:rsidR="00680687" w:rsidRDefault="00680687" w:rsidP="006A3ADC">
            <w:pPr>
              <w:rPr>
                <w:rFonts w:ascii="Times New Roman" w:hAnsi="Times New Roman"/>
                <w:sz w:val="24"/>
              </w:rPr>
            </w:pPr>
            <w:r>
              <w:rPr>
                <w:rFonts w:ascii="Times New Roman" w:hAnsi="Times New Roman"/>
                <w:sz w:val="24"/>
              </w:rPr>
              <w:t>0220-0230</w:t>
            </w:r>
          </w:p>
        </w:tc>
        <w:tc>
          <w:tcPr>
            <w:tcW w:w="7844" w:type="dxa"/>
          </w:tcPr>
          <w:p w14:paraId="46C4DB98" w14:textId="77777777" w:rsidR="00680687" w:rsidRDefault="00680687" w:rsidP="006A3ADC">
            <w:pPr>
              <w:rPr>
                <w:rFonts w:ascii="Times New Roman" w:hAnsi="Times New Roman"/>
                <w:b/>
                <w:sz w:val="24"/>
                <w:u w:val="single"/>
              </w:rPr>
            </w:pPr>
            <w:r>
              <w:rPr>
                <w:rFonts w:ascii="Times New Roman" w:hAnsi="Times New Roman"/>
                <w:b/>
                <w:sz w:val="24"/>
                <w:u w:val="single"/>
              </w:rPr>
              <w:t>Exigences de fonds propres pour risque sur actions</w:t>
            </w:r>
          </w:p>
          <w:p w14:paraId="092925F2" w14:textId="74EFD749" w:rsidR="00680687" w:rsidRPr="00460424" w:rsidRDefault="00680687" w:rsidP="006A3ADC">
            <w:pPr>
              <w:rPr>
                <w:rFonts w:ascii="Times New Roman" w:hAnsi="Times New Roman"/>
                <w:b/>
                <w:sz w:val="24"/>
                <w:u w:val="single"/>
              </w:rPr>
            </w:pPr>
            <w:r>
              <w:rPr>
                <w:rFonts w:ascii="Times New Roman" w:hAnsi="Times New Roman"/>
                <w:sz w:val="24"/>
              </w:rPr>
              <w:t>Articles 383 </w:t>
            </w:r>
            <w:r>
              <w:rPr>
                <w:rFonts w:ascii="Times New Roman" w:hAnsi="Times New Roman"/>
                <w:i/>
                <w:iCs/>
                <w:sz w:val="24"/>
              </w:rPr>
              <w:t>octies</w:t>
            </w:r>
            <w:r>
              <w:rPr>
                <w:rFonts w:ascii="Times New Roman" w:hAnsi="Times New Roman"/>
                <w:sz w:val="24"/>
              </w:rPr>
              <w:t>, 383 </w:t>
            </w:r>
            <w:r>
              <w:rPr>
                <w:rFonts w:ascii="Times New Roman" w:hAnsi="Times New Roman"/>
                <w:i/>
                <w:iCs/>
                <w:sz w:val="24"/>
              </w:rPr>
              <w:t>decies</w:t>
            </w:r>
            <w:r>
              <w:rPr>
                <w:rFonts w:ascii="Times New Roman" w:hAnsi="Times New Roman"/>
                <w:sz w:val="24"/>
              </w:rPr>
              <w:t>, 383 </w:t>
            </w:r>
            <w:r>
              <w:rPr>
                <w:rFonts w:ascii="Times New Roman" w:hAnsi="Times New Roman"/>
                <w:i/>
                <w:iCs/>
                <w:sz w:val="24"/>
              </w:rPr>
              <w:t>undecies</w:t>
            </w:r>
            <w:r>
              <w:rPr>
                <w:rFonts w:ascii="Times New Roman" w:hAnsi="Times New Roman"/>
                <w:sz w:val="24"/>
              </w:rPr>
              <w:t>, 383 </w:t>
            </w:r>
            <w:r>
              <w:rPr>
                <w:rFonts w:ascii="Times New Roman" w:hAnsi="Times New Roman"/>
                <w:i/>
                <w:iCs/>
                <w:sz w:val="24"/>
              </w:rPr>
              <w:t>tervicies</w:t>
            </w:r>
            <w:r>
              <w:rPr>
                <w:rFonts w:ascii="Times New Roman" w:hAnsi="Times New Roman"/>
                <w:sz w:val="24"/>
              </w:rPr>
              <w:t xml:space="preserve"> et 383 </w:t>
            </w:r>
            <w:r>
              <w:rPr>
                <w:rFonts w:ascii="Times New Roman" w:hAnsi="Times New Roman"/>
                <w:i/>
                <w:iCs/>
                <w:sz w:val="24"/>
              </w:rPr>
              <w:t>quatervicies</w:t>
            </w:r>
            <w:r>
              <w:rPr>
                <w:rFonts w:ascii="Times New Roman" w:hAnsi="Times New Roman"/>
                <w:sz w:val="24"/>
              </w:rPr>
              <w:t xml:space="preserve"> du règlement (UE) nº 575/2013.</w:t>
            </w:r>
          </w:p>
        </w:tc>
      </w:tr>
      <w:tr w:rsidR="00680687" w:rsidRPr="002A677E" w14:paraId="63100E64" w14:textId="77777777" w:rsidTr="006A3ADC">
        <w:tc>
          <w:tcPr>
            <w:tcW w:w="1172" w:type="dxa"/>
          </w:tcPr>
          <w:p w14:paraId="6EB58469" w14:textId="77777777" w:rsidR="00680687" w:rsidRPr="002A677E" w:rsidDel="00024DEA" w:rsidRDefault="00680687" w:rsidP="006A3ADC">
            <w:pPr>
              <w:rPr>
                <w:rFonts w:ascii="Times New Roman" w:hAnsi="Times New Roman"/>
                <w:sz w:val="24"/>
              </w:rPr>
            </w:pPr>
            <w:r>
              <w:rPr>
                <w:rFonts w:ascii="Times New Roman" w:hAnsi="Times New Roman"/>
                <w:sz w:val="24"/>
              </w:rPr>
              <w:t>0240-0250</w:t>
            </w:r>
          </w:p>
        </w:tc>
        <w:tc>
          <w:tcPr>
            <w:tcW w:w="7844" w:type="dxa"/>
          </w:tcPr>
          <w:p w14:paraId="44A59885" w14:textId="77777777" w:rsidR="00680687" w:rsidRDefault="00680687" w:rsidP="006A3ADC">
            <w:pPr>
              <w:rPr>
                <w:rFonts w:ascii="Times New Roman" w:hAnsi="Times New Roman"/>
                <w:b/>
                <w:sz w:val="24"/>
                <w:u w:val="single"/>
              </w:rPr>
            </w:pPr>
            <w:r>
              <w:rPr>
                <w:rFonts w:ascii="Times New Roman" w:hAnsi="Times New Roman"/>
                <w:b/>
                <w:sz w:val="24"/>
                <w:u w:val="single"/>
              </w:rPr>
              <w:t>Exigences de fonds propres pour risque sur matières premières</w:t>
            </w:r>
          </w:p>
          <w:p w14:paraId="1FD90135" w14:textId="4A1B5A40" w:rsidR="00680687" w:rsidRPr="002A677E" w:rsidDel="00024DEA" w:rsidRDefault="00680687" w:rsidP="006A3ADC">
            <w:pPr>
              <w:rPr>
                <w:rFonts w:ascii="Times New Roman" w:hAnsi="Times New Roman"/>
                <w:b/>
                <w:sz w:val="24"/>
                <w:u w:val="single"/>
              </w:rPr>
            </w:pPr>
            <w:r>
              <w:rPr>
                <w:rFonts w:ascii="Times New Roman" w:hAnsi="Times New Roman"/>
                <w:sz w:val="24"/>
              </w:rPr>
              <w:t>Articles 383 </w:t>
            </w:r>
            <w:r>
              <w:rPr>
                <w:rFonts w:ascii="Times New Roman" w:hAnsi="Times New Roman"/>
                <w:i/>
                <w:iCs/>
                <w:sz w:val="24"/>
              </w:rPr>
              <w:t>nonies</w:t>
            </w:r>
            <w:r>
              <w:rPr>
                <w:rFonts w:ascii="Times New Roman" w:hAnsi="Times New Roman"/>
                <w:sz w:val="24"/>
              </w:rPr>
              <w:t>, 383 </w:t>
            </w:r>
            <w:r>
              <w:rPr>
                <w:rFonts w:ascii="Times New Roman" w:hAnsi="Times New Roman"/>
                <w:i/>
                <w:iCs/>
                <w:sz w:val="24"/>
              </w:rPr>
              <w:t>decies</w:t>
            </w:r>
            <w:r>
              <w:rPr>
                <w:rFonts w:ascii="Times New Roman" w:hAnsi="Times New Roman"/>
                <w:sz w:val="24"/>
              </w:rPr>
              <w:t>, 383 </w:t>
            </w:r>
            <w:r>
              <w:rPr>
                <w:rFonts w:ascii="Times New Roman" w:hAnsi="Times New Roman"/>
                <w:i/>
                <w:iCs/>
                <w:sz w:val="24"/>
              </w:rPr>
              <w:t>undecies</w:t>
            </w:r>
            <w:r>
              <w:rPr>
                <w:rFonts w:ascii="Times New Roman" w:hAnsi="Times New Roman"/>
                <w:sz w:val="24"/>
              </w:rPr>
              <w:t>, 383 </w:t>
            </w:r>
            <w:r>
              <w:rPr>
                <w:rFonts w:ascii="Times New Roman" w:hAnsi="Times New Roman"/>
                <w:i/>
                <w:iCs/>
                <w:sz w:val="24"/>
              </w:rPr>
              <w:t>quinvicies</w:t>
            </w:r>
            <w:r>
              <w:rPr>
                <w:rFonts w:ascii="Times New Roman" w:hAnsi="Times New Roman"/>
                <w:sz w:val="24"/>
              </w:rPr>
              <w:t xml:space="preserve"> et 383 </w:t>
            </w:r>
            <w:r>
              <w:rPr>
                <w:rFonts w:ascii="Times New Roman" w:hAnsi="Times New Roman"/>
                <w:i/>
                <w:iCs/>
                <w:sz w:val="24"/>
              </w:rPr>
              <w:t>septvicies</w:t>
            </w:r>
            <w:r>
              <w:rPr>
                <w:rFonts w:ascii="Times New Roman" w:hAnsi="Times New Roman"/>
                <w:sz w:val="24"/>
              </w:rPr>
              <w:t xml:space="preserve"> du règlement (UE) nº 575/2013.</w:t>
            </w:r>
          </w:p>
        </w:tc>
      </w:tr>
      <w:tr w:rsidR="00680687" w:rsidRPr="002A677E" w14:paraId="6E2BE277" w14:textId="77777777" w:rsidTr="006A3ADC">
        <w:tc>
          <w:tcPr>
            <w:tcW w:w="1172" w:type="dxa"/>
          </w:tcPr>
          <w:p w14:paraId="7A04FEBF" w14:textId="77777777" w:rsidR="00680687" w:rsidRPr="002A677E" w:rsidDel="00024DEA" w:rsidRDefault="00680687" w:rsidP="006A3ADC">
            <w:pPr>
              <w:rPr>
                <w:rFonts w:ascii="Times New Roman" w:hAnsi="Times New Roman"/>
                <w:sz w:val="24"/>
              </w:rPr>
            </w:pPr>
            <w:r>
              <w:rPr>
                <w:rFonts w:ascii="Times New Roman" w:hAnsi="Times New Roman"/>
                <w:sz w:val="24"/>
              </w:rPr>
              <w:t>0260</w:t>
            </w:r>
          </w:p>
        </w:tc>
        <w:tc>
          <w:tcPr>
            <w:tcW w:w="7844" w:type="dxa"/>
          </w:tcPr>
          <w:p w14:paraId="2CADDF39" w14:textId="77777777" w:rsidR="00680687" w:rsidRPr="00D143CE" w:rsidRDefault="00680687" w:rsidP="006A3ADC">
            <w:pPr>
              <w:rPr>
                <w:rFonts w:ascii="Times New Roman" w:hAnsi="Times New Roman"/>
                <w:b/>
                <w:sz w:val="24"/>
                <w:u w:val="single"/>
              </w:rPr>
            </w:pPr>
            <w:r>
              <w:rPr>
                <w:rFonts w:ascii="Times New Roman" w:hAnsi="Times New Roman"/>
                <w:b/>
                <w:i/>
                <w:sz w:val="24"/>
                <w:u w:val="single"/>
                <w:vertAlign w:val="superscript"/>
              </w:rPr>
              <w:t>m</w:t>
            </w:r>
            <w:r>
              <w:rPr>
                <w:rFonts w:ascii="Times New Roman" w:hAnsi="Times New Roman"/>
                <w:b/>
                <w:sz w:val="24"/>
                <w:u w:val="single"/>
              </w:rPr>
              <w:t>CVA</w:t>
            </w:r>
          </w:p>
          <w:p w14:paraId="25594EA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Valeur du facteur de multiplication </w:t>
            </w:r>
            <w:r>
              <w:rPr>
                <w:rFonts w:ascii="Times New Roman" w:hAnsi="Times New Roman"/>
                <w:i/>
                <w:iCs/>
                <w:sz w:val="24"/>
                <w:vertAlign w:val="superscript"/>
              </w:rPr>
              <w:t>m</w:t>
            </w:r>
            <w:r>
              <w:rPr>
                <w:rFonts w:ascii="Times New Roman" w:hAnsi="Times New Roman"/>
                <w:i/>
                <w:iCs/>
                <w:sz w:val="24"/>
              </w:rPr>
              <w:t>CVA</w:t>
            </w:r>
            <w:r>
              <w:rPr>
                <w:rFonts w:ascii="Times New Roman" w:hAnsi="Times New Roman"/>
                <w:sz w:val="24"/>
              </w:rPr>
              <w:t xml:space="preserve"> conformément à l’article 383 </w:t>
            </w:r>
            <w:r>
              <w:rPr>
                <w:rFonts w:ascii="Times New Roman" w:hAnsi="Times New Roman"/>
                <w:i/>
                <w:iCs/>
                <w:sz w:val="24"/>
              </w:rPr>
              <w:t>ter</w:t>
            </w:r>
            <w:r>
              <w:rPr>
                <w:rFonts w:ascii="Times New Roman" w:hAnsi="Times New Roman"/>
                <w:sz w:val="24"/>
              </w:rPr>
              <w:t xml:space="preserve">, paragraphe 8, du règlement (UE) nº 575/2013. Valeur utilisée pour calculer les </w:t>
            </w:r>
            <w:r>
              <w:rPr>
                <w:rFonts w:ascii="Times New Roman" w:hAnsi="Times New Roman"/>
                <w:sz w:val="24"/>
              </w:rPr>
              <w:lastRenderedPageBreak/>
              <w:t>exigences de fonds propres (valeur égale à 1 ou valeur augmentée par les autorités compétentes).</w:t>
            </w:r>
          </w:p>
        </w:tc>
      </w:tr>
      <w:tr w:rsidR="00680687" w:rsidRPr="002A677E" w14:paraId="0FFB4692" w14:textId="77777777" w:rsidTr="006A3ADC">
        <w:tc>
          <w:tcPr>
            <w:tcW w:w="1172" w:type="dxa"/>
          </w:tcPr>
          <w:p w14:paraId="249BE219"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0270</w:t>
            </w:r>
          </w:p>
        </w:tc>
        <w:tc>
          <w:tcPr>
            <w:tcW w:w="7844" w:type="dxa"/>
          </w:tcPr>
          <w:p w14:paraId="0B3D9E18" w14:textId="77777777" w:rsidR="00680687" w:rsidRDefault="00680687" w:rsidP="006A3ADC">
            <w:pPr>
              <w:rPr>
                <w:rFonts w:ascii="Times New Roman" w:hAnsi="Times New Roman"/>
                <w:b/>
                <w:bCs/>
                <w:sz w:val="24"/>
                <w:u w:val="single"/>
              </w:rPr>
            </w:pPr>
            <w:r>
              <w:rPr>
                <w:rFonts w:ascii="Times New Roman" w:hAnsi="Times New Roman"/>
                <w:b/>
                <w:sz w:val="24"/>
                <w:u w:val="single"/>
              </w:rPr>
              <w:t>Exigences de fonds propres</w:t>
            </w:r>
          </w:p>
          <w:p w14:paraId="55E6BD5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Exigences de fonds propres pour les opérations soumises à l'approche SA-CVA calculées conformément à l’article 383 du règlement (UE) nº 575/2013.</w:t>
            </w:r>
          </w:p>
        </w:tc>
      </w:tr>
      <w:tr w:rsidR="00680687" w:rsidRPr="002A677E" w14:paraId="0F30E639" w14:textId="77777777" w:rsidTr="006A3ADC">
        <w:tc>
          <w:tcPr>
            <w:tcW w:w="1172" w:type="dxa"/>
          </w:tcPr>
          <w:p w14:paraId="35CF01D7" w14:textId="77777777" w:rsidR="00680687" w:rsidRPr="002A677E" w:rsidDel="00024DEA" w:rsidRDefault="00680687" w:rsidP="006A3ADC">
            <w:pPr>
              <w:rPr>
                <w:rFonts w:ascii="Times New Roman" w:hAnsi="Times New Roman"/>
                <w:sz w:val="24"/>
              </w:rPr>
            </w:pPr>
            <w:r>
              <w:rPr>
                <w:rFonts w:ascii="Times New Roman" w:hAnsi="Times New Roman"/>
                <w:sz w:val="24"/>
              </w:rPr>
              <w:t>0280</w:t>
            </w:r>
          </w:p>
        </w:tc>
        <w:tc>
          <w:tcPr>
            <w:tcW w:w="7844" w:type="dxa"/>
          </w:tcPr>
          <w:p w14:paraId="618674CA" w14:textId="77777777" w:rsidR="00680687" w:rsidRDefault="00680687" w:rsidP="006A3ADC">
            <w:pPr>
              <w:rPr>
                <w:rFonts w:ascii="Times New Roman" w:hAnsi="Times New Roman"/>
                <w:b/>
                <w:bCs/>
                <w:sz w:val="24"/>
                <w:u w:val="single"/>
              </w:rPr>
            </w:pPr>
            <w:r>
              <w:rPr>
                <w:rFonts w:ascii="Times New Roman" w:hAnsi="Times New Roman"/>
                <w:b/>
                <w:sz w:val="24"/>
                <w:u w:val="single"/>
              </w:rPr>
              <w:t>TOTAL DES EXIGENCES DE FONDS PROPRES</w:t>
            </w:r>
          </w:p>
          <w:p w14:paraId="7E3B417F" w14:textId="1E5A905F" w:rsidR="00680687" w:rsidRPr="002A677E" w:rsidRDefault="00680687" w:rsidP="006A3ADC">
            <w:pPr>
              <w:rPr>
                <w:rFonts w:ascii="Times New Roman" w:hAnsi="Times New Roman"/>
                <w:sz w:val="24"/>
              </w:rPr>
            </w:pPr>
            <w:r>
              <w:rPr>
                <w:rFonts w:ascii="Times New Roman" w:hAnsi="Times New Roman"/>
                <w:sz w:val="24"/>
              </w:rPr>
              <w:t>Article 92, paragraphe 4, point e), du règlement (UE) nº 575/2013.</w:t>
            </w:r>
          </w:p>
          <w:p w14:paraId="424C965B" w14:textId="01711D4C" w:rsidR="00680687" w:rsidRPr="002A677E" w:rsidDel="00024DEA" w:rsidRDefault="00680687" w:rsidP="006A3ADC">
            <w:pPr>
              <w:rPr>
                <w:rFonts w:ascii="Times New Roman" w:hAnsi="Times New Roman"/>
                <w:b/>
                <w:sz w:val="24"/>
                <w:u w:val="single"/>
              </w:rPr>
            </w:pPr>
            <w:r>
              <w:rPr>
                <w:rFonts w:ascii="Times New Roman" w:hAnsi="Times New Roman"/>
                <w:sz w:val="24"/>
              </w:rPr>
              <w:t>Total des exigences de fonds propres pour risque de CVA calculées suivant l’une des approches applicables visées à l’article 382 </w:t>
            </w:r>
            <w:r>
              <w:rPr>
                <w:rFonts w:ascii="Times New Roman" w:hAnsi="Times New Roman"/>
                <w:i/>
                <w:iCs/>
                <w:sz w:val="24"/>
              </w:rPr>
              <w:t>bis</w:t>
            </w:r>
            <w:r>
              <w:rPr>
                <w:rFonts w:ascii="Times New Roman" w:hAnsi="Times New Roman"/>
                <w:sz w:val="24"/>
              </w:rPr>
              <w:t xml:space="preserve"> du règlement (UE) nº 575/2013. Si plusieurs approches sont suivies, indiquer la somme simple de toutes les exigences de fonds propres de chaque approche.</w:t>
            </w:r>
          </w:p>
        </w:tc>
      </w:tr>
      <w:tr w:rsidR="00680687" w:rsidRPr="002A677E" w14:paraId="460901D5" w14:textId="77777777" w:rsidTr="006A3ADC">
        <w:tc>
          <w:tcPr>
            <w:tcW w:w="1172" w:type="dxa"/>
          </w:tcPr>
          <w:p w14:paraId="61FCBEEB" w14:textId="77777777" w:rsidR="00680687" w:rsidRPr="002A677E" w:rsidDel="00024DEA" w:rsidRDefault="00680687" w:rsidP="006A3ADC">
            <w:pPr>
              <w:rPr>
                <w:rFonts w:ascii="Times New Roman" w:hAnsi="Times New Roman"/>
                <w:sz w:val="24"/>
              </w:rPr>
            </w:pPr>
            <w:r>
              <w:rPr>
                <w:rFonts w:ascii="Times New Roman" w:hAnsi="Times New Roman"/>
                <w:sz w:val="24"/>
              </w:rPr>
              <w:t>0290</w:t>
            </w:r>
          </w:p>
        </w:tc>
        <w:tc>
          <w:tcPr>
            <w:tcW w:w="7844" w:type="dxa"/>
          </w:tcPr>
          <w:p w14:paraId="38352FA3" w14:textId="77777777" w:rsidR="00680687" w:rsidRDefault="00680687" w:rsidP="006A3ADC">
            <w:pPr>
              <w:rPr>
                <w:rFonts w:ascii="Times New Roman" w:hAnsi="Times New Roman"/>
                <w:b/>
                <w:bCs/>
                <w:sz w:val="24"/>
                <w:u w:val="single"/>
              </w:rPr>
            </w:pPr>
            <w:r>
              <w:rPr>
                <w:rFonts w:ascii="Times New Roman" w:hAnsi="Times New Roman"/>
                <w:b/>
                <w:sz w:val="24"/>
                <w:u w:val="single"/>
              </w:rPr>
              <w:t>MONTANTS TOTAUX D'EXPOSITION AU RISQUE</w:t>
            </w:r>
          </w:p>
          <w:p w14:paraId="6B715A20" w14:textId="77777777" w:rsidR="00680687" w:rsidRPr="002A677E" w:rsidRDefault="00680687" w:rsidP="006A3ADC">
            <w:pPr>
              <w:rPr>
                <w:rFonts w:ascii="Times New Roman" w:hAnsi="Times New Roman"/>
                <w:sz w:val="24"/>
              </w:rPr>
            </w:pPr>
            <w:r>
              <w:rPr>
                <w:rFonts w:ascii="Times New Roman" w:hAnsi="Times New Roman"/>
                <w:sz w:val="24"/>
              </w:rPr>
              <w:t>Article 92, paragraphe 6, du règlement (UE) nº 575/2013.</w:t>
            </w:r>
          </w:p>
          <w:p w14:paraId="769B7CA0" w14:textId="77777777" w:rsidR="00680687" w:rsidRPr="005C217A" w:rsidDel="00024DEA" w:rsidRDefault="00680687" w:rsidP="006A3ADC">
            <w:pPr>
              <w:rPr>
                <w:rFonts w:ascii="Times New Roman" w:hAnsi="Times New Roman"/>
                <w:bCs/>
                <w:sz w:val="24"/>
              </w:rPr>
            </w:pPr>
            <w:r>
              <w:rPr>
                <w:rFonts w:ascii="Times New Roman" w:hAnsi="Times New Roman"/>
                <w:sz w:val="24"/>
              </w:rPr>
              <w:t>Exigences de fonds propres multipliées par 12,5.</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rFonts w:ascii="Times New Roman" w:hAnsi="Times New Roman"/>
                <w:b/>
                <w:sz w:val="24"/>
              </w:rPr>
            </w:pPr>
            <w:r>
              <w:rPr>
                <w:rFonts w:ascii="Times New Roman" w:hAnsi="Times New Roman"/>
                <w:b/>
                <w:sz w:val="24"/>
              </w:rPr>
              <w:t>Ligne</w:t>
            </w:r>
          </w:p>
        </w:tc>
      </w:tr>
      <w:tr w:rsidR="00680687" w:rsidRPr="002A677E" w14:paraId="7CF1BC60" w14:textId="77777777" w:rsidTr="006A3ADC">
        <w:tc>
          <w:tcPr>
            <w:tcW w:w="1172" w:type="dxa"/>
          </w:tcPr>
          <w:p w14:paraId="041DB542"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02BF5C47" w14:textId="77777777" w:rsidR="00680687" w:rsidRPr="00743542" w:rsidRDefault="00680687" w:rsidP="006A3ADC">
            <w:pPr>
              <w:rPr>
                <w:rFonts w:ascii="Times New Roman" w:hAnsi="Times New Roman"/>
                <w:b/>
                <w:bCs/>
                <w:sz w:val="24"/>
                <w:u w:val="single"/>
              </w:rPr>
            </w:pPr>
            <w:r>
              <w:rPr>
                <w:rFonts w:ascii="Times New Roman" w:hAnsi="Times New Roman"/>
                <w:b/>
                <w:sz w:val="24"/>
                <w:u w:val="single"/>
              </w:rPr>
              <w:t>Transactions entrant dans le champ de l’exigence de fonds propres pour risque de CVA</w:t>
            </w:r>
          </w:p>
          <w:p w14:paraId="0243C539" w14:textId="77777777" w:rsidR="00680687" w:rsidRPr="00DB28D1" w:rsidRDefault="00680687" w:rsidP="006A3ADC">
            <w:pPr>
              <w:rPr>
                <w:rFonts w:ascii="Times New Roman" w:hAnsi="Times New Roman"/>
                <w:sz w:val="24"/>
              </w:rPr>
            </w:pPr>
            <w:r>
              <w:rPr>
                <w:rFonts w:ascii="Times New Roman" w:hAnsi="Times New Roman"/>
                <w:sz w:val="24"/>
              </w:rPr>
              <w:t>Article 382 du règlement (UE) nº 575/2013.</w:t>
            </w:r>
          </w:p>
        </w:tc>
      </w:tr>
      <w:tr w:rsidR="00680687" w:rsidRPr="002A677E" w14:paraId="25F63C9E" w14:textId="77777777" w:rsidTr="006A3ADC">
        <w:tc>
          <w:tcPr>
            <w:tcW w:w="1172" w:type="dxa"/>
          </w:tcPr>
          <w:p w14:paraId="60D4A734"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91F63A9"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Dont: dérivés seuls</w:t>
            </w:r>
          </w:p>
          <w:p w14:paraId="243F2835" w14:textId="77777777" w:rsidR="00680687" w:rsidRPr="002A677E" w:rsidRDefault="00680687" w:rsidP="006A3ADC">
            <w:pPr>
              <w:rPr>
                <w:rFonts w:ascii="Times New Roman" w:hAnsi="Times New Roman"/>
                <w:sz w:val="24"/>
              </w:rPr>
            </w:pPr>
            <w:r>
              <w:rPr>
                <w:rFonts w:ascii="Times New Roman" w:hAnsi="Times New Roman"/>
                <w:sz w:val="24"/>
              </w:rPr>
              <w:t>Dérivés relevant de l’article 382 du règlement (UE) nº 575/2013 (c’est-à-dire toutes les opérations déclarées à la ligne 0010, à l’exclusion des opérations de financement sur titres).</w:t>
            </w:r>
          </w:p>
        </w:tc>
      </w:tr>
      <w:tr w:rsidR="00680687" w:rsidRPr="002A677E" w14:paraId="24634A77" w14:textId="77777777" w:rsidTr="006A3ADC">
        <w:tc>
          <w:tcPr>
            <w:tcW w:w="1172" w:type="dxa"/>
          </w:tcPr>
          <w:p w14:paraId="72803830"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BF86B85"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Dont:  opérations exemptées que les établissements choisissent de réintégrer dans le calcul des exigences de fonds propres</w:t>
            </w:r>
          </w:p>
          <w:p w14:paraId="44419E50" w14:textId="77777777" w:rsidR="00680687" w:rsidRPr="002A677E" w:rsidRDefault="00680687" w:rsidP="006A3ADC">
            <w:pPr>
              <w:rPr>
                <w:rFonts w:ascii="Times New Roman" w:hAnsi="Times New Roman"/>
                <w:sz w:val="24"/>
              </w:rPr>
            </w:pPr>
            <w:r>
              <w:rPr>
                <w:rFonts w:ascii="Times New Roman" w:hAnsi="Times New Roman"/>
                <w:sz w:val="24"/>
              </w:rPr>
              <w:t>Article 382, paragraphe 4 </w:t>
            </w:r>
            <w:r>
              <w:rPr>
                <w:rFonts w:ascii="Times New Roman" w:hAnsi="Times New Roman"/>
                <w:i/>
                <w:iCs/>
                <w:sz w:val="24"/>
              </w:rPr>
              <w:t>bis</w:t>
            </w:r>
            <w:r>
              <w:rPr>
                <w:rFonts w:ascii="Times New Roman" w:hAnsi="Times New Roman"/>
                <w:sz w:val="24"/>
              </w:rPr>
              <w:t>, du règlement (UE) nº 575/2013.</w:t>
            </w:r>
          </w:p>
        </w:tc>
      </w:tr>
      <w:tr w:rsidR="00680687" w:rsidRPr="002A677E" w14:paraId="2AF23E14" w14:textId="77777777" w:rsidTr="006A3ADC">
        <w:tc>
          <w:tcPr>
            <w:tcW w:w="1172" w:type="dxa"/>
          </w:tcPr>
          <w:p w14:paraId="102C842F" w14:textId="77777777" w:rsidR="00680687" w:rsidRPr="002A677E" w:rsidRDefault="00680687" w:rsidP="006A3ADC">
            <w:pPr>
              <w:rPr>
                <w:rFonts w:ascii="Times New Roman" w:hAnsi="Times New Roman"/>
                <w:sz w:val="24"/>
              </w:rPr>
            </w:pPr>
            <w:r>
              <w:rPr>
                <w:rFonts w:ascii="Times New Roman" w:hAnsi="Times New Roman"/>
                <w:sz w:val="24"/>
              </w:rPr>
              <w:t>0040-0220</w:t>
            </w:r>
          </w:p>
        </w:tc>
        <w:tc>
          <w:tcPr>
            <w:tcW w:w="7844" w:type="dxa"/>
          </w:tcPr>
          <w:p w14:paraId="16D7C775" w14:textId="77777777" w:rsidR="00680687" w:rsidRPr="006E1C89" w:rsidRDefault="00680687" w:rsidP="006A3ADC">
            <w:pPr>
              <w:rPr>
                <w:rFonts w:ascii="Times New Roman" w:hAnsi="Times New Roman"/>
                <w:b/>
                <w:bCs/>
                <w:caps/>
                <w:sz w:val="24"/>
                <w:u w:val="single"/>
              </w:rPr>
            </w:pPr>
            <w:r>
              <w:rPr>
                <w:rFonts w:ascii="Times New Roman" w:hAnsi="Times New Roman"/>
                <w:b/>
                <w:caps/>
                <w:sz w:val="24"/>
                <w:u w:val="single"/>
              </w:rPr>
              <w:t>POSTES POUR MÉMOIRE</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rFonts w:ascii="Times New Roman" w:hAnsi="Times New Roman"/>
                <w:sz w:val="24"/>
              </w:rPr>
            </w:pPr>
            <w:r>
              <w:rPr>
                <w:rFonts w:ascii="Times New Roman" w:hAnsi="Times New Roman"/>
                <w:sz w:val="24"/>
              </w:rPr>
              <w:t>0040-0110</w:t>
            </w:r>
          </w:p>
        </w:tc>
        <w:tc>
          <w:tcPr>
            <w:tcW w:w="7844" w:type="dxa"/>
          </w:tcPr>
          <w:p w14:paraId="18AE86C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Exemptions de CVA: impact marginal de la réintegration</w:t>
            </w:r>
          </w:p>
          <w:p w14:paraId="7A74B86F" w14:textId="31FF8F07" w:rsidR="00680687" w:rsidRPr="005C217A" w:rsidRDefault="00680687" w:rsidP="006A3ADC">
            <w:pPr>
              <w:rPr>
                <w:rFonts w:ascii="Times New Roman" w:hAnsi="Times New Roman"/>
                <w:sz w:val="24"/>
              </w:rPr>
            </w:pPr>
            <w:r>
              <w:rPr>
                <w:rFonts w:ascii="Times New Roman" w:hAnsi="Times New Roman"/>
                <w:sz w:val="24"/>
              </w:rPr>
              <w:t>Impact marginal de la réintégration des exemptions de CVA telles que définies à l’article 382, paragraphes 3 et</w:t>
            </w:r>
            <w:r w:rsidR="0044682E">
              <w:rPr>
                <w:rFonts w:ascii="Times New Roman" w:hAnsi="Times New Roman"/>
                <w:sz w:val="24"/>
              </w:rPr>
              <w:t> </w:t>
            </w:r>
            <w:r>
              <w:rPr>
                <w:rFonts w:ascii="Times New Roman" w:hAnsi="Times New Roman"/>
                <w:sz w:val="24"/>
              </w:rPr>
              <w:t>4, du règlement (UE) nº 575/2013, indiqué séparément pour chaque exemption. Cet impact marginal est la différence, exprimée en valeur absolue, entre la valeur du paramètre pertinent pour les opérations exemptées visées à la ligne 0010 et la valeur de ce paramètre après réintégration de ces opérations.</w:t>
            </w:r>
          </w:p>
        </w:tc>
      </w:tr>
      <w:tr w:rsidR="00680687" w:rsidRPr="002A677E" w14:paraId="4ED84249" w14:textId="77777777" w:rsidTr="006A3ADC">
        <w:tc>
          <w:tcPr>
            <w:tcW w:w="1172" w:type="dxa"/>
          </w:tcPr>
          <w:p w14:paraId="7350CB84" w14:textId="77777777" w:rsidR="00680687" w:rsidRPr="002A677E" w:rsidRDefault="00680687" w:rsidP="006A3ADC">
            <w:pPr>
              <w:rPr>
                <w:rFonts w:ascii="Times New Roman" w:hAnsi="Times New Roman"/>
                <w:sz w:val="24"/>
              </w:rPr>
            </w:pPr>
            <w:r>
              <w:rPr>
                <w:rFonts w:ascii="Times New Roman" w:hAnsi="Times New Roman"/>
                <w:sz w:val="24"/>
              </w:rPr>
              <w:lastRenderedPageBreak/>
              <w:t>0040</w:t>
            </w:r>
          </w:p>
        </w:tc>
        <w:tc>
          <w:tcPr>
            <w:tcW w:w="7844" w:type="dxa"/>
          </w:tcPr>
          <w:p w14:paraId="7D9C78C4" w14:textId="77777777" w:rsidR="00680687" w:rsidRPr="006E1C89" w:rsidRDefault="00680687" w:rsidP="006A3ADC">
            <w:pPr>
              <w:rPr>
                <w:rFonts w:ascii="Times New Roman" w:hAnsi="Times New Roman"/>
                <w:b/>
                <w:bCs/>
                <w:sz w:val="24"/>
                <w:u w:val="single"/>
              </w:rPr>
            </w:pPr>
            <w:r>
              <w:rPr>
                <w:rFonts w:ascii="Times New Roman" w:hAnsi="Times New Roman"/>
                <w:b/>
                <w:sz w:val="24"/>
                <w:u w:val="single"/>
              </w:rPr>
              <w:t>Toutes les opérations exemptées</w:t>
            </w:r>
          </w:p>
          <w:p w14:paraId="76D1F41B" w14:textId="58B850C6" w:rsidR="00680687" w:rsidRDefault="00680687" w:rsidP="006A3ADC">
            <w:pPr>
              <w:pStyle w:val="Default"/>
              <w:jc w:val="both"/>
              <w:rPr>
                <w:sz w:val="20"/>
                <w:szCs w:val="20"/>
              </w:rPr>
            </w:pPr>
            <w:r>
              <w:rPr>
                <w:rFonts w:ascii="Times New Roman" w:hAnsi="Times New Roman"/>
              </w:rPr>
              <w:t>Impact marginal de la réintégration des exemptions de CVA telles que définies à l’article 382, paragraphes 3 et</w:t>
            </w:r>
            <w:r w:rsidR="0044682E">
              <w:rPr>
                <w:rFonts w:ascii="Times New Roman" w:hAnsi="Times New Roman"/>
              </w:rPr>
              <w:t> </w:t>
            </w:r>
            <w:r>
              <w:rPr>
                <w:rFonts w:ascii="Times New Roman" w:hAnsi="Times New Roman"/>
              </w:rPr>
              <w:t>4, du règlement (UE) nº 575/2013.</w:t>
            </w:r>
          </w:p>
          <w:p w14:paraId="6F8EA837" w14:textId="17CEDCD5" w:rsidR="00680687" w:rsidRPr="008A700D" w:rsidRDefault="00680687" w:rsidP="006A3ADC">
            <w:pPr>
              <w:pStyle w:val="Default"/>
              <w:rPr>
                <w:rFonts w:ascii="Times New Roman" w:hAnsi="Times New Roman"/>
              </w:rPr>
            </w:pPr>
            <w:r>
              <w:rPr>
                <w:rFonts w:ascii="Times New Roman" w:hAnsi="Times New Roman"/>
                <w:color w:val="auto"/>
              </w:rPr>
              <w:t>Ces opérations doivent inclure toutes les opérations déclarées à la ligne 0010, hormis les exemptions prévues à l’article 382, paragraphe 3, et à l’article 382, paragraphe 4, du règlement (UE) nº 575/2013. Autrement dit, les opérations susmentionnées qui ont été exclues du calcul des exigences de fonds propres CVA en vertu de ces articles doivent être réintégrées pour les besoins de cette ligne. Le total des opérations ainsi réintégrées doit correspondre aux opérations réintégrées aux fins des lignes 0050 à 0110.</w:t>
            </w:r>
          </w:p>
        </w:tc>
      </w:tr>
      <w:tr w:rsidR="00680687" w:rsidRPr="002A677E" w14:paraId="23ECB2C1" w14:textId="77777777" w:rsidTr="006A3ADC">
        <w:tc>
          <w:tcPr>
            <w:tcW w:w="1172" w:type="dxa"/>
          </w:tcPr>
          <w:p w14:paraId="5973D18B"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4B3AB855" w14:textId="77777777" w:rsidR="00680687" w:rsidRDefault="00680687" w:rsidP="006A3ADC">
            <w:pPr>
              <w:pStyle w:val="Default"/>
              <w:jc w:val="both"/>
              <w:rPr>
                <w:rFonts w:ascii="Times New Roman" w:eastAsia="Times New Roman" w:hAnsi="Times New Roman" w:cs="Times New Roman"/>
                <w:b/>
                <w:bCs/>
                <w:color w:val="auto"/>
                <w:u w:val="single"/>
              </w:rPr>
            </w:pPr>
            <w:r>
              <w:rPr>
                <w:rFonts w:ascii="Times New Roman" w:hAnsi="Times New Roman"/>
                <w:b/>
                <w:color w:val="auto"/>
                <w:u w:val="single"/>
              </w:rPr>
              <w:t>Opérations clients</w:t>
            </w:r>
          </w:p>
          <w:p w14:paraId="26BE71DE" w14:textId="77777777" w:rsidR="00680687" w:rsidRDefault="00680687" w:rsidP="006A3ADC">
            <w:pPr>
              <w:pStyle w:val="Default"/>
              <w:jc w:val="both"/>
              <w:rPr>
                <w:rFonts w:ascii="Times New Roman" w:hAnsi="Times New Roman"/>
              </w:rPr>
            </w:pPr>
            <w:r>
              <w:rPr>
                <w:rFonts w:ascii="Times New Roman" w:hAnsi="Times New Roman"/>
              </w:rPr>
              <w:t>Impact marginal de la réintégration des opérations clients telles que définies à l’article 382, paragraphe 3, du règlement (UE) nº 575/2013.</w:t>
            </w:r>
          </w:p>
          <w:p w14:paraId="73231515" w14:textId="1B4D5B64" w:rsidR="00680687" w:rsidRPr="005C217A" w:rsidRDefault="00680687" w:rsidP="006A3ADC">
            <w:pPr>
              <w:pStyle w:val="Default"/>
              <w:rPr>
                <w:sz w:val="20"/>
                <w:szCs w:val="20"/>
              </w:rPr>
            </w:pPr>
            <w:r>
              <w:rPr>
                <w:rFonts w:ascii="Times New Roman" w:hAnsi="Times New Roman"/>
              </w:rPr>
              <w:t>Impact marginal de la réintégration des opérations entre un client et un membre compensateur dans lesquelles le membre compensateur agit en tant qu’intermédiaire entre le client et une contrepartie centrale éligible et qui sont exemptées, en vertu de l’article 382, paragraphe 3, du règlement (UE) nº 575/2013, du champ d’application de la ligne 0010. Les clients ne doivent pas réintégrer ces opérations si elles satisfont aux exigences de l’article 305, paragraphes 2, 3 et</w:t>
            </w:r>
            <w:r w:rsidR="0044682E">
              <w:rPr>
                <w:rFonts w:ascii="Times New Roman" w:hAnsi="Times New Roman"/>
              </w:rPr>
              <w:t> </w:t>
            </w:r>
            <w:r>
              <w:rPr>
                <w:rFonts w:ascii="Times New Roman" w:hAnsi="Times New Roman"/>
              </w:rPr>
              <w:t>4, dudit règlement.</w:t>
            </w:r>
          </w:p>
        </w:tc>
      </w:tr>
      <w:tr w:rsidR="00680687" w:rsidRPr="002A677E" w14:paraId="08AD2EE8" w14:textId="77777777" w:rsidTr="006A3ADC">
        <w:tc>
          <w:tcPr>
            <w:tcW w:w="1172" w:type="dxa"/>
          </w:tcPr>
          <w:p w14:paraId="4A924DC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69BEF048" w14:textId="77777777" w:rsidR="00680687" w:rsidRDefault="00680687" w:rsidP="006A3ADC">
            <w:pPr>
              <w:rPr>
                <w:rFonts w:ascii="Times New Roman" w:hAnsi="Times New Roman"/>
                <w:b/>
                <w:bCs/>
                <w:sz w:val="24"/>
                <w:u w:val="single"/>
              </w:rPr>
            </w:pPr>
            <w:r>
              <w:rPr>
                <w:rFonts w:ascii="Times New Roman" w:hAnsi="Times New Roman"/>
                <w:b/>
                <w:sz w:val="24"/>
                <w:u w:val="single"/>
              </w:rPr>
              <w:t>Opérations avec des contreparties non financières</w:t>
            </w:r>
          </w:p>
          <w:p w14:paraId="5D14F94F" w14:textId="77777777" w:rsidR="00680687" w:rsidRPr="002A677E" w:rsidRDefault="00680687" w:rsidP="006A3ADC">
            <w:pPr>
              <w:rPr>
                <w:rFonts w:ascii="Times New Roman" w:hAnsi="Times New Roman"/>
                <w:sz w:val="24"/>
              </w:rPr>
            </w:pPr>
            <w:r>
              <w:rPr>
                <w:rFonts w:ascii="Times New Roman" w:hAnsi="Times New Roman"/>
                <w:sz w:val="24"/>
              </w:rPr>
              <w:t>Impact marginal de la réintégration des opérations clients telles que définies à l’article 382, paragraphe 4, point a), du règlement (UE) nº 575/2013.</w:t>
            </w:r>
          </w:p>
        </w:tc>
      </w:tr>
      <w:tr w:rsidR="00680687" w:rsidRPr="002A677E" w14:paraId="0299633B" w14:textId="77777777" w:rsidTr="006A3ADC">
        <w:tc>
          <w:tcPr>
            <w:tcW w:w="1172" w:type="dxa"/>
          </w:tcPr>
          <w:p w14:paraId="76ED40A3"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06D59C90" w14:textId="77777777" w:rsidR="00680687" w:rsidRDefault="00680687" w:rsidP="006A3ADC">
            <w:pPr>
              <w:rPr>
                <w:rFonts w:ascii="Times New Roman" w:hAnsi="Times New Roman"/>
                <w:b/>
                <w:bCs/>
                <w:sz w:val="24"/>
                <w:u w:val="single"/>
              </w:rPr>
            </w:pPr>
            <w:r>
              <w:rPr>
                <w:rFonts w:ascii="Times New Roman" w:hAnsi="Times New Roman"/>
                <w:b/>
                <w:sz w:val="24"/>
                <w:u w:val="single"/>
              </w:rPr>
              <w:t>Opérations uniquement avec des contreparties non financières de l’UE</w:t>
            </w:r>
          </w:p>
          <w:p w14:paraId="4BE3F0CA" w14:textId="77777777" w:rsidR="00680687" w:rsidRPr="002A677E" w:rsidRDefault="00680687" w:rsidP="006A3ADC">
            <w:pPr>
              <w:rPr>
                <w:rFonts w:ascii="Times New Roman" w:hAnsi="Times New Roman"/>
                <w:sz w:val="24"/>
              </w:rPr>
            </w:pPr>
            <w:r>
              <w:rPr>
                <w:rFonts w:ascii="Times New Roman" w:hAnsi="Times New Roman"/>
                <w:sz w:val="24"/>
              </w:rPr>
              <w:t>Impact marginal de la réintégration des opérations effectuées uniquement avec des contreparties non financières de l’UE. Ces opérations doivent inclure toutes les opérations déclarées à la ligne 0060, déduction faite de celles visées à la ligne 0080.</w:t>
            </w:r>
          </w:p>
        </w:tc>
      </w:tr>
      <w:tr w:rsidR="00680687" w:rsidRPr="002A677E" w14:paraId="3731030D" w14:textId="77777777" w:rsidTr="006A3ADC">
        <w:tc>
          <w:tcPr>
            <w:tcW w:w="1172" w:type="dxa"/>
          </w:tcPr>
          <w:p w14:paraId="51808CD9"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4BA84670" w14:textId="77777777" w:rsidR="00680687" w:rsidRDefault="00680687" w:rsidP="006A3ADC">
            <w:pPr>
              <w:rPr>
                <w:rFonts w:ascii="Times New Roman" w:hAnsi="Times New Roman"/>
                <w:b/>
                <w:bCs/>
                <w:sz w:val="24"/>
                <w:u w:val="single"/>
              </w:rPr>
            </w:pPr>
            <w:r>
              <w:rPr>
                <w:rFonts w:ascii="Times New Roman" w:hAnsi="Times New Roman"/>
                <w:b/>
                <w:sz w:val="24"/>
                <w:u w:val="single"/>
              </w:rPr>
              <w:t>Opérations uniquement avec des contreparties non financières de pays tiers</w:t>
            </w:r>
          </w:p>
          <w:p w14:paraId="11A30CDC" w14:textId="77777777" w:rsidR="00680687" w:rsidRPr="002A677E" w:rsidRDefault="00680687" w:rsidP="006A3ADC">
            <w:pPr>
              <w:rPr>
                <w:rFonts w:ascii="Times New Roman" w:hAnsi="Times New Roman"/>
                <w:b/>
                <w:sz w:val="24"/>
                <w:u w:val="single"/>
              </w:rPr>
            </w:pPr>
            <w:r>
              <w:rPr>
                <w:rFonts w:ascii="Times New Roman" w:hAnsi="Times New Roman"/>
                <w:sz w:val="24"/>
              </w:rPr>
              <w:t>Impact marginal de la réintégration des opérations effectuées uniquement avec des contreparties non financières de pays tiers. Ces opérations doivent inclure toutes les opérations visées à la ligne 0060, déduction faite de celles visées à la ligne 0070.</w:t>
            </w:r>
          </w:p>
        </w:tc>
      </w:tr>
      <w:tr w:rsidR="00680687" w:rsidRPr="002A677E" w14:paraId="18A77771" w14:textId="77777777" w:rsidTr="006A3ADC">
        <w:tc>
          <w:tcPr>
            <w:tcW w:w="1172" w:type="dxa"/>
          </w:tcPr>
          <w:p w14:paraId="6E4EED3A"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64EFAC4D" w14:textId="77777777" w:rsidR="00680687" w:rsidRDefault="00680687" w:rsidP="006A3ADC">
            <w:pPr>
              <w:rPr>
                <w:rFonts w:ascii="Times New Roman" w:hAnsi="Times New Roman"/>
                <w:b/>
                <w:bCs/>
                <w:sz w:val="24"/>
                <w:u w:val="single"/>
              </w:rPr>
            </w:pPr>
            <w:r>
              <w:rPr>
                <w:rFonts w:ascii="Times New Roman" w:hAnsi="Times New Roman"/>
                <w:b/>
                <w:sz w:val="24"/>
                <w:u w:val="single"/>
              </w:rPr>
              <w:t>Opérations intragroupe</w:t>
            </w:r>
          </w:p>
          <w:p w14:paraId="59B1E4E8" w14:textId="77777777" w:rsidR="00680687" w:rsidRPr="002A677E" w:rsidRDefault="00680687" w:rsidP="006A3ADC">
            <w:pPr>
              <w:rPr>
                <w:rFonts w:ascii="Times New Roman" w:hAnsi="Times New Roman"/>
                <w:sz w:val="24"/>
              </w:rPr>
            </w:pPr>
            <w:r>
              <w:rPr>
                <w:rFonts w:ascii="Times New Roman" w:hAnsi="Times New Roman"/>
                <w:sz w:val="24"/>
              </w:rPr>
              <w:t>Impact marginal de la réintégration des opérations clients telles que définies à l’article 382, paragraphe 4, point b), du règlement (UE) nº 575/2013.</w:t>
            </w:r>
          </w:p>
        </w:tc>
      </w:tr>
      <w:tr w:rsidR="00680687" w:rsidRPr="002A677E" w14:paraId="31EEAE35" w14:textId="77777777" w:rsidTr="006A3ADC">
        <w:tc>
          <w:tcPr>
            <w:tcW w:w="1172" w:type="dxa"/>
          </w:tcPr>
          <w:p w14:paraId="6B9DF7C0" w14:textId="77777777" w:rsidR="00680687" w:rsidRDefault="00680687" w:rsidP="006A3ADC">
            <w:pPr>
              <w:rPr>
                <w:rFonts w:ascii="Times New Roman" w:hAnsi="Times New Roman"/>
                <w:sz w:val="24"/>
              </w:rPr>
            </w:pPr>
            <w:r>
              <w:rPr>
                <w:rFonts w:ascii="Times New Roman" w:hAnsi="Times New Roman"/>
                <w:sz w:val="24"/>
              </w:rPr>
              <w:t>0100</w:t>
            </w:r>
          </w:p>
        </w:tc>
        <w:tc>
          <w:tcPr>
            <w:tcW w:w="7844" w:type="dxa"/>
          </w:tcPr>
          <w:p w14:paraId="26366874" w14:textId="2765E877" w:rsidR="00680687" w:rsidRDefault="00680687" w:rsidP="006A3ADC">
            <w:pPr>
              <w:rPr>
                <w:rFonts w:ascii="Times New Roman" w:hAnsi="Times New Roman"/>
                <w:b/>
                <w:bCs/>
                <w:sz w:val="24"/>
                <w:u w:val="single"/>
              </w:rPr>
            </w:pPr>
            <w:r>
              <w:rPr>
                <w:rFonts w:ascii="Times New Roman" w:hAnsi="Times New Roman"/>
                <w:b/>
                <w:sz w:val="24"/>
                <w:u w:val="single"/>
              </w:rPr>
              <w:t>Opérations avec des fonds de pension</w:t>
            </w:r>
          </w:p>
          <w:p w14:paraId="1051EC9B" w14:textId="77777777" w:rsidR="00680687" w:rsidRPr="005C4AA2" w:rsidRDefault="00680687" w:rsidP="006A3ADC">
            <w:pPr>
              <w:rPr>
                <w:rFonts w:ascii="Times New Roman" w:hAnsi="Times New Roman"/>
                <w:b/>
                <w:bCs/>
                <w:sz w:val="24"/>
                <w:u w:val="single"/>
              </w:rPr>
            </w:pPr>
            <w:r>
              <w:rPr>
                <w:rFonts w:ascii="Times New Roman" w:hAnsi="Times New Roman"/>
                <w:sz w:val="24"/>
              </w:rPr>
              <w:t xml:space="preserve">Impact marginal de la réintégration des opérations avec des fonds de pension qui sont effectuées au cours de la période transitoire prévue à l’article 89, paragraphe 1, du règlement (UE) nº 648/2012 et qui sont exemptées des exigences de fonds propres pour risque de CVA en vertu de l’article 382, paragraphe 4, deuxième alinéa, du règlement (UE) nº 575/2013. Les opérations visées à l’article 382, paragraphe 4, point c), qui ne sont pas effectuées au cours </w:t>
            </w:r>
            <w:r>
              <w:rPr>
                <w:rFonts w:ascii="Times New Roman" w:hAnsi="Times New Roman"/>
                <w:sz w:val="24"/>
              </w:rPr>
              <w:lastRenderedPageBreak/>
              <w:t>de la période transitoire prévue à l’article 89, paragraphe 1, du règlement (UE) nº 648/2012 ne sont pas considérées comme des opérations exemptées, du fait de l’expiration de la période transitoire pour l’application de cette exemption.</w:t>
            </w:r>
          </w:p>
        </w:tc>
      </w:tr>
      <w:tr w:rsidR="00680687" w:rsidRPr="002A677E" w14:paraId="672E6D90" w14:textId="77777777" w:rsidTr="006A3ADC">
        <w:tc>
          <w:tcPr>
            <w:tcW w:w="1172" w:type="dxa"/>
          </w:tcPr>
          <w:p w14:paraId="2C9DEE10" w14:textId="77777777" w:rsidR="00680687" w:rsidRPr="002A677E" w:rsidRDefault="00680687" w:rsidP="006A3ADC">
            <w:pPr>
              <w:rPr>
                <w:rFonts w:ascii="Times New Roman" w:hAnsi="Times New Roman"/>
                <w:sz w:val="24"/>
              </w:rPr>
            </w:pPr>
            <w:r>
              <w:rPr>
                <w:rFonts w:ascii="Times New Roman" w:hAnsi="Times New Roman"/>
                <w:sz w:val="24"/>
              </w:rPr>
              <w:lastRenderedPageBreak/>
              <w:t>0110</w:t>
            </w:r>
          </w:p>
        </w:tc>
        <w:tc>
          <w:tcPr>
            <w:tcW w:w="7844" w:type="dxa"/>
          </w:tcPr>
          <w:p w14:paraId="41C2A83D" w14:textId="77777777" w:rsidR="00680687" w:rsidRDefault="00680687" w:rsidP="006A3ADC">
            <w:pPr>
              <w:rPr>
                <w:rFonts w:ascii="Times New Roman" w:hAnsi="Times New Roman"/>
                <w:b/>
                <w:bCs/>
                <w:sz w:val="24"/>
                <w:u w:val="single"/>
              </w:rPr>
            </w:pPr>
            <w:r>
              <w:rPr>
                <w:rFonts w:ascii="Times New Roman" w:hAnsi="Times New Roman"/>
                <w:b/>
                <w:sz w:val="24"/>
                <w:u w:val="single"/>
              </w:rPr>
              <w:t>Opérations avec des contreparties souveraines</w:t>
            </w:r>
          </w:p>
          <w:p w14:paraId="63BD107D" w14:textId="77777777" w:rsidR="00680687" w:rsidRPr="002A677E" w:rsidRDefault="00680687" w:rsidP="006A3ADC">
            <w:pPr>
              <w:rPr>
                <w:rFonts w:ascii="Times New Roman" w:hAnsi="Times New Roman"/>
                <w:sz w:val="24"/>
              </w:rPr>
            </w:pPr>
            <w:r>
              <w:rPr>
                <w:rFonts w:ascii="Times New Roman" w:hAnsi="Times New Roman"/>
                <w:sz w:val="24"/>
              </w:rPr>
              <w:t>Impact marginal de la réintégration des opérations avec des contreparties souveraines telles que définies à l’article 382, paragraphe 4, point d), du règlement (UE) nº 575/2013.</w:t>
            </w:r>
          </w:p>
        </w:tc>
      </w:tr>
      <w:tr w:rsidR="00680687" w:rsidRPr="002A677E" w14:paraId="2FAF19E8" w14:textId="77777777" w:rsidTr="006A3ADC">
        <w:tc>
          <w:tcPr>
            <w:tcW w:w="1172" w:type="dxa"/>
          </w:tcPr>
          <w:p w14:paraId="7B2E2B90" w14:textId="77777777" w:rsidR="00680687" w:rsidRPr="002A677E" w:rsidRDefault="00680687" w:rsidP="006A3ADC">
            <w:pPr>
              <w:rPr>
                <w:rFonts w:ascii="Times New Roman" w:hAnsi="Times New Roman"/>
                <w:sz w:val="24"/>
              </w:rPr>
            </w:pPr>
            <w:r>
              <w:rPr>
                <w:rFonts w:ascii="Times New Roman" w:hAnsi="Times New Roman"/>
                <w:sz w:val="24"/>
              </w:rPr>
              <w:t>0120</w:t>
            </w:r>
          </w:p>
        </w:tc>
        <w:tc>
          <w:tcPr>
            <w:tcW w:w="7844" w:type="dxa"/>
          </w:tcPr>
          <w:p w14:paraId="354A35FD" w14:textId="0B93EAA3" w:rsidR="00680687" w:rsidRPr="00253D86" w:rsidRDefault="00680687" w:rsidP="006A3ADC">
            <w:pPr>
              <w:rPr>
                <w:rFonts w:ascii="Times New Roman" w:hAnsi="Times New Roman"/>
                <w:b/>
                <w:bCs/>
                <w:sz w:val="24"/>
                <w:u w:val="single"/>
              </w:rPr>
            </w:pPr>
            <w:r>
              <w:rPr>
                <w:rFonts w:ascii="Times New Roman" w:hAnsi="Times New Roman"/>
                <w:b/>
                <w:sz w:val="24"/>
                <w:u w:val="single"/>
              </w:rPr>
              <w:t>Couvertures pour risque de CVA d'opérations exemptées n’entrant pas dans le champ de CVA</w:t>
            </w:r>
          </w:p>
          <w:p w14:paraId="7B05FC5B" w14:textId="449D14AE" w:rsidR="00680687" w:rsidRPr="002A677E" w:rsidRDefault="00680687" w:rsidP="006A3ADC">
            <w:pPr>
              <w:rPr>
                <w:rFonts w:ascii="Times New Roman" w:hAnsi="Times New Roman"/>
                <w:sz w:val="24"/>
              </w:rPr>
            </w:pPr>
            <w:r>
              <w:rPr>
                <w:rFonts w:ascii="Times New Roman" w:hAnsi="Times New Roman"/>
                <w:sz w:val="24"/>
              </w:rPr>
              <w:t>Couvertures pour risque de CVA d’opérations exemptées qui ne sont pas incluses dans le champ d’application des exigences de fonds propres pour risque de CVA et sont soumises à des exigences de fonds propres pour risque de marché.</w:t>
            </w:r>
          </w:p>
        </w:tc>
      </w:tr>
      <w:tr w:rsidR="00680687" w:rsidRPr="002A677E" w14:paraId="01CC7562" w14:textId="77777777" w:rsidTr="006A3ADC">
        <w:tc>
          <w:tcPr>
            <w:tcW w:w="1172" w:type="dxa"/>
          </w:tcPr>
          <w:p w14:paraId="6B81B404" w14:textId="77777777" w:rsidR="00680687" w:rsidRPr="002A677E" w:rsidRDefault="00680687" w:rsidP="006A3ADC">
            <w:pPr>
              <w:rPr>
                <w:rFonts w:ascii="Times New Roman" w:hAnsi="Times New Roman"/>
                <w:sz w:val="24"/>
              </w:rPr>
            </w:pPr>
            <w:r>
              <w:rPr>
                <w:rFonts w:ascii="Times New Roman" w:hAnsi="Times New Roman"/>
                <w:sz w:val="24"/>
              </w:rPr>
              <w:t>0130</w:t>
            </w:r>
          </w:p>
        </w:tc>
        <w:tc>
          <w:tcPr>
            <w:tcW w:w="7844" w:type="dxa"/>
          </w:tcPr>
          <w:p w14:paraId="69E3FC61" w14:textId="592F2A28" w:rsidR="00680687" w:rsidRPr="00253D86" w:rsidRDefault="00680687" w:rsidP="006A3ADC">
            <w:pPr>
              <w:rPr>
                <w:rFonts w:ascii="Times New Roman" w:hAnsi="Times New Roman"/>
                <w:b/>
                <w:bCs/>
                <w:sz w:val="24"/>
                <w:u w:val="single"/>
              </w:rPr>
            </w:pPr>
            <w:r>
              <w:rPr>
                <w:rFonts w:ascii="Times New Roman" w:hAnsi="Times New Roman"/>
                <w:b/>
                <w:sz w:val="24"/>
                <w:u w:val="single"/>
              </w:rPr>
              <w:t>Total des SFT non compensées de manière centralisée et évaluées à la juste valeur aux fins comptables, à l’exclusion des opérations exemptées</w:t>
            </w:r>
          </w:p>
          <w:p w14:paraId="6A560A0D" w14:textId="05D42053" w:rsidR="00680687" w:rsidRPr="002A677E" w:rsidRDefault="00680687" w:rsidP="006A3ADC">
            <w:pPr>
              <w:rPr>
                <w:rFonts w:ascii="Times New Roman" w:hAnsi="Times New Roman"/>
                <w:sz w:val="24"/>
              </w:rPr>
            </w:pPr>
            <w:r>
              <w:rPr>
                <w:rFonts w:ascii="Times New Roman" w:hAnsi="Times New Roman"/>
                <w:sz w:val="24"/>
              </w:rPr>
              <w:t>Opérations de financement sur titres qui sont évaluées à la juste valeur à des fins comptables et qui relèveraient des exigences de fonds propres pour risque de CVA conformément à l’article 382, paragraphe 2, du règlement (UE) nº 575/2013, quelle que soit l’importance des expositions au risque de CVA qu’elles entraînent. Les opérations de financement sur titres exemptées des exigences de fonds propres pour risque de CVA en vertu de l’article 382, paragraphe 3 ou</w:t>
            </w:r>
            <w:r w:rsidR="0044682E">
              <w:rPr>
                <w:rFonts w:ascii="Times New Roman" w:hAnsi="Times New Roman"/>
                <w:sz w:val="24"/>
              </w:rPr>
              <w:t> </w:t>
            </w:r>
            <w:r>
              <w:rPr>
                <w:rFonts w:ascii="Times New Roman" w:hAnsi="Times New Roman"/>
                <w:sz w:val="24"/>
              </w:rPr>
              <w:t>4, du règlement (UE) nº 575/2013 doivent être exclues de ces calculs, sauf si l’établissement inclut ces opérations dans le champ des exigences de fonds propres pour risque de CVA conformément à l’article 382, paragraphe 4 </w:t>
            </w:r>
            <w:r>
              <w:rPr>
                <w:rFonts w:ascii="Times New Roman" w:hAnsi="Times New Roman"/>
                <w:i/>
                <w:iCs/>
                <w:sz w:val="24"/>
              </w:rPr>
              <w:t>bis</w:t>
            </w:r>
            <w:r>
              <w:rPr>
                <w:rFonts w:ascii="Times New Roman" w:hAnsi="Times New Roman"/>
                <w:sz w:val="24"/>
              </w:rPr>
              <w:t>, du règlement (UE) nº 575/2013.</w:t>
            </w:r>
          </w:p>
        </w:tc>
      </w:tr>
      <w:tr w:rsidR="00680687" w:rsidRPr="002A677E" w14:paraId="51558923" w14:textId="77777777" w:rsidTr="006A3ADC">
        <w:tc>
          <w:tcPr>
            <w:tcW w:w="1172" w:type="dxa"/>
          </w:tcPr>
          <w:p w14:paraId="1BBFF038" w14:textId="77777777" w:rsidR="00680687" w:rsidRPr="002A677E" w:rsidRDefault="00680687" w:rsidP="006A3ADC">
            <w:pPr>
              <w:rPr>
                <w:rFonts w:ascii="Times New Roman" w:hAnsi="Times New Roman"/>
                <w:sz w:val="24"/>
              </w:rPr>
            </w:pPr>
            <w:r>
              <w:rPr>
                <w:rFonts w:ascii="Times New Roman" w:hAnsi="Times New Roman"/>
                <w:sz w:val="24"/>
              </w:rPr>
              <w:t>0140-0160</w:t>
            </w:r>
          </w:p>
        </w:tc>
        <w:tc>
          <w:tcPr>
            <w:tcW w:w="7844" w:type="dxa"/>
          </w:tcPr>
          <w:p w14:paraId="2D6F4FFE"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Couvertures du risque de CVA</w:t>
            </w:r>
          </w:p>
          <w:p w14:paraId="225C7DDF" w14:textId="77777777" w:rsidR="00680687" w:rsidRPr="005C217A" w:rsidRDefault="00680687" w:rsidP="006A3ADC">
            <w:pPr>
              <w:rPr>
                <w:rFonts w:ascii="Times New Roman" w:hAnsi="Times New Roman"/>
                <w:b/>
                <w:bCs/>
                <w:caps/>
                <w:sz w:val="24"/>
                <w:u w:val="single"/>
              </w:rPr>
            </w:pPr>
            <w:r>
              <w:rPr>
                <w:rFonts w:ascii="Times New Roman" w:hAnsi="Times New Roman"/>
                <w:sz w:val="24"/>
              </w:rPr>
              <w:t>Article 386 du règlement (UE) nº 575/2013.</w:t>
            </w:r>
          </w:p>
        </w:tc>
      </w:tr>
      <w:tr w:rsidR="00680687" w:rsidRPr="002A677E" w14:paraId="0F486D81" w14:textId="77777777" w:rsidTr="006A3ADC">
        <w:tc>
          <w:tcPr>
            <w:tcW w:w="1172" w:type="dxa"/>
          </w:tcPr>
          <w:p w14:paraId="597AD53C" w14:textId="77777777" w:rsidR="00680687" w:rsidRPr="002A677E" w:rsidRDefault="00680687" w:rsidP="006A3ADC">
            <w:pPr>
              <w:rPr>
                <w:rFonts w:ascii="Times New Roman" w:hAnsi="Times New Roman"/>
                <w:sz w:val="24"/>
              </w:rPr>
            </w:pPr>
            <w:r>
              <w:rPr>
                <w:rFonts w:ascii="Times New Roman" w:hAnsi="Times New Roman"/>
                <w:sz w:val="24"/>
              </w:rPr>
              <w:t>0140</w:t>
            </w:r>
          </w:p>
        </w:tc>
        <w:tc>
          <w:tcPr>
            <w:tcW w:w="7844" w:type="dxa"/>
          </w:tcPr>
          <w:p w14:paraId="5853509D"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CDS à signature unique</w:t>
            </w:r>
          </w:p>
        </w:tc>
      </w:tr>
      <w:tr w:rsidR="00680687" w:rsidRPr="002A677E" w14:paraId="2EFC56DA" w14:textId="77777777" w:rsidTr="006A3ADC">
        <w:tc>
          <w:tcPr>
            <w:tcW w:w="1172" w:type="dxa"/>
          </w:tcPr>
          <w:p w14:paraId="689DB8DD" w14:textId="77777777" w:rsidR="00680687" w:rsidRPr="002A677E" w:rsidRDefault="00680687" w:rsidP="006A3ADC">
            <w:pPr>
              <w:rPr>
                <w:rFonts w:ascii="Times New Roman" w:hAnsi="Times New Roman"/>
                <w:sz w:val="24"/>
              </w:rPr>
            </w:pPr>
            <w:r>
              <w:rPr>
                <w:rFonts w:ascii="Times New Roman" w:hAnsi="Times New Roman"/>
                <w:sz w:val="24"/>
              </w:rPr>
              <w:t>0150</w:t>
            </w:r>
          </w:p>
        </w:tc>
        <w:tc>
          <w:tcPr>
            <w:tcW w:w="7844" w:type="dxa"/>
          </w:tcPr>
          <w:p w14:paraId="05C9EFAC"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CDS indiciel</w:t>
            </w:r>
          </w:p>
        </w:tc>
      </w:tr>
      <w:tr w:rsidR="00680687" w:rsidRPr="002A677E" w14:paraId="0756472C" w14:textId="77777777" w:rsidTr="006A3ADC">
        <w:tc>
          <w:tcPr>
            <w:tcW w:w="1172" w:type="dxa"/>
          </w:tcPr>
          <w:p w14:paraId="219CB9F8" w14:textId="77777777" w:rsidR="00680687" w:rsidRPr="002A677E" w:rsidRDefault="00680687" w:rsidP="006A3ADC">
            <w:pPr>
              <w:rPr>
                <w:rFonts w:ascii="Times New Roman" w:hAnsi="Times New Roman"/>
                <w:sz w:val="24"/>
              </w:rPr>
            </w:pPr>
            <w:r>
              <w:rPr>
                <w:rFonts w:ascii="Times New Roman" w:hAnsi="Times New Roman"/>
                <w:sz w:val="24"/>
              </w:rPr>
              <w:t>0160</w:t>
            </w:r>
          </w:p>
        </w:tc>
        <w:tc>
          <w:tcPr>
            <w:tcW w:w="7844" w:type="dxa"/>
          </w:tcPr>
          <w:p w14:paraId="149731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Autres dérivés classés comme couvertures pour risque de CVA</w:t>
            </w:r>
          </w:p>
        </w:tc>
      </w:tr>
      <w:tr w:rsidR="00680687" w:rsidRPr="002A677E" w14:paraId="3769678C" w14:textId="77777777" w:rsidTr="006A3ADC">
        <w:tc>
          <w:tcPr>
            <w:tcW w:w="1172" w:type="dxa"/>
          </w:tcPr>
          <w:p w14:paraId="13F52A3F" w14:textId="77777777" w:rsidR="00680687" w:rsidRPr="002A677E" w:rsidRDefault="00680687" w:rsidP="006A3ADC">
            <w:pPr>
              <w:rPr>
                <w:rFonts w:ascii="Times New Roman" w:hAnsi="Times New Roman"/>
                <w:sz w:val="24"/>
              </w:rPr>
            </w:pPr>
            <w:r>
              <w:rPr>
                <w:rFonts w:ascii="Times New Roman" w:hAnsi="Times New Roman"/>
                <w:sz w:val="24"/>
              </w:rPr>
              <w:t>0170-0220</w:t>
            </w:r>
          </w:p>
        </w:tc>
        <w:tc>
          <w:tcPr>
            <w:tcW w:w="7844" w:type="dxa"/>
          </w:tcPr>
          <w:p w14:paraId="3F625C66"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Types de contreparties des opérations soumises à l'approche SA-CVA</w:t>
            </w:r>
          </w:p>
          <w:p w14:paraId="3B7F80A8" w14:textId="77777777" w:rsidR="00680687" w:rsidRDefault="00680687" w:rsidP="006A3ADC">
            <w:pPr>
              <w:rPr>
                <w:rFonts w:ascii="Times New Roman" w:hAnsi="Times New Roman"/>
                <w:sz w:val="24"/>
              </w:rPr>
            </w:pPr>
            <w:r>
              <w:rPr>
                <w:rFonts w:ascii="Times New Roman" w:hAnsi="Times New Roman"/>
                <w:sz w:val="24"/>
              </w:rPr>
              <w:t>Article 445 </w:t>
            </w:r>
            <w:r>
              <w:rPr>
                <w:rFonts w:ascii="Times New Roman" w:hAnsi="Times New Roman"/>
                <w:i/>
                <w:iCs/>
                <w:sz w:val="24"/>
              </w:rPr>
              <w:t>bis</w:t>
            </w:r>
            <w:r>
              <w:rPr>
                <w:rFonts w:ascii="Times New Roman" w:hAnsi="Times New Roman"/>
                <w:sz w:val="24"/>
              </w:rPr>
              <w:t>, paragraphe 1, point c), du règlement (UE) nº 575/2013.</w:t>
            </w:r>
          </w:p>
          <w:p w14:paraId="25779170" w14:textId="77777777" w:rsidR="00680687" w:rsidRDefault="00680687" w:rsidP="006A3ADC">
            <w:pPr>
              <w:spacing w:before="60"/>
              <w:rPr>
                <w:rFonts w:ascii="Times New Roman" w:hAnsi="Times New Roman"/>
                <w:sz w:val="24"/>
              </w:rPr>
            </w:pPr>
            <w:r>
              <w:rPr>
                <w:rFonts w:ascii="Times New Roman" w:hAnsi="Times New Roman"/>
                <w:sz w:val="24"/>
              </w:rPr>
              <w:t>Un secteur est choisi pour chaque contrepartie sur la base des catégories de secteurs économiques FINREP ci-dessous (voir l’annexe V, troisième partie, du présent règlement d’exécution).</w:t>
            </w:r>
          </w:p>
          <w:p w14:paraId="77133872" w14:textId="3D864194" w:rsidR="00680687" w:rsidRPr="002A677E" w:rsidRDefault="00680687" w:rsidP="006A3ADC">
            <w:pPr>
              <w:spacing w:before="60"/>
              <w:rPr>
                <w:rFonts w:ascii="Times New Roman" w:hAnsi="Times New Roman"/>
                <w:sz w:val="24"/>
              </w:rPr>
            </w:pPr>
            <w:r>
              <w:rPr>
                <w:rFonts w:ascii="Times New Roman" w:hAnsi="Times New Roman"/>
                <w:sz w:val="24"/>
              </w:rPr>
              <w:t>Le nombre de contreparties par secteur est à déclarer dans la colonne</w:t>
            </w:r>
            <w:r w:rsidR="0044682E">
              <w:rPr>
                <w:rFonts w:ascii="Times New Roman" w:hAnsi="Times New Roman"/>
                <w:sz w:val="24"/>
              </w:rPr>
              <w:t> </w:t>
            </w:r>
            <w:r>
              <w:rPr>
                <w:rFonts w:ascii="Times New Roman" w:hAnsi="Times New Roman"/>
                <w:sz w:val="24"/>
              </w:rPr>
              <w:t>0130.</w:t>
            </w:r>
          </w:p>
        </w:tc>
      </w:tr>
      <w:tr w:rsidR="00680687" w:rsidRPr="002A677E" w14:paraId="5B81430B" w14:textId="77777777" w:rsidTr="006A3ADC">
        <w:tc>
          <w:tcPr>
            <w:tcW w:w="1172" w:type="dxa"/>
          </w:tcPr>
          <w:p w14:paraId="61B642B2" w14:textId="77777777" w:rsidR="00680687" w:rsidRPr="002A677E" w:rsidRDefault="00680687" w:rsidP="006A3ADC">
            <w:pPr>
              <w:rPr>
                <w:rFonts w:ascii="Times New Roman" w:hAnsi="Times New Roman"/>
                <w:sz w:val="24"/>
              </w:rPr>
            </w:pPr>
            <w:r>
              <w:rPr>
                <w:rFonts w:ascii="Times New Roman" w:hAnsi="Times New Roman"/>
                <w:sz w:val="24"/>
              </w:rPr>
              <w:t>0170</w:t>
            </w:r>
          </w:p>
        </w:tc>
        <w:tc>
          <w:tcPr>
            <w:tcW w:w="7844" w:type="dxa"/>
          </w:tcPr>
          <w:p w14:paraId="28298287"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Banques centrales</w:t>
            </w:r>
          </w:p>
        </w:tc>
      </w:tr>
      <w:tr w:rsidR="00680687" w:rsidRPr="002A677E" w14:paraId="3880D5FA" w14:textId="77777777" w:rsidTr="006A3ADC">
        <w:tc>
          <w:tcPr>
            <w:tcW w:w="1172" w:type="dxa"/>
          </w:tcPr>
          <w:p w14:paraId="08F5DA36" w14:textId="77777777" w:rsidR="00680687" w:rsidRPr="002A677E" w:rsidRDefault="00680687" w:rsidP="006A3ADC">
            <w:pPr>
              <w:rPr>
                <w:rFonts w:ascii="Times New Roman" w:hAnsi="Times New Roman"/>
                <w:sz w:val="24"/>
              </w:rPr>
            </w:pPr>
            <w:r>
              <w:rPr>
                <w:rFonts w:ascii="Times New Roman" w:hAnsi="Times New Roman"/>
                <w:sz w:val="24"/>
              </w:rPr>
              <w:lastRenderedPageBreak/>
              <w:t>0180</w:t>
            </w:r>
          </w:p>
        </w:tc>
        <w:tc>
          <w:tcPr>
            <w:tcW w:w="7844" w:type="dxa"/>
          </w:tcPr>
          <w:p w14:paraId="5AC0FB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Administrations publiques</w:t>
            </w:r>
          </w:p>
        </w:tc>
      </w:tr>
      <w:tr w:rsidR="00680687" w:rsidRPr="002A677E" w14:paraId="4826C3E9" w14:textId="77777777" w:rsidTr="006A3ADC">
        <w:tc>
          <w:tcPr>
            <w:tcW w:w="1172" w:type="dxa"/>
          </w:tcPr>
          <w:p w14:paraId="419DB6E8" w14:textId="77777777" w:rsidR="00680687" w:rsidRPr="002A677E" w:rsidRDefault="00680687" w:rsidP="006A3ADC">
            <w:pPr>
              <w:rPr>
                <w:rFonts w:ascii="Times New Roman" w:hAnsi="Times New Roman"/>
                <w:sz w:val="24"/>
              </w:rPr>
            </w:pPr>
            <w:r>
              <w:rPr>
                <w:rFonts w:ascii="Times New Roman" w:hAnsi="Times New Roman"/>
                <w:sz w:val="24"/>
              </w:rPr>
              <w:t>0190</w:t>
            </w:r>
          </w:p>
        </w:tc>
        <w:tc>
          <w:tcPr>
            <w:tcW w:w="7844" w:type="dxa"/>
          </w:tcPr>
          <w:p w14:paraId="5A7EA90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Établissements de crédit</w:t>
            </w:r>
          </w:p>
        </w:tc>
      </w:tr>
      <w:tr w:rsidR="00680687" w:rsidRPr="002A677E" w14:paraId="60A5D5E9" w14:textId="77777777" w:rsidTr="006A3ADC">
        <w:tc>
          <w:tcPr>
            <w:tcW w:w="1172" w:type="dxa"/>
          </w:tcPr>
          <w:p w14:paraId="1236AA19" w14:textId="77777777" w:rsidR="00680687" w:rsidRPr="002A677E" w:rsidRDefault="00680687" w:rsidP="006A3ADC">
            <w:pPr>
              <w:rPr>
                <w:rFonts w:ascii="Times New Roman" w:hAnsi="Times New Roman"/>
                <w:sz w:val="24"/>
              </w:rPr>
            </w:pPr>
            <w:r>
              <w:rPr>
                <w:rFonts w:ascii="Times New Roman" w:hAnsi="Times New Roman"/>
                <w:sz w:val="24"/>
              </w:rPr>
              <w:t>0200</w:t>
            </w:r>
          </w:p>
        </w:tc>
        <w:tc>
          <w:tcPr>
            <w:tcW w:w="7844" w:type="dxa"/>
          </w:tcPr>
          <w:p w14:paraId="56283C80"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Entreprises d’investissement</w:t>
            </w:r>
          </w:p>
        </w:tc>
      </w:tr>
      <w:tr w:rsidR="00680687" w:rsidRPr="002A677E" w14:paraId="2445ED8F" w14:textId="77777777" w:rsidTr="006A3ADC">
        <w:tc>
          <w:tcPr>
            <w:tcW w:w="1172" w:type="dxa"/>
          </w:tcPr>
          <w:p w14:paraId="550C3C8F" w14:textId="77777777" w:rsidR="00680687" w:rsidRPr="002A677E" w:rsidRDefault="00680687" w:rsidP="006A3ADC">
            <w:pPr>
              <w:rPr>
                <w:rFonts w:ascii="Times New Roman" w:hAnsi="Times New Roman"/>
                <w:sz w:val="24"/>
              </w:rPr>
            </w:pPr>
            <w:r>
              <w:rPr>
                <w:rFonts w:ascii="Times New Roman" w:hAnsi="Times New Roman"/>
                <w:sz w:val="24"/>
              </w:rPr>
              <w:t>0210</w:t>
            </w:r>
          </w:p>
        </w:tc>
        <w:tc>
          <w:tcPr>
            <w:tcW w:w="7844" w:type="dxa"/>
          </w:tcPr>
          <w:p w14:paraId="517C2FE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Autres entreprises financières (à l’exclusion des entreprises d’investissement)</w:t>
            </w:r>
          </w:p>
        </w:tc>
      </w:tr>
      <w:tr w:rsidR="00680687" w:rsidRPr="002A677E" w14:paraId="167237FD" w14:textId="77777777" w:rsidTr="006A3ADC">
        <w:tc>
          <w:tcPr>
            <w:tcW w:w="1172" w:type="dxa"/>
          </w:tcPr>
          <w:p w14:paraId="29B7557A" w14:textId="77777777" w:rsidR="00680687" w:rsidRPr="002A677E" w:rsidRDefault="00680687" w:rsidP="006A3ADC">
            <w:pPr>
              <w:rPr>
                <w:rFonts w:ascii="Times New Roman" w:hAnsi="Times New Roman"/>
                <w:sz w:val="24"/>
              </w:rPr>
            </w:pPr>
            <w:r>
              <w:rPr>
                <w:rFonts w:ascii="Times New Roman" w:hAnsi="Times New Roman"/>
                <w:sz w:val="24"/>
              </w:rPr>
              <w:t>0220</w:t>
            </w:r>
          </w:p>
        </w:tc>
        <w:tc>
          <w:tcPr>
            <w:tcW w:w="7844" w:type="dxa"/>
          </w:tcPr>
          <w:p w14:paraId="7956EA94"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Entreprises non financières</w:t>
            </w:r>
          </w:p>
        </w:tc>
      </w:tr>
      <w:tr w:rsidR="00680687" w:rsidRPr="002A677E" w14:paraId="6BACE521" w14:textId="77777777" w:rsidTr="006A3ADC">
        <w:tc>
          <w:tcPr>
            <w:tcW w:w="1172" w:type="dxa"/>
          </w:tcPr>
          <w:p w14:paraId="36DAA114" w14:textId="77777777" w:rsidR="00680687" w:rsidRDefault="00680687" w:rsidP="006A3ADC">
            <w:pPr>
              <w:rPr>
                <w:rFonts w:ascii="Times New Roman" w:hAnsi="Times New Roman"/>
                <w:sz w:val="24"/>
              </w:rPr>
            </w:pPr>
            <w:r>
              <w:rPr>
                <w:rFonts w:ascii="Times New Roman" w:hAnsi="Times New Roman"/>
                <w:sz w:val="24"/>
              </w:rPr>
              <w:t>0230</w:t>
            </w:r>
          </w:p>
        </w:tc>
        <w:tc>
          <w:tcPr>
            <w:tcW w:w="7844" w:type="dxa"/>
          </w:tcPr>
          <w:p w14:paraId="7C6250A2" w14:textId="77777777" w:rsidR="00680687" w:rsidRDefault="00680687" w:rsidP="006A3ADC">
            <w:pPr>
              <w:rPr>
                <w:rFonts w:ascii="Times New Roman" w:hAnsi="Times New Roman"/>
                <w:b/>
                <w:bCs/>
                <w:sz w:val="24"/>
                <w:u w:val="single"/>
              </w:rPr>
            </w:pPr>
            <w:r>
              <w:rPr>
                <w:rFonts w:ascii="Times New Roman" w:hAnsi="Times New Roman"/>
                <w:b/>
                <w:sz w:val="24"/>
                <w:u w:val="single"/>
              </w:rPr>
              <w:t>Agrégation des composantes systématiques du risque de CVA</w:t>
            </w:r>
          </w:p>
          <w:p w14:paraId="62BC44EB" w14:textId="4CB58633" w:rsidR="00680687" w:rsidRPr="009766CF" w:rsidRDefault="00680687" w:rsidP="006A3ADC">
            <w:pPr>
              <w:rPr>
                <w:rFonts w:ascii="Times New Roman" w:hAnsi="Times New Roman"/>
                <w:sz w:val="24"/>
              </w:rPr>
            </w:pPr>
            <w:r>
              <w:rPr>
                <w:rFonts w:ascii="Times New Roman" w:hAnsi="Times New Roman"/>
                <w:sz w:val="24"/>
              </w:rPr>
              <w:t>Article 384, paragraphe 3, du règlement (UE) nº 575/2013. Exigences de fonds propres dans l’hypothèse d'une corrélation parfaite (</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Pr>
                <w:rFonts w:ascii="Times New Roman" w:hAnsi="Times New Roman"/>
                <w:sz w:val="24"/>
              </w:rPr>
              <w:t>.</w:t>
            </w:r>
            <w:r>
              <w:rPr>
                <w:rFonts w:ascii="Times New Roman" w:hAnsi="Times New Roman"/>
                <w:sz w:val="24"/>
                <w:vertAlign w:val="subscript"/>
              </w:rPr>
              <w:t xml:space="preserve"> </w:t>
            </w:r>
            <w:r>
              <w:rPr>
                <w:rFonts w:ascii="Times New Roman" w:hAnsi="Times New Roman"/>
                <w:sz w:val="24"/>
              </w:rPr>
              <w:t>Le facteur d’actualisation de 0,65 ne doit pas être appliqué.</w:t>
            </w:r>
          </w:p>
        </w:tc>
      </w:tr>
      <w:tr w:rsidR="00680687" w:rsidRPr="002A677E" w14:paraId="65206CF9" w14:textId="77777777" w:rsidTr="006A3ADC">
        <w:tc>
          <w:tcPr>
            <w:tcW w:w="1172" w:type="dxa"/>
          </w:tcPr>
          <w:p w14:paraId="62DF0332" w14:textId="77777777" w:rsidR="00680687" w:rsidRDefault="00680687" w:rsidP="006A3ADC">
            <w:pPr>
              <w:rPr>
                <w:rFonts w:ascii="Times New Roman" w:hAnsi="Times New Roman"/>
                <w:sz w:val="24"/>
              </w:rPr>
            </w:pPr>
            <w:r>
              <w:rPr>
                <w:rFonts w:ascii="Times New Roman" w:hAnsi="Times New Roman"/>
                <w:sz w:val="24"/>
              </w:rPr>
              <w:t>0240</w:t>
            </w:r>
          </w:p>
        </w:tc>
        <w:tc>
          <w:tcPr>
            <w:tcW w:w="7844" w:type="dxa"/>
          </w:tcPr>
          <w:p w14:paraId="208A77B2" w14:textId="77777777" w:rsidR="00680687" w:rsidRDefault="00680687" w:rsidP="006A3ADC">
            <w:pPr>
              <w:rPr>
                <w:rFonts w:ascii="Times New Roman" w:hAnsi="Times New Roman"/>
                <w:b/>
                <w:bCs/>
                <w:sz w:val="24"/>
                <w:u w:val="single"/>
              </w:rPr>
            </w:pPr>
            <w:r>
              <w:rPr>
                <w:rFonts w:ascii="Times New Roman" w:hAnsi="Times New Roman"/>
                <w:b/>
                <w:sz w:val="24"/>
                <w:u w:val="single"/>
              </w:rPr>
              <w:t>Agrégation des composantes idiosyncratiques du risque de CVA</w:t>
            </w:r>
          </w:p>
          <w:p w14:paraId="7B1EBC08" w14:textId="77777777" w:rsidR="00680687" w:rsidRPr="009766CF" w:rsidRDefault="00680687" w:rsidP="006A3ADC">
            <w:pPr>
              <w:rPr>
                <w:rFonts w:ascii="Times New Roman" w:hAnsi="Times New Roman"/>
                <w:sz w:val="24"/>
              </w:rPr>
            </w:pPr>
            <w:r>
              <w:rPr>
                <w:rFonts w:ascii="Times New Roman" w:hAnsi="Times New Roman"/>
                <w:sz w:val="24"/>
              </w:rPr>
              <w:t>Article 384, paragraphe 3, du règlement (UE) nº 575/2013. Exigences de fonds propres dans l’hypothèse d'une corrélation nulle (sqrt(</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Pr>
                <w:rFonts w:ascii="Times New Roman" w:hAnsi="Times New Roman"/>
                <w:sz w:val="24"/>
                <w:vertAlign w:val="superscript"/>
              </w:rPr>
              <w:t>2</w:t>
            </w:r>
            <w:r>
              <w:rPr>
                <w:rFonts w:ascii="Times New Roman" w:hAnsi="Times New Roman"/>
                <w:sz w:val="24"/>
              </w:rPr>
              <w:t>)). Le facteur d’actualisation de 0,65 ne doit pas être appliqué.»</w:t>
            </w:r>
          </w:p>
        </w:tc>
      </w:tr>
    </w:tbl>
    <w:p w14:paraId="28018638" w14:textId="77777777" w:rsidR="00680687" w:rsidRDefault="00680687" w:rsidP="00680687"/>
    <w:p w14:paraId="5D86CC30" w14:textId="77777777" w:rsidR="00680687" w:rsidRDefault="00680687" w:rsidP="00680687"/>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bookmarkEnd w:id="6"/>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Default="007341EC">
    <w:pPr>
      <w:pStyle w:val="Header"/>
    </w:pPr>
    <w:r>
      <w:rPr>
        <w:noProof/>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1A2901B" id="_x0000_t202" coordsize="21600,21600" o:spt="202" path="m,l,21600r21600,l21600,xe">
              <v:stroke joinstyle="miter"/>
              <v:path gradientshapeok="t" o:connecttype="rect"/>
            </v:shapetype>
            <v:shape id="Text Box 2" o:spid="_x0000_s1026" type="#_x0000_t202" alt="Title:  - Description: Utilisation réguliè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Default="007341EC">
    <w:pPr>
      <w:pStyle w:val="Header"/>
    </w:pPr>
    <w:r>
      <w:rPr>
        <w:noProof/>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98AF594" id="_x0000_t202" coordsize="21600,21600" o:spt="202" path="m,l,21600r21600,l21600,xe">
              <v:stroke joinstyle="miter"/>
              <v:path gradientshapeok="t" o:connecttype="rect"/>
            </v:shapetype>
            <v:shape id="Text Box 3" o:spid="_x0000_s1027" type="#_x0000_t202" alt="Title:  - Description: Utilisation réguliè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Default="007341EC">
    <w:pPr>
      <w:pStyle w:val="Header"/>
    </w:pPr>
    <w:r>
      <w:rPr>
        <w:noProof/>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9C0A740" id="_x0000_t202" coordsize="21600,21600" o:spt="202" path="m,l,21600r21600,l21600,xe">
              <v:stroke joinstyle="miter"/>
              <v:path gradientshapeok="t" o:connecttype="rect"/>
            </v:shapetype>
            <v:shape id="Text Box 1" o:spid="_x0000_s1028" type="#_x0000_t202" alt="Title:  - Description: Utilisation réguliè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75D7F"/>
    <w:rsid w:val="0039256B"/>
    <w:rsid w:val="00401970"/>
    <w:rsid w:val="0043596C"/>
    <w:rsid w:val="0044682E"/>
    <w:rsid w:val="004659D5"/>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14A7D"/>
    <w:rsid w:val="00A3337B"/>
    <w:rsid w:val="00A432C8"/>
    <w:rsid w:val="00A6002C"/>
    <w:rsid w:val="00A67864"/>
    <w:rsid w:val="00A90A72"/>
    <w:rsid w:val="00AA1613"/>
    <w:rsid w:val="00AB0BA2"/>
    <w:rsid w:val="00AB6A6C"/>
    <w:rsid w:val="00AD0956"/>
    <w:rsid w:val="00AD1D5D"/>
    <w:rsid w:val="00AD72B8"/>
    <w:rsid w:val="00B411CC"/>
    <w:rsid w:val="00B71F25"/>
    <w:rsid w:val="00BC79BB"/>
    <w:rsid w:val="00BF0CDE"/>
    <w:rsid w:val="00C63973"/>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3.xml><?xml version="1.0" encoding="utf-8"?>
<ds:datastoreItem xmlns:ds="http://schemas.openxmlformats.org/officeDocument/2006/customXml" ds:itemID="{BE24C73D-0AAC-4F45-AF2F-403F2B18588C}"/>
</file>

<file path=customXml/itemProps4.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2120</Words>
  <Characters>11830</Characters>
  <Application>Microsoft Office Word</Application>
  <DocSecurity>0</DocSecurity>
  <Lines>268</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2025-01-27T09:59:00Z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2025-01-27T09:59:35Z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35667f4e-a4f4-48bd-b30d-7b45e79ac4b1</vt:lpwstr>
  </property>
  <property fmtid="{D5CDD505-2E9C-101B-9397-08002B2CF9AE}" pid="9" name="MSIP_Label_6bd9ddd1-4d20-43f6-abfa-fc3c07406f94_ContentBits">
    <vt:lpwstr>0</vt:lpwstr>
  </property>
</Properties>
</file>