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C7955" w14:textId="77777777" w:rsidR="00E21249" w:rsidRDefault="00E21249" w:rsidP="00E21249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HU</w:t>
      </w:r>
    </w:p>
    <w:p w14:paraId="31477444" w14:textId="77777777" w:rsidR="00E21249" w:rsidRDefault="00E21249" w:rsidP="00E21249">
      <w:pPr>
        <w:rPr>
          <w:rFonts w:asciiTheme="minorHAnsi" w:hAnsiTheme="minorHAnsi"/>
          <w:sz w:val="22"/>
        </w:rPr>
      </w:pPr>
    </w:p>
    <w:p w14:paraId="4F5FBDAA" w14:textId="325443EF" w:rsidR="00C87CEE" w:rsidRPr="00F4528F" w:rsidRDefault="009F0F81" w:rsidP="00D64B66">
      <w:pPr>
        <w:pStyle w:val="Titrearticle"/>
        <w:keepNext w:val="0"/>
        <w:outlineLvl w:val="0"/>
        <w:rPr>
          <w:i w:val="0"/>
        </w:rPr>
      </w:pPr>
      <w:r>
        <w:rPr>
          <w:i w:val="0"/>
        </w:rPr>
        <w:t xml:space="preserve">VII. MELLÉKLET</w:t>
      </w:r>
    </w:p>
    <w:p w14:paraId="26FC133A" w14:textId="59A74890" w:rsidR="00C87CEE" w:rsidRPr="00F4528F" w:rsidRDefault="00713F52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ÚTMUTATÓ AZ INGATLANNAL FEDEZETT HITELEZÉSBŐL SZÁRMAZÓ VESZTESÉGEKRE VONATKOZÓ ADATSZOLGÁLTATÁSHOZ</w:t>
      </w:r>
    </w:p>
    <w:p w14:paraId="2F7A6433" w14:textId="77777777" w:rsidR="00502390" w:rsidRPr="00F4528F" w:rsidRDefault="00502390" w:rsidP="00C87CEE">
      <w:pPr>
        <w:jc w:val="center"/>
        <w:rPr>
          <w:rFonts w:ascii="Times New Roman" w:hAnsi="Times New Roman"/>
          <w:b/>
          <w:sz w:val="24"/>
          <w:lang w:eastAsia="de-DE"/>
        </w:rPr>
        <w:sectPr w:rsidR="00502390" w:rsidRPr="00F4528F" w:rsidSect="00E577B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0562C0FD" w14:textId="3EA9A525" w:rsidR="00C87CE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Ez a melléklet a rendelet VI. mellékletében szereplő táblákkal kapcsolatos útmutatót tartalmaz.</w:t>
      </w:r>
    </w:p>
    <w:p w14:paraId="38924FD3" w14:textId="36DF2FD0" w:rsidR="00013EF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 rendelet II. mellékletének I. részében szereplő általános útmutató szintén alkalmazandó.</w:t>
      </w:r>
    </w:p>
    <w:p w14:paraId="600D280B" w14:textId="77777777" w:rsidR="00325A59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Az adatszolgáltatás hatálya</w:t>
      </w:r>
    </w:p>
    <w:p w14:paraId="359D7D30" w14:textId="4FEFDEC0" w:rsidR="000907F9" w:rsidRPr="008A4E00" w:rsidRDefault="001E7A23" w:rsidP="002B6F88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Azon intézményeknek, amelyek az 575/2013/EU rendelet harmadik része II. címének alkalmazásában ingatlant használnak, az 575/2013/EU rendelet 430a. cikke (1) bekezdésének megfelelően kell adatot szolgáltatniuk.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11A2B1D6" w14:textId="4041595C" w:rsidR="00FA5CA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 tábla minden olyan nemzeti piacot lefed, ahol az intézmény/intézménycsoport kitettséggel rendelkezik (lásd az 575/2013/EU rendelet 430a. cikkének (1) bekezdését).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430a. cikk (2) bekezdése harmadik mondatának megfelelően az Unión belüli minden egyes ingatlanpiac vonatkozásában külön kell adatot szolgáltatni.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298D1BC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Fogalommeghatározások</w:t>
      </w:r>
    </w:p>
    <w:p w14:paraId="2570AF77" w14:textId="02CB4066" w:rsidR="00373A7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„Veszteség”: az 575/2013/EU rendelet 5. cikkének 2. pontjában meghatározottak szerinti veszteség, beleértve a lízingelt ingatlanból származó veszteségeket is.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Style w:val="InstructionsTabelleText"/>
          <w:rFonts w:ascii="Times New Roman" w:hAnsi="Times New Roman"/>
        </w:rPr>
        <w:t xml:space="preserve">Az egyéb forrásokból (pl. bankgaranciákból, életbiztosításból stb.) származó megtérülések nem jeleníthetők meg veszteséget csökkentő tényezőként az ingatlanból származó veszteség számításánál.</w:t>
      </w:r>
      <w:r>
        <w:rPr>
          <w:sz w:val="24"/>
          <w:u w:val="none"/>
          <w:rStyle w:val="InstructionsTabelleText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Valamely pozíció vesztesége nem számolható el egy sikeresen megtérült másik pozíció nyereségével szemben.</w:t>
      </w:r>
    </w:p>
    <w:p w14:paraId="6F0824D8" w14:textId="0A599737" w:rsidR="00920D6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6.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 gazdasági veszteség kiszámításánál az adatszolgáltatás napján fennálló kitettségértékből kell kiindulni, és annak legalább a következőket kell tartalmaznia: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i. a biztosíték érvényesítéséből származó bevételek;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ii. a közvetlen költségek (beleértve a kamatfizetéseket és a biztosíték érvényesítéséhez kapcsolódó behajtás költségeit);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és iii. a közvetett költségek (beleértve a kintlévőség-kezelési egység működési költségeit).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Minden elemet diszkontálni kell az adatszolgáltatás vonatkozási napjára.</w:t>
      </w:r>
    </w:p>
    <w:p w14:paraId="267A70A6" w14:textId="1C8033F6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7.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 kitettségértéket az 575/2013/EU rendelet harmadik részének II. címében rögzített szabályok szerint kell meghatározni (a sztenderd módszer szerint működő intézmények esetében lásd a 2. fejezetet, míg az IRB-módszer szerint működő intézmények esetében a 3. fejezetet).</w:t>
      </w:r>
    </w:p>
    <w:p w14:paraId="424065A6" w14:textId="1475E130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8.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Az ingatlanértéket az 575/2013/EU rendelet </w:t>
      </w:r>
      <w:r>
        <w:rPr>
          <w:sz w:val="24"/>
          <w:rStyle w:val="InstructionsTabelleText"/>
          <w:rFonts w:ascii="Times New Roman" w:hAnsi="Times New Roman"/>
        </w:rPr>
        <w:t xml:space="preserve">4. cikke (1) bekezdése 74a. pontjának </w:t>
      </w:r>
      <w:r>
        <w:rPr>
          <w:sz w:val="24"/>
          <w:u w:val="none"/>
          <w:rFonts w:ascii="Times New Roman" w:hAnsi="Times New Roman"/>
        </w:rPr>
        <w:t xml:space="preserve">megfelelően kell meghatározni.</w:t>
      </w:r>
    </w:p>
    <w:p w14:paraId="3B8866E0" w14:textId="623D5995" w:rsidR="00840FC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9.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Devizahatás: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az összegeket az adatszolgáltatás időpontjában érvényes árfolyammal kell átváltani az adatszolgáltatás pénznemére.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Továbbá, a gazdasági veszteségekre vonatkozó becsléseknek figyelembe kell venniük a devizahatást, ha a kitettség vagy a biztosíték más pénznemben denominált.</w:t>
      </w:r>
    </w:p>
    <w:p w14:paraId="7ADF637B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Földrajzi megoszlás</w:t>
      </w:r>
    </w:p>
    <w:p w14:paraId="66F86A28" w14:textId="68A51B3F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10.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Az intézményeknek a következő táblákat kell kitölteniük:</w:t>
      </w:r>
    </w:p>
    <w:p w14:paraId="630D5FC3" w14:textId="77777777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a)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egy összesítő tábla</w:t>
      </w:r>
    </w:p>
    <w:p w14:paraId="131FB6E0" w14:textId="21132544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b)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külön tábla az Unión belüli minden olyan nemzeti piac vonatkozásában, ahol az intézmény kitettséggel rendelkezik, továbbá</w:t>
      </w:r>
    </w:p>
    <w:p w14:paraId="42B76C97" w14:textId="76897253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c)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egy, az Unión kívüli minden olyan nemzeti piac adatát összesítő tábla, ahol az intézmény kitettséggel rendelkezik.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11CDC60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Kitettségekre és veszteségekre vonatkozó adatszolgáltatás</w:t>
      </w:r>
    </w:p>
    <w:p w14:paraId="7DA3503A" w14:textId="02BE28D2" w:rsidR="007E3047" w:rsidRDefault="001E7A23" w:rsidP="00E27BC7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 kitettségeket és veszteségeket a következőképpen kell feltüntetni:</w:t>
      </w:r>
    </w:p>
    <w:p w14:paraId="0806F39A" w14:textId="47B78A1A" w:rsidR="00E27BC7" w:rsidRDefault="00415BAF" w:rsidP="00E11A0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0010-es oszlop: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430a. cikk (1) bekezdésének a) és d) pontja szerint megadott veszteségek az olyan kitettségekből eredő veszteségek, amelyekre vonatkozóan az intézmény elismert lakóingatlan-, vagy kereskedelmiingatlan-biztosítékkal rendelkezik, minden egyes esetben a jelzáloggal terhelt összeg és az ingatlanérték 55 %-a közül az alacsonyabb összegig, kivéve, ha adott esetben a 124. cikk (9) bekezdése alapján ettől eltérő határozat született.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veszteségek az 575/2013/EU rendelet harmadik részének II. címében előírt szabályokkal összhangban meghatározott kitettségekből erednek.</w:t>
      </w:r>
    </w:p>
    <w:p w14:paraId="0DBC1AB6" w14:textId="20D2E23B" w:rsidR="00E27BC7" w:rsidRDefault="00CE73B0" w:rsidP="00E11A0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0030-as oszlop: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430a. cikk (1) bekezdésének b) és e) pontja szerint megadott veszteségek az olyan kitettségekből eredő veszteségek, amelyekre vonatkozóan az intézmény elismert lakóingatlan-, vagy kereskedelmiingatlan-biztosítékkal rendelkezik, minden egyes esetben a jelzáloggal terhelt összeg és az ingatlanérték 100 %-a közül az alacsonyabb összegig.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veszteségek az 575/2013/EU rendelet harmadik részének II. címében előírt szabályokkal összhangban meghatározott kitettségekből erednek.</w:t>
      </w:r>
    </w:p>
    <w:p w14:paraId="2C15211F" w14:textId="47254851" w:rsidR="009E21CF" w:rsidRPr="00820370" w:rsidRDefault="00CE73B0" w:rsidP="00E11A0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0050-es oszlop: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430a. cikk (1) bekezdésének c) és f) pontja szerint megadott kitettségérték olyan, fennálló kitettségekre vonatkozik, amelyek esetében a bank elismert lakóingatlan-, vagy kereskedelmiingatlan-biztosítékkal rendelkezik, minden egyes esetben a jelzáloggal terhelt összeg és az ingatlanérték 100 %-a közül az alacsonyabb összegig.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kitettségértékek meghatározása az 575/2013/EU rendelet harmadik részének II. címében előírt szabályokkal összhangban történik.</w:t>
      </w:r>
    </w:p>
    <w:p w14:paraId="75C4E60E" w14:textId="2244A615" w:rsidR="003F65EC" w:rsidRDefault="00DD2656" w:rsidP="00DD6D4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A C 15.00 táblában kell megadni minden olyan, lakóingatlannal vagy kereskedelmi ingatlannal fedezett kitettséget, amely az 575/2013/EU rendelet harmadik részének II. címében foglalt követelmények hatálya alá tartozik, és amely esetében a biztosíték elismerése a kockázattal súlyozott kitettségérték csökkentését eredményezné, még akkor is, ha az illetékes vagy kijelölt hatóság határozata – a 124. cikk (9) bekezdésének alkalmazásakor – felülírja a csökkentést.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Ez azt is jelenti, hogy nem kell megadni az érintett kitettségeket és veszteségeket abban az esetben, ha az ingatlan kockázatmérséklő hatását kizárólag belső célokra (pl. a 2. pillér keretében) vagy nagy kitettségekre (lásd az 575/2013/EU rendelet negyedik részét) használják.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Konkrétan, az 575/2013/EU rendelet 124. cikkének (1) bekezdése szerinti kitettségeket nem kell feltüntetni.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kitettségről akkor is adatot kell szolgáltatni, ha nemteljesítővé vált.</w:t>
      </w:r>
    </w:p>
    <w:p w14:paraId="355D0107" w14:textId="405B1CCF" w:rsidR="008C6A88" w:rsidRPr="008A4E00" w:rsidRDefault="004C41D1" w:rsidP="00DD6D4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A 124. cikk (9) bekezdésének alkalmazása esetén az 575/2013/EU rendelet 430a. cikke (1) bekezdésének a) és d) pontja szerinti adatokat a kiigazított referenciaarányoknak megfelelően kell megadni a 0010-es oszlopban, ha sor került kiigazításra.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0030–0050-es oszlopban az adatokat a 430a. cikk (1) bekezdésének b), c), e) és f) pontja szerint kell megadni.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476B3438" w14:textId="4EA61BBD" w:rsidR="000471B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Veszteségek: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veszteségeket az adatszolgáltatási időszak végén kitettséggel rendelkező intézménynek kell jelentenie.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veszteségeket a céltartalékok számviteli szabályok szerinti lekönyvelésekor kell jelenteni.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Fel kell tüntetni a becsült veszteségeket is.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Az ingatlannal fedezett kitettségekből származó veszteségeket minden egyes hitelre vonatkozóan ki kell számítani és adatszolgáltatási célból összesíteni kell.</w:t>
      </w:r>
    </w:p>
    <w:p w14:paraId="76BF16A4" w14:textId="30BD44C0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Vonatkozási időpont: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vonatkozási időpontban érvényes nemteljesítéskori kitettségértéket kell használni.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Az adatszolgáltatási időszak alatt nemteljesítővé váló kitettségekre a nemteljesítéskori kitettségértéket kell használni.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Az elmúlt időszakok alatt nemteljesítővé vált kitettségekre a vonatkozási időpontban érvényes kitettségértéket kell használni.</w:t>
      </w:r>
    </w:p>
    <w:p w14:paraId="1BD48AAA" w14:textId="4601E799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bCs/>
          <w:sz w:val="24"/>
          <w:szCs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a)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Az ingatlannal fedezett hitelek adatszolgáltatási időszak alatt bekövetkezett valamennyi nemteljesítésének veszteségét jelenteni kell függetlenül attól, hogy a behajtás lezárult-e.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december 31-én jelentett veszteségadatoknak a teljes naptári évre kell vonatkozniuk.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43D8639D" w14:textId="4DBF6D57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bCs/>
          <w:sz w:val="24"/>
          <w:szCs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b)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Az adatszolgáltatási időszak alatt bekövetkező minden nemteljesítésre három forgatókönyv létezik: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i. a nemteljesítő hitel átstrukturálható úgy, hogy azt ne nemteljesítőként kezeljük (veszteség nem jelentkezett);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ii. minden biztosíték érvényesítése megtörtént (lezárult behajtás, a tényleges veszteség ismert);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vagy iii. le nem zárult behajtás (veszteségbecslést kell használni).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veszteségre vonatkozó adatszolgáltatás csak a ii. forgatókönyv – biztosíték érvényesítése (bekövetkezett veszteség) és a iii. forgatókönyv – le nem zárult behajtás (veszteségbecslés) veszteségeit tartalmazza.</w:t>
      </w:r>
    </w:p>
    <w:p w14:paraId="5F725F4A" w14:textId="7B7604AC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bCs/>
          <w:sz w:val="24"/>
          <w:szCs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c)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Mivel csak az adatszolgáltatási időszak alatt nemteljesítővé váló kitettségekből származó veszteségeket kell jelenteni, az elmúlt adatszolgáltatási időszakok alatt nemteljesítővé vált kitettségeken keletkező veszteségek változásait az adatszolgáltatás adatai nem tükrözik, tehát a biztosíték érvényesítéséből egy későbbi adatszolgáltatási időszak alatt származó bevételeket vagy a korábban becsültnél alacsonyabb realizált költségeket nem kell jelenteni.</w:t>
      </w:r>
    </w:p>
    <w:p w14:paraId="41BE913E" w14:textId="23CFCE93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u w:val="none"/>
          <w:sz w:val="24"/>
          <w:rFonts w:ascii="Times New Roman" w:hAnsi="Times New Roman"/>
        </w:rPr>
        <w:t xml:space="preserve">14.</w:t>
      </w:r>
      <w:r>
        <w:rPr>
          <w:u w:val="none"/>
          <w:sz w:val="24"/>
          <w:rFonts w:ascii="Times New Roman" w:hAnsi="Times New Roman"/>
        </w:rPr>
        <w:tab/>
      </w:r>
      <w:r>
        <w:rPr>
          <w:u w:val="none"/>
          <w:sz w:val="24"/>
          <w:rFonts w:ascii="Times New Roman" w:hAnsi="Times New Roman"/>
        </w:rPr>
        <w:t xml:space="preserve">Az ingatlanértékelés szerepe: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a kitettségek ingatlanra bejegyzett zálogjoggal fedezett részének feltüntetéséhez a kitettség nemteljesítésének napját mint vonatkozási időpontot megelőző legfrissebb ingatlanértékelést kell figyelembe venni.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A nemteljesítés után az ingatlan újraértékelhető.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Ez az új érték azonban nem vehető figyelembe a kitettség eredetileg – </w:t>
      </w:r>
      <w:r>
        <w:rPr>
          <w:u w:val="none"/>
          <w:sz w:val="24"/>
          <w:rStyle w:val="InstructionsTabelleText"/>
          <w:rFonts w:ascii="Times New Roman" w:hAnsi="Times New Roman"/>
        </w:rPr>
        <w:t xml:space="preserve">a jelzáloggal terhelt összeg és az ingatlanérték 55 %-a közül az alacsonyabb összegig – fedezett részének</w:t>
      </w:r>
      <w:r>
        <w:rPr>
          <w:u w:val="none"/>
          <w:sz w:val="24"/>
          <w:rFonts w:ascii="Times New Roman" w:hAnsi="Times New Roman"/>
        </w:rPr>
        <w:t xml:space="preserve"> meghatározása szempontjából, kivéve, ha az 575/2013/EU rendelet 124. cikkének (9) bekezdése alapján ettől eltérő határozat született.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Az ingatlan új értékét azonban a gazdasági veszteség jelentésekor figyelembe kell venni (a csökkent ingatlanérték a gazdasági költségek részét képezi).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Másképp fogalmazva: a nemteljesítés időpontja előtti legutolsó ingatlanértékelést kell használni annak meghatározására, hogy a veszteség mely részét kell a 0010-es oszlopban szerepeltetni, a jelentendő összeghez tartozó újraértékelt ingatlanértéket (a biztosíték esetleges behajtásából származó bevétel becslése) pedig a 0010-es és 0030-as oszlopban kell feltüntetni.</w:t>
      </w:r>
    </w:p>
    <w:p w14:paraId="46D6DEED" w14:textId="77777777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A követelések átruházásának kezelése az adatszolgáltatási időszak alatt: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a veszteségeket az adatszolgáltatási időszak végén kitettséggel rendelkező intézménynek kell jelentenie, de csak akkor, ha az adott kitettség vonatkozásában nemteljesítést tártak fel.</w:t>
      </w:r>
    </w:p>
    <w:p w14:paraId="3C32F70D" w14:textId="77777777" w:rsidR="00713F52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bookmarkStart w:id="2" w:name="_Toc310008820"/>
      <w:r>
        <w:rPr>
          <w:sz w:val="24"/>
          <w:u w:val="none"/>
          <w:rFonts w:ascii="Times New Roman" w:hAnsi="Times New Roman"/>
        </w:rPr>
        <w:t xml:space="preserve">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tábla egyes részeire vonatkozó útmutató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4C8BAF1E" w14:textId="77777777" w:rsidTr="00165232">
        <w:tc>
          <w:tcPr>
            <w:tcW w:w="8856" w:type="dxa"/>
            <w:gridSpan w:val="2"/>
            <w:shd w:val="clear" w:color="auto" w:fill="CCCCCC"/>
          </w:tcPr>
          <w:p w14:paraId="0A3C761B" w14:textId="77777777" w:rsidR="00713F52" w:rsidRPr="008A4E00" w:rsidRDefault="00713F52" w:rsidP="00A6020A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Oszlopok</w:t>
            </w:r>
          </w:p>
        </w:tc>
      </w:tr>
      <w:tr w:rsidR="00713F52" w:rsidRPr="00F4528F" w14:paraId="65785922" w14:textId="77777777" w:rsidTr="00165232">
        <w:tc>
          <w:tcPr>
            <w:tcW w:w="852" w:type="dxa"/>
          </w:tcPr>
          <w:p w14:paraId="25C9EC6A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4E7F622B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referenciaarányokig történő hitelezésből származó veszteségek összege</w:t>
            </w:r>
          </w:p>
          <w:p w14:paraId="07E5E64A" w14:textId="2F881E1B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Az 575/2013/EU rendelet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430a. cikke (1) bekezdésének a) és d) pontja, értelemszerűen.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19C0501E" w14:textId="00748038" w:rsidR="000471B0" w:rsidRPr="008A4E00" w:rsidRDefault="00A30A3F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Ingatlanérték 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4. cikke (1) bekezdésének 74a. pontja szerint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  <w:p w14:paraId="01CE6153" w14:textId="48C64144" w:rsidR="000471B0" w:rsidRPr="00F67747" w:rsidRDefault="00D87924" w:rsidP="00C60BE1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Ez az oszlop az olyan kitettségekből eredő összes veszteséget összesíti, amelyekre vonatkozóan az intézmény elismert lakóingatlan-, vagy kereskedelmiingatlan-biztosítékkal rendelkezik, minden egyes esetben a jelzáloggal terhelt összeg és az ingatlanérték 55 %-a közül az alacsonyabb összegig,</w:t>
            </w:r>
            <w:r>
              <w:rPr>
                <w:rStyle w:val="InstructionsTabelleText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kivéve, ha adott esetben a 124. cikk (9) bekezdése alapján ettől eltérő határozat született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</w:tc>
      </w:tr>
      <w:tr w:rsidR="00713F52" w:rsidRPr="00F4528F" w14:paraId="1CB24F02" w14:textId="77777777" w:rsidTr="00165232">
        <w:tc>
          <w:tcPr>
            <w:tcW w:w="852" w:type="dxa"/>
          </w:tcPr>
          <w:p w14:paraId="6FC3B1A8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004" w:type="dxa"/>
          </w:tcPr>
          <w:p w14:paraId="41837ECE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 teljes veszteség összege</w:t>
            </w:r>
          </w:p>
          <w:p w14:paraId="7CD90D4F" w14:textId="4EFAFAF3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430a. cikke (1) bekezdésének b), illetve e) pontja</w:t>
            </w:r>
            <w:r>
              <w:rPr>
                <w:sz w:val="24"/>
                <w:rFonts w:ascii="Times New Roman" w:hAnsi="Times New Roman"/>
              </w:rPr>
              <w:t xml:space="preserve">;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ingatlanérték 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74a. pontja szerint.</w:t>
            </w:r>
          </w:p>
          <w:p w14:paraId="2DE09B4B" w14:textId="2B3BA46D" w:rsidR="004E748D" w:rsidRPr="00F402D0" w:rsidRDefault="00713F52" w:rsidP="00C60BE1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Ez az oszlop az olyan kitettségekből eredő összes veszteséget összesíti, amelyekre vonatkozóan az intézmény elismert lakóingatlan-, vagy kereskedelmiingatlan-biztosítékkal rendelkezik, minden egyes esetben a jelzáloggal terhelt összeg és az ingatlanérték 100 %-a közül az alacsonyabb összegig.</w:t>
            </w:r>
          </w:p>
        </w:tc>
      </w:tr>
      <w:tr w:rsidR="00713F52" w:rsidRPr="00F4528F" w14:paraId="348F65B2" w14:textId="77777777" w:rsidTr="00165232">
        <w:tc>
          <w:tcPr>
            <w:tcW w:w="852" w:type="dxa"/>
          </w:tcPr>
          <w:p w14:paraId="3DB16A06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004" w:type="dxa"/>
          </w:tcPr>
          <w:p w14:paraId="5A3D4AC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Kitettségek összege</w:t>
            </w:r>
          </w:p>
          <w:p w14:paraId="7C6ADC5B" w14:textId="3D42E377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430a. cikke (1) bekezdésének c) és f) pontja.</w:t>
            </w:r>
          </w:p>
          <w:p w14:paraId="59F027DB" w14:textId="5CBC3927" w:rsidR="00206DF5" w:rsidRDefault="00DC5657" w:rsidP="00A6020A">
            <w:pPr>
              <w:spacing w:beforeLines="60" w:before="144" w:afterLines="60" w:after="144"/>
              <w:jc w:val="left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Azon kitettségek kitettségértéke, amelyekre vonatkozóan a bank elismert lakóingatlan-, vagy kereskedelmiingatlan-biztosítékkal rendelkezik, minden egyes esetben a jelzáloggal terhelt összeg és az ingatlanérték 100 %-a közül az alacsonyabb összegig.</w:t>
            </w:r>
          </w:p>
          <w:p w14:paraId="1CF31593" w14:textId="7B1602CE" w:rsidR="00A122F8" w:rsidRPr="008A4E00" w:rsidRDefault="00A122F8" w:rsidP="000D2664">
            <w:pPr>
              <w:spacing w:beforeLines="60" w:before="144" w:afterLines="60" w:after="144"/>
              <w:jc w:val="left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Nemteljesítés esetén az időszak alatt nemteljesítővé váló kitettségek vonatkozásában a nemteljesítést közvetlenül megelőző kitettségértéket, az elmúlt időszakokban nemteljesítővé váló kitettségek vonatkozásában pedig a vonatkozási időpontban érvényes kitettségértéket kell feltüntetni.</w:t>
            </w:r>
          </w:p>
        </w:tc>
      </w:tr>
    </w:tbl>
    <w:p w14:paraId="7C3D2777" w14:textId="77777777" w:rsidR="00713F52" w:rsidRPr="008A4E00" w:rsidRDefault="00713F52" w:rsidP="00713F52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5341D98E" w14:textId="77777777" w:rsidTr="00165232">
        <w:tc>
          <w:tcPr>
            <w:tcW w:w="8856" w:type="dxa"/>
            <w:gridSpan w:val="2"/>
            <w:shd w:val="clear" w:color="auto" w:fill="CCCCCC"/>
          </w:tcPr>
          <w:p w14:paraId="511FFD36" w14:textId="77777777" w:rsidR="00713F52" w:rsidRPr="008A4E00" w:rsidRDefault="00713F52" w:rsidP="00A6020A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Sorok</w:t>
            </w:r>
          </w:p>
        </w:tc>
      </w:tr>
      <w:tr w:rsidR="00713F52" w:rsidRPr="00F4528F" w14:paraId="4992A2CA" w14:textId="77777777" w:rsidTr="00165232">
        <w:tc>
          <w:tcPr>
            <w:tcW w:w="852" w:type="dxa"/>
          </w:tcPr>
          <w:p w14:paraId="20440DBB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6DCF7D0C" w14:textId="77777777" w:rsidR="000471B0" w:rsidRDefault="00F76469" w:rsidP="00F7646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Lakóingatlan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BFD2574" w14:textId="2863C850" w:rsidR="00835C71" w:rsidRPr="008A4E00" w:rsidRDefault="00835C71" w:rsidP="00F76469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b w:val="0"/>
                <w:rFonts w:ascii="Times New Roman" w:hAnsi="Times New Roman"/>
              </w:rPr>
              <w:t xml:space="preserve">Az 575/2013/EU rendelet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4. cikke (1) bekezdése 75. pontjának fogalommeghatározása szerinti lakóingatlan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.</w:t>
            </w:r>
          </w:p>
        </w:tc>
      </w:tr>
      <w:tr w:rsidR="00713F52" w:rsidRPr="00F4528F" w14:paraId="738518EC" w14:textId="77777777" w:rsidTr="00165232">
        <w:tc>
          <w:tcPr>
            <w:tcW w:w="852" w:type="dxa"/>
          </w:tcPr>
          <w:p w14:paraId="197BFC72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8004" w:type="dxa"/>
          </w:tcPr>
          <w:p w14:paraId="7BAFC089" w14:textId="77777777" w:rsidR="00A50938" w:rsidRDefault="00F76469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Kereskedelmi ingatlan</w:t>
            </w:r>
          </w:p>
          <w:p w14:paraId="44906BD1" w14:textId="55C01692" w:rsidR="000471B0" w:rsidRPr="008A4E00" w:rsidRDefault="00F76469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575/2013/EU rendelet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 4. cikke (1) bekezdése 75a. pontjának fogalommeghatározása szerinti kereskedelmi ingatlan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.</w:t>
            </w:r>
          </w:p>
        </w:tc>
      </w:tr>
      <w:bookmarkEnd w:id="0"/>
      <w:bookmarkEnd w:id="1"/>
      <w:bookmarkEnd w:id="2"/>
    </w:tbl>
    <w:p w14:paraId="541A1A6E" w14:textId="77777777" w:rsidR="00D92396" w:rsidRPr="008A4E00" w:rsidRDefault="00D92396" w:rsidP="00713F5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</w:p>
    <w:sectPr w:rsidR="00D92396" w:rsidRPr="008A4E00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82589" w14:textId="77777777" w:rsidR="00640FF8" w:rsidRDefault="00640FF8" w:rsidP="00D946DB">
      <w:pPr>
        <w:spacing w:before="0" w:after="0"/>
      </w:pPr>
      <w:r>
        <w:separator/>
      </w:r>
    </w:p>
  </w:endnote>
  <w:endnote w:type="continuationSeparator" w:id="0">
    <w:p w14:paraId="233F7309" w14:textId="77777777" w:rsidR="00640FF8" w:rsidRDefault="00640FF8" w:rsidP="00D946DB">
      <w:pPr>
        <w:spacing w:before="0" w:after="0"/>
      </w:pPr>
      <w:r>
        <w:continuationSeparator/>
      </w:r>
    </w:p>
  </w:endnote>
  <w:endnote w:type="continuationNotice" w:id="1">
    <w:p w14:paraId="5839C73F" w14:textId="77777777" w:rsidR="00640FF8" w:rsidRDefault="00640F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98FD0" w14:textId="77777777" w:rsidR="00422064" w:rsidRDefault="005D254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20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8ED0D7" w14:textId="77777777" w:rsidR="00422064" w:rsidRDefault="004220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845FA" w14:textId="62FC12DF" w:rsidR="00422064" w:rsidRDefault="005D254B">
    <w:pPr>
      <w:pStyle w:val="Footer"/>
      <w:tabs>
        <w:tab w:val="left" w:pos="8640"/>
      </w:tabs>
      <w:ind w:right="6"/>
      <w:jc w:val="right"/>
    </w:pPr>
    <w:r>
      <w:rPr>
        <w:rStyle w:val="PageNumber"/>
        <w:rFonts w:cs="Verdana"/>
      </w:rPr>
      <w:fldChar w:fldCharType="begin"/>
    </w:r>
    <w:r w:rsidR="00422064">
      <w:rPr>
        <w:rStyle w:val="PageNumber"/>
        <w:rFonts w:cs="Verdana"/>
      </w:rPr>
      <w:instrText xml:space="preserve">PAGE  </w:instrText>
    </w:r>
    <w:r>
      <w:rPr>
        <w:rStyle w:val="PageNumber"/>
        <w:rFonts w:cs="Verdana"/>
      </w:rPr>
      <w:fldChar w:fldCharType="separate"/>
    </w:r>
    <w:r w:rsidR="00FF5C6D">
      <w:rPr>
        <w:rStyle w:val="PageNumber"/>
        <w:rFonts w:cs="Verdana"/>
      </w:rPr>
      <w:t>5</w:t>
    </w:r>
    <w:r>
      <w:rPr>
        <w:rStyle w:val="PageNumber"/>
        <w:rFonts w:cs="Verda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5674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C63BD4" w14:textId="1A4F860A" w:rsidR="00D452AA" w:rsidRDefault="00D452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AC6">
          <w:t>1</w:t>
        </w:r>
        <w:r>
          <w:fldChar w:fldCharType="end"/>
        </w:r>
      </w:p>
    </w:sdtContent>
  </w:sdt>
  <w:p w14:paraId="61F2028A" w14:textId="77777777" w:rsidR="00A6020A" w:rsidRDefault="00A6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DC588" w14:textId="77777777" w:rsidR="00640FF8" w:rsidRDefault="00640FF8" w:rsidP="00D946DB">
      <w:pPr>
        <w:spacing w:before="0" w:after="0"/>
      </w:pPr>
      <w:r>
        <w:separator/>
      </w:r>
    </w:p>
  </w:footnote>
  <w:footnote w:type="continuationSeparator" w:id="0">
    <w:p w14:paraId="4D79FF37" w14:textId="77777777" w:rsidR="00640FF8" w:rsidRDefault="00640FF8" w:rsidP="00D946DB">
      <w:pPr>
        <w:spacing w:before="0" w:after="0"/>
      </w:pPr>
      <w:r>
        <w:continuationSeparator/>
      </w:r>
    </w:p>
  </w:footnote>
  <w:footnote w:type="continuationNotice" w:id="1">
    <w:p w14:paraId="399F63B9" w14:textId="77777777" w:rsidR="00640FF8" w:rsidRDefault="00640F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4EAA8" w14:textId="062CB9A6" w:rsidR="00D25D7E" w:rsidRDefault="00AE7099">
    <w:pPr>
      <w:pStyle w:val="Header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7CDABB71" wp14:editId="7572572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" name="Text Box 2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17A37D" w14:textId="36E7D23F" w:rsidR="00AE7099" w:rsidRPr="00AE7099" w:rsidRDefault="00AE7099" w:rsidP="00AE7099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DABB7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H – szokásos felhasználásra" style="position:absolute;left:0;text-align:left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517A37D" w14:textId="36E7D23F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6862A" w14:textId="201CB573" w:rsidR="00A6020A" w:rsidRDefault="00AE7099" w:rsidP="00E577B1">
    <w:pPr>
      <w:pStyle w:val="Header"/>
      <w:jc w:val="cent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0869C610" wp14:editId="4F40754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" name="Text Box 3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429FE0" w14:textId="4DFC2B24" w:rsidR="00AE7099" w:rsidRPr="00AE7099" w:rsidRDefault="00AE7099" w:rsidP="00AE7099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9C61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H – szokásos felhasználásra" style="position:absolute;left:0;text-align:left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3429FE0" w14:textId="4DFC2B24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HU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AD72C" w14:textId="7DBF2B83" w:rsidR="00D25D7E" w:rsidRDefault="00AE7099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9F548E3" wp14:editId="21030F7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" name="Text Box 1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F575C" w14:textId="64A70D7B" w:rsidR="00AE7099" w:rsidRPr="00AE7099" w:rsidRDefault="00AE7099" w:rsidP="00AE7099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54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H – szokásos felhasználásr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05F575C" w14:textId="64A70D7B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73D3853"/>
    <w:multiLevelType w:val="hybridMultilevel"/>
    <w:tmpl w:val="30522BE8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9B7337E"/>
    <w:multiLevelType w:val="hybridMultilevel"/>
    <w:tmpl w:val="65CCD6C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18233CA"/>
    <w:multiLevelType w:val="hybridMultilevel"/>
    <w:tmpl w:val="121E8CF0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4C71D7"/>
    <w:multiLevelType w:val="hybridMultilevel"/>
    <w:tmpl w:val="BC489BA8"/>
    <w:lvl w:ilvl="0" w:tplc="0809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BB79FB"/>
    <w:multiLevelType w:val="multilevel"/>
    <w:tmpl w:val="AB961BA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7370B5"/>
    <w:multiLevelType w:val="hybridMultilevel"/>
    <w:tmpl w:val="6552965A"/>
    <w:lvl w:ilvl="0" w:tplc="0809001B">
      <w:start w:val="1"/>
      <w:numFmt w:val="lowerRoman"/>
      <w:lvlText w:val="%1."/>
      <w:lvlJc w:val="righ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6C1A6AB9"/>
    <w:multiLevelType w:val="multilevel"/>
    <w:tmpl w:val="B4A6B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1627253">
    <w:abstractNumId w:val="0"/>
  </w:num>
  <w:num w:numId="2" w16cid:durableId="798644585">
    <w:abstractNumId w:val="19"/>
  </w:num>
  <w:num w:numId="3" w16cid:durableId="1024133282">
    <w:abstractNumId w:val="26"/>
  </w:num>
  <w:num w:numId="4" w16cid:durableId="1992908972">
    <w:abstractNumId w:val="14"/>
  </w:num>
  <w:num w:numId="5" w16cid:durableId="961426123">
    <w:abstractNumId w:val="22"/>
  </w:num>
  <w:num w:numId="6" w16cid:durableId="2133818245">
    <w:abstractNumId w:val="13"/>
  </w:num>
  <w:num w:numId="7" w16cid:durableId="138495051">
    <w:abstractNumId w:val="25"/>
  </w:num>
  <w:num w:numId="8" w16cid:durableId="2031376384">
    <w:abstractNumId w:val="4"/>
  </w:num>
  <w:num w:numId="9" w16cid:durableId="618881500">
    <w:abstractNumId w:val="20"/>
  </w:num>
  <w:num w:numId="10" w16cid:durableId="739792580">
    <w:abstractNumId w:val="11"/>
  </w:num>
  <w:num w:numId="11" w16cid:durableId="1574702319">
    <w:abstractNumId w:val="16"/>
  </w:num>
  <w:num w:numId="12" w16cid:durableId="292907557">
    <w:abstractNumId w:val="8"/>
  </w:num>
  <w:num w:numId="13" w16cid:durableId="635065301">
    <w:abstractNumId w:val="21"/>
  </w:num>
  <w:num w:numId="14" w16cid:durableId="2070495094">
    <w:abstractNumId w:val="18"/>
  </w:num>
  <w:num w:numId="15" w16cid:durableId="1490900145">
    <w:abstractNumId w:val="24"/>
  </w:num>
  <w:num w:numId="16" w16cid:durableId="2002273627">
    <w:abstractNumId w:val="10"/>
  </w:num>
  <w:num w:numId="17" w16cid:durableId="186867669">
    <w:abstractNumId w:val="15"/>
  </w:num>
  <w:num w:numId="18" w16cid:durableId="692345895">
    <w:abstractNumId w:val="9"/>
  </w:num>
  <w:num w:numId="19" w16cid:durableId="632297362">
    <w:abstractNumId w:val="23"/>
  </w:num>
  <w:num w:numId="20" w16cid:durableId="1526017383">
    <w:abstractNumId w:val="1"/>
  </w:num>
  <w:num w:numId="21" w16cid:durableId="1185287795">
    <w:abstractNumId w:val="6"/>
  </w:num>
  <w:num w:numId="22" w16cid:durableId="526065923">
    <w:abstractNumId w:val="3"/>
  </w:num>
  <w:num w:numId="23" w16cid:durableId="1553075888">
    <w:abstractNumId w:val="12"/>
  </w:num>
  <w:num w:numId="24" w16cid:durableId="474299294">
    <w:abstractNumId w:val="21"/>
  </w:num>
  <w:num w:numId="25" w16cid:durableId="89858312">
    <w:abstractNumId w:val="21"/>
  </w:num>
  <w:num w:numId="26" w16cid:durableId="1371304306">
    <w:abstractNumId w:val="21"/>
  </w:num>
  <w:num w:numId="27" w16cid:durableId="713700720">
    <w:abstractNumId w:val="21"/>
  </w:num>
  <w:num w:numId="28" w16cid:durableId="320695268">
    <w:abstractNumId w:val="17"/>
  </w:num>
  <w:num w:numId="29" w16cid:durableId="1538926268">
    <w:abstractNumId w:val="5"/>
  </w:num>
  <w:num w:numId="30" w16cid:durableId="1999142083">
    <w:abstractNumId w:val="2"/>
  </w:num>
  <w:num w:numId="31" w16cid:durableId="2070807001">
    <w:abstractNumId w:val="21"/>
  </w:num>
  <w:num w:numId="32" w16cid:durableId="1536692119">
    <w:abstractNumId w:val="21"/>
  </w:num>
  <w:num w:numId="33" w16cid:durableId="1935822808">
    <w:abstractNumId w:val="21"/>
  </w:num>
  <w:num w:numId="34" w16cid:durableId="1916696446">
    <w:abstractNumId w:val="21"/>
  </w:num>
  <w:num w:numId="35" w16cid:durableId="579212693">
    <w:abstractNumId w:val="21"/>
  </w:num>
  <w:num w:numId="36" w16cid:durableId="500699256">
    <w:abstractNumId w:val="21"/>
  </w:num>
  <w:num w:numId="37" w16cid:durableId="313922558">
    <w:abstractNumId w:val="7"/>
  </w:num>
  <w:num w:numId="38" w16cid:durableId="53713351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84FEB"/>
    <w:rsid w:val="000020E5"/>
    <w:rsid w:val="00004535"/>
    <w:rsid w:val="00004FE8"/>
    <w:rsid w:val="00005765"/>
    <w:rsid w:val="00005FFC"/>
    <w:rsid w:val="0000647C"/>
    <w:rsid w:val="000078BB"/>
    <w:rsid w:val="00007D0D"/>
    <w:rsid w:val="00011BD0"/>
    <w:rsid w:val="00013EF3"/>
    <w:rsid w:val="00014890"/>
    <w:rsid w:val="00020A6B"/>
    <w:rsid w:val="000232E2"/>
    <w:rsid w:val="000243CE"/>
    <w:rsid w:val="00025213"/>
    <w:rsid w:val="0002657F"/>
    <w:rsid w:val="00027242"/>
    <w:rsid w:val="000308EC"/>
    <w:rsid w:val="000326C1"/>
    <w:rsid w:val="000326ED"/>
    <w:rsid w:val="00037093"/>
    <w:rsid w:val="000471B0"/>
    <w:rsid w:val="0005400A"/>
    <w:rsid w:val="0005609F"/>
    <w:rsid w:val="00057362"/>
    <w:rsid w:val="0006041B"/>
    <w:rsid w:val="0006070B"/>
    <w:rsid w:val="00061381"/>
    <w:rsid w:val="00061E48"/>
    <w:rsid w:val="00063085"/>
    <w:rsid w:val="00072201"/>
    <w:rsid w:val="000752C0"/>
    <w:rsid w:val="00076091"/>
    <w:rsid w:val="00076252"/>
    <w:rsid w:val="00076880"/>
    <w:rsid w:val="000828C6"/>
    <w:rsid w:val="00084E48"/>
    <w:rsid w:val="0008513B"/>
    <w:rsid w:val="000858A9"/>
    <w:rsid w:val="000907F9"/>
    <w:rsid w:val="0009555F"/>
    <w:rsid w:val="000958DC"/>
    <w:rsid w:val="00097D02"/>
    <w:rsid w:val="000A1640"/>
    <w:rsid w:val="000A1FD8"/>
    <w:rsid w:val="000B0613"/>
    <w:rsid w:val="000B0EBE"/>
    <w:rsid w:val="000C03AE"/>
    <w:rsid w:val="000C1DA4"/>
    <w:rsid w:val="000C43E4"/>
    <w:rsid w:val="000C4999"/>
    <w:rsid w:val="000C57E4"/>
    <w:rsid w:val="000D220D"/>
    <w:rsid w:val="000D2539"/>
    <w:rsid w:val="000D2664"/>
    <w:rsid w:val="000D77A6"/>
    <w:rsid w:val="000E13C0"/>
    <w:rsid w:val="000E1572"/>
    <w:rsid w:val="000E20F0"/>
    <w:rsid w:val="000E29C9"/>
    <w:rsid w:val="000E6DE9"/>
    <w:rsid w:val="000E7BA8"/>
    <w:rsid w:val="000F083B"/>
    <w:rsid w:val="000F0ADF"/>
    <w:rsid w:val="000F2F09"/>
    <w:rsid w:val="000F4183"/>
    <w:rsid w:val="000F4702"/>
    <w:rsid w:val="000F4EF7"/>
    <w:rsid w:val="000F6A80"/>
    <w:rsid w:val="000F6B25"/>
    <w:rsid w:val="00102A42"/>
    <w:rsid w:val="00111EB1"/>
    <w:rsid w:val="001152F0"/>
    <w:rsid w:val="001156CB"/>
    <w:rsid w:val="0012049B"/>
    <w:rsid w:val="00122DF3"/>
    <w:rsid w:val="00124B85"/>
    <w:rsid w:val="00124BAE"/>
    <w:rsid w:val="001273B5"/>
    <w:rsid w:val="00133671"/>
    <w:rsid w:val="00133AC1"/>
    <w:rsid w:val="00136316"/>
    <w:rsid w:val="001402DB"/>
    <w:rsid w:val="00141BC0"/>
    <w:rsid w:val="001432EE"/>
    <w:rsid w:val="00153D11"/>
    <w:rsid w:val="001570C4"/>
    <w:rsid w:val="0016249C"/>
    <w:rsid w:val="00163DBA"/>
    <w:rsid w:val="00165232"/>
    <w:rsid w:val="001721BD"/>
    <w:rsid w:val="0017420B"/>
    <w:rsid w:val="00174E95"/>
    <w:rsid w:val="00175742"/>
    <w:rsid w:val="00175957"/>
    <w:rsid w:val="00175E85"/>
    <w:rsid w:val="001809F0"/>
    <w:rsid w:val="00183B7A"/>
    <w:rsid w:val="00184E8A"/>
    <w:rsid w:val="001854F6"/>
    <w:rsid w:val="00185877"/>
    <w:rsid w:val="001919E9"/>
    <w:rsid w:val="0019727E"/>
    <w:rsid w:val="001A387F"/>
    <w:rsid w:val="001A40BD"/>
    <w:rsid w:val="001A44B3"/>
    <w:rsid w:val="001A45DE"/>
    <w:rsid w:val="001A646C"/>
    <w:rsid w:val="001B1C31"/>
    <w:rsid w:val="001B2E15"/>
    <w:rsid w:val="001B416C"/>
    <w:rsid w:val="001B4EA5"/>
    <w:rsid w:val="001C05DD"/>
    <w:rsid w:val="001C1392"/>
    <w:rsid w:val="001D1143"/>
    <w:rsid w:val="001D3931"/>
    <w:rsid w:val="001D7FA7"/>
    <w:rsid w:val="001E01BA"/>
    <w:rsid w:val="001E0746"/>
    <w:rsid w:val="001E0A00"/>
    <w:rsid w:val="001E1770"/>
    <w:rsid w:val="001E2C99"/>
    <w:rsid w:val="001E4846"/>
    <w:rsid w:val="001E5A75"/>
    <w:rsid w:val="001E6B9D"/>
    <w:rsid w:val="001E7A23"/>
    <w:rsid w:val="001F13DC"/>
    <w:rsid w:val="001F2920"/>
    <w:rsid w:val="001F5AC3"/>
    <w:rsid w:val="001F5FFF"/>
    <w:rsid w:val="002008A8"/>
    <w:rsid w:val="00203471"/>
    <w:rsid w:val="00204C72"/>
    <w:rsid w:val="002065F3"/>
    <w:rsid w:val="00206DF5"/>
    <w:rsid w:val="0021389C"/>
    <w:rsid w:val="00213DC3"/>
    <w:rsid w:val="002145FC"/>
    <w:rsid w:val="0021767A"/>
    <w:rsid w:val="002201EA"/>
    <w:rsid w:val="0022074D"/>
    <w:rsid w:val="00221103"/>
    <w:rsid w:val="00221BC8"/>
    <w:rsid w:val="0022286F"/>
    <w:rsid w:val="00222AC6"/>
    <w:rsid w:val="00225D42"/>
    <w:rsid w:val="002272AF"/>
    <w:rsid w:val="0023488F"/>
    <w:rsid w:val="002357EA"/>
    <w:rsid w:val="0023744A"/>
    <w:rsid w:val="00245325"/>
    <w:rsid w:val="00250176"/>
    <w:rsid w:val="002501FF"/>
    <w:rsid w:val="002506A3"/>
    <w:rsid w:val="00253022"/>
    <w:rsid w:val="00253C85"/>
    <w:rsid w:val="00254DF6"/>
    <w:rsid w:val="00257DD0"/>
    <w:rsid w:val="00260BC4"/>
    <w:rsid w:val="00260FD8"/>
    <w:rsid w:val="00261161"/>
    <w:rsid w:val="00262C1B"/>
    <w:rsid w:val="00264FBF"/>
    <w:rsid w:val="002664C7"/>
    <w:rsid w:val="0026790E"/>
    <w:rsid w:val="00271C8B"/>
    <w:rsid w:val="00272446"/>
    <w:rsid w:val="002779CE"/>
    <w:rsid w:val="00281D57"/>
    <w:rsid w:val="002837CF"/>
    <w:rsid w:val="00285E2F"/>
    <w:rsid w:val="00291779"/>
    <w:rsid w:val="002920FF"/>
    <w:rsid w:val="002A04D3"/>
    <w:rsid w:val="002A076F"/>
    <w:rsid w:val="002A242A"/>
    <w:rsid w:val="002A7428"/>
    <w:rsid w:val="002A74C1"/>
    <w:rsid w:val="002A7FF5"/>
    <w:rsid w:val="002B264F"/>
    <w:rsid w:val="002B6F88"/>
    <w:rsid w:val="002C41F1"/>
    <w:rsid w:val="002C6263"/>
    <w:rsid w:val="002D2648"/>
    <w:rsid w:val="002D4E10"/>
    <w:rsid w:val="002D6B9E"/>
    <w:rsid w:val="002E053A"/>
    <w:rsid w:val="002E2061"/>
    <w:rsid w:val="002E28B2"/>
    <w:rsid w:val="002E30C8"/>
    <w:rsid w:val="002E3720"/>
    <w:rsid w:val="002E4EB7"/>
    <w:rsid w:val="002E587F"/>
    <w:rsid w:val="002F0367"/>
    <w:rsid w:val="002F0D58"/>
    <w:rsid w:val="002F170E"/>
    <w:rsid w:val="00300224"/>
    <w:rsid w:val="00302E9C"/>
    <w:rsid w:val="00306AD1"/>
    <w:rsid w:val="00306F71"/>
    <w:rsid w:val="00310F05"/>
    <w:rsid w:val="00311B2D"/>
    <w:rsid w:val="003137B9"/>
    <w:rsid w:val="00323F44"/>
    <w:rsid w:val="00324A28"/>
    <w:rsid w:val="00325A59"/>
    <w:rsid w:val="003261B0"/>
    <w:rsid w:val="00331FE6"/>
    <w:rsid w:val="00332D09"/>
    <w:rsid w:val="00333A44"/>
    <w:rsid w:val="003369E2"/>
    <w:rsid w:val="00340064"/>
    <w:rsid w:val="0034414E"/>
    <w:rsid w:val="00345E53"/>
    <w:rsid w:val="00347FF9"/>
    <w:rsid w:val="00357F63"/>
    <w:rsid w:val="003616A1"/>
    <w:rsid w:val="00363FCE"/>
    <w:rsid w:val="00365FA3"/>
    <w:rsid w:val="00367F15"/>
    <w:rsid w:val="00370EBE"/>
    <w:rsid w:val="00371593"/>
    <w:rsid w:val="0037299F"/>
    <w:rsid w:val="00372D30"/>
    <w:rsid w:val="00373A71"/>
    <w:rsid w:val="00375F61"/>
    <w:rsid w:val="003859C7"/>
    <w:rsid w:val="00387AB9"/>
    <w:rsid w:val="00387E40"/>
    <w:rsid w:val="00390DDA"/>
    <w:rsid w:val="00391956"/>
    <w:rsid w:val="00393539"/>
    <w:rsid w:val="003A0C05"/>
    <w:rsid w:val="003A200A"/>
    <w:rsid w:val="003A2135"/>
    <w:rsid w:val="003A3C8E"/>
    <w:rsid w:val="003A3E0C"/>
    <w:rsid w:val="003A449C"/>
    <w:rsid w:val="003A767F"/>
    <w:rsid w:val="003B0BD3"/>
    <w:rsid w:val="003B166F"/>
    <w:rsid w:val="003B3DBB"/>
    <w:rsid w:val="003B6551"/>
    <w:rsid w:val="003B784B"/>
    <w:rsid w:val="003C05CB"/>
    <w:rsid w:val="003C2566"/>
    <w:rsid w:val="003C60B9"/>
    <w:rsid w:val="003D108A"/>
    <w:rsid w:val="003D10E9"/>
    <w:rsid w:val="003D2987"/>
    <w:rsid w:val="003D431C"/>
    <w:rsid w:val="003D446E"/>
    <w:rsid w:val="003D56DE"/>
    <w:rsid w:val="003E0595"/>
    <w:rsid w:val="003E2A3B"/>
    <w:rsid w:val="003E2DB4"/>
    <w:rsid w:val="003F1100"/>
    <w:rsid w:val="003F15BB"/>
    <w:rsid w:val="003F29ED"/>
    <w:rsid w:val="003F2C1B"/>
    <w:rsid w:val="003F4BA1"/>
    <w:rsid w:val="003F65EC"/>
    <w:rsid w:val="00400DDB"/>
    <w:rsid w:val="00401111"/>
    <w:rsid w:val="00405B22"/>
    <w:rsid w:val="00406A75"/>
    <w:rsid w:val="00410FAC"/>
    <w:rsid w:val="00412D44"/>
    <w:rsid w:val="00415627"/>
    <w:rsid w:val="00415A1B"/>
    <w:rsid w:val="00415BAF"/>
    <w:rsid w:val="00417752"/>
    <w:rsid w:val="00422064"/>
    <w:rsid w:val="00427728"/>
    <w:rsid w:val="0043001B"/>
    <w:rsid w:val="004345C2"/>
    <w:rsid w:val="00435F58"/>
    <w:rsid w:val="004374F3"/>
    <w:rsid w:val="004377DA"/>
    <w:rsid w:val="004377E2"/>
    <w:rsid w:val="0044118B"/>
    <w:rsid w:val="00443003"/>
    <w:rsid w:val="00445E06"/>
    <w:rsid w:val="00446C32"/>
    <w:rsid w:val="00452FEF"/>
    <w:rsid w:val="0045477F"/>
    <w:rsid w:val="00455364"/>
    <w:rsid w:val="0046092C"/>
    <w:rsid w:val="00461A5A"/>
    <w:rsid w:val="00461E72"/>
    <w:rsid w:val="00462F08"/>
    <w:rsid w:val="0047002B"/>
    <w:rsid w:val="0047503C"/>
    <w:rsid w:val="00480C9B"/>
    <w:rsid w:val="0048116C"/>
    <w:rsid w:val="00481E04"/>
    <w:rsid w:val="00484DDA"/>
    <w:rsid w:val="004901BE"/>
    <w:rsid w:val="004927EA"/>
    <w:rsid w:val="0049414E"/>
    <w:rsid w:val="004965AF"/>
    <w:rsid w:val="00496F5D"/>
    <w:rsid w:val="004A23BC"/>
    <w:rsid w:val="004A4CEC"/>
    <w:rsid w:val="004A4FE1"/>
    <w:rsid w:val="004A5880"/>
    <w:rsid w:val="004A5B72"/>
    <w:rsid w:val="004A5FA6"/>
    <w:rsid w:val="004A6C52"/>
    <w:rsid w:val="004B18DC"/>
    <w:rsid w:val="004B2023"/>
    <w:rsid w:val="004B2302"/>
    <w:rsid w:val="004B2A17"/>
    <w:rsid w:val="004B3DB3"/>
    <w:rsid w:val="004B4BB9"/>
    <w:rsid w:val="004B5E54"/>
    <w:rsid w:val="004B6CDE"/>
    <w:rsid w:val="004C0B2A"/>
    <w:rsid w:val="004C2CFD"/>
    <w:rsid w:val="004C41D1"/>
    <w:rsid w:val="004C46D2"/>
    <w:rsid w:val="004D10E3"/>
    <w:rsid w:val="004E04BF"/>
    <w:rsid w:val="004E6287"/>
    <w:rsid w:val="004E748D"/>
    <w:rsid w:val="004F5080"/>
    <w:rsid w:val="00502390"/>
    <w:rsid w:val="00502665"/>
    <w:rsid w:val="00502FC6"/>
    <w:rsid w:val="00503445"/>
    <w:rsid w:val="0050399F"/>
    <w:rsid w:val="005040F5"/>
    <w:rsid w:val="005067A1"/>
    <w:rsid w:val="00511DAB"/>
    <w:rsid w:val="005135D6"/>
    <w:rsid w:val="005144BB"/>
    <w:rsid w:val="005161E1"/>
    <w:rsid w:val="00516E92"/>
    <w:rsid w:val="00527482"/>
    <w:rsid w:val="00530AF1"/>
    <w:rsid w:val="00530FC7"/>
    <w:rsid w:val="005324B7"/>
    <w:rsid w:val="0053327A"/>
    <w:rsid w:val="00533D6A"/>
    <w:rsid w:val="005353CF"/>
    <w:rsid w:val="00536020"/>
    <w:rsid w:val="00536E77"/>
    <w:rsid w:val="005418AC"/>
    <w:rsid w:val="00541F3E"/>
    <w:rsid w:val="005429A0"/>
    <w:rsid w:val="00543CDC"/>
    <w:rsid w:val="005509E5"/>
    <w:rsid w:val="005511AD"/>
    <w:rsid w:val="00552E3E"/>
    <w:rsid w:val="0055302C"/>
    <w:rsid w:val="0055791B"/>
    <w:rsid w:val="005616B4"/>
    <w:rsid w:val="00563313"/>
    <w:rsid w:val="00563728"/>
    <w:rsid w:val="00563BBC"/>
    <w:rsid w:val="00564A89"/>
    <w:rsid w:val="00564CFE"/>
    <w:rsid w:val="00565031"/>
    <w:rsid w:val="0057435E"/>
    <w:rsid w:val="00575744"/>
    <w:rsid w:val="005809CD"/>
    <w:rsid w:val="00585466"/>
    <w:rsid w:val="0058585A"/>
    <w:rsid w:val="00587BFA"/>
    <w:rsid w:val="005911AC"/>
    <w:rsid w:val="005932A3"/>
    <w:rsid w:val="00593E1F"/>
    <w:rsid w:val="00595F1C"/>
    <w:rsid w:val="005A18FB"/>
    <w:rsid w:val="005A2363"/>
    <w:rsid w:val="005A6305"/>
    <w:rsid w:val="005A7228"/>
    <w:rsid w:val="005A79D0"/>
    <w:rsid w:val="005A7F4C"/>
    <w:rsid w:val="005B02DE"/>
    <w:rsid w:val="005B0C8D"/>
    <w:rsid w:val="005B13A0"/>
    <w:rsid w:val="005B1BC6"/>
    <w:rsid w:val="005B1CE2"/>
    <w:rsid w:val="005B1D1D"/>
    <w:rsid w:val="005B1F21"/>
    <w:rsid w:val="005B45AF"/>
    <w:rsid w:val="005B4769"/>
    <w:rsid w:val="005B6F8B"/>
    <w:rsid w:val="005B790A"/>
    <w:rsid w:val="005C1BC9"/>
    <w:rsid w:val="005C287F"/>
    <w:rsid w:val="005C453E"/>
    <w:rsid w:val="005C4A33"/>
    <w:rsid w:val="005C7A91"/>
    <w:rsid w:val="005D254B"/>
    <w:rsid w:val="005D6364"/>
    <w:rsid w:val="005F16BE"/>
    <w:rsid w:val="005F5B6B"/>
    <w:rsid w:val="005F6FDF"/>
    <w:rsid w:val="006001D9"/>
    <w:rsid w:val="00601450"/>
    <w:rsid w:val="0060294D"/>
    <w:rsid w:val="006108B8"/>
    <w:rsid w:val="00611073"/>
    <w:rsid w:val="006128D7"/>
    <w:rsid w:val="006145C7"/>
    <w:rsid w:val="0061482E"/>
    <w:rsid w:val="0061552A"/>
    <w:rsid w:val="00616264"/>
    <w:rsid w:val="00616690"/>
    <w:rsid w:val="006167E0"/>
    <w:rsid w:val="00616E90"/>
    <w:rsid w:val="006177FE"/>
    <w:rsid w:val="006201A8"/>
    <w:rsid w:val="00627143"/>
    <w:rsid w:val="006317A9"/>
    <w:rsid w:val="00632F57"/>
    <w:rsid w:val="006331D1"/>
    <w:rsid w:val="00634466"/>
    <w:rsid w:val="0063522C"/>
    <w:rsid w:val="00640FF8"/>
    <w:rsid w:val="00643011"/>
    <w:rsid w:val="006444FA"/>
    <w:rsid w:val="00645620"/>
    <w:rsid w:val="00646CBA"/>
    <w:rsid w:val="00650DB8"/>
    <w:rsid w:val="00651C18"/>
    <w:rsid w:val="00652DF7"/>
    <w:rsid w:val="00652F11"/>
    <w:rsid w:val="00654440"/>
    <w:rsid w:val="00657F38"/>
    <w:rsid w:val="0066173C"/>
    <w:rsid w:val="00663E49"/>
    <w:rsid w:val="00670A5E"/>
    <w:rsid w:val="00673F9D"/>
    <w:rsid w:val="006746DB"/>
    <w:rsid w:val="006771CE"/>
    <w:rsid w:val="006778A2"/>
    <w:rsid w:val="00686F1D"/>
    <w:rsid w:val="006916DC"/>
    <w:rsid w:val="00693708"/>
    <w:rsid w:val="00694888"/>
    <w:rsid w:val="00696F12"/>
    <w:rsid w:val="006A01F5"/>
    <w:rsid w:val="006A5CCF"/>
    <w:rsid w:val="006A7489"/>
    <w:rsid w:val="006B10DE"/>
    <w:rsid w:val="006B19A0"/>
    <w:rsid w:val="006B2A31"/>
    <w:rsid w:val="006B34BE"/>
    <w:rsid w:val="006B55D6"/>
    <w:rsid w:val="006B5BA8"/>
    <w:rsid w:val="006B6512"/>
    <w:rsid w:val="006B7228"/>
    <w:rsid w:val="006C0915"/>
    <w:rsid w:val="006C11BB"/>
    <w:rsid w:val="006C22E7"/>
    <w:rsid w:val="006C3FF9"/>
    <w:rsid w:val="006C4174"/>
    <w:rsid w:val="006C45C6"/>
    <w:rsid w:val="006D3D79"/>
    <w:rsid w:val="006D4517"/>
    <w:rsid w:val="006D49F3"/>
    <w:rsid w:val="006D5FE5"/>
    <w:rsid w:val="006E3A33"/>
    <w:rsid w:val="006E3E65"/>
    <w:rsid w:val="006E52E7"/>
    <w:rsid w:val="006F11C3"/>
    <w:rsid w:val="006F1DEB"/>
    <w:rsid w:val="006F3133"/>
    <w:rsid w:val="00704711"/>
    <w:rsid w:val="007111EB"/>
    <w:rsid w:val="00711602"/>
    <w:rsid w:val="00711F3A"/>
    <w:rsid w:val="00712B6C"/>
    <w:rsid w:val="00713F52"/>
    <w:rsid w:val="00715084"/>
    <w:rsid w:val="0072061E"/>
    <w:rsid w:val="00721A22"/>
    <w:rsid w:val="00721CEA"/>
    <w:rsid w:val="00721E4B"/>
    <w:rsid w:val="007247ED"/>
    <w:rsid w:val="007260B2"/>
    <w:rsid w:val="00727CAB"/>
    <w:rsid w:val="00734FC1"/>
    <w:rsid w:val="0073581C"/>
    <w:rsid w:val="00736AD5"/>
    <w:rsid w:val="00736D27"/>
    <w:rsid w:val="007420C6"/>
    <w:rsid w:val="007434D0"/>
    <w:rsid w:val="007503D4"/>
    <w:rsid w:val="0075401D"/>
    <w:rsid w:val="00754E7E"/>
    <w:rsid w:val="0075517F"/>
    <w:rsid w:val="007567D8"/>
    <w:rsid w:val="0076257F"/>
    <w:rsid w:val="00763A4B"/>
    <w:rsid w:val="00764E61"/>
    <w:rsid w:val="00766432"/>
    <w:rsid w:val="0076755A"/>
    <w:rsid w:val="00770527"/>
    <w:rsid w:val="00773564"/>
    <w:rsid w:val="00773C32"/>
    <w:rsid w:val="00774712"/>
    <w:rsid w:val="007759BD"/>
    <w:rsid w:val="0078015D"/>
    <w:rsid w:val="00781160"/>
    <w:rsid w:val="007827A3"/>
    <w:rsid w:val="00785C81"/>
    <w:rsid w:val="00785E60"/>
    <w:rsid w:val="007864CA"/>
    <w:rsid w:val="00787CDE"/>
    <w:rsid w:val="007A1D61"/>
    <w:rsid w:val="007A3E00"/>
    <w:rsid w:val="007A6B83"/>
    <w:rsid w:val="007B003C"/>
    <w:rsid w:val="007B0068"/>
    <w:rsid w:val="007B0AC3"/>
    <w:rsid w:val="007B2752"/>
    <w:rsid w:val="007B5341"/>
    <w:rsid w:val="007B5523"/>
    <w:rsid w:val="007C2A7D"/>
    <w:rsid w:val="007C4C33"/>
    <w:rsid w:val="007D2AEF"/>
    <w:rsid w:val="007D7518"/>
    <w:rsid w:val="007E18BB"/>
    <w:rsid w:val="007E1AB4"/>
    <w:rsid w:val="007E3047"/>
    <w:rsid w:val="007E33D4"/>
    <w:rsid w:val="007E475F"/>
    <w:rsid w:val="007E4FF6"/>
    <w:rsid w:val="007F0442"/>
    <w:rsid w:val="007F6890"/>
    <w:rsid w:val="007F7A60"/>
    <w:rsid w:val="00800D4D"/>
    <w:rsid w:val="008024B2"/>
    <w:rsid w:val="00804409"/>
    <w:rsid w:val="008049DD"/>
    <w:rsid w:val="00810020"/>
    <w:rsid w:val="00815352"/>
    <w:rsid w:val="00816866"/>
    <w:rsid w:val="00816B32"/>
    <w:rsid w:val="00820370"/>
    <w:rsid w:val="00820E23"/>
    <w:rsid w:val="00826369"/>
    <w:rsid w:val="008274E7"/>
    <w:rsid w:val="00827661"/>
    <w:rsid w:val="0083444D"/>
    <w:rsid w:val="00835434"/>
    <w:rsid w:val="00835C71"/>
    <w:rsid w:val="00837C8C"/>
    <w:rsid w:val="00840FC0"/>
    <w:rsid w:val="008420D9"/>
    <w:rsid w:val="0084251A"/>
    <w:rsid w:val="008427C5"/>
    <w:rsid w:val="008451D4"/>
    <w:rsid w:val="00845545"/>
    <w:rsid w:val="00851AEB"/>
    <w:rsid w:val="00852B3E"/>
    <w:rsid w:val="00856854"/>
    <w:rsid w:val="00861241"/>
    <w:rsid w:val="00862FC2"/>
    <w:rsid w:val="0087489F"/>
    <w:rsid w:val="00875044"/>
    <w:rsid w:val="008774F3"/>
    <w:rsid w:val="008815DE"/>
    <w:rsid w:val="0088172D"/>
    <w:rsid w:val="00882CA0"/>
    <w:rsid w:val="00884FEB"/>
    <w:rsid w:val="0088630E"/>
    <w:rsid w:val="00892068"/>
    <w:rsid w:val="00895A26"/>
    <w:rsid w:val="00896567"/>
    <w:rsid w:val="008A054E"/>
    <w:rsid w:val="008A4E00"/>
    <w:rsid w:val="008A68FE"/>
    <w:rsid w:val="008A7A5D"/>
    <w:rsid w:val="008B0FC6"/>
    <w:rsid w:val="008B2F5E"/>
    <w:rsid w:val="008B5777"/>
    <w:rsid w:val="008B6066"/>
    <w:rsid w:val="008B622E"/>
    <w:rsid w:val="008B702C"/>
    <w:rsid w:val="008B7267"/>
    <w:rsid w:val="008C122C"/>
    <w:rsid w:val="008C60AC"/>
    <w:rsid w:val="008C6A88"/>
    <w:rsid w:val="008C6E0B"/>
    <w:rsid w:val="008D2210"/>
    <w:rsid w:val="008D3AC5"/>
    <w:rsid w:val="008D5239"/>
    <w:rsid w:val="008D62B0"/>
    <w:rsid w:val="008D699A"/>
    <w:rsid w:val="008D72DD"/>
    <w:rsid w:val="008D74CD"/>
    <w:rsid w:val="008D7ACC"/>
    <w:rsid w:val="008E039B"/>
    <w:rsid w:val="008E09A8"/>
    <w:rsid w:val="008E0E86"/>
    <w:rsid w:val="008E0F08"/>
    <w:rsid w:val="008E32E9"/>
    <w:rsid w:val="008E3CA9"/>
    <w:rsid w:val="008E47D2"/>
    <w:rsid w:val="008E4B2C"/>
    <w:rsid w:val="008E6D8E"/>
    <w:rsid w:val="008F1D51"/>
    <w:rsid w:val="008F37D9"/>
    <w:rsid w:val="00900C1D"/>
    <w:rsid w:val="00906126"/>
    <w:rsid w:val="00915950"/>
    <w:rsid w:val="00920D63"/>
    <w:rsid w:val="00924EEF"/>
    <w:rsid w:val="00930971"/>
    <w:rsid w:val="0093297E"/>
    <w:rsid w:val="00932D3E"/>
    <w:rsid w:val="00933CEB"/>
    <w:rsid w:val="00934788"/>
    <w:rsid w:val="0093740A"/>
    <w:rsid w:val="00940F49"/>
    <w:rsid w:val="009412BB"/>
    <w:rsid w:val="009421B9"/>
    <w:rsid w:val="00942368"/>
    <w:rsid w:val="0094252A"/>
    <w:rsid w:val="00943222"/>
    <w:rsid w:val="00950950"/>
    <w:rsid w:val="00955F25"/>
    <w:rsid w:val="00965272"/>
    <w:rsid w:val="00971A2C"/>
    <w:rsid w:val="0097489D"/>
    <w:rsid w:val="00980064"/>
    <w:rsid w:val="0098245F"/>
    <w:rsid w:val="00985397"/>
    <w:rsid w:val="0098778D"/>
    <w:rsid w:val="009914EE"/>
    <w:rsid w:val="00991C37"/>
    <w:rsid w:val="0099694B"/>
    <w:rsid w:val="00997789"/>
    <w:rsid w:val="009A0EB0"/>
    <w:rsid w:val="009A1317"/>
    <w:rsid w:val="009A1DC3"/>
    <w:rsid w:val="009A2454"/>
    <w:rsid w:val="009A2E43"/>
    <w:rsid w:val="009A4B3E"/>
    <w:rsid w:val="009A6E08"/>
    <w:rsid w:val="009A7016"/>
    <w:rsid w:val="009B389F"/>
    <w:rsid w:val="009B5A09"/>
    <w:rsid w:val="009B6A46"/>
    <w:rsid w:val="009C001E"/>
    <w:rsid w:val="009C2C58"/>
    <w:rsid w:val="009C3801"/>
    <w:rsid w:val="009C4291"/>
    <w:rsid w:val="009C482C"/>
    <w:rsid w:val="009C4A52"/>
    <w:rsid w:val="009C7987"/>
    <w:rsid w:val="009C7D6A"/>
    <w:rsid w:val="009D19B5"/>
    <w:rsid w:val="009D1D65"/>
    <w:rsid w:val="009D3244"/>
    <w:rsid w:val="009D352D"/>
    <w:rsid w:val="009D386A"/>
    <w:rsid w:val="009D6955"/>
    <w:rsid w:val="009E21CF"/>
    <w:rsid w:val="009E7878"/>
    <w:rsid w:val="009F0F81"/>
    <w:rsid w:val="009F240D"/>
    <w:rsid w:val="009F2A4F"/>
    <w:rsid w:val="009F3AD0"/>
    <w:rsid w:val="009F4E0B"/>
    <w:rsid w:val="00A01C72"/>
    <w:rsid w:val="00A02850"/>
    <w:rsid w:val="00A03C89"/>
    <w:rsid w:val="00A03DC9"/>
    <w:rsid w:val="00A047BA"/>
    <w:rsid w:val="00A0483F"/>
    <w:rsid w:val="00A059BB"/>
    <w:rsid w:val="00A07D99"/>
    <w:rsid w:val="00A1207F"/>
    <w:rsid w:val="00A122F8"/>
    <w:rsid w:val="00A1288A"/>
    <w:rsid w:val="00A136CD"/>
    <w:rsid w:val="00A16DDA"/>
    <w:rsid w:val="00A20C02"/>
    <w:rsid w:val="00A22F1F"/>
    <w:rsid w:val="00A24751"/>
    <w:rsid w:val="00A253E6"/>
    <w:rsid w:val="00A25B20"/>
    <w:rsid w:val="00A27C72"/>
    <w:rsid w:val="00A30A3F"/>
    <w:rsid w:val="00A320B1"/>
    <w:rsid w:val="00A35584"/>
    <w:rsid w:val="00A41B0C"/>
    <w:rsid w:val="00A4309F"/>
    <w:rsid w:val="00A50938"/>
    <w:rsid w:val="00A513E2"/>
    <w:rsid w:val="00A51E75"/>
    <w:rsid w:val="00A6020A"/>
    <w:rsid w:val="00A62F79"/>
    <w:rsid w:val="00A64421"/>
    <w:rsid w:val="00A64C0C"/>
    <w:rsid w:val="00A7074C"/>
    <w:rsid w:val="00A72DF3"/>
    <w:rsid w:val="00A801A9"/>
    <w:rsid w:val="00A80A02"/>
    <w:rsid w:val="00A85CE0"/>
    <w:rsid w:val="00A87F6C"/>
    <w:rsid w:val="00A90BDF"/>
    <w:rsid w:val="00A91E90"/>
    <w:rsid w:val="00A95DED"/>
    <w:rsid w:val="00AA2CD4"/>
    <w:rsid w:val="00AA38AA"/>
    <w:rsid w:val="00AB0383"/>
    <w:rsid w:val="00AB2F46"/>
    <w:rsid w:val="00AB3FB6"/>
    <w:rsid w:val="00AB4E51"/>
    <w:rsid w:val="00AC13D0"/>
    <w:rsid w:val="00AC14E2"/>
    <w:rsid w:val="00AC4B8E"/>
    <w:rsid w:val="00AC5975"/>
    <w:rsid w:val="00AC5EA4"/>
    <w:rsid w:val="00AC5F45"/>
    <w:rsid w:val="00AC7EDE"/>
    <w:rsid w:val="00AD061B"/>
    <w:rsid w:val="00AD3F2E"/>
    <w:rsid w:val="00AD4571"/>
    <w:rsid w:val="00AD4BAD"/>
    <w:rsid w:val="00AD65AE"/>
    <w:rsid w:val="00AD7510"/>
    <w:rsid w:val="00AE1CD7"/>
    <w:rsid w:val="00AE7099"/>
    <w:rsid w:val="00AF13EE"/>
    <w:rsid w:val="00AF3AC6"/>
    <w:rsid w:val="00AF51F7"/>
    <w:rsid w:val="00AF62BC"/>
    <w:rsid w:val="00AF672F"/>
    <w:rsid w:val="00B0091C"/>
    <w:rsid w:val="00B00AEB"/>
    <w:rsid w:val="00B01163"/>
    <w:rsid w:val="00B01830"/>
    <w:rsid w:val="00B0317F"/>
    <w:rsid w:val="00B05632"/>
    <w:rsid w:val="00B057CA"/>
    <w:rsid w:val="00B12EA6"/>
    <w:rsid w:val="00B15280"/>
    <w:rsid w:val="00B17100"/>
    <w:rsid w:val="00B238DE"/>
    <w:rsid w:val="00B31A22"/>
    <w:rsid w:val="00B31FE8"/>
    <w:rsid w:val="00B33BBC"/>
    <w:rsid w:val="00B36BA6"/>
    <w:rsid w:val="00B439B1"/>
    <w:rsid w:val="00B44C92"/>
    <w:rsid w:val="00B45021"/>
    <w:rsid w:val="00B5171B"/>
    <w:rsid w:val="00B51AB6"/>
    <w:rsid w:val="00B51F42"/>
    <w:rsid w:val="00B52219"/>
    <w:rsid w:val="00B52E63"/>
    <w:rsid w:val="00B53022"/>
    <w:rsid w:val="00B53BC8"/>
    <w:rsid w:val="00B53D48"/>
    <w:rsid w:val="00B54B58"/>
    <w:rsid w:val="00B55397"/>
    <w:rsid w:val="00B62EC8"/>
    <w:rsid w:val="00B65AA1"/>
    <w:rsid w:val="00B72188"/>
    <w:rsid w:val="00B743FB"/>
    <w:rsid w:val="00B7489C"/>
    <w:rsid w:val="00B753A9"/>
    <w:rsid w:val="00B822A4"/>
    <w:rsid w:val="00B90541"/>
    <w:rsid w:val="00B9443C"/>
    <w:rsid w:val="00B9580E"/>
    <w:rsid w:val="00B97547"/>
    <w:rsid w:val="00BA3836"/>
    <w:rsid w:val="00BA6E03"/>
    <w:rsid w:val="00BB0ADD"/>
    <w:rsid w:val="00BB24ED"/>
    <w:rsid w:val="00BB4760"/>
    <w:rsid w:val="00BB47EF"/>
    <w:rsid w:val="00BB50BB"/>
    <w:rsid w:val="00BC068F"/>
    <w:rsid w:val="00BC6C9C"/>
    <w:rsid w:val="00BD0C03"/>
    <w:rsid w:val="00BD3607"/>
    <w:rsid w:val="00BD6554"/>
    <w:rsid w:val="00BE1311"/>
    <w:rsid w:val="00BE16D7"/>
    <w:rsid w:val="00BE1EE0"/>
    <w:rsid w:val="00BE358B"/>
    <w:rsid w:val="00BE596A"/>
    <w:rsid w:val="00BF1BCE"/>
    <w:rsid w:val="00BF34CE"/>
    <w:rsid w:val="00BF3E1F"/>
    <w:rsid w:val="00BF3F28"/>
    <w:rsid w:val="00BF7593"/>
    <w:rsid w:val="00C01554"/>
    <w:rsid w:val="00C029A7"/>
    <w:rsid w:val="00C029BC"/>
    <w:rsid w:val="00C04AB6"/>
    <w:rsid w:val="00C04D37"/>
    <w:rsid w:val="00C06D30"/>
    <w:rsid w:val="00C074C4"/>
    <w:rsid w:val="00C10ADF"/>
    <w:rsid w:val="00C10C80"/>
    <w:rsid w:val="00C12FEB"/>
    <w:rsid w:val="00C14552"/>
    <w:rsid w:val="00C21877"/>
    <w:rsid w:val="00C23E10"/>
    <w:rsid w:val="00C25670"/>
    <w:rsid w:val="00C2636B"/>
    <w:rsid w:val="00C2758E"/>
    <w:rsid w:val="00C277FB"/>
    <w:rsid w:val="00C30D17"/>
    <w:rsid w:val="00C312C1"/>
    <w:rsid w:val="00C3194E"/>
    <w:rsid w:val="00C356C8"/>
    <w:rsid w:val="00C367B4"/>
    <w:rsid w:val="00C36B2D"/>
    <w:rsid w:val="00C40D60"/>
    <w:rsid w:val="00C43A7D"/>
    <w:rsid w:val="00C454C9"/>
    <w:rsid w:val="00C46DB1"/>
    <w:rsid w:val="00C47BD3"/>
    <w:rsid w:val="00C503D4"/>
    <w:rsid w:val="00C54763"/>
    <w:rsid w:val="00C563A1"/>
    <w:rsid w:val="00C60BE1"/>
    <w:rsid w:val="00C62E09"/>
    <w:rsid w:val="00C635CF"/>
    <w:rsid w:val="00C66CDE"/>
    <w:rsid w:val="00C707EE"/>
    <w:rsid w:val="00C7499D"/>
    <w:rsid w:val="00C81295"/>
    <w:rsid w:val="00C82CDC"/>
    <w:rsid w:val="00C82E22"/>
    <w:rsid w:val="00C84817"/>
    <w:rsid w:val="00C84BAF"/>
    <w:rsid w:val="00C87CEE"/>
    <w:rsid w:val="00C93F96"/>
    <w:rsid w:val="00C941FF"/>
    <w:rsid w:val="00C942C4"/>
    <w:rsid w:val="00C960CE"/>
    <w:rsid w:val="00C973FB"/>
    <w:rsid w:val="00CA41C1"/>
    <w:rsid w:val="00CA6079"/>
    <w:rsid w:val="00CB28CC"/>
    <w:rsid w:val="00CB484B"/>
    <w:rsid w:val="00CB6B58"/>
    <w:rsid w:val="00CB70A8"/>
    <w:rsid w:val="00CB72F9"/>
    <w:rsid w:val="00CC5B35"/>
    <w:rsid w:val="00CC6811"/>
    <w:rsid w:val="00CC6C57"/>
    <w:rsid w:val="00CD7ED8"/>
    <w:rsid w:val="00CE5ACF"/>
    <w:rsid w:val="00CE73B0"/>
    <w:rsid w:val="00CF25FB"/>
    <w:rsid w:val="00D02770"/>
    <w:rsid w:val="00D027B0"/>
    <w:rsid w:val="00D02EE5"/>
    <w:rsid w:val="00D054C0"/>
    <w:rsid w:val="00D06F70"/>
    <w:rsid w:val="00D146A5"/>
    <w:rsid w:val="00D14A32"/>
    <w:rsid w:val="00D15F38"/>
    <w:rsid w:val="00D177D8"/>
    <w:rsid w:val="00D2018B"/>
    <w:rsid w:val="00D20C67"/>
    <w:rsid w:val="00D2506C"/>
    <w:rsid w:val="00D25D7E"/>
    <w:rsid w:val="00D27CDE"/>
    <w:rsid w:val="00D27F99"/>
    <w:rsid w:val="00D30BE6"/>
    <w:rsid w:val="00D31C7A"/>
    <w:rsid w:val="00D33388"/>
    <w:rsid w:val="00D33B36"/>
    <w:rsid w:val="00D35C30"/>
    <w:rsid w:val="00D36501"/>
    <w:rsid w:val="00D402EE"/>
    <w:rsid w:val="00D452AA"/>
    <w:rsid w:val="00D45770"/>
    <w:rsid w:val="00D523BE"/>
    <w:rsid w:val="00D52DB5"/>
    <w:rsid w:val="00D52FEA"/>
    <w:rsid w:val="00D56AF5"/>
    <w:rsid w:val="00D60795"/>
    <w:rsid w:val="00D60F96"/>
    <w:rsid w:val="00D6494A"/>
    <w:rsid w:val="00D64B66"/>
    <w:rsid w:val="00D6508D"/>
    <w:rsid w:val="00D656E8"/>
    <w:rsid w:val="00D70C93"/>
    <w:rsid w:val="00D71556"/>
    <w:rsid w:val="00D71A84"/>
    <w:rsid w:val="00D808F4"/>
    <w:rsid w:val="00D818F5"/>
    <w:rsid w:val="00D8369E"/>
    <w:rsid w:val="00D84EB7"/>
    <w:rsid w:val="00D87924"/>
    <w:rsid w:val="00D87BAB"/>
    <w:rsid w:val="00D92396"/>
    <w:rsid w:val="00D938B7"/>
    <w:rsid w:val="00D946DB"/>
    <w:rsid w:val="00D96413"/>
    <w:rsid w:val="00D97B1F"/>
    <w:rsid w:val="00DA3B36"/>
    <w:rsid w:val="00DA4B0C"/>
    <w:rsid w:val="00DA4E52"/>
    <w:rsid w:val="00DA537D"/>
    <w:rsid w:val="00DA77E1"/>
    <w:rsid w:val="00DB0F07"/>
    <w:rsid w:val="00DC0752"/>
    <w:rsid w:val="00DC1E52"/>
    <w:rsid w:val="00DC2D05"/>
    <w:rsid w:val="00DC40DA"/>
    <w:rsid w:val="00DC53C0"/>
    <w:rsid w:val="00DC5657"/>
    <w:rsid w:val="00DC5E71"/>
    <w:rsid w:val="00DD2656"/>
    <w:rsid w:val="00DD2B80"/>
    <w:rsid w:val="00DD3562"/>
    <w:rsid w:val="00DD5371"/>
    <w:rsid w:val="00DD6D4C"/>
    <w:rsid w:val="00DD72AA"/>
    <w:rsid w:val="00DE0962"/>
    <w:rsid w:val="00DE2DDE"/>
    <w:rsid w:val="00DE4EF2"/>
    <w:rsid w:val="00DE6E00"/>
    <w:rsid w:val="00DF2805"/>
    <w:rsid w:val="00E001F8"/>
    <w:rsid w:val="00E00708"/>
    <w:rsid w:val="00E00D48"/>
    <w:rsid w:val="00E019D7"/>
    <w:rsid w:val="00E02641"/>
    <w:rsid w:val="00E027A6"/>
    <w:rsid w:val="00E04817"/>
    <w:rsid w:val="00E048CD"/>
    <w:rsid w:val="00E052A9"/>
    <w:rsid w:val="00E07C8E"/>
    <w:rsid w:val="00E10AC3"/>
    <w:rsid w:val="00E11A0C"/>
    <w:rsid w:val="00E11F7B"/>
    <w:rsid w:val="00E133A7"/>
    <w:rsid w:val="00E13733"/>
    <w:rsid w:val="00E1378D"/>
    <w:rsid w:val="00E13A03"/>
    <w:rsid w:val="00E143FD"/>
    <w:rsid w:val="00E1696D"/>
    <w:rsid w:val="00E1750A"/>
    <w:rsid w:val="00E17F31"/>
    <w:rsid w:val="00E20910"/>
    <w:rsid w:val="00E21249"/>
    <w:rsid w:val="00E23B2B"/>
    <w:rsid w:val="00E26869"/>
    <w:rsid w:val="00E27969"/>
    <w:rsid w:val="00E27BC7"/>
    <w:rsid w:val="00E27C4F"/>
    <w:rsid w:val="00E32DA2"/>
    <w:rsid w:val="00E33161"/>
    <w:rsid w:val="00E3319C"/>
    <w:rsid w:val="00E35DE2"/>
    <w:rsid w:val="00E41A58"/>
    <w:rsid w:val="00E46936"/>
    <w:rsid w:val="00E47900"/>
    <w:rsid w:val="00E47CCD"/>
    <w:rsid w:val="00E54B05"/>
    <w:rsid w:val="00E54B9D"/>
    <w:rsid w:val="00E577B1"/>
    <w:rsid w:val="00E62817"/>
    <w:rsid w:val="00E63B98"/>
    <w:rsid w:val="00E66FEA"/>
    <w:rsid w:val="00E70357"/>
    <w:rsid w:val="00E712F9"/>
    <w:rsid w:val="00E75993"/>
    <w:rsid w:val="00E7776E"/>
    <w:rsid w:val="00E804CC"/>
    <w:rsid w:val="00E82ECC"/>
    <w:rsid w:val="00E87EA1"/>
    <w:rsid w:val="00E979D5"/>
    <w:rsid w:val="00EA084B"/>
    <w:rsid w:val="00EA3FEF"/>
    <w:rsid w:val="00EA419C"/>
    <w:rsid w:val="00EB154B"/>
    <w:rsid w:val="00EB4529"/>
    <w:rsid w:val="00EB5804"/>
    <w:rsid w:val="00EB6F18"/>
    <w:rsid w:val="00EC305A"/>
    <w:rsid w:val="00EC35BA"/>
    <w:rsid w:val="00EC5046"/>
    <w:rsid w:val="00ED1CE1"/>
    <w:rsid w:val="00ED4B06"/>
    <w:rsid w:val="00ED55F7"/>
    <w:rsid w:val="00ED5D86"/>
    <w:rsid w:val="00ED74D4"/>
    <w:rsid w:val="00ED7C8E"/>
    <w:rsid w:val="00EE2205"/>
    <w:rsid w:val="00EF0DA4"/>
    <w:rsid w:val="00EF68B1"/>
    <w:rsid w:val="00F00068"/>
    <w:rsid w:val="00F007B3"/>
    <w:rsid w:val="00F0086E"/>
    <w:rsid w:val="00F015E6"/>
    <w:rsid w:val="00F0322C"/>
    <w:rsid w:val="00F12EA3"/>
    <w:rsid w:val="00F1455C"/>
    <w:rsid w:val="00F14B04"/>
    <w:rsid w:val="00F14C0B"/>
    <w:rsid w:val="00F16ACE"/>
    <w:rsid w:val="00F16DFF"/>
    <w:rsid w:val="00F22A29"/>
    <w:rsid w:val="00F30076"/>
    <w:rsid w:val="00F325B9"/>
    <w:rsid w:val="00F33DF7"/>
    <w:rsid w:val="00F356CE"/>
    <w:rsid w:val="00F402D0"/>
    <w:rsid w:val="00F40C76"/>
    <w:rsid w:val="00F41918"/>
    <w:rsid w:val="00F423F0"/>
    <w:rsid w:val="00F44634"/>
    <w:rsid w:val="00F4528F"/>
    <w:rsid w:val="00F459BD"/>
    <w:rsid w:val="00F463F5"/>
    <w:rsid w:val="00F50A59"/>
    <w:rsid w:val="00F5381F"/>
    <w:rsid w:val="00F5524C"/>
    <w:rsid w:val="00F60EC7"/>
    <w:rsid w:val="00F60F37"/>
    <w:rsid w:val="00F61095"/>
    <w:rsid w:val="00F611F0"/>
    <w:rsid w:val="00F620A2"/>
    <w:rsid w:val="00F63BA7"/>
    <w:rsid w:val="00F67747"/>
    <w:rsid w:val="00F6799F"/>
    <w:rsid w:val="00F702D4"/>
    <w:rsid w:val="00F7072C"/>
    <w:rsid w:val="00F71619"/>
    <w:rsid w:val="00F76469"/>
    <w:rsid w:val="00F7749E"/>
    <w:rsid w:val="00F777C7"/>
    <w:rsid w:val="00F80E6B"/>
    <w:rsid w:val="00F875F5"/>
    <w:rsid w:val="00F9369B"/>
    <w:rsid w:val="00F93B5F"/>
    <w:rsid w:val="00FA1268"/>
    <w:rsid w:val="00FA2372"/>
    <w:rsid w:val="00FA37DD"/>
    <w:rsid w:val="00FA5CA1"/>
    <w:rsid w:val="00FA7EBB"/>
    <w:rsid w:val="00FB175F"/>
    <w:rsid w:val="00FB199D"/>
    <w:rsid w:val="00FB1C26"/>
    <w:rsid w:val="00FB1D44"/>
    <w:rsid w:val="00FB2B2F"/>
    <w:rsid w:val="00FB3795"/>
    <w:rsid w:val="00FB4960"/>
    <w:rsid w:val="00FB5258"/>
    <w:rsid w:val="00FC19B1"/>
    <w:rsid w:val="00FC371D"/>
    <w:rsid w:val="00FC4D06"/>
    <w:rsid w:val="00FC56B2"/>
    <w:rsid w:val="00FC6BA7"/>
    <w:rsid w:val="00FC7558"/>
    <w:rsid w:val="00FD09A2"/>
    <w:rsid w:val="00FD7524"/>
    <w:rsid w:val="00FE1465"/>
    <w:rsid w:val="00FE1F45"/>
    <w:rsid w:val="00FE4AE0"/>
    <w:rsid w:val="00FE4D22"/>
    <w:rsid w:val="00FE72ED"/>
    <w:rsid w:val="00FF2562"/>
    <w:rsid w:val="00F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5B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hu-H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u w:val="single"/>
      <w:lang w:val="hu-HU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hu-HU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8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hu-HU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hu-HU" w:eastAsia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spacing w:before="240" w:after="60"/>
      <w:outlineLvl w:val="6"/>
    </w:pPr>
    <w:rPr>
      <w:rFonts w:ascii="Times New Roman" w:eastAsia="Arial" w:hAnsi="Times New Roman"/>
      <w:sz w:val="24"/>
      <w:szCs w:val="20"/>
      <w:lang w:val="hu-HU"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spacing w:before="240" w:after="60"/>
      <w:outlineLvl w:val="7"/>
    </w:pPr>
    <w:rPr>
      <w:rFonts w:ascii="Times New Roman" w:eastAsia="Arial" w:hAnsi="Times New Roman"/>
      <w:i/>
      <w:iCs/>
      <w:sz w:val="24"/>
      <w:szCs w:val="20"/>
      <w:lang w:val="hu-HU" w:eastAsia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spacing w:before="240" w:after="60"/>
      <w:outlineLvl w:val="8"/>
    </w:pPr>
    <w:rPr>
      <w:rFonts w:ascii="Arial" w:eastAsia="Arial" w:hAnsi="Arial"/>
      <w:szCs w:val="20"/>
      <w:lang w:val="hu-HU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hu-HU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hu-HU" w:eastAsia="de-DE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14"/>
      <w:lang w:val="hu-HU"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hu-HU"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hu-HU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val="hu-HU"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rFonts w:ascii="Arial" w:eastAsia="Arial" w:hAnsi="Arial"/>
      <w:i/>
      <w:iCs/>
      <w:color w:val="000000"/>
      <w:szCs w:val="20"/>
      <w:lang w:val="hu-HU" w:eastAsia="de-DE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 w:val="16"/>
      <w:szCs w:val="20"/>
      <w:lang w:val="hu-HU" w:eastAsia="de-DE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hu-HU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  <w:lang w:val="hu-HU" w:eastAsia="x-none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hu-HU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/>
      <w:sz w:val="16"/>
      <w:szCs w:val="16"/>
      <w:lang w:val="hu-HU" w:eastAsia="x-none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hu-HU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val="hu-HU"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val="hu-HU"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val="hu-HU"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val="hu-HU"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hu-HU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hu-HU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hu-HU" w:eastAsia="en-US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6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hu-HU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hu-HU"/>
    </w:rPr>
  </w:style>
  <w:style w:type="numbering" w:customStyle="1" w:styleId="Formatvorlage3">
    <w:name w:val="Formatvorlage3"/>
    <w:uiPriority w:val="99"/>
    <w:rsid w:val="00DE0962"/>
    <w:pPr>
      <w:numPr>
        <w:numId w:val="17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/>
      <w:sz w:val="16"/>
      <w:szCs w:val="16"/>
      <w:lang w:val="hu-HU" w:eastAsia="x-none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hu-HU"/>
    </w:rPr>
  </w:style>
  <w:style w:type="numbering" w:customStyle="1" w:styleId="Formatvorlage4">
    <w:name w:val="Formatvorlage4"/>
    <w:uiPriority w:val="99"/>
    <w:rsid w:val="00FB1D44"/>
    <w:pPr>
      <w:numPr>
        <w:numId w:val="19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0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  <w:lang w:val="hu-HU" w:eastAsia="en-GB"/>
    </w:rPr>
  </w:style>
  <w:style w:type="character" w:customStyle="1" w:styleId="cf01">
    <w:name w:val="cf01"/>
    <w:basedOn w:val="DefaultParagraphFont"/>
    <w:rsid w:val="00D97B1F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B2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F50FA9-F1DC-4D93-A245-85D3BE6E73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42F242-5175-476B-9BAF-C8C8C52C2563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32E37A1B-FFA2-4C39-87F5-F668BE76E6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0CABF3-AEE9-4E21-983D-E3C5DCFF06B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1554</Words>
  <Characters>8864</Characters>
  <Application>Microsoft Office Word</Application>
  <DocSecurity>0</DocSecurity>
  <Lines>73</Lines>
  <Paragraphs>20</Paragraphs>
  <ScaleCrop>false</ScaleCrop>
  <Company/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2024-06-19T18:10:00Z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