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HU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II. MELLÉKLET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„II. MELLÉKLET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ÚTMUTATÓ A SZAVATOLÓTŐKÉRE ÉS A SZAVATOLÓTŐKE-KÖVETELMÉNYEKRE VONATKOZÓ ADATSZOLGÁLTATÁSHOZ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II. RÉSZ: TÁBLASPECIFIKUS ÚTMUTATÓ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– KRIPTOESZKÖZÖKKEL SZEMBENI KITETTSÉGEK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10.1 Általános megjegyzések</w:t>
      </w:r>
    </w:p>
    <w:p w14:paraId="6942FA35" w14:textId="77777777" w:rsidR="005F103E" w:rsidRDefault="005F103E" w:rsidP="00CF4FBC">
      <w:pPr>
        <w:pStyle w:val="InstructionsText2"/>
      </w:pPr>
      <w:r>
        <w:t>Ebben a táblában az 575/2013/EU rendelet 501d. cikkének (2) és (3) bekezdésében előírt, kriptoeszközökkel szembeni kitettségekre vonatkozó információkat kell megadni.</w:t>
      </w:r>
    </w:p>
    <w:p w14:paraId="4985A436" w14:textId="77777777" w:rsidR="005F103E" w:rsidRDefault="005F103E" w:rsidP="005F103E">
      <w:pPr>
        <w:pStyle w:val="InstructionsText2"/>
      </w:pPr>
      <w:r>
        <w:t>A kriptoeszközökkel szembeni kitettségeket csak ebben a táblában kell feltüntetni.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 A tábla egyes részeire vonatkozó útmutató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Oszlop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Jogszabályi hivatkozások és útmutató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Kitettségérték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>Az 575/2013/EU rendelet 501d. cikkének (2) bekezdésében említett különböző típusú kriptoeszközökkel szembeni kitettségek értéke.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Kockázattal súlyozott kitettségérték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>Az 575/2013/EU rendelet 501d. cikkének (2) bekezdése.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>Az 575/2013/EU rendelet 501d. cikkének (2) bekezdése szerint számított különböző kriptoeszközökkel szembeni kitettségek kockázattal súlyozott kitettségértékei.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Sor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Jogszabályi hivatkozások és útmutató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Teljes kitettség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 0020-as, 0030-as és 0040-es sor összegeként kiszámított teljes érték. A 0020-as oszlopban szereplő értéknek meg kell egyeznie a C 02.00 tábla (Szavatolótőke-követelmények) 0780-as sorában feltüntetett teljes kockázati kitettségértékekkel.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Tokenizált hagyományos eszközökkel szembeni kriptoeszköz-kitettségek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t>Az 575/2013/EU rendelet 501d. cikke (2) bekezdésének a) pontja.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Eszközalapú tokenekkel szembeni kitettségek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>Az 575/2013/EU rendelet 501d. cikke (2) bekezdésének b) pontja.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Egyéb kriptoeszközökkel szembeni kitettségek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t>Az 575/2013/EU rendelet 501d. cikke (2) bekezdésének c) pontja.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t>Az 575/2013/EU rendelet 501d. cikke (2) bekezdésének a) és b) pontjától eltérő, kriptoeszközökkel szembeni egyéb kitettségek.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Sor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Tájékoztató adat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Egyéb kriptoeszközökkel szembeni kitettségek az intézmények T1 tőkéjének százalékában kifejezve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t>Az 575/2013/EU rendelet 501d. cikkének (3) bekezdése.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H – szokásos felhasználásr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H – szokásos felhasználásr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H – szokásos felhasználásr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H – szokásos felhasználásr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115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5DA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67B97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hu-HU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hu-HU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hu-HU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hu-HU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hu-HU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hu-HU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hu-HU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hu-HU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hu-HU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hu-HU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hu-HU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u-HU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hu-HU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3141E-36B4-4883-8380-CE38B840AC08}"/>
</file>

<file path=customXml/itemProps2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1760</Characters>
  <Application>Microsoft Office Word</Application>
  <DocSecurity>0</DocSecurity>
  <Lines>58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2025-01-27T08:58:34Z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75c4406c-3b9e-4353-8115-8bf1244de664</vt:lpwstr>
  </property>
  <property fmtid="{D5CDD505-2E9C-101B-9397-08002B2CF9AE}" pid="9" name="MSIP_Label_6bd9ddd1-4d20-43f6-abfa-fc3c07406f94_ContentBits">
    <vt:lpwstr>0</vt:lpwstr>
  </property>
</Properties>
</file>