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LV</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sz w:val="24"/>
          <w:rFonts w:ascii="Times New Roman" w:hAnsi="Times New Roman"/>
        </w:rPr>
      </w:pPr>
      <w:r>
        <w:rPr>
          <w:sz w:val="24"/>
          <w:rFonts w:ascii="Times New Roman" w:hAnsi="Times New Roman"/>
        </w:rPr>
        <w:t xml:space="preserve">II PIELIKUMS</w:t>
      </w:r>
    </w:p>
    <w:p w14:paraId="37362007" w14:textId="6FB5EC15" w:rsidR="002648B0" w:rsidRPr="002A677E" w:rsidRDefault="008D696E" w:rsidP="00A33695">
      <w:pPr>
        <w:jc w:val="center"/>
        <w:rPr>
          <w:sz w:val="24"/>
          <w:rFonts w:ascii="Times New Roman" w:hAnsi="Times New Roman"/>
        </w:rPr>
      </w:pPr>
      <w:r>
        <w:rPr>
          <w:sz w:val="24"/>
          <w:rFonts w:ascii="Times New Roman" w:hAnsi="Times New Roman"/>
        </w:rPr>
        <w:t xml:space="preserve">“II PIELIKUMS</w:t>
      </w:r>
    </w:p>
    <w:p w14:paraId="1330A6A8" w14:textId="5D7F4003" w:rsidR="000F1AF3" w:rsidRPr="00D41692" w:rsidRDefault="00D11E4C" w:rsidP="00D41692">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bookmarkStart w:id="2" w:name="_Toc264033192"/>
      <w:bookmarkEnd w:id="2"/>
      <w:bookmarkEnd w:id="0"/>
      <w:bookmarkEnd w:id="1"/>
      <w:r>
        <w:rPr>
          <w:b/>
          <w:sz w:val="24"/>
          <w:rFonts w:ascii="Times New Roman" w:hAnsi="Times New Roman"/>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 xml:space="preserve">II DAĻA.</w:t>
      </w:r>
      <w:r>
        <w:rPr>
          <w:rFonts w:ascii="Times New Roman" w:hAnsi="Times New Roman"/>
        </w:rPr>
        <w:t xml:space="preserve"> </w:t>
      </w:r>
      <w:r>
        <w:rPr>
          <w:rFonts w:ascii="Times New Roman" w:hAnsi="Times New Roman"/>
        </w:rPr>
        <w:t xml:space="preserve">NORĀDES SAISTĪBĀ AR VEIDNI</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 xml:space="preserve">(..)</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sz w:val="24"/>
          <w:rFonts w:ascii="Times New Roman" w:hAnsi="Times New Roman" w:cs="Times New Roman"/>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Operacionālā riska veidnes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136</w:t>
      </w:r>
      <w:r>
        <w:fldChar w:fldCharType="end"/>
      </w:r>
      <w:r>
        <w:t xml:space="preserve">.</w:t>
      </w:r>
      <w:r>
        <w:tab/>
      </w:r>
      <w:r>
        <w:t xml:space="preserve">[ieraksta nav].</w:t>
      </w:r>
      <w:r>
        <w:t xml:space="preserve"> </w:t>
      </w:r>
    </w:p>
    <w:p w14:paraId="4904781C" w14:textId="02CDAF2E"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137</w:t>
      </w:r>
      <w:r>
        <w:fldChar w:fldCharType="end"/>
      </w:r>
      <w:r>
        <w:t xml:space="preserve">.</w:t>
      </w:r>
      <w:r>
        <w:t xml:space="preserve"> </w:t>
      </w:r>
      <w:r>
        <w:t xml:space="preserve">[ieraksta nav].</w:t>
      </w:r>
      <w:r>
        <w:t xml:space="preserve"> </w:t>
      </w:r>
    </w:p>
    <w:p w14:paraId="4B809D6B" w14:textId="0B845704"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138</w:t>
      </w:r>
      <w:r>
        <w:fldChar w:fldCharType="end"/>
      </w:r>
      <w:r>
        <w:t xml:space="preserve">.</w:t>
      </w:r>
      <w:r>
        <w:tab/>
      </w:r>
      <w:r>
        <w:t xml:space="preserve">[ieraksta nav].</w:t>
      </w:r>
      <w:r>
        <w:t xml:space="preserve"> </w:t>
      </w:r>
    </w:p>
    <w:p w14:paraId="2023E425" w14:textId="5437B6F0"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139</w:t>
      </w:r>
      <w:r>
        <w:fldChar w:fldCharType="end"/>
      </w:r>
      <w:r>
        <w:t xml:space="preserve">.</w:t>
      </w:r>
      <w:r>
        <w:tab/>
      </w:r>
      <w:r>
        <w:t xml:space="preserve">[ieraksta nav].</w:t>
      </w:r>
      <w:r>
        <w:t xml:space="preserve"> </w:t>
      </w:r>
    </w:p>
    <w:p w14:paraId="1BF423DA" w14:textId="44AC9F92"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140</w:t>
      </w:r>
      <w:r>
        <w:fldChar w:fldCharType="end"/>
      </w:r>
      <w:r>
        <w:t xml:space="preserve">.</w:t>
      </w:r>
      <w:r>
        <w:tab/>
      </w:r>
      <w:r>
        <w:t xml:space="preserve"> </w:t>
      </w:r>
      <w:r>
        <w:t xml:space="preserve">[ieraksta nav].</w:t>
      </w:r>
      <w:r>
        <w:t xml:space="preserve"> </w:t>
      </w:r>
    </w:p>
    <w:p w14:paraId="001035D2" w14:textId="1BD5781A"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141</w:t>
      </w:r>
      <w:r>
        <w:fldChar w:fldCharType="end"/>
      </w:r>
      <w:r>
        <w:t xml:space="preserve">.</w:t>
      </w:r>
      <w:r>
        <w:tab/>
      </w:r>
      <w:r>
        <w:t xml:space="preserve">[ieraksta nav].</w:t>
      </w:r>
    </w:p>
    <w:p w14:paraId="23737963"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8" w:name="_Toc152862711"/>
      <w:r>
        <w:rPr>
          <w:sz w:val="24"/>
          <w:rFonts w:ascii="Times New Roman" w:hAnsi="Times New Roman"/>
        </w:rPr>
        <w:t xml:space="preserve">4.1.</w:t>
      </w:r>
      <w:r>
        <w:rPr>
          <w:sz w:val="24"/>
          <w:rFonts w:ascii="Times New Roman" w:hAnsi="Times New Roman"/>
        </w:rPr>
        <w:tab/>
      </w:r>
      <w:r>
        <w:rPr>
          <w:sz w:val="24"/>
          <w:u w:val="single"/>
          <w:rFonts w:ascii="Times New Roman" w:hAnsi="Times New Roman"/>
        </w:rPr>
        <w:t xml:space="preserve">Pārskats par pašu kapitāla prasībām attiecībā uz operacionālo risku</w:t>
      </w:r>
      <w:bookmarkEnd w:id="18"/>
    </w:p>
    <w:p w14:paraId="200487A9"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9" w:name="_Toc152862712"/>
      <w:r>
        <w:rPr>
          <w:sz w:val="24"/>
          <w:rFonts w:ascii="Times New Roman" w:hAnsi="Times New Roman"/>
        </w:rPr>
        <w:t xml:space="preserve">4.1.1.</w:t>
      </w:r>
      <w:r>
        <w:rPr>
          <w:sz w:val="24"/>
          <w:rFonts w:ascii="Times New Roman" w:hAnsi="Times New Roman"/>
        </w:rPr>
        <w:tab/>
      </w:r>
      <w:r>
        <w:rPr>
          <w:sz w:val="24"/>
          <w:u w:val="single"/>
          <w:rFonts w:ascii="Times New Roman" w:hAnsi="Times New Roman"/>
        </w:rPr>
        <w:t xml:space="preserve">Vispārīgas piezīmes</w:t>
      </w:r>
      <w:bookmarkEnd w:id="19"/>
    </w:p>
    <w:p w14:paraId="60C67A56" w14:textId="5F0C19D1" w:rsidR="0062765D" w:rsidRPr="0062765D" w:rsidRDefault="0062765D" w:rsidP="00855EF0">
      <w:pPr>
        <w:spacing w:before="0" w:after="240"/>
        <w:ind w:left="360" w:hanging="360"/>
        <w:rPr>
          <w:noProof/>
          <w:sz w:val="24"/>
          <w:rFonts w:ascii="Times New Roman" w:hAnsi="Times New Roman"/>
        </w:rPr>
      </w:pPr>
      <w:r>
        <w:rPr>
          <w:sz w:val="24"/>
          <w:rFonts w:ascii="Times New Roman" w:hAnsi="Times New Roman"/>
        </w:rPr>
        <w:t xml:space="preserve">141.a</w:t>
      </w:r>
      <w:r>
        <w:rPr>
          <w:sz w:val="24"/>
          <w:rFonts w:ascii="Times New Roman" w:hAnsi="Times New Roman"/>
        </w:rPr>
        <w:t xml:space="preserve"> </w:t>
      </w:r>
      <w:r>
        <w:rPr>
          <w:sz w:val="24"/>
          <w:rFonts w:ascii="Times New Roman" w:hAnsi="Times New Roman"/>
        </w:rPr>
        <w:t xml:space="preserve">C 16.01. veidnē ir ietvertas pašu kapitāla prasības (</w:t>
      </w:r>
      <w:r>
        <w:rPr>
          <w:sz w:val="24"/>
          <w:i/>
          <w:iCs/>
          <w:rFonts w:ascii="Times New Roman" w:hAnsi="Times New Roman"/>
        </w:rPr>
        <w:t xml:space="preserve">OFR</w:t>
      </w:r>
      <w:r>
        <w:rPr>
          <w:sz w:val="24"/>
          <w:rFonts w:ascii="Times New Roman" w:hAnsi="Times New Roman"/>
        </w:rPr>
        <w:t xml:space="preserve">) operacionālajam riskam saskaņā ar uzņēmējdarbības rādītāja sastāvdaļu (</w:t>
      </w:r>
      <w:r>
        <w:rPr>
          <w:sz w:val="24"/>
          <w:i/>
          <w:iCs/>
          <w:rFonts w:ascii="Times New Roman" w:hAnsi="Times New Roman"/>
        </w:rPr>
        <w:t xml:space="preserve">BIC</w:t>
      </w:r>
      <w:r>
        <w:rPr>
          <w:sz w:val="24"/>
          <w:rFonts w:ascii="Times New Roman" w:hAnsi="Times New Roman"/>
        </w:rPr>
        <w:t xml:space="preserve">) un saistīto uzņēmējdarbības rādītāju (</w:t>
      </w:r>
      <w:r>
        <w:rPr>
          <w:sz w:val="24"/>
          <w:i/>
          <w:iCs/>
          <w:rFonts w:ascii="Times New Roman" w:hAnsi="Times New Roman"/>
        </w:rPr>
        <w:t xml:space="preserve">BI</w:t>
      </w:r>
      <w:r>
        <w:rPr>
          <w:sz w:val="24"/>
          <w:rFonts w:ascii="Times New Roman" w:hAnsi="Times New Roman"/>
        </w:rPr>
        <w:t xml:space="preserve">) saskaņā ar Regulas (ES) Nr. 575/2013 312. līdz 314. pantu.</w:t>
      </w:r>
    </w:p>
    <w:p w14:paraId="2BDF4A3C" w14:textId="48C88916" w:rsidR="00A85FE5" w:rsidRPr="0062765D" w:rsidRDefault="00DB52C6" w:rsidP="00F72493">
      <w:pPr>
        <w:spacing w:before="0" w:after="240"/>
        <w:ind w:left="360" w:hanging="360"/>
        <w:rPr>
          <w:noProof/>
          <w:sz w:val="24"/>
          <w:rFonts w:ascii="Times New Roman" w:hAnsi="Times New Roman"/>
        </w:rPr>
      </w:pPr>
      <w:r>
        <w:rPr>
          <w:sz w:val="24"/>
          <w:rFonts w:ascii="Times New Roman" w:hAnsi="Times New Roman"/>
        </w:rPr>
        <w:t xml:space="preserve">141.b</w:t>
      </w:r>
      <w:r>
        <w:rPr>
          <w:sz w:val="24"/>
          <w:rFonts w:ascii="Times New Roman" w:hAnsi="Times New Roman"/>
        </w:rPr>
        <w:t xml:space="preserve"> </w:t>
      </w:r>
      <w:r>
        <w:rPr>
          <w:sz w:val="24"/>
          <w:rFonts w:ascii="Times New Roman" w:hAnsi="Times New Roman"/>
        </w:rPr>
        <w:t xml:space="preserve">Iestādes uzrāda visas summas, pamatojoties uz grāmatvedības regulējumu, ko tās izmanto pārskatu sniegšanai par finanšu informāciju, ja vien šajā pielikumā nav noteikts citādi.</w:t>
      </w:r>
      <w:r>
        <w:rPr>
          <w:sz w:val="24"/>
          <w:rFonts w:ascii="Times New Roman" w:hAnsi="Times New Roman"/>
        </w:rPr>
        <w:t xml:space="preserve"> </w:t>
      </w:r>
    </w:p>
    <w:p w14:paraId="3F5B8138" w14:textId="1377326F" w:rsidR="0062765D" w:rsidRPr="0062765D" w:rsidRDefault="00DB52C6" w:rsidP="0062765D">
      <w:pPr>
        <w:spacing w:before="0" w:after="240"/>
        <w:ind w:left="360" w:hanging="360"/>
        <w:rPr>
          <w:noProof/>
          <w:sz w:val="24"/>
          <w:rFonts w:ascii="Times New Roman" w:hAnsi="Times New Roman"/>
        </w:rPr>
      </w:pPr>
      <w:r>
        <w:rPr>
          <w:sz w:val="24"/>
          <w:rFonts w:ascii="Times New Roman" w:hAnsi="Times New Roman"/>
        </w:rPr>
        <w:t xml:space="preserve">141.c</w:t>
      </w:r>
      <w:r>
        <w:rPr>
          <w:sz w:val="24"/>
          <w:rFonts w:ascii="Times New Roman" w:hAnsi="Times New Roman"/>
        </w:rPr>
        <w:t xml:space="preserve"> </w:t>
      </w:r>
      <w:r>
        <w:rPr>
          <w:sz w:val="24"/>
          <w:rFonts w:ascii="Times New Roman" w:hAnsi="Times New Roman"/>
        </w:rPr>
        <w:t xml:space="preserve">Iestādes aprēķina savu pašu kapitāla prasības un sniedz informāciju veidnēs, pamatojoties uz finanšu gada beigās pieejamo informāciju.</w:t>
      </w:r>
      <w:r>
        <w:rPr>
          <w:sz w:val="24"/>
          <w:rFonts w:ascii="Times New Roman" w:hAnsi="Times New Roman"/>
        </w:rPr>
        <w:t xml:space="preserve"> </w:t>
      </w:r>
      <w:r>
        <w:rPr>
          <w:sz w:val="24"/>
          <w:rFonts w:ascii="Times New Roman" w:hAnsi="Times New Roman"/>
        </w:rPr>
        <w:t xml:space="preserve">Tādēļ izmanto pēdējos trīs divpadsmit mēnešu novērojumus, sākot no finanšu gada beigām (piemēram, pārskata datumiem “G-1. gada decembris, G. marts, G. jūnijs, G. septembris” un finanšu gadam — “31. decembra” beigām, aprēķinu pamatā ir finanšu stāvoklis “31. decembrī”, izmantojot visus finanšu gadus G-1, G-2 un G-3).</w:t>
      </w:r>
      <w:r>
        <w:rPr>
          <w:sz w:val="24"/>
          <w:rFonts w:ascii="Times New Roman" w:hAnsi="Times New Roman"/>
        </w:rPr>
        <w:t xml:space="preserve">   </w:t>
      </w:r>
    </w:p>
    <w:p w14:paraId="34790AA0" w14:textId="4FE91511" w:rsidR="0062765D" w:rsidRDefault="00DB52C6" w:rsidP="0062765D">
      <w:pPr>
        <w:spacing w:before="0" w:after="240"/>
        <w:ind w:left="360" w:hanging="360"/>
        <w:rPr>
          <w:sz w:val="24"/>
          <w:rFonts w:ascii="Times New Roman" w:hAnsi="Times New Roman"/>
        </w:rPr>
      </w:pPr>
      <w:r>
        <w:rPr>
          <w:sz w:val="24"/>
          <w:rFonts w:ascii="Times New Roman" w:hAnsi="Times New Roman"/>
        </w:rPr>
        <w:t xml:space="preserve">141.d</w:t>
      </w:r>
      <w:r>
        <w:rPr>
          <w:sz w:val="24"/>
          <w:rFonts w:ascii="Times New Roman" w:hAnsi="Times New Roman"/>
        </w:rPr>
        <w:t xml:space="preserve"> </w:t>
      </w:r>
      <w:r>
        <w:rPr>
          <w:sz w:val="24"/>
          <w:rFonts w:ascii="Times New Roman" w:hAnsi="Times New Roman"/>
        </w:rPr>
        <w:t xml:space="preserve">Ja nav pieejami revidēti dati, iestādes var izmantot darījumu aplēses.</w:t>
      </w:r>
      <w:r>
        <w:rPr>
          <w:sz w:val="24"/>
          <w:rFonts w:ascii="Times New Roman" w:hAnsi="Times New Roman"/>
        </w:rPr>
        <w:t xml:space="preserve"> </w:t>
      </w:r>
      <w:r>
        <w:rPr>
          <w:sz w:val="24"/>
          <w:rFonts w:ascii="Times New Roman" w:hAnsi="Times New Roman"/>
        </w:rPr>
        <w:t xml:space="preserve">Ja tiek izmantoti revidēti dati, iestādes uzrāda revidētos datus, kam būtu jāpaliek nemainīgiem.</w:t>
      </w:r>
      <w:r>
        <w:rPr>
          <w:sz w:val="24"/>
          <w:rFonts w:ascii="Times New Roman" w:hAnsi="Times New Roman"/>
        </w:rPr>
        <w:t xml:space="preserve"> </w:t>
      </w:r>
      <w:r>
        <w:rPr>
          <w:sz w:val="24"/>
          <w:rFonts w:ascii="Times New Roman" w:hAnsi="Times New Roman"/>
        </w:rPr>
        <w:t xml:space="preserve">Atkāpes no šā “nemainīguma” principa ir iespējamas saskaņā ar Regulas (ES) Nr. 575/2013 315. panta 1. un 2. punktu.</w:t>
      </w:r>
      <w:r>
        <w:rPr>
          <w:sz w:val="24"/>
          <w:rFonts w:ascii="Times New Roman" w:hAnsi="Times New Roman"/>
        </w:rPr>
        <w:t xml:space="preserve"> </w:t>
      </w:r>
    </w:p>
    <w:p w14:paraId="27F080A5" w14:textId="6DE910D0" w:rsidR="00FA5064" w:rsidRDefault="00DB52C6" w:rsidP="00FA5064">
      <w:pPr>
        <w:spacing w:before="0" w:after="240"/>
        <w:ind w:left="360" w:hanging="360"/>
        <w:rPr>
          <w:sz w:val="24"/>
          <w:rFonts w:ascii="Times New Roman" w:hAnsi="Times New Roman"/>
        </w:rPr>
      </w:pPr>
      <w:r>
        <w:rPr>
          <w:sz w:val="24"/>
          <w:rFonts w:ascii="Times New Roman" w:hAnsi="Times New Roman"/>
        </w:rPr>
        <w:t xml:space="preserve">141.e</w:t>
      </w:r>
      <w:r>
        <w:rPr>
          <w:sz w:val="24"/>
          <w:rFonts w:ascii="Times New Roman" w:hAnsi="Times New Roman"/>
        </w:rPr>
        <w:t xml:space="preserve"> </w:t>
      </w:r>
      <w:r>
        <w:rPr>
          <w:sz w:val="24"/>
          <w:rFonts w:ascii="Times New Roman" w:hAnsi="Times New Roman"/>
        </w:rPr>
        <w:t xml:space="preserve">Iestādes, sniedzot pārskatus, neiekļauj nekādus skaitļus, kas attiecas uz posteņiem, kuri noteikti saskaņā ar Regulas (ES) Nr. 575/2013 314. panta 7. punktu un sīkāk precizēti regulatīvajā tehniskajā standartā, kas jāizstrādā saskaņā ar 314. panta 9. punktu.</w:t>
      </w:r>
      <w:r>
        <w:rPr>
          <w:sz w:val="24"/>
          <w:rFonts w:ascii="Times New Roman" w:hAnsi="Times New Roman"/>
        </w:rPr>
        <w:t xml:space="preserve"> </w:t>
      </w:r>
    </w:p>
    <w:p w14:paraId="65A130C3" w14:textId="77777777" w:rsidR="008E3C30" w:rsidRPr="006E49F0" w:rsidRDefault="00DB52C6" w:rsidP="001A7684">
      <w:pPr>
        <w:spacing w:before="0" w:after="240"/>
        <w:ind w:left="360" w:hanging="360"/>
        <w:rPr>
          <w:sz w:val="24"/>
          <w:rFonts w:ascii="Times New Roman" w:hAnsi="Times New Roman"/>
        </w:rPr>
      </w:pPr>
      <w:r>
        <w:t xml:space="preserve">141.f</w:t>
      </w:r>
      <w:r>
        <w:t xml:space="preserve"> </w:t>
      </w:r>
      <w:r>
        <w:rPr>
          <w:sz w:val="24"/>
          <w:rFonts w:ascii="Times New Roman" w:hAnsi="Times New Roman"/>
        </w:rPr>
        <w:t xml:space="preserve">Lai aprēķinātu uzņēmējdarbības rādītāju (</w:t>
      </w:r>
      <w:r>
        <w:rPr>
          <w:sz w:val="24"/>
          <w:i/>
          <w:iCs/>
          <w:rFonts w:ascii="Times New Roman" w:hAnsi="Times New Roman"/>
        </w:rPr>
        <w:t xml:space="preserve">BI</w:t>
      </w:r>
      <w:r>
        <w:rPr>
          <w:sz w:val="24"/>
          <w:rFonts w:ascii="Times New Roman" w:hAnsi="Times New Roman"/>
        </w:rPr>
        <w:t xml:space="preserve">), (piemēram, ja iestādēm ir meitasuzņēmumi, kuru valūta nav iestādes pārskata valūta), iestādes piemēro attiecīgo valūtas kursu katram no trim gadiem, uz kuru pamata aprēķina </w:t>
      </w:r>
      <w:r>
        <w:rPr>
          <w:sz w:val="24"/>
          <w:i/>
          <w:iCs/>
          <w:rFonts w:ascii="Times New Roman" w:hAnsi="Times New Roman"/>
        </w:rPr>
        <w:t xml:space="preserve">BI</w:t>
      </w:r>
      <w:r>
        <w:rPr>
          <w:sz w:val="24"/>
          <w:rFonts w:ascii="Times New Roman" w:hAnsi="Times New Roman"/>
        </w:rPr>
        <w:t xml:space="preserve">, saskaņā ar piemērojamo grāmatvedības regulējumu.</w:t>
      </w:r>
      <w:r>
        <w:rPr>
          <w:sz w:val="24"/>
          <w:rFonts w:ascii="Times New Roman" w:hAnsi="Times New Roman"/>
        </w:rPr>
        <w:t xml:space="preserve"> </w:t>
      </w:r>
      <w:r>
        <w:rPr>
          <w:sz w:val="24"/>
          <w:rFonts w:ascii="Times New Roman" w:hAnsi="Times New Roman"/>
        </w:rPr>
        <w:t xml:space="preserve">Tādējādi attiecīgajā gadā izmantoto valūtas kursu nekoriģē katrā pārskata datumā.</w:t>
      </w:r>
      <w:r>
        <w:rPr>
          <w:sz w:val="24"/>
          <w:rFonts w:ascii="Times New Roman" w:hAnsi="Times New Roman"/>
        </w:rPr>
        <w:t xml:space="preserve"> </w:t>
      </w:r>
    </w:p>
    <w:p w14:paraId="06A7780A" w14:textId="58C20260" w:rsidR="006E63FF" w:rsidRPr="001A7684" w:rsidRDefault="008E3C30" w:rsidP="001A7684">
      <w:pPr>
        <w:spacing w:before="0" w:after="240"/>
        <w:ind w:left="360" w:hanging="360"/>
        <w:rPr>
          <w:sz w:val="22"/>
          <w:rFonts w:ascii="Calibri" w:eastAsia="MS PGothic" w:hAnsi="Calibri" w:cs="Arial"/>
        </w:rPr>
      </w:pPr>
      <w:r>
        <w:rPr>
          <w:sz w:val="24"/>
          <w:rFonts w:ascii="Times New Roman" w:hAnsi="Times New Roman"/>
        </w:rPr>
        <w:t xml:space="preserve">141.g</w:t>
      </w:r>
      <w:r>
        <w:rPr>
          <w:sz w:val="22"/>
          <w:rFonts w:ascii="Calibri" w:hAnsi="Calibri"/>
        </w:rPr>
        <w:t xml:space="preserve"> </w:t>
      </w:r>
      <w:r>
        <w:rPr>
          <w:sz w:val="22"/>
          <w:rFonts w:ascii="Calibri" w:hAnsi="Calibri"/>
        </w:rPr>
        <w:t xml:space="preserve">Attiecībā uz robežvērtību piemērošanu uzņēmējdarbības rādītāja sastāvdaļas (</w:t>
      </w:r>
      <w:r>
        <w:rPr>
          <w:sz w:val="22"/>
          <w:i/>
          <w:iCs/>
          <w:rFonts w:ascii="Calibri" w:hAnsi="Calibri"/>
        </w:rPr>
        <w:t xml:space="preserve">BIC</w:t>
      </w:r>
      <w:r>
        <w:rPr>
          <w:sz w:val="22"/>
          <w:rFonts w:ascii="Calibri" w:hAnsi="Calibri"/>
        </w:rPr>
        <w:t xml:space="preserve">) aprēķināšanai saskaņā ar Regulas (ES) Nr. 575/2013 313. pantu iestādes, kas nav eurozonas iestādes un kas sniedz uzraudzības informāciju savā vietējā valūtā, izmanto vidējo valūtas kursu periodā, par kuru </w:t>
      </w:r>
      <w:r>
        <w:rPr>
          <w:sz w:val="22"/>
          <w:i/>
          <w:iCs/>
          <w:rFonts w:ascii="Calibri" w:hAnsi="Calibri"/>
        </w:rPr>
        <w:t xml:space="preserve">BIC</w:t>
      </w:r>
      <w:r>
        <w:rPr>
          <w:sz w:val="22"/>
          <w:rFonts w:ascii="Calibri" w:hAnsi="Calibri"/>
        </w:rPr>
        <w:t xml:space="preserve"> ir aprēķināta (vidējais rādītājs pēdējos trijos finanšu gados) saskaņā ar grāmatvedības regulējumu, lai robežvērtību konvertētu savā vietējā valūtā.</w:t>
      </w:r>
    </w:p>
    <w:p w14:paraId="031BD6E8" w14:textId="4B566AA7" w:rsidR="008803F1" w:rsidRDefault="0062765D" w:rsidP="008803F1">
      <w:pPr>
        <w:keepNext/>
        <w:spacing w:before="240" w:after="240"/>
        <w:ind w:left="357" w:hanging="357"/>
        <w:outlineLvl w:val="1"/>
        <w:rPr>
          <w:sz w:val="24"/>
          <w:u w:val="single"/>
          <w:rFonts w:ascii="Times New Roman" w:eastAsia="Arial" w:hAnsi="Times New Roman"/>
        </w:rPr>
      </w:pPr>
      <w:bookmarkStart w:id="20" w:name="_Toc152862713"/>
      <w:r>
        <w:rPr>
          <w:sz w:val="24"/>
          <w:u w:val="single"/>
          <w:rFonts w:ascii="Times New Roman" w:hAnsi="Times New Roman"/>
        </w:rPr>
        <w:t xml:space="preserve">4.1.2.</w:t>
      </w:r>
      <w:r>
        <w:rPr>
          <w:sz w:val="24"/>
          <w:u w:val="single"/>
          <w:rFonts w:ascii="Times New Roman" w:hAnsi="Times New Roman"/>
        </w:rPr>
        <w:tab/>
      </w:r>
      <w:r>
        <w:rPr>
          <w:sz w:val="24"/>
          <w:u w:val="single"/>
          <w:rFonts w:ascii="Times New Roman" w:hAnsi="Times New Roman"/>
        </w:rPr>
        <w:t xml:space="preserve">C 16.01 — Operacionālais risks — Pašu kapitāla prasības (</w:t>
      </w:r>
      <w:r>
        <w:rPr>
          <w:sz w:val="24"/>
          <w:u w:val="single"/>
          <w:i/>
          <w:iCs/>
          <w:rFonts w:ascii="Times New Roman" w:hAnsi="Times New Roman"/>
        </w:rPr>
        <w:t xml:space="preserve">OPR OFR</w:t>
      </w:r>
      <w:r>
        <w:rPr>
          <w:sz w:val="24"/>
          <w:u w:val="single"/>
          <w:rFonts w:ascii="Times New Roman" w:hAnsi="Times New Roman"/>
        </w:rPr>
        <w:t xml:space="preserve">)</w:t>
      </w:r>
      <w:bookmarkEnd w:id="20"/>
    </w:p>
    <w:p w14:paraId="37EA392E" w14:textId="08491DA9" w:rsidR="0060540A" w:rsidRPr="00F83296" w:rsidRDefault="006B71D2" w:rsidP="00F83296">
      <w:pPr>
        <w:spacing w:before="0" w:after="240"/>
        <w:ind w:left="360" w:hanging="360"/>
        <w:rPr>
          <w:sz w:val="24"/>
          <w:u w:val="single"/>
          <w:rFonts w:ascii="Times New Roman" w:eastAsia="Arial" w:hAnsi="Times New Roman"/>
        </w:rPr>
      </w:pPr>
      <w:r>
        <w:rPr>
          <w:sz w:val="24"/>
          <w:rFonts w:ascii="Times New Roman" w:hAnsi="Times New Roman"/>
        </w:rPr>
        <w:t xml:space="preserve">141.h</w:t>
      </w:r>
      <w:r>
        <w:rPr>
          <w:sz w:val="24"/>
          <w:rFonts w:ascii="Times New Roman" w:hAnsi="Times New Roman"/>
        </w:rPr>
        <w:t xml:space="preserve"> </w:t>
      </w:r>
      <w:r>
        <w:rPr>
          <w:sz w:val="24"/>
          <w:rFonts w:ascii="Times New Roman" w:hAnsi="Times New Roman"/>
        </w:rPr>
        <w:t xml:space="preserve">Informāciju šajā veidnē aprēķina, ņemot vērā summas par pēdējiem trim finanšu gadiem.</w:t>
      </w:r>
    </w:p>
    <w:p w14:paraId="4A1DC110" w14:textId="03CEE5BE" w:rsidR="0062765D" w:rsidRPr="0062765D" w:rsidRDefault="0062765D" w:rsidP="0062765D">
      <w:pPr>
        <w:spacing w:before="0" w:after="240"/>
        <w:rPr>
          <w:sz w:val="24"/>
          <w:u w:val="single"/>
          <w:rFonts w:ascii="Times New Roman" w:hAnsi="Times New Roman"/>
        </w:rPr>
      </w:pPr>
      <w:r>
        <w:rPr>
          <w:sz w:val="24"/>
          <w:u w:val="single"/>
          <w:rFonts w:ascii="Times New Roman" w:hAnsi="Times New Roman"/>
        </w:rPr>
        <w:t xml:space="preserve">Norādes par konkrētām pozīcijām:</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sz w:val="24"/>
                <w:rFonts w:ascii="Times New Roman" w:hAnsi="Times New Roman"/>
              </w:rPr>
            </w:pPr>
            <w:r>
              <w:rPr>
                <w:b/>
                <w:sz w:val="24"/>
                <w:rFonts w:ascii="Times New Roman" w:hAnsi="Times New Roman"/>
              </w:rPr>
              <w:t xml:space="preserve">Slejas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b/>
                <w:bCs/>
                <w:sz w:val="24"/>
                <w:u w:val="single"/>
                <w:rFonts w:ascii="Times New Roman" w:hAnsi="Times New Roman"/>
              </w:rPr>
            </w:pPr>
            <w:r>
              <w:rPr>
                <w:b/>
                <w:sz w:val="24"/>
                <w:u w:val="single"/>
                <w:rFonts w:ascii="Times New Roman" w:hAnsi="Times New Roman"/>
              </w:rPr>
              <w:t xml:space="preserve">Atsauces uz tiesību aktu noteikumiem un norādījumi</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bCs/>
                <w:sz w:val="24"/>
                <w:u w:val="single"/>
                <w:rFonts w:ascii="Times New Roman" w:hAnsi="Times New Roman"/>
              </w:rPr>
            </w:pPr>
            <w:r>
              <w:rPr>
                <w:sz w:val="24"/>
                <w:rFonts w:ascii="Times New Roman" w:hAnsi="Times New Roman"/>
              </w:rPr>
              <w:t xml:space="preserve">0010.</w:t>
            </w:r>
          </w:p>
        </w:tc>
        <w:tc>
          <w:tcPr>
            <w:tcW w:w="7789" w:type="dxa"/>
          </w:tcPr>
          <w:p w14:paraId="37C5F7E9"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Vērtība</w:t>
            </w:r>
          </w:p>
          <w:p w14:paraId="40C487F3" w14:textId="77777777" w:rsidR="0062765D" w:rsidRDefault="0062765D" w:rsidP="0062765D">
            <w:pPr>
              <w:jc w:val="left"/>
              <w:rPr>
                <w:sz w:val="24"/>
                <w:rFonts w:ascii="Times New Roman" w:hAnsi="Times New Roman"/>
              </w:rPr>
            </w:pPr>
            <w:r>
              <w:rPr>
                <w:sz w:val="24"/>
                <w:rFonts w:ascii="Times New Roman" w:hAnsi="Times New Roman"/>
              </w:rPr>
              <w:t xml:space="preserve">Uzņēmējdarbības rādītāja (</w:t>
            </w:r>
            <w:r>
              <w:rPr>
                <w:sz w:val="24"/>
                <w:i/>
                <w:iCs/>
                <w:rFonts w:ascii="Times New Roman" w:hAnsi="Times New Roman"/>
              </w:rPr>
              <w:t xml:space="preserve">BI)</w:t>
            </w:r>
            <w:r>
              <w:rPr>
                <w:sz w:val="24"/>
                <w:rFonts w:ascii="Times New Roman" w:hAnsi="Times New Roman"/>
              </w:rPr>
              <w:t xml:space="preserve"> un tās trīs sastāvdaļu vērtība:</w:t>
            </w:r>
            <w:r>
              <w:rPr>
                <w:sz w:val="24"/>
                <w:rFonts w:ascii="Times New Roman" w:hAnsi="Times New Roman"/>
              </w:rPr>
              <w:t xml:space="preserve"> </w:t>
            </w:r>
            <w:r>
              <w:rPr>
                <w:sz w:val="24"/>
                <w:i/>
                <w:iCs/>
                <w:rFonts w:ascii="Times New Roman" w:hAnsi="Times New Roman"/>
              </w:rPr>
              <w:t xml:space="preserve">ILDC</w:t>
            </w:r>
            <w:r>
              <w:rPr>
                <w:sz w:val="24"/>
                <w:rFonts w:ascii="Times New Roman" w:hAnsi="Times New Roman"/>
              </w:rPr>
              <w:t xml:space="preserve">, </w:t>
            </w:r>
            <w:r>
              <w:rPr>
                <w:sz w:val="24"/>
                <w:i/>
                <w:iCs/>
                <w:rFonts w:ascii="Times New Roman" w:hAnsi="Times New Roman"/>
              </w:rPr>
              <w:t xml:space="preserve">SC</w:t>
            </w:r>
            <w:r>
              <w:rPr>
                <w:sz w:val="24"/>
                <w:rFonts w:ascii="Times New Roman" w:hAnsi="Times New Roman"/>
              </w:rPr>
              <w:t xml:space="preserve"> un </w:t>
            </w:r>
            <w:r>
              <w:rPr>
                <w:sz w:val="24"/>
                <w:i/>
                <w:iCs/>
                <w:rFonts w:ascii="Times New Roman" w:hAnsi="Times New Roman"/>
              </w:rPr>
              <w:t xml:space="preserve">FC</w:t>
            </w:r>
            <w:r>
              <w:rPr>
                <w:sz w:val="24"/>
                <w:rFonts w:ascii="Times New Roman" w:hAnsi="Times New Roman"/>
              </w:rPr>
              <w:t xml:space="preserve">.</w:t>
            </w:r>
          </w:p>
          <w:p w14:paraId="4EA05B1B" w14:textId="77777777" w:rsidR="0062765D" w:rsidRPr="0062765D" w:rsidRDefault="0062765D" w:rsidP="0062765D">
            <w:pPr>
              <w:jc w:val="left"/>
              <w:rPr>
                <w:sz w:val="24"/>
                <w:rFonts w:ascii="Times New Roman" w:hAnsi="Times New Roman"/>
              </w:rPr>
            </w:pPr>
            <w:r>
              <w:rPr>
                <w:sz w:val="24"/>
                <w:rFonts w:ascii="Times New Roman" w:hAnsi="Times New Roman"/>
              </w:rPr>
              <w:t xml:space="preserve">Minētā vērtība ietver korekcijas saistībā ar apvienošanās, iegādes un atsavināšanas ietekmi saskaņā ar Regulas (ES) Nr. 575/2013 315. panta 1. un 2. punktu.</w:t>
            </w:r>
          </w:p>
          <w:p w14:paraId="160B8F2D" w14:textId="61260FD0" w:rsidR="00BC5ECA" w:rsidRDefault="00BC5ECA" w:rsidP="00BC5ECA">
            <w:pPr>
              <w:jc w:val="left"/>
              <w:rPr>
                <w:sz w:val="24"/>
                <w:rFonts w:ascii="Times New Roman" w:hAnsi="Times New Roman"/>
              </w:rPr>
            </w:pPr>
            <w:r>
              <w:rPr>
                <w:sz w:val="24"/>
                <w:rFonts w:ascii="Times New Roman" w:hAnsi="Times New Roman"/>
              </w:rPr>
              <w:t xml:space="preserve">Finanšu sastāvdaļas </w:t>
            </w:r>
            <w:r>
              <w:rPr>
                <w:sz w:val="24"/>
                <w:i/>
                <w:iCs/>
                <w:rFonts w:ascii="Times New Roman" w:hAnsi="Times New Roman"/>
              </w:rPr>
              <w:t xml:space="preserve">FC</w:t>
            </w:r>
            <w:r>
              <w:rPr>
                <w:sz w:val="24"/>
                <w:rFonts w:ascii="Times New Roman" w:hAnsi="Times New Roman"/>
              </w:rPr>
              <w:t xml:space="preserve"> gadījumā vērtība atspoguļo vai nu uzskaites vērtību, kas noteikta, izmantojot grāmatvedības pieeju, vai uzskaites vērtību, izmantojot prudenciālo robežu (prudenciālās robežas pieeja — </w:t>
            </w:r>
            <w:r>
              <w:rPr>
                <w:sz w:val="24"/>
                <w:i/>
                <w:iCs/>
                <w:rFonts w:ascii="Times New Roman" w:hAnsi="Times New Roman"/>
              </w:rPr>
              <w:t xml:space="preserve">PBA</w:t>
            </w:r>
            <w:r>
              <w:rPr>
                <w:sz w:val="24"/>
                <w:rFonts w:ascii="Times New Roman" w:hAnsi="Times New Roman"/>
              </w:rPr>
              <w:t xml:space="preserve">), lai identificētu tirdzniecības portfeļa un banku portfeļa posteņus.</w:t>
            </w:r>
            <w:r>
              <w:rPr>
                <w:sz w:val="24"/>
                <w:rFonts w:ascii="Times New Roman" w:hAnsi="Times New Roman"/>
              </w:rPr>
              <w:t xml:space="preserve"> </w:t>
            </w:r>
            <w:r>
              <w:rPr>
                <w:sz w:val="24"/>
                <w:rFonts w:ascii="Times New Roman" w:hAnsi="Times New Roman"/>
              </w:rPr>
              <w:t xml:space="preserve">Informāciju par izmantoto pieeju uzrāda 0110. rindā.</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789" w:type="dxa"/>
          </w:tcPr>
          <w:p w14:paraId="3853732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korekcijas saistībā ar vienību vai darbību apvienošanu/iegādi</w:t>
            </w:r>
          </w:p>
          <w:p w14:paraId="74765691" w14:textId="77777777" w:rsidR="0062765D" w:rsidRPr="0062765D" w:rsidRDefault="0062765D" w:rsidP="0062765D">
            <w:pPr>
              <w:jc w:val="left"/>
              <w:rPr>
                <w:bCs/>
                <w:sz w:val="24"/>
                <w:rFonts w:ascii="Times New Roman" w:hAnsi="Times New Roman"/>
              </w:rPr>
            </w:pPr>
            <w:r>
              <w:rPr>
                <w:sz w:val="24"/>
                <w:rFonts w:ascii="Times New Roman" w:hAnsi="Times New Roman"/>
              </w:rPr>
              <w:t xml:space="preserve">0010. slejā uzrādītās vērtības daļa, kas atbilst </w:t>
            </w:r>
            <w:r>
              <w:rPr>
                <w:sz w:val="24"/>
                <w:i/>
                <w:iCs/>
                <w:rFonts w:ascii="Times New Roman" w:hAnsi="Times New Roman"/>
              </w:rPr>
              <w:t xml:space="preserve">BI</w:t>
            </w:r>
            <w:r>
              <w:rPr>
                <w:sz w:val="24"/>
                <w:rFonts w:ascii="Times New Roman" w:hAnsi="Times New Roman"/>
              </w:rPr>
              <w:t xml:space="preserve"> sastāvdaļām, ko nosaka saistībā ar apvienotajām vai iegādātajām sabiedrībām vai darbībām saskaņā ar Regulas (ES) Nr. 575/2013 315. panta 1. punktu.</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789" w:type="dxa"/>
          </w:tcPr>
          <w:p w14:paraId="5025702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 </w:t>
            </w:r>
            <w:r>
              <w:rPr>
                <w:b/>
                <w:sz w:val="24"/>
                <w:u w:val="single"/>
                <w:rFonts w:ascii="Times New Roman" w:hAnsi="Times New Roman"/>
              </w:rPr>
              <w:t xml:space="preserve">(Korekcijas saistībā ar vienību vai darbību atsavināšanu)</w:t>
            </w:r>
          </w:p>
          <w:p w14:paraId="474CDF36" w14:textId="77777777"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Summa, kas izslēgta no </w:t>
            </w:r>
            <w:r>
              <w:rPr>
                <w:color w:val="000000" w:themeColor="text1"/>
                <w:sz w:val="24"/>
                <w:i/>
                <w:iCs/>
                <w:rFonts w:ascii="Times New Roman" w:hAnsi="Times New Roman"/>
              </w:rPr>
              <w:t xml:space="preserve">BI</w:t>
            </w:r>
            <w:r>
              <w:rPr>
                <w:color w:val="000000" w:themeColor="text1"/>
                <w:sz w:val="24"/>
                <w:rFonts w:ascii="Times New Roman" w:hAnsi="Times New Roman"/>
              </w:rPr>
              <w:t xml:space="preserve"> sastāvdaļām saistībā ar atsavinātām vienībām vai darbībām saskaņā ar Regulas (ES) Nr. 575/2013 315. panta 2. punktu.</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789" w:type="dxa"/>
          </w:tcPr>
          <w:p w14:paraId="4E023876"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Pašu kapitāla prasības</w:t>
            </w:r>
            <w:r>
              <w:rPr>
                <w:b/>
                <w:sz w:val="24"/>
                <w:u w:val="single"/>
                <w:rFonts w:ascii="Times New Roman" w:hAnsi="Times New Roman"/>
              </w:rPr>
              <w:t xml:space="preserve"> </w:t>
            </w:r>
          </w:p>
          <w:p w14:paraId="035197F4" w14:textId="13991B6C" w:rsidR="0062765D" w:rsidRDefault="0062765D" w:rsidP="0062765D">
            <w:pPr>
              <w:rPr>
                <w:sz w:val="24"/>
                <w:rFonts w:ascii="Times New Roman" w:hAnsi="Times New Roman"/>
              </w:rPr>
            </w:pPr>
            <w:r>
              <w:rPr>
                <w:sz w:val="24"/>
                <w:rFonts w:ascii="Times New Roman" w:hAnsi="Times New Roman"/>
              </w:rPr>
              <w:t xml:space="preserve">Pašu kapitāla prasības (</w:t>
            </w:r>
            <w:r>
              <w:rPr>
                <w:sz w:val="24"/>
                <w:i/>
                <w:iCs/>
                <w:rFonts w:ascii="Times New Roman" w:hAnsi="Times New Roman"/>
              </w:rPr>
              <w:t xml:space="preserve">OFR</w:t>
            </w:r>
            <w:r>
              <w:rPr>
                <w:sz w:val="24"/>
                <w:rFonts w:ascii="Times New Roman" w:hAnsi="Times New Roman"/>
              </w:rPr>
              <w:t xml:space="preserve">) aprēķina saskaņā ar Regulas (ES) Nr. 575/2013 312. līdz 314. pantu.</w:t>
            </w:r>
          </w:p>
          <w:p w14:paraId="459E44D5" w14:textId="36477AA5" w:rsidR="00C44D1A" w:rsidRPr="00C44D1A" w:rsidRDefault="00C44D1A" w:rsidP="00C44D1A">
            <w:pPr>
              <w:rPr>
                <w:sz w:val="24"/>
                <w:rFonts w:ascii="Times New Roman" w:hAnsi="Times New Roman"/>
              </w:rPr>
            </w:pPr>
            <w:r>
              <w:rPr>
                <w:sz w:val="24"/>
                <w:rFonts w:ascii="Times New Roman" w:hAnsi="Times New Roman"/>
              </w:rPr>
              <w:t xml:space="preserve">Ja iestādei piemēro Regulas (ES) Nr. 575/2013 314. panta 4. punktā minēto atkāpi, iestāde pašu kapitāla prasībām, kas aprēķinātas saskaņā ar uzņēmējdarbības rādītāja sastāvdaļu (</w:t>
            </w:r>
            <w:r>
              <w:rPr>
                <w:sz w:val="24"/>
                <w:i/>
                <w:iCs/>
                <w:rFonts w:ascii="Times New Roman" w:hAnsi="Times New Roman"/>
              </w:rPr>
              <w:t xml:space="preserve">BIC)</w:t>
            </w:r>
            <w:r>
              <w:rPr>
                <w:sz w:val="24"/>
                <w:rFonts w:ascii="Times New Roman" w:hAnsi="Times New Roman"/>
              </w:rPr>
              <w:t xml:space="preserve">, pievieno pašu kapitāla prasības, kas saskaņā ar </w:t>
            </w:r>
            <w:r>
              <w:rPr>
                <w:sz w:val="24"/>
                <w:i/>
                <w:iCs/>
                <w:i w:val="false"/>
                <w:iCs w:val="false"/>
                <w:rFonts w:ascii="Times New Roman" w:hAnsi="Times New Roman"/>
              </w:rPr>
              <w:t xml:space="preserve">ASP</w:t>
            </w:r>
            <w:r>
              <w:rPr>
                <w:sz w:val="24"/>
                <w:rFonts w:ascii="Times New Roman" w:hAnsi="Times New Roman"/>
              </w:rPr>
              <w:t xml:space="preserve"> aprēķinātas banku pakalpojumiem privātpersonām un MVU vai korporatīvajiem klientiem, ievērojot atkāpi (jo tās nav daļa no </w:t>
            </w:r>
            <w:r>
              <w:rPr>
                <w:sz w:val="24"/>
                <w:i/>
                <w:iCs/>
                <w:rFonts w:ascii="Times New Roman" w:hAnsi="Times New Roman"/>
              </w:rPr>
              <w:t xml:space="preserve">BIC</w:t>
            </w:r>
            <w:r>
              <w:rPr>
                <w:sz w:val="24"/>
                <w:rFonts w:ascii="Times New Roman" w:hAnsi="Times New Roman"/>
              </w:rPr>
              <w:t xml:space="preserve"> aprēķināšanas sistēmas).</w:t>
            </w:r>
            <w:r>
              <w:rPr>
                <w:sz w:val="24"/>
                <w:rFonts w:ascii="Times New Roman" w:hAnsi="Times New Roman"/>
              </w:rPr>
              <w:t xml:space="preserve">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789" w:type="dxa"/>
          </w:tcPr>
          <w:p w14:paraId="0BC49014"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Riska darījumu vērtība</w:t>
            </w:r>
          </w:p>
          <w:p w14:paraId="0ED80FDB" w14:textId="77777777" w:rsidR="0062765D" w:rsidRPr="0062765D" w:rsidRDefault="0062765D" w:rsidP="0062765D">
            <w:pPr>
              <w:rPr>
                <w:bCs/>
                <w:sz w:val="24"/>
                <w:rFonts w:ascii="Times New Roman" w:hAnsi="Times New Roman"/>
              </w:rPr>
            </w:pPr>
            <w:r>
              <w:rPr>
                <w:sz w:val="24"/>
                <w:rFonts w:ascii="Times New Roman" w:hAnsi="Times New Roman"/>
              </w:rPr>
              <w:t xml:space="preserve">Riska darījumu vērtību (</w:t>
            </w:r>
            <w:r>
              <w:rPr>
                <w:sz w:val="24"/>
                <w:i/>
                <w:iCs/>
                <w:rFonts w:ascii="Times New Roman" w:hAnsi="Times New Roman"/>
              </w:rPr>
              <w:t xml:space="preserve">REA</w:t>
            </w:r>
            <w:r>
              <w:rPr>
                <w:sz w:val="24"/>
                <w:rFonts w:ascii="Times New Roman" w:hAnsi="Times New Roman"/>
              </w:rPr>
              <w:t xml:space="preserve">) aprēķina saskaņā ar Regulas (ES) Nr. 575/2013 92. pantu.</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sz w:val="24"/>
          <w:rFonts w:ascii="Times New Roman" w:hAnsi="Times New Roman"/>
        </w:rPr>
      </w:pPr>
      <w:r>
        <w:rPr>
          <w:sz w:val="24"/>
          <w:rFonts w:ascii="Times New Roman" w:hAnsi="Times New Roman"/>
        </w:rPr>
        <w:t xml:space="preserve">Norādes pa rindām:</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b/>
                <w:bCs/>
                <w:sz w:val="24"/>
                <w:rFonts w:ascii="Times New Roman" w:hAnsi="Times New Roman"/>
              </w:rPr>
            </w:pPr>
            <w:r>
              <w:rPr>
                <w:b/>
                <w:sz w:val="24"/>
                <w:rFonts w:ascii="Times New Roman" w:hAnsi="Times New Roman"/>
              </w:rPr>
              <w:t xml:space="preserve">Rindas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sz w:val="24"/>
                <w:rFonts w:ascii="Times New Roman" w:hAnsi="Times New Roman"/>
              </w:rPr>
            </w:pPr>
            <w:r>
              <w:rPr>
                <w:b/>
                <w:sz w:val="24"/>
                <w:u w:val="single"/>
                <w:rFonts w:ascii="Times New Roman" w:hAnsi="Times New Roman"/>
              </w:rPr>
              <w:t xml:space="preserve">Atsauces uz tiesību aktu noteikumiem un norādījumi</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sz w:val="24"/>
                <w:rFonts w:ascii="Times New Roman" w:hAnsi="Times New Roman"/>
              </w:rPr>
            </w:pPr>
            <w:r>
              <w:rPr>
                <w:sz w:val="24"/>
                <w:rFonts w:ascii="Times New Roman" w:hAnsi="Times New Roman"/>
              </w:rPr>
              <w:t xml:space="preserve">0010.</w:t>
            </w:r>
            <w:r>
              <w:rPr>
                <w:sz w:val="24"/>
                <w:rFonts w:ascii="Times New Roman" w:hAnsi="Times New Roman"/>
              </w:rPr>
              <w:t xml:space="preserve">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b/>
                <w:bCs/>
                <w:sz w:val="24"/>
                <w:u w:val="single"/>
                <w:rFonts w:ascii="Times New Roman" w:hAnsi="Times New Roman"/>
              </w:rPr>
            </w:pPr>
            <w:r>
              <w:rPr>
                <w:b/>
                <w:sz w:val="24"/>
                <w:u w:val="single"/>
                <w:rFonts w:ascii="Times New Roman" w:hAnsi="Times New Roman"/>
              </w:rPr>
              <w:t xml:space="preserve">Uzņēmējdarbības rādītāja sastāvdaļa un ASP</w:t>
            </w:r>
          </w:p>
          <w:p w14:paraId="66A9A1ED" w14:textId="73BDAEB6" w:rsidR="00137C27" w:rsidRPr="0062765D" w:rsidRDefault="00E0541A" w:rsidP="0062765D">
            <w:pPr>
              <w:jc w:val="left"/>
              <w:rPr>
                <w:b/>
                <w:bCs/>
                <w:sz w:val="24"/>
                <w:u w:val="single"/>
                <w:rFonts w:ascii="Times New Roman" w:hAnsi="Times New Roman"/>
              </w:rPr>
            </w:pPr>
            <w:r>
              <w:rPr>
                <w:sz w:val="24"/>
                <w:rFonts w:ascii="Times New Roman" w:hAnsi="Times New Roman"/>
              </w:rPr>
              <w:t xml:space="preserve">Regulas (ES) Nr. 575/2013 313. pants un 314. panta 4. punkts.</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Uzņēmējdarbības rādītājs</w:t>
            </w:r>
          </w:p>
          <w:p w14:paraId="75392277" w14:textId="77777777" w:rsidR="00A12BD5" w:rsidRDefault="0062765D" w:rsidP="0062765D">
            <w:pPr>
              <w:jc w:val="left"/>
              <w:rPr>
                <w:sz w:val="24"/>
                <w:rFonts w:ascii="Times New Roman" w:hAnsi="Times New Roman"/>
              </w:rPr>
            </w:pPr>
            <w:r>
              <w:rPr>
                <w:sz w:val="24"/>
                <w:rFonts w:ascii="Times New Roman" w:hAnsi="Times New Roman"/>
              </w:rPr>
              <w:t xml:space="preserve">Uzņēmējdarbības rādītāja (</w:t>
            </w:r>
            <w:r>
              <w:rPr>
                <w:sz w:val="24"/>
                <w:i/>
                <w:iCs/>
                <w:rFonts w:ascii="Times New Roman" w:hAnsi="Times New Roman"/>
              </w:rPr>
              <w:t xml:space="preserve">BI</w:t>
            </w:r>
            <w:r>
              <w:rPr>
                <w:sz w:val="24"/>
                <w:rFonts w:ascii="Times New Roman" w:hAnsi="Times New Roman"/>
              </w:rPr>
              <w:t xml:space="preserve">) vērtība, kas aprēķināta saskaņā ar Regulas (ES) Nr. 575/2013 314. panta 1. punktu.</w:t>
            </w:r>
          </w:p>
          <w:p w14:paraId="55A108AA" w14:textId="4A73CF97" w:rsidR="00A55F29" w:rsidRPr="00A55F29" w:rsidRDefault="00A55F29" w:rsidP="00A55F29">
            <w:pPr>
              <w:jc w:val="left"/>
              <w:rPr>
                <w:sz w:val="24"/>
                <w:rFonts w:ascii="Times New Roman" w:hAnsi="Times New Roman"/>
              </w:rPr>
            </w:pPr>
            <w:r>
              <w:rPr>
                <w:sz w:val="24"/>
                <w:rFonts w:ascii="Times New Roman" w:hAnsi="Times New Roman"/>
              </w:rPr>
              <w:t xml:space="preserve">Ja iestādei piemēro Regulas (ES) Nr. 575/2013 314. panta 4. punktā minēto atkāpi, iestāde neiekļauj šīs atkāpes darbības jomā nekādus skaitļus par banku pakalpojumiem privātpersonām un MVU un/vai korporatīvajiem klientiem.</w:t>
            </w:r>
            <w:r>
              <w:rPr>
                <w:sz w:val="24"/>
                <w:rFonts w:ascii="Times New Roman" w:hAnsi="Times New Roman"/>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Procentu, nomas un dividenžu sastāvdaļa</w:t>
            </w:r>
          </w:p>
          <w:p w14:paraId="47773943" w14:textId="2CF555A2"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Kopējo </w:t>
            </w:r>
            <w:r>
              <w:rPr>
                <w:color w:val="000000" w:themeColor="text1"/>
                <w:sz w:val="24"/>
                <w:i/>
                <w:iCs/>
                <w:rFonts w:ascii="Times New Roman" w:hAnsi="Times New Roman"/>
              </w:rPr>
              <w:t xml:space="preserve">ILDC</w:t>
            </w:r>
            <w:r>
              <w:rPr>
                <w:color w:val="000000" w:themeColor="text1"/>
                <w:sz w:val="24"/>
                <w:rFonts w:ascii="Times New Roman" w:hAnsi="Times New Roman"/>
              </w:rPr>
              <w:t xml:space="preserve"> aprēķina saskaņā ar Regulas (ES) Nr. 575/2013 314. panta 2. punktu un attiecīgā gadījumā – 314. panta 3. punktu.</w:t>
            </w:r>
            <w:r>
              <w:rPr>
                <w:color w:val="000000" w:themeColor="text1"/>
                <w:sz w:val="24"/>
                <w:rFonts w:ascii="Times New Roman" w:hAnsi="Times New Roman"/>
              </w:rPr>
              <w:t xml:space="preserve">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b/>
                <w:bCs/>
                <w:sz w:val="24"/>
                <w:u w:val="single"/>
                <w:rFonts w:ascii="Times New Roman" w:hAnsi="Times New Roman"/>
              </w:rPr>
            </w:pPr>
            <w:r>
              <w:rPr>
                <w:b/>
                <w:sz w:val="24"/>
                <w:u w:val="single"/>
                <w:i/>
                <w:iCs/>
                <w:rFonts w:ascii="Times New Roman" w:hAnsi="Times New Roman"/>
              </w:rPr>
              <w:t xml:space="preserve">ILDC</w:t>
            </w:r>
            <w:r>
              <w:rPr>
                <w:b/>
                <w:sz w:val="24"/>
                <w:u w:val="single"/>
                <w:rFonts w:ascii="Times New Roman" w:hAnsi="Times New Roman"/>
              </w:rPr>
              <w:t xml:space="preserve">, kas saistīta ar atsevišķu iestādi/konsolidēto grupu (izņemot vienības, uz kurām attiecas 314. panta 3. punkts)</w:t>
            </w:r>
          </w:p>
          <w:p w14:paraId="20179C90" w14:textId="77777777" w:rsidR="0062765D" w:rsidRPr="0062765D" w:rsidRDefault="0062765D" w:rsidP="0062765D">
            <w:pPr>
              <w:jc w:val="left"/>
              <w:rPr>
                <w:color w:val="000000" w:themeColor="text1"/>
                <w:sz w:val="24"/>
                <w:rFonts w:ascii="Times New Roman" w:hAnsi="Times New Roman"/>
              </w:rPr>
            </w:pPr>
            <w:r>
              <w:rPr>
                <w:color w:val="000000" w:themeColor="text1"/>
                <w:sz w:val="24"/>
                <w:i/>
                <w:iCs/>
                <w:rFonts w:ascii="Times New Roman" w:hAnsi="Times New Roman"/>
              </w:rPr>
              <w:t xml:space="preserve">ILDC</w:t>
            </w:r>
            <w:r>
              <w:rPr>
                <w:color w:val="000000" w:themeColor="text1"/>
                <w:sz w:val="24"/>
                <w:rFonts w:ascii="Times New Roman" w:hAnsi="Times New Roman"/>
              </w:rPr>
              <w:t xml:space="preserve"> aprēķina saskaņā ar Regulas (ES) Nr. 575/2013 314. panta 2. punktu.</w:t>
            </w:r>
            <w:r>
              <w:rPr>
                <w:color w:val="000000" w:themeColor="text1"/>
                <w:sz w:val="24"/>
                <w:rFonts w:ascii="Times New Roman" w:hAnsi="Times New Roman"/>
              </w:rPr>
              <w:t xml:space="preserve"> </w:t>
            </w:r>
          </w:p>
          <w:p w14:paraId="44DE0AF1" w14:textId="683B00BD"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Konsolidētās pārskatu sniegšanas gadījumā, ja iestādei piemēro Regulas (ES) Nr. 575/2013 314. panta 3. punktā minēto atkāpi, iestāde neiekļauj nekādus skaitļus, kas ir daļa no</w:t>
            </w:r>
            <w:r>
              <w:rPr>
                <w:color w:val="000000" w:themeColor="text1"/>
                <w:sz w:val="24"/>
                <w:i/>
                <w:iCs/>
                <w:rFonts w:ascii="Times New Roman" w:hAnsi="Times New Roman"/>
              </w:rPr>
              <w:t xml:space="preserve"> ILDC</w:t>
            </w:r>
            <w:r>
              <w:rPr>
                <w:color w:val="000000" w:themeColor="text1"/>
                <w:sz w:val="24"/>
                <w:rFonts w:ascii="Times New Roman" w:hAnsi="Times New Roman"/>
              </w:rPr>
              <w:t xml:space="preserve"> aprēķina, kas aprēķināts atsevišķi šīm konkrētajām meitas iestādēm.</w:t>
            </w:r>
            <w:r>
              <w:rPr>
                <w:color w:val="000000" w:themeColor="text1"/>
                <w:sz w:val="24"/>
                <w:rFonts w:ascii="Times New Roman" w:hAnsi="Times New Roman"/>
              </w:rPr>
              <w:t xml:space="preserve"> </w:t>
            </w:r>
            <w:r>
              <w:rPr>
                <w:color w:val="000000" w:themeColor="text1"/>
                <w:sz w:val="24"/>
                <w:rFonts w:ascii="Times New Roman" w:hAnsi="Times New Roman"/>
              </w:rPr>
              <w:t xml:space="preserve">Starpsabiedrību atlikumus starp šajā pantā aplūkotajiem meitasuzņēmumiem un pārējo grupu izslēdz.</w:t>
            </w:r>
            <w:r>
              <w:rPr>
                <w:color w:val="000000" w:themeColor="text1"/>
                <w:sz w:val="24"/>
                <w:rFonts w:ascii="Times New Roman" w:hAnsi="Times New Roman"/>
              </w:rPr>
              <w:t xml:space="preserve">  </w:t>
            </w:r>
          </w:p>
          <w:p w14:paraId="15569619" w14:textId="0D6BDA72"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Ja iestādei piemēro Regulas (ES) Nr. 575/2013 314. panta 4. punktā minēto atkāpi, iestāde neiekļauj šīs atkāpes darbības jomā nekādus skaitļus par banku pakalpojumiem privātpersonām un MVU un/vai korporatīvajiem klientiem.</w:t>
            </w:r>
            <w:r>
              <w:rPr>
                <w:color w:val="000000" w:themeColor="text1"/>
                <w:sz w:val="24"/>
                <w:rFonts w:ascii="Times New Roman" w:hAnsi="Times New Roman"/>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b/>
                <w:bCs/>
                <w:sz w:val="24"/>
                <w:u w:val="single"/>
                <w:rFonts w:ascii="Times New Roman" w:hAnsi="Times New Roman"/>
              </w:rPr>
            </w:pPr>
            <w:r>
              <w:rPr>
                <w:b/>
                <w:sz w:val="24"/>
                <w:u w:val="single"/>
                <w:i/>
                <w:iCs/>
                <w:rFonts w:ascii="Times New Roman" w:hAnsi="Times New Roman"/>
              </w:rPr>
              <w:t xml:space="preserve">ILDC</w:t>
            </w:r>
            <w:r>
              <w:rPr>
                <w:b/>
                <w:sz w:val="24"/>
                <w:u w:val="single"/>
                <w:rFonts w:ascii="Times New Roman" w:hAnsi="Times New Roman"/>
              </w:rPr>
              <w:t xml:space="preserve"> vienībām, kas ņemtas vērā 314. panta 3. punktā</w:t>
            </w:r>
          </w:p>
          <w:p w14:paraId="574F1C29" w14:textId="4EE469F6" w:rsidR="0062765D" w:rsidRPr="004A5A87"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Konsolidētās pārskatu sniegšanas gadījumā, ja iestādei piemēro 314. panta 3. punktā minēto atkāpi, tā uzrāda</w:t>
            </w:r>
            <w:r>
              <w:rPr>
                <w:color w:val="000000" w:themeColor="text1"/>
                <w:sz w:val="24"/>
                <w:i/>
                <w:iCs/>
                <w:rFonts w:ascii="Times New Roman" w:hAnsi="Times New Roman"/>
              </w:rPr>
              <w:t xml:space="preserve"> ILDC</w:t>
            </w:r>
            <w:r>
              <w:rPr>
                <w:color w:val="000000" w:themeColor="text1"/>
                <w:sz w:val="24"/>
                <w:rFonts w:ascii="Times New Roman" w:hAnsi="Times New Roman"/>
              </w:rPr>
              <w:t xml:space="preserve"> summu par tām konkrētajām meitas iestādēm, kurām aprēķina atsevišķu </w:t>
            </w:r>
            <w:r>
              <w:rPr>
                <w:color w:val="000000" w:themeColor="text1"/>
                <w:sz w:val="24"/>
                <w:i/>
                <w:iCs/>
                <w:rFonts w:ascii="Times New Roman" w:hAnsi="Times New Roman"/>
              </w:rPr>
              <w:t xml:space="preserve">ILDC</w:t>
            </w:r>
            <w:r>
              <w:rPr>
                <w:color w:val="000000" w:themeColor="text1"/>
                <w:sz w:val="24"/>
                <w:rFonts w:ascii="Times New Roman" w:hAnsi="Times New Roman"/>
              </w:rPr>
              <w:t xml:space="preserve">.</w:t>
            </w:r>
            <w:r>
              <w:rPr>
                <w:color w:val="000000" w:themeColor="text1"/>
                <w:sz w:val="24"/>
                <w:rFonts w:ascii="Times New Roman" w:hAnsi="Times New Roman"/>
              </w:rPr>
              <w:t xml:space="preserve"> </w:t>
            </w:r>
            <w:r>
              <w:rPr>
                <w:color w:val="000000" w:themeColor="text1"/>
                <w:sz w:val="24"/>
                <w:rFonts w:ascii="Times New Roman" w:hAnsi="Times New Roman"/>
              </w:rPr>
              <w:t xml:space="preserve">Aprēķinot atsevišķo </w:t>
            </w:r>
            <w:r>
              <w:rPr>
                <w:color w:val="000000" w:themeColor="text1"/>
                <w:sz w:val="24"/>
                <w:i/>
                <w:iCs/>
                <w:rFonts w:ascii="Times New Roman" w:hAnsi="Times New Roman"/>
              </w:rPr>
              <w:t xml:space="preserve">ILDC</w:t>
            </w:r>
            <w:r>
              <w:rPr>
                <w:color w:val="000000" w:themeColor="text1"/>
                <w:sz w:val="24"/>
                <w:rFonts w:ascii="Times New Roman" w:hAnsi="Times New Roman"/>
              </w:rPr>
              <w:t xml:space="preserve">, izslēdz starpsabiedrību atlikumus starp meitasuzņēmumiem un pārējo grupu.</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sz w:val="24"/>
                <w:rFonts w:ascii="Times New Roman" w:hAnsi="Times New Roman"/>
              </w:rPr>
            </w:pPr>
            <w:r>
              <w:rPr>
                <w:sz w:val="24"/>
                <w:rFonts w:ascii="Times New Roman" w:hAnsi="Times New Roman"/>
              </w:rPr>
              <w:t xml:space="preserve">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Pakalpojumu sastāvdaļa</w:t>
            </w:r>
          </w:p>
          <w:p w14:paraId="68E6D128" w14:textId="742461BD" w:rsid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Pakalpojumu sastāvdaļu aprēķina saskaņā ar Regulas (ES) Nr. 575/2013 314. panta 5. punktu.</w:t>
            </w:r>
          </w:p>
          <w:p w14:paraId="79F2D39A" w14:textId="2F1617D4" w:rsidR="0062765D" w:rsidRPr="004A5A87"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Ja iestādei piemēro Regulas (ES) Nr. 575/2013 314. panta 4. punktā minēto atkāpi, iestāde neiekļauj šīs atkāpes darbības jomā nekādus skaitļus par banku pakalpojumiem privātpersonām un MVU un/vai korporatīvajiem klientiem.</w:t>
            </w:r>
            <w:r>
              <w:rPr>
                <w:color w:val="000000" w:themeColor="text1"/>
                <w:sz w:val="24"/>
                <w:rFonts w:ascii="Times New Roman" w:hAnsi="Times New Roman"/>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sz w:val="24"/>
                <w:rFonts w:ascii="Times New Roman" w:hAnsi="Times New Roman"/>
              </w:rPr>
            </w:pPr>
            <w:r>
              <w:rPr>
                <w:sz w:val="24"/>
                <w:rFonts w:ascii="Times New Roman" w:hAnsi="Times New Roman"/>
              </w:rPr>
              <w:t xml:space="preserve">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Finanšu sastāvdaļa</w:t>
            </w:r>
            <w:r>
              <w:rPr>
                <w:b/>
                <w:sz w:val="24"/>
                <w:u w:val="single"/>
                <w:rFonts w:ascii="Times New Roman" w:hAnsi="Times New Roman"/>
              </w:rPr>
              <w:t xml:space="preserve"> </w:t>
            </w:r>
          </w:p>
          <w:p w14:paraId="25D11A82" w14:textId="0487D2A6" w:rsidR="004A5A87" w:rsidRPr="00C2709D" w:rsidRDefault="004A5A87" w:rsidP="0062765D">
            <w:pPr>
              <w:jc w:val="left"/>
              <w:rPr>
                <w:color w:val="000000" w:themeColor="text1"/>
                <w:sz w:val="24"/>
                <w:rFonts w:ascii="Times New Roman" w:hAnsi="Times New Roman"/>
              </w:rPr>
            </w:pPr>
            <w:r>
              <w:rPr>
                <w:color w:val="000000" w:themeColor="text1"/>
                <w:sz w:val="24"/>
                <w:rFonts w:ascii="Times New Roman" w:hAnsi="Times New Roman"/>
              </w:rPr>
              <w:t xml:space="preserve">Finanšu sastāvdaļu aprēķina saskaņā ar Regulas (ES) Nr. 575/2013 314. panta 6. punktu.</w:t>
            </w:r>
            <w:r>
              <w:rPr>
                <w:color w:val="000000" w:themeColor="text1"/>
                <w:sz w:val="24"/>
                <w:rFonts w:ascii="Times New Roman" w:hAnsi="Times New Roman"/>
              </w:rPr>
              <w:t xml:space="preserve"> </w:t>
            </w:r>
          </w:p>
          <w:p w14:paraId="7BCC8437" w14:textId="4EAEDFEB" w:rsidR="0062765D" w:rsidRPr="0062765D"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Ja iestādei piemēro Regulas (ES) Nr. 575/2013 314. panta 4. punktā minēto atkāpi, iestāde neiekļauj šīs atkāpes darbības jomā nekādus skaitļus par banku pakalpojumiem privātpersonām un MVU un/vai korporatīvajiem klientiem.</w:t>
            </w:r>
            <w:r>
              <w:rPr>
                <w:color w:val="000000" w:themeColor="text1"/>
                <w:sz w:val="24"/>
                <w:rFonts w:ascii="Times New Roman" w:hAnsi="Times New Roman"/>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sz w:val="24"/>
                <w:rFonts w:ascii="Times New Roman" w:hAnsi="Times New Roman"/>
              </w:rPr>
            </w:pPr>
            <w:r>
              <w:rPr>
                <w:sz w:val="24"/>
                <w:rFonts w:ascii="Times New Roman" w:hAnsi="Times New Roman"/>
              </w:rPr>
              <w:t xml:space="preserve">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b/>
                <w:bCs/>
                <w:sz w:val="24"/>
                <w:u w:val="single"/>
                <w:rFonts w:ascii="Times New Roman" w:hAnsi="Times New Roman"/>
              </w:rPr>
            </w:pPr>
            <w:r>
              <w:rPr>
                <w:b/>
                <w:sz w:val="24"/>
                <w:u w:val="single"/>
                <w:rFonts w:ascii="Times New Roman" w:hAnsi="Times New Roman"/>
              </w:rPr>
              <w:t xml:space="preserve">ASP saskaņā ar 314. panta 4. punktu (Privātpersonu vai MVU apkalpošana)</w:t>
            </w:r>
          </w:p>
          <w:p w14:paraId="35824B06" w14:textId="79A2A47B" w:rsidR="00452946" w:rsidRPr="00C2709D" w:rsidRDefault="00452946" w:rsidP="0062765D">
            <w:pPr>
              <w:jc w:val="left"/>
              <w:rPr>
                <w:sz w:val="24"/>
                <w:u w:val="single"/>
                <w:rFonts w:ascii="Times New Roman" w:hAnsi="Times New Roman"/>
              </w:rPr>
            </w:pPr>
            <w:r>
              <w:rPr>
                <w:sz w:val="24"/>
                <w:u w:val="single"/>
                <w:rFonts w:ascii="Times New Roman" w:hAnsi="Times New Roman"/>
              </w:rPr>
              <w:t xml:space="preserve">314. panta 4. punkts attiecībā uz banku pakalpojumiem privātpersonām vai MVU</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sz w:val="24"/>
                <w:rFonts w:ascii="Times New Roman" w:hAnsi="Times New Roman"/>
              </w:rPr>
            </w:pPr>
            <w:r>
              <w:rPr>
                <w:sz w:val="24"/>
                <w:rFonts w:ascii="Times New Roman" w:hAnsi="Times New Roman"/>
              </w:rPr>
              <w:t xml:space="preserve">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b/>
                <w:bCs/>
                <w:sz w:val="24"/>
                <w:u w:val="single"/>
                <w:rFonts w:ascii="Times New Roman" w:hAnsi="Times New Roman"/>
              </w:rPr>
            </w:pPr>
            <w:r>
              <w:rPr>
                <w:b/>
                <w:sz w:val="24"/>
                <w:u w:val="single"/>
                <w:rFonts w:ascii="Times New Roman" w:hAnsi="Times New Roman"/>
              </w:rPr>
              <w:t xml:space="preserve">ASP saskaņā ar 314. panta 4. punktu (Korporatīvo klientu apkalpošana)</w:t>
            </w:r>
          </w:p>
          <w:p w14:paraId="03643C1A" w14:textId="1F6FF309" w:rsidR="00452946" w:rsidRPr="00C2709D" w:rsidRDefault="00452946" w:rsidP="0062765D">
            <w:pPr>
              <w:jc w:val="left"/>
              <w:rPr>
                <w:sz w:val="24"/>
                <w:rFonts w:ascii="Times New Roman" w:hAnsi="Times New Roman"/>
              </w:rPr>
            </w:pPr>
            <w:r>
              <w:rPr>
                <w:sz w:val="24"/>
                <w:rFonts w:ascii="Times New Roman" w:hAnsi="Times New Roman"/>
              </w:rPr>
              <w:t xml:space="preserve">314. panta 4. punkts attiecībā uz banku pakalpojumiem korporatīvajiem klientiem</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sz w:val="24"/>
                <w:rFonts w:ascii="Times New Roman" w:hAnsi="Times New Roman"/>
              </w:rPr>
            </w:pPr>
            <w:r>
              <w:rPr>
                <w:sz w:val="24"/>
                <w:rFonts w:ascii="Times New Roman" w:hAnsi="Times New Roman"/>
              </w:rPr>
              <w:t xml:space="preserve">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Izziņas postenis:</w:t>
            </w:r>
            <w:r>
              <w:rPr>
                <w:b/>
                <w:sz w:val="24"/>
                <w:u w:val="single"/>
                <w:rFonts w:ascii="Times New Roman" w:hAnsi="Times New Roman"/>
              </w:rPr>
              <w:t xml:space="preserve"> </w:t>
            </w:r>
            <w:r>
              <w:rPr>
                <w:b/>
                <w:sz w:val="24"/>
                <w:u w:val="single"/>
                <w:b/>
                <w:bCs/>
                <w:i/>
                <w:iCs/>
                <w:rFonts w:ascii="Times New Roman" w:hAnsi="Times New Roman"/>
              </w:rPr>
              <w:t xml:space="preserve">ILDC</w:t>
            </w:r>
            <w:r>
              <w:rPr>
                <w:b/>
                <w:sz w:val="24"/>
                <w:u w:val="single"/>
                <w:rFonts w:ascii="Times New Roman" w:hAnsi="Times New Roman"/>
              </w:rPr>
              <w:t xml:space="preserve">, kas saistīta ar atsevišķu iestādi/konsolidēto grupu (ietverot vienības, uz kurām attiecas 314. panta 3. punkts)</w:t>
            </w:r>
            <w:r>
              <w:rPr>
                <w:b/>
                <w:sz w:val="24"/>
                <w:u w:val="single"/>
                <w:rFonts w:ascii="Times New Roman" w:hAnsi="Times New Roman"/>
              </w:rPr>
              <w:t xml:space="preserve"> </w:t>
            </w:r>
          </w:p>
          <w:p w14:paraId="0A3600F0" w14:textId="676E665D" w:rsidR="00623144" w:rsidRPr="00623144" w:rsidRDefault="0062765D" w:rsidP="0062765D">
            <w:pPr>
              <w:jc w:val="left"/>
              <w:rPr>
                <w:bCs/>
                <w:sz w:val="24"/>
                <w:rFonts w:ascii="Times New Roman" w:hAnsi="Times New Roman"/>
              </w:rPr>
            </w:pPr>
            <w:r>
              <w:rPr>
                <w:sz w:val="24"/>
                <w:rFonts w:ascii="Times New Roman" w:hAnsi="Times New Roman"/>
              </w:rPr>
              <w:t xml:space="preserve">Ja iestādei piemēro 314. panta 3. punktā minēto atkāpi, tā uzrāda teorētisko individuālo vai konsolidēto</w:t>
            </w:r>
            <w:r>
              <w:rPr>
                <w:sz w:val="24"/>
                <w:i/>
                <w:iCs/>
                <w:rFonts w:ascii="Times New Roman" w:hAnsi="Times New Roman"/>
              </w:rPr>
              <w:t xml:space="preserve"> ILDC</w:t>
            </w:r>
            <w:r>
              <w:rPr>
                <w:sz w:val="24"/>
                <w:rFonts w:ascii="Times New Roman" w:hAnsi="Times New Roman"/>
              </w:rPr>
              <w:t xml:space="preserve">, kas aprēķināta saskaņā ar Regulas (ES) Nr. 575/2013 314. panta 2. punktu, tā, it kā iestādei šī atkāpe nebūtu jāpiemēro.</w:t>
            </w:r>
            <w:r>
              <w:rPr>
                <w:sz w:val="24"/>
                <w:rFonts w:ascii="Times New Roman" w:hAnsi="Times New Roman"/>
              </w:rPr>
              <w:t xml:space="preserv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sz w:val="24"/>
                <w:rFonts w:ascii="Times New Roman" w:hAnsi="Times New Roman"/>
              </w:rPr>
            </w:pPr>
            <w:r>
              <w:rPr>
                <w:sz w:val="24"/>
                <w:rFonts w:ascii="Times New Roman" w:hAnsi="Times New Roman"/>
              </w:rPr>
              <w:t xml:space="preserve">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b/>
                <w:bCs/>
                <w:sz w:val="24"/>
                <w:u w:val="single"/>
                <w:rFonts w:ascii="Times New Roman" w:hAnsi="Times New Roman"/>
              </w:rPr>
            </w:pPr>
            <w:r>
              <w:rPr>
                <w:b/>
                <w:sz w:val="24"/>
                <w:u w:val="single"/>
                <w:i/>
                <w:iCs/>
                <w:rFonts w:ascii="Times New Roman" w:hAnsi="Times New Roman"/>
              </w:rPr>
              <w:t xml:space="preserve">FC</w:t>
            </w:r>
            <w:r>
              <w:rPr>
                <w:b/>
                <w:sz w:val="24"/>
                <w:u w:val="single"/>
                <w:rFonts w:ascii="Times New Roman" w:hAnsi="Times New Roman"/>
              </w:rPr>
              <w:t xml:space="preserve"> aprēķināšanai izmantotā pieeja</w:t>
            </w:r>
          </w:p>
          <w:p w14:paraId="446F68C8" w14:textId="2BC1E74C" w:rsidR="009A383C" w:rsidRDefault="0046793D" w:rsidP="009A383C">
            <w:pPr>
              <w:jc w:val="left"/>
              <w:rPr>
                <w:color w:val="000000" w:themeColor="text1"/>
                <w:sz w:val="24"/>
                <w:rFonts w:ascii="Times New Roman" w:hAnsi="Times New Roman"/>
              </w:rPr>
            </w:pPr>
            <w:r>
              <w:rPr>
                <w:color w:val="000000" w:themeColor="text1"/>
                <w:sz w:val="24"/>
                <w:rFonts w:ascii="Times New Roman" w:hAnsi="Times New Roman"/>
              </w:rPr>
              <w:t xml:space="preserve">Iestādes uzrāda pieeju, ko tās ir izmantojušas (grāmatvedības pieeja vai prudenciālā robeža), lai aprēķinātu </w:t>
            </w:r>
            <w:r>
              <w:rPr>
                <w:color w:val="000000" w:themeColor="text1"/>
                <w:sz w:val="24"/>
                <w:i/>
                <w:iCs/>
                <w:rFonts w:ascii="Times New Roman" w:hAnsi="Times New Roman"/>
              </w:rPr>
              <w:t xml:space="preserve">FC</w:t>
            </w:r>
            <w:r>
              <w:rPr>
                <w:color w:val="000000" w:themeColor="text1"/>
                <w:sz w:val="24"/>
                <w:rFonts w:ascii="Times New Roman" w:hAnsi="Times New Roman"/>
              </w:rPr>
              <w:t xml:space="preserve"> saskaņā ar Regulas (ES) Nr. 575/2013 314. panta 6. punktu.</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sz w:val="24"/>
                <w:rFonts w:ascii="Times New Roman" w:hAnsi="Times New Roman"/>
              </w:rPr>
            </w:pPr>
            <w:r>
              <w:rPr>
                <w:sz w:val="24"/>
                <w:rFonts w:ascii="Times New Roman" w:hAnsi="Times New Roman"/>
              </w:rPr>
              <w:t xml:space="preserve">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b/>
                <w:bCs/>
                <w:sz w:val="24"/>
                <w:u w:val="single"/>
                <w:rFonts w:ascii="Times New Roman" w:hAnsi="Times New Roman"/>
              </w:rPr>
            </w:pPr>
            <w:r>
              <w:rPr>
                <w:b/>
                <w:sz w:val="24"/>
                <w:u w:val="single"/>
                <w:rFonts w:ascii="Times New Roman" w:hAnsi="Times New Roman"/>
              </w:rPr>
              <w:t xml:space="preserve">Citi darbības izdevumi</w:t>
            </w:r>
            <w:r>
              <w:rPr>
                <w:b/>
                <w:sz w:val="24"/>
                <w:u w:val="single"/>
                <w:rFonts w:ascii="Times New Roman" w:hAnsi="Times New Roman"/>
              </w:rPr>
              <w:t xml:space="preserve"> </w:t>
            </w:r>
          </w:p>
          <w:p w14:paraId="7F073DE0" w14:textId="77777777" w:rsidR="00BF7C53" w:rsidRDefault="007E18B7" w:rsidP="0062765D">
            <w:pPr>
              <w:jc w:val="left"/>
              <w:rPr>
                <w:color w:val="000000" w:themeColor="text1"/>
                <w:sz w:val="24"/>
                <w:rFonts w:ascii="Times New Roman" w:hAnsi="Times New Roman"/>
              </w:rPr>
            </w:pPr>
            <w:r>
              <w:rPr>
                <w:color w:val="000000" w:themeColor="text1"/>
                <w:sz w:val="24"/>
                <w:rFonts w:ascii="Times New Roman" w:hAnsi="Times New Roman"/>
              </w:rPr>
              <w:t xml:space="preserve">Citi darbības izdevumi saskaņā ar Regulas (ES) Nr. 575/2013 314. panta 5. punktu.</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sz w:val="24"/>
          <w:rFonts w:ascii="Times New Roman" w:hAnsi="Times New Roman" w:cs="Times New Roman"/>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sz w:val="24"/>
          <w:u w:val="none"/>
          <w:rFonts w:ascii="Times New Roman" w:hAnsi="Times New Roman"/>
        </w:rPr>
        <w:t xml:space="preserve">4.2.</w:t>
      </w:r>
      <w:r>
        <w:rPr>
          <w:sz w:val="24"/>
          <w:u w:val="none"/>
          <w:rFonts w:ascii="Times New Roman" w:hAnsi="Times New Roman"/>
        </w:rPr>
        <w:tab/>
      </w:r>
      <w:r>
        <w:rPr>
          <w:sz w:val="24"/>
          <w:rFonts w:ascii="Times New Roman" w:hAnsi="Times New Roman"/>
        </w:rPr>
        <w:t xml:space="preserve">Operacionālais risks:</w:t>
      </w:r>
      <w:r>
        <w:rPr>
          <w:sz w:val="24"/>
          <w:rFonts w:ascii="Times New Roman" w:hAnsi="Times New Roman"/>
        </w:rPr>
        <w:t xml:space="preserve"> </w:t>
      </w:r>
      <w:r>
        <w:rPr>
          <w:sz w:val="24"/>
          <w:rFonts w:ascii="Times New Roman" w:hAnsi="Times New Roman"/>
        </w:rPr>
        <w:t xml:space="preserve">detalizēta informācija par zaudējumiem pēdējā gadā (OPR DETAILS)</w:t>
      </w:r>
      <w:bookmarkEnd w:id="56"/>
      <w:bookmarkEnd w:id="57"/>
    </w:p>
    <w:p w14:paraId="430B891B" w14:textId="77777777" w:rsidR="00FD54FC" w:rsidRPr="00934426" w:rsidRDefault="00125707" w:rsidP="0023700C">
      <w:pPr>
        <w:pStyle w:val="Instructionsberschrift2"/>
        <w:numPr>
          <w:ilvl w:val="0"/>
          <w:numId w:val="0"/>
        </w:numPr>
        <w:ind w:left="357" w:hanging="357"/>
        <w:rPr>
          <w:sz w:val="24"/>
          <w:rFonts w:ascii="Times New Roman" w:hAnsi="Times New Roman" w:cs="Times New Roman"/>
        </w:rPr>
      </w:pPr>
      <w:bookmarkStart w:id="58" w:name="_Toc473561024"/>
      <w:bookmarkStart w:id="59" w:name="_Toc152862718"/>
      <w:r>
        <w:rPr>
          <w:sz w:val="24"/>
          <w:u w:val="none"/>
          <w:rFonts w:ascii="Times New Roman" w:hAnsi="Times New Roman"/>
        </w:rPr>
        <w:t xml:space="preserve">4.2.1.</w:t>
      </w:r>
      <w:r>
        <w:rPr>
          <w:sz w:val="24"/>
          <w:u w:val="none"/>
          <w:rFonts w:ascii="Times New Roman" w:hAnsi="Times New Roman"/>
        </w:rPr>
        <w:tab/>
      </w:r>
      <w:r>
        <w:rPr>
          <w:sz w:val="24"/>
          <w:rFonts w:ascii="Times New Roman" w:hAnsi="Times New Roman"/>
        </w:rPr>
        <w:t xml:space="preserve">Vispārīgas piezīmes</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w:t>
      </w:r>
      <w:r>
        <w:t xml:space="preserve">Veidnē C 17.01 (OPR DETAILS 1) pa notikumu veidiem un darījumu jomām apkopo informāciju par bruto zaudējumiem un zaudējumu atlīdzinājumiem, ko iestāde reģistrējusi pēdējā gadā, ievērojot šīs iedaļas 1. un 2. tabulā sniegtās definīcijas.</w:t>
      </w:r>
      <w:r>
        <w:t xml:space="preserve"> </w:t>
      </w:r>
      <w:r>
        <w:t xml:space="preserve">Veidnē C 17.02 (OPR DETAILS 2) sniegta detalizēta informācija par lielāko zaudējumu notikumiem pēdējā gadā.</w:t>
      </w:r>
      <w:r>
        <w:t xml:space="preserve"> </w:t>
      </w:r>
      <w:r>
        <w:t xml:space="preserve">Būtu jāietver tikai tie notikumi, kuru rezultātā rodas zaudējumi.</w:t>
      </w:r>
      <w:r>
        <w:t xml:space="preserve"> </w:t>
      </w:r>
    </w:p>
    <w:p w14:paraId="2FD685B4" w14:textId="42F38B19" w:rsidR="00C30107" w:rsidRDefault="00C30107" w:rsidP="00E434A1">
      <w:pPr>
        <w:pStyle w:val="InstructionsText2"/>
        <w:numPr>
          <w:ilvl w:val="0"/>
          <w:numId w:val="0"/>
        </w:numPr>
      </w:pPr>
      <w:r>
        <w:t xml:space="preserve">1. tabula.</w:t>
      </w:r>
      <w:r>
        <w:t xml:space="preserve">  </w:t>
      </w:r>
      <w:r>
        <w:t xml:space="preserve">Notikumu veidi operacionālā riska notikumiem</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Notikumu veida kategorija</w:t>
            </w:r>
          </w:p>
        </w:tc>
        <w:tc>
          <w:tcPr>
            <w:tcW w:w="6450" w:type="dxa"/>
            <w:tcMar>
              <w:top w:w="30" w:type="dxa"/>
              <w:left w:w="30" w:type="dxa"/>
              <w:bottom w:w="30" w:type="dxa"/>
              <w:right w:w="30" w:type="dxa"/>
            </w:tcMar>
          </w:tcPr>
          <w:p w14:paraId="2E0EB72D"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Definīcija</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Iekšējā krāpšana</w:t>
            </w:r>
          </w:p>
        </w:tc>
        <w:tc>
          <w:tcPr>
            <w:tcW w:w="6450" w:type="dxa"/>
            <w:tcMar>
              <w:top w:w="30" w:type="dxa"/>
              <w:left w:w="30" w:type="dxa"/>
              <w:bottom w:w="30" w:type="dxa"/>
              <w:right w:w="30" w:type="dxa"/>
            </w:tcMar>
          </w:tcPr>
          <w:p w14:paraId="1E631938"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saistīti ar tāda veida darbībām, kuru mērķis ir krāpšana, īpašuma piesavināšanās vai normatīvo aktu vai uzņēmuma kārtības apiešanu, izņemot diskriminācijas vai kultūratšķirību gadījumus, kurās iesaistīta vismaz viena (iekšējā) puse</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Ārējā krāpšana</w:t>
            </w:r>
          </w:p>
        </w:tc>
        <w:tc>
          <w:tcPr>
            <w:tcW w:w="6450" w:type="dxa"/>
            <w:tcMar>
              <w:top w:w="30" w:type="dxa"/>
              <w:left w:w="30" w:type="dxa"/>
              <w:bottom w:w="30" w:type="dxa"/>
              <w:right w:w="30" w:type="dxa"/>
            </w:tcMar>
          </w:tcPr>
          <w:p w14:paraId="2E0CACF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saistīti ar tāda veida darbībām, kuru mērķis ir krāpšana, īpašuma piesavināšanās vai likuma apiešana, ko veic trešā puse</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Darba attiecību prakse un darba drošība</w:t>
            </w:r>
          </w:p>
        </w:tc>
        <w:tc>
          <w:tcPr>
            <w:tcW w:w="6450" w:type="dxa"/>
            <w:tcMar>
              <w:top w:w="30" w:type="dxa"/>
              <w:left w:w="30" w:type="dxa"/>
              <w:bottom w:w="30" w:type="dxa"/>
              <w:right w:w="30" w:type="dxa"/>
            </w:tcMar>
          </w:tcPr>
          <w:p w14:paraId="63E67FC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rodas no darbībām, kas neatbilst tiesību aktiem vai nolīgumiem, kas regulē darba attiecības, veselības aizsardzību vai drošību, no maksājumiem par prasībām saistībā ar personu traumām vai diskriminācijas un kultūratšķirību gadījumiem</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Klienti, produkti un darījumu prakse</w:t>
            </w:r>
          </w:p>
        </w:tc>
        <w:tc>
          <w:tcPr>
            <w:tcW w:w="6450" w:type="dxa"/>
            <w:tcMar>
              <w:top w:w="30" w:type="dxa"/>
              <w:left w:w="30" w:type="dxa"/>
              <w:bottom w:w="30" w:type="dxa"/>
              <w:right w:w="30" w:type="dxa"/>
            </w:tcMar>
          </w:tcPr>
          <w:p w14:paraId="232F6D15"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rodas no nejaušas vai nolaidīgas profesionālo pienākumu neizpildes attiecībā uz īpašiem klientiem (tostarp uzticamības un piemērotības prasību neizpildes) vai no produkta rakstura vai uzbūves</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Fizisko aktīvu zaudējumi</w:t>
            </w:r>
          </w:p>
        </w:tc>
        <w:tc>
          <w:tcPr>
            <w:tcW w:w="6450" w:type="dxa"/>
            <w:tcMar>
              <w:top w:w="30" w:type="dxa"/>
              <w:left w:w="30" w:type="dxa"/>
              <w:bottom w:w="30" w:type="dxa"/>
              <w:right w:w="30" w:type="dxa"/>
            </w:tcMar>
          </w:tcPr>
          <w:p w14:paraId="6071BCE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rodas no fizisko aktīvu zaudējumiem vai bojājumiem dabas katastrofās vai citos gadījumos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sz w:val="24"/>
                <w:rFonts w:ascii="Times New Roman" w:hAnsi="Times New Roman"/>
              </w:rPr>
            </w:pPr>
            <w:r>
              <w:rPr>
                <w:sz w:val="24"/>
                <w:rFonts w:ascii="Times New Roman" w:hAnsi="Times New Roman"/>
              </w:rPr>
              <w:t xml:space="preserve">Komercdarbības pārrāvumi un sistēmu kļūdas</w:t>
            </w:r>
          </w:p>
        </w:tc>
        <w:tc>
          <w:tcPr>
            <w:tcW w:w="6450" w:type="dxa"/>
            <w:tcMar>
              <w:top w:w="30" w:type="dxa"/>
              <w:left w:w="30" w:type="dxa"/>
              <w:bottom w:w="30" w:type="dxa"/>
              <w:right w:w="30" w:type="dxa"/>
            </w:tcMar>
          </w:tcPr>
          <w:p w14:paraId="0552CE7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kas rodas no darījumu pārtraukšanas vai sistēmu kļūmēm</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Izpilde, piegāde un procesu vadība</w:t>
            </w:r>
          </w:p>
        </w:tc>
        <w:tc>
          <w:tcPr>
            <w:tcW w:w="6450" w:type="dxa"/>
            <w:tcMar>
              <w:top w:w="30" w:type="dxa"/>
              <w:left w:w="30" w:type="dxa"/>
              <w:bottom w:w="30" w:type="dxa"/>
              <w:right w:w="30" w:type="dxa"/>
            </w:tcMar>
          </w:tcPr>
          <w:p w14:paraId="23B151D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Zaudējumi no kļūmēm darījumu apstrādē vai procesu vadībā attiecībās ar tirdzniecības darījumu partneriem vai piegādātājiem</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2. tabula.</w:t>
      </w:r>
      <w:r>
        <w:t xml:space="preserve">  </w:t>
      </w:r>
      <w:r>
        <w:t xml:space="preserve">Darbības joma</w:t>
      </w:r>
      <w:r>
        <w:t xml:space="preserve">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b/>
                <w:bCs/>
                <w:sz w:val="24"/>
                <w:rFonts w:ascii="Times New Roman" w:hAnsi="Times New Roman"/>
              </w:rPr>
            </w:pPr>
            <w:r>
              <w:rPr>
                <w:b/>
                <w:sz w:val="24"/>
                <w:rFonts w:ascii="Times New Roman" w:hAnsi="Times New Roman"/>
              </w:rPr>
              <w:t xml:space="preserve">Darbības joma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b/>
                <w:bCs/>
                <w:sz w:val="24"/>
                <w:rFonts w:ascii="Times New Roman" w:hAnsi="Times New Roman"/>
              </w:rPr>
            </w:pPr>
            <w:r>
              <w:rPr>
                <w:b/>
                <w:sz w:val="24"/>
                <w:rFonts w:ascii="Times New Roman" w:hAnsi="Times New Roman"/>
              </w:rPr>
              <w:t xml:space="preserve">Darbību saraksts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sz w:val="24"/>
                <w:rFonts w:ascii="Times New Roman" w:hAnsi="Times New Roman"/>
              </w:rPr>
            </w:pPr>
            <w:r>
              <w:rPr>
                <w:sz w:val="24"/>
                <w:rFonts w:ascii="Times New Roman" w:hAnsi="Times New Roman"/>
              </w:rPr>
              <w:t xml:space="preserve">Uzņēmumu finanses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sz w:val="24"/>
                <w:rFonts w:ascii="Times New Roman" w:hAnsi="Times New Roman"/>
              </w:rPr>
            </w:pPr>
            <w:r>
              <w:rPr>
                <w:sz w:val="24"/>
                <w:rFonts w:ascii="Times New Roman" w:hAnsi="Times New Roman"/>
              </w:rPr>
              <w:t xml:space="preserve">Finanšu instrumentu sākotnējā izvietošana un/vai finanšu instrumentu izvietošana ar neizvietoto instrumentu izpirkšanas garantiju</w:t>
            </w:r>
          </w:p>
          <w:p w14:paraId="2E81165F" w14:textId="77777777" w:rsidR="00105D77" w:rsidRDefault="00105D77">
            <w:pPr>
              <w:spacing w:before="60" w:after="60"/>
              <w:rPr>
                <w:sz w:val="24"/>
                <w:rFonts w:ascii="Times New Roman" w:hAnsi="Times New Roman"/>
              </w:rPr>
            </w:pPr>
            <w:r>
              <w:rPr>
                <w:sz w:val="24"/>
                <w:rFonts w:ascii="Times New Roman" w:hAnsi="Times New Roman"/>
              </w:rPr>
              <w:t xml:space="preserve">Ar garantēšanu saistīti pakalpojumi</w:t>
            </w:r>
          </w:p>
          <w:p w14:paraId="294412EE" w14:textId="77777777" w:rsidR="00105D77" w:rsidRDefault="00105D77">
            <w:pPr>
              <w:spacing w:before="60" w:after="60"/>
              <w:rPr>
                <w:sz w:val="24"/>
                <w:rFonts w:ascii="Times New Roman" w:hAnsi="Times New Roman"/>
              </w:rPr>
            </w:pPr>
            <w:r>
              <w:rPr>
                <w:sz w:val="24"/>
                <w:rFonts w:ascii="Times New Roman" w:hAnsi="Times New Roman"/>
              </w:rPr>
              <w:t xml:space="preserve">Ieguldījumu konsultācijas</w:t>
            </w:r>
          </w:p>
          <w:p w14:paraId="3396F4D3" w14:textId="77777777" w:rsidR="00105D77" w:rsidRDefault="00105D77">
            <w:pPr>
              <w:spacing w:before="60" w:after="60"/>
              <w:rPr>
                <w:sz w:val="24"/>
                <w:rFonts w:ascii="Times New Roman" w:hAnsi="Times New Roman"/>
              </w:rPr>
            </w:pPr>
            <w:r>
              <w:rPr>
                <w:sz w:val="24"/>
                <w:rFonts w:ascii="Times New Roman" w:hAnsi="Times New Roman"/>
              </w:rPr>
              <w:t xml:space="preserve">Ieteikumi uzņēmumiem attiecībā uz kapitāla struktūru, darbības stratēģiju un ar to saistītiem jautājumiem un ieteikumi un pakalpojumi attiecībā uz uzņēmējsabiedrību apvienošanu un uzņēmumu pirkšanu</w:t>
            </w:r>
          </w:p>
          <w:p w14:paraId="413B1D9E" w14:textId="77777777" w:rsidR="00105D77" w:rsidRDefault="00105D77">
            <w:pPr>
              <w:spacing w:before="60" w:after="60"/>
              <w:rPr>
                <w:sz w:val="24"/>
                <w:rFonts w:ascii="Times New Roman" w:hAnsi="Times New Roman"/>
              </w:rPr>
            </w:pPr>
            <w:r>
              <w:rPr>
                <w:sz w:val="24"/>
                <w:rFonts w:ascii="Times New Roman" w:hAnsi="Times New Roman"/>
              </w:rPr>
              <w:t xml:space="preserve">Ieguldījumu izpēte, finanšu analīze un citi vispārīgi ieteikumi, kas saistīti ar finanšu instrumentu darījumiem</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sz w:val="24"/>
                <w:rFonts w:ascii="Times New Roman" w:hAnsi="Times New Roman"/>
              </w:rPr>
            </w:pPr>
            <w:r>
              <w:rPr>
                <w:sz w:val="24"/>
                <w:rFonts w:ascii="Times New Roman" w:hAnsi="Times New Roman"/>
              </w:rPr>
              <w:t xml:space="preserve">Tirdzniecība un pārdošana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sz w:val="24"/>
                <w:rFonts w:ascii="Times New Roman" w:hAnsi="Times New Roman"/>
              </w:rPr>
            </w:pPr>
            <w:r>
              <w:rPr>
                <w:sz w:val="24"/>
                <w:rFonts w:ascii="Times New Roman" w:hAnsi="Times New Roman"/>
              </w:rPr>
              <w:t xml:space="preserve">Darījumu veikšana uz sava rēķina</w:t>
            </w:r>
          </w:p>
          <w:p w14:paraId="2C39E21A" w14:textId="77777777" w:rsidR="00105D77" w:rsidRDefault="00105D77">
            <w:pPr>
              <w:spacing w:before="60" w:after="60"/>
              <w:rPr>
                <w:sz w:val="24"/>
                <w:rFonts w:ascii="Times New Roman" w:hAnsi="Times New Roman"/>
              </w:rPr>
            </w:pPr>
            <w:r>
              <w:rPr>
                <w:sz w:val="24"/>
                <w:rFonts w:ascii="Times New Roman" w:hAnsi="Times New Roman"/>
              </w:rPr>
              <w:t xml:space="preserve">Starpniecība naudas tirgus darījumos</w:t>
            </w:r>
          </w:p>
          <w:p w14:paraId="43A3C940" w14:textId="77777777" w:rsidR="00105D77" w:rsidRDefault="00105D77">
            <w:pPr>
              <w:spacing w:before="60" w:after="60"/>
              <w:rPr>
                <w:sz w:val="24"/>
                <w:rFonts w:ascii="Times New Roman" w:hAnsi="Times New Roman"/>
              </w:rPr>
            </w:pPr>
            <w:r>
              <w:rPr>
                <w:sz w:val="24"/>
                <w:rFonts w:ascii="Times New Roman" w:hAnsi="Times New Roman"/>
              </w:rPr>
              <w:t xml:space="preserve">Rīkojumu pieņemšana un pārsūtīšana attiecībā uz vienu vai vairākiem finanšu instrumentiem</w:t>
            </w:r>
          </w:p>
          <w:p w14:paraId="7D6C72DD" w14:textId="77777777" w:rsidR="00105D77" w:rsidRDefault="00105D77">
            <w:pPr>
              <w:spacing w:before="60" w:after="60"/>
              <w:rPr>
                <w:sz w:val="24"/>
                <w:rFonts w:ascii="Times New Roman" w:hAnsi="Times New Roman"/>
              </w:rPr>
            </w:pPr>
            <w:r>
              <w:rPr>
                <w:sz w:val="24"/>
                <w:rFonts w:ascii="Times New Roman" w:hAnsi="Times New Roman"/>
              </w:rPr>
              <w:t xml:space="preserve">Rīkojumu izpilde klientu vārdā</w:t>
            </w:r>
          </w:p>
          <w:p w14:paraId="447F8797" w14:textId="77777777" w:rsidR="00105D77" w:rsidRDefault="00105D77">
            <w:pPr>
              <w:spacing w:before="60" w:after="60"/>
              <w:rPr>
                <w:sz w:val="24"/>
                <w:rFonts w:ascii="Times New Roman" w:hAnsi="Times New Roman"/>
              </w:rPr>
            </w:pPr>
            <w:r>
              <w:rPr>
                <w:sz w:val="24"/>
                <w:rFonts w:ascii="Times New Roman" w:hAnsi="Times New Roman"/>
              </w:rPr>
              <w:t xml:space="preserve">Finanšu instrumentu izvietošana, neuzņemoties stingri noteiktas saistības</w:t>
            </w:r>
          </w:p>
          <w:p w14:paraId="6B8176B5" w14:textId="77777777" w:rsidR="00105D77" w:rsidRDefault="00105D77">
            <w:pPr>
              <w:spacing w:before="60" w:after="60"/>
              <w:rPr>
                <w:sz w:val="24"/>
                <w:rFonts w:ascii="Times New Roman" w:hAnsi="Times New Roman"/>
              </w:rPr>
            </w:pPr>
            <w:r>
              <w:rPr>
                <w:sz w:val="24"/>
                <w:rFonts w:ascii="Times New Roman" w:hAnsi="Times New Roman"/>
              </w:rPr>
              <w:t xml:space="preserve">Operācijas ar daudzpusējām tirdzniecības sistēmām</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sz w:val="24"/>
                <w:rFonts w:ascii="Times New Roman" w:hAnsi="Times New Roman"/>
              </w:rPr>
            </w:pPr>
            <w:r>
              <w:rPr>
                <w:sz w:val="24"/>
                <w:rFonts w:ascii="Times New Roman" w:hAnsi="Times New Roman"/>
              </w:rPr>
              <w:t xml:space="preserve">Starpniecības pakalpojumi privātpersonām vai MVU</w:t>
            </w:r>
          </w:p>
          <w:p w14:paraId="1644FF45" w14:textId="77777777" w:rsidR="00105D77" w:rsidRDefault="00105D77">
            <w:pPr>
              <w:spacing w:before="60" w:after="60"/>
              <w:rPr>
                <w:sz w:val="24"/>
                <w:rFonts w:ascii="Times New Roman" w:hAnsi="Times New Roman"/>
              </w:rPr>
            </w:pPr>
            <w:r>
              <w:rPr>
                <w:sz w:val="24"/>
                <w:rFonts w:ascii="Times New Roman" w:hAnsi="Times New Roman"/>
              </w:rPr>
              <w:t xml:space="preserve">(Darbības ar fiziskām personām vai MVU, kas atbilst 123. pantā noteiktajiem kritērijiem riska darījumu kategorijai ar privātpersonām vai MVU)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sz w:val="24"/>
                <w:rFonts w:ascii="Times New Roman" w:hAnsi="Times New Roman"/>
              </w:rPr>
            </w:pPr>
            <w:r>
              <w:rPr>
                <w:sz w:val="24"/>
                <w:rFonts w:ascii="Times New Roman" w:hAnsi="Times New Roman"/>
              </w:rPr>
              <w:t xml:space="preserve">Rīkojumu pieņemšana un pārsūtīšana attiecībā uz vienu vai vairākiem finanšu instrumentiem</w:t>
            </w:r>
          </w:p>
          <w:p w14:paraId="0A298DA8" w14:textId="77777777" w:rsidR="00105D77" w:rsidRDefault="00105D77">
            <w:pPr>
              <w:spacing w:before="60" w:after="60"/>
              <w:rPr>
                <w:sz w:val="24"/>
                <w:rFonts w:ascii="Times New Roman" w:hAnsi="Times New Roman"/>
              </w:rPr>
            </w:pPr>
            <w:r>
              <w:rPr>
                <w:sz w:val="24"/>
                <w:rFonts w:ascii="Times New Roman" w:hAnsi="Times New Roman"/>
              </w:rPr>
              <w:t xml:space="preserve">Rīkojumu izpilde klientu vārdā</w:t>
            </w:r>
          </w:p>
          <w:p w14:paraId="772C1A67" w14:textId="77777777" w:rsidR="00105D77" w:rsidRDefault="00105D77">
            <w:pPr>
              <w:spacing w:before="60" w:after="60"/>
              <w:rPr>
                <w:sz w:val="24"/>
                <w:rFonts w:ascii="Times New Roman" w:hAnsi="Times New Roman"/>
              </w:rPr>
            </w:pPr>
            <w:r>
              <w:rPr>
                <w:sz w:val="24"/>
                <w:rFonts w:ascii="Times New Roman" w:hAnsi="Times New Roman"/>
              </w:rPr>
              <w:t xml:space="preserve">Finanšu instrumentu izvietošana, neuzņemoties stingri noteiktas saistības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sz w:val="24"/>
                <w:rFonts w:ascii="Times New Roman" w:hAnsi="Times New Roman"/>
              </w:rPr>
            </w:pPr>
            <w:r>
              <w:rPr>
                <w:sz w:val="24"/>
                <w:rFonts w:ascii="Times New Roman" w:hAnsi="Times New Roman"/>
              </w:rPr>
              <w:t xml:space="preserve">Korporatīvo klientu apkalpošana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sz w:val="24"/>
                <w:rFonts w:ascii="Times New Roman" w:hAnsi="Times New Roman"/>
              </w:rPr>
            </w:pPr>
            <w:r>
              <w:rPr>
                <w:sz w:val="24"/>
                <w:rFonts w:ascii="Times New Roman" w:hAnsi="Times New Roman"/>
              </w:rPr>
              <w:t xml:space="preserve">Noguldījumu vai citu atmaksājamu līdzekļu pieņemšana</w:t>
            </w:r>
          </w:p>
          <w:p w14:paraId="76F23BE8" w14:textId="77777777" w:rsidR="00105D77" w:rsidRDefault="00105D77">
            <w:pPr>
              <w:spacing w:before="60" w:after="60"/>
              <w:rPr>
                <w:sz w:val="24"/>
                <w:rFonts w:ascii="Times New Roman" w:hAnsi="Times New Roman"/>
              </w:rPr>
            </w:pPr>
            <w:r>
              <w:rPr>
                <w:sz w:val="24"/>
                <w:rFonts w:ascii="Times New Roman" w:hAnsi="Times New Roman"/>
              </w:rPr>
              <w:t xml:space="preserve">Aizdevumi</w:t>
            </w:r>
          </w:p>
          <w:p w14:paraId="45F13788" w14:textId="77777777" w:rsidR="00105D77" w:rsidRDefault="00105D77">
            <w:pPr>
              <w:spacing w:before="60" w:after="60"/>
              <w:rPr>
                <w:sz w:val="24"/>
                <w:rFonts w:ascii="Times New Roman" w:hAnsi="Times New Roman"/>
              </w:rPr>
            </w:pPr>
            <w:r>
              <w:rPr>
                <w:sz w:val="24"/>
                <w:rFonts w:ascii="Times New Roman" w:hAnsi="Times New Roman"/>
              </w:rPr>
              <w:t xml:space="preserve">Finanšu līzings</w:t>
            </w:r>
          </w:p>
          <w:p w14:paraId="51EC26CF" w14:textId="77777777" w:rsidR="00105D77" w:rsidRDefault="00105D77">
            <w:pPr>
              <w:spacing w:before="60" w:after="60"/>
              <w:rPr>
                <w:sz w:val="24"/>
                <w:rFonts w:ascii="Times New Roman" w:hAnsi="Times New Roman"/>
              </w:rPr>
            </w:pPr>
            <w:r>
              <w:rPr>
                <w:sz w:val="24"/>
                <w:rFonts w:ascii="Times New Roman" w:hAnsi="Times New Roman"/>
              </w:rPr>
              <w:t xml:space="preserve">Garantijas un saistības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sz w:val="24"/>
                <w:rFonts w:ascii="Times New Roman" w:hAnsi="Times New Roman"/>
              </w:rPr>
            </w:pPr>
            <w:r>
              <w:rPr>
                <w:sz w:val="24"/>
                <w:rFonts w:ascii="Times New Roman" w:hAnsi="Times New Roman"/>
              </w:rPr>
              <w:t xml:space="preserve">Privātpersonu vai MVU apkalpošana</w:t>
            </w:r>
          </w:p>
          <w:p w14:paraId="7CAFF922" w14:textId="77777777" w:rsidR="00105D77" w:rsidRDefault="00105D77">
            <w:pPr>
              <w:spacing w:before="60" w:after="60"/>
              <w:rPr>
                <w:sz w:val="24"/>
                <w:rFonts w:ascii="Times New Roman" w:hAnsi="Times New Roman"/>
              </w:rPr>
            </w:pPr>
            <w:r>
              <w:rPr>
                <w:sz w:val="24"/>
                <w:rFonts w:ascii="Times New Roman" w:hAnsi="Times New Roman"/>
              </w:rPr>
              <w:t xml:space="preserve">(Darbības ar fiziskām personām vai MVU, kas atbilst 123. pantā noteiktajiem kritērijiem riska darījumu kategorijai ar privātpersonām vai MVU)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sz w:val="24"/>
                <w:rFonts w:ascii="Times New Roman" w:hAnsi="Times New Roman"/>
              </w:rPr>
            </w:pPr>
            <w:r>
              <w:rPr>
                <w:sz w:val="24"/>
                <w:rFonts w:ascii="Times New Roman" w:hAnsi="Times New Roman"/>
              </w:rPr>
              <w:t xml:space="preserve">Noguldījumu vai citu atmaksājamu līdzekļu pieņemšana</w:t>
            </w:r>
          </w:p>
          <w:p w14:paraId="36AF04A5" w14:textId="77777777" w:rsidR="00105D77" w:rsidRDefault="00105D77">
            <w:pPr>
              <w:spacing w:before="60" w:after="60"/>
              <w:rPr>
                <w:sz w:val="24"/>
                <w:rFonts w:ascii="Times New Roman" w:hAnsi="Times New Roman"/>
              </w:rPr>
            </w:pPr>
            <w:r>
              <w:rPr>
                <w:sz w:val="24"/>
                <w:rFonts w:ascii="Times New Roman" w:hAnsi="Times New Roman"/>
              </w:rPr>
              <w:t xml:space="preserve">Aizdevumi</w:t>
            </w:r>
          </w:p>
          <w:p w14:paraId="7351F485" w14:textId="77777777" w:rsidR="00105D77" w:rsidRDefault="00105D77">
            <w:pPr>
              <w:spacing w:before="60" w:after="60"/>
              <w:rPr>
                <w:sz w:val="24"/>
                <w:rFonts w:ascii="Times New Roman" w:hAnsi="Times New Roman"/>
              </w:rPr>
            </w:pPr>
            <w:r>
              <w:rPr>
                <w:sz w:val="24"/>
                <w:rFonts w:ascii="Times New Roman" w:hAnsi="Times New Roman"/>
              </w:rPr>
              <w:t xml:space="preserve">Finanšu līzings</w:t>
            </w:r>
          </w:p>
          <w:p w14:paraId="2A1E9691" w14:textId="77777777" w:rsidR="00105D77" w:rsidRDefault="00105D77">
            <w:pPr>
              <w:spacing w:before="60" w:after="60"/>
              <w:rPr>
                <w:sz w:val="24"/>
                <w:rFonts w:ascii="Times New Roman" w:hAnsi="Times New Roman"/>
              </w:rPr>
            </w:pPr>
            <w:r>
              <w:rPr>
                <w:sz w:val="24"/>
                <w:rFonts w:ascii="Times New Roman" w:hAnsi="Times New Roman"/>
              </w:rPr>
              <w:t xml:space="preserve">Garantijas un saistības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sz w:val="24"/>
                <w:rFonts w:ascii="Times New Roman" w:hAnsi="Times New Roman"/>
              </w:rPr>
            </w:pPr>
            <w:r>
              <w:rPr>
                <w:sz w:val="24"/>
                <w:rFonts w:ascii="Times New Roman" w:hAnsi="Times New Roman"/>
              </w:rPr>
              <w:t xml:space="preserve">Maksājumi un norēķini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sz w:val="24"/>
                <w:rFonts w:ascii="Times New Roman" w:hAnsi="Times New Roman"/>
              </w:rPr>
            </w:pPr>
            <w:r>
              <w:rPr>
                <w:sz w:val="24"/>
                <w:rFonts w:ascii="Times New Roman" w:hAnsi="Times New Roman"/>
              </w:rPr>
              <w:t xml:space="preserve">Naudas pārskaitīšanas pakalpojumi</w:t>
            </w:r>
          </w:p>
          <w:p w14:paraId="44972E69" w14:textId="77777777" w:rsidR="00105D77" w:rsidRDefault="00105D77">
            <w:pPr>
              <w:spacing w:before="60" w:after="60"/>
              <w:rPr>
                <w:sz w:val="24"/>
                <w:rFonts w:ascii="Times New Roman" w:hAnsi="Times New Roman"/>
              </w:rPr>
            </w:pPr>
            <w:r>
              <w:rPr>
                <w:sz w:val="24"/>
                <w:rFonts w:ascii="Times New Roman" w:hAnsi="Times New Roman"/>
              </w:rPr>
              <w:t xml:space="preserve">Maksāšanas līdzekļu emisija un administrēšana</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sz w:val="24"/>
                <w:rFonts w:ascii="Times New Roman" w:hAnsi="Times New Roman"/>
              </w:rPr>
            </w:pPr>
            <w:r>
              <w:rPr>
                <w:sz w:val="24"/>
                <w:rFonts w:ascii="Times New Roman" w:hAnsi="Times New Roman"/>
              </w:rPr>
              <w:t xml:space="preserve">Aģentūru pakalpojumi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sz w:val="24"/>
                <w:rFonts w:ascii="Times New Roman" w:hAnsi="Times New Roman"/>
              </w:rPr>
            </w:pPr>
            <w:r>
              <w:rPr>
                <w:sz w:val="24"/>
                <w:rFonts w:ascii="Times New Roman" w:hAnsi="Times New Roman"/>
              </w:rPr>
              <w:t xml:space="preserve">Finanšu instrumentu glabāšana un pārvaldīšana klientu uzdevumā, tostarp vērtspapīru glabāšana bankā un saistīti pakalpojumi, tādi kā naudas un nodrošinājuma pārvaldīšana</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sz w:val="24"/>
                <w:rFonts w:ascii="Times New Roman" w:hAnsi="Times New Roman"/>
              </w:rPr>
            </w:pPr>
            <w:r>
              <w:rPr>
                <w:sz w:val="24"/>
                <w:rFonts w:ascii="Times New Roman" w:hAnsi="Times New Roman"/>
              </w:rPr>
              <w:t xml:space="preserve">Aktīvu pārvaldība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sz w:val="24"/>
                <w:rFonts w:ascii="Times New Roman" w:hAnsi="Times New Roman"/>
              </w:rPr>
            </w:pPr>
            <w:r>
              <w:rPr>
                <w:sz w:val="24"/>
                <w:rFonts w:ascii="Times New Roman" w:hAnsi="Times New Roman"/>
              </w:rPr>
              <w:t xml:space="preserve">Portfeļa pārvaldība</w:t>
            </w:r>
          </w:p>
          <w:p w14:paraId="1153DFEB" w14:textId="77777777" w:rsidR="00105D77" w:rsidRDefault="00105D77">
            <w:pPr>
              <w:spacing w:before="60" w:after="60"/>
              <w:rPr>
                <w:sz w:val="24"/>
                <w:rFonts w:ascii="Times New Roman" w:hAnsi="Times New Roman"/>
              </w:rPr>
            </w:pPr>
            <w:r>
              <w:rPr>
                <w:sz w:val="24"/>
                <w:rFonts w:ascii="Times New Roman" w:hAnsi="Times New Roman"/>
              </w:rPr>
              <w:t xml:space="preserve">PVKIU pārvaldīšana</w:t>
            </w:r>
          </w:p>
          <w:p w14:paraId="59C1F470" w14:textId="77777777" w:rsidR="00105D77" w:rsidRDefault="00105D77">
            <w:pPr>
              <w:spacing w:before="60" w:after="60"/>
              <w:rPr>
                <w:sz w:val="24"/>
                <w:rFonts w:ascii="Times New Roman" w:hAnsi="Times New Roman"/>
              </w:rPr>
            </w:pPr>
            <w:r>
              <w:rPr>
                <w:sz w:val="24"/>
                <w:rFonts w:ascii="Times New Roman" w:hAnsi="Times New Roman"/>
              </w:rPr>
              <w:t xml:space="preserve">Citi aktīvu pārvaldīšanas veidi</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color w:val="333333"/>
                <w:sz w:val="24"/>
                <w:rFonts w:ascii="Times New Roman" w:hAnsi="Times New Roman"/>
              </w:rPr>
            </w:pPr>
            <w:r>
              <w:rPr>
                <w:color w:val="333333"/>
                <w:sz w:val="24"/>
                <w:rFonts w:ascii="Times New Roman" w:hAnsi="Times New Roman"/>
              </w:rPr>
              <w:t xml:space="preserve">Korporatīvie posteņi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sz w:val="24"/>
                <w:rFonts w:ascii="Times New Roman" w:eastAsia="Verdana" w:hAnsi="Times New Roman"/>
              </w:rPr>
            </w:pPr>
            <w:r>
              <w:rPr>
                <w:sz w:val="24"/>
                <w:rFonts w:ascii="Times New Roman" w:hAnsi="Times New Roman"/>
              </w:rPr>
              <w:t xml:space="preserve"> </w:t>
            </w:r>
            <w:r>
              <w:rPr>
                <w:sz w:val="24"/>
                <w:rFonts w:ascii="Times New Roman" w:hAnsi="Times New Roman"/>
              </w:rPr>
              <w:t xml:space="preserve">Zaudējumu notikumi, kas ietekmē visu iestādi un nav uzskaitīti iepriekš minētajās kategorijās.</w:t>
            </w:r>
            <w:r>
              <w:rPr>
                <w:sz w:val="24"/>
                <w:rFonts w:ascii="Times New Roman" w:hAnsi="Times New Roman"/>
              </w:rPr>
              <w:t xml:space="preser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143</w:t>
      </w:r>
      <w:r>
        <w:fldChar w:fldCharType="end"/>
      </w:r>
      <w:r>
        <w:t xml:space="preserve">.</w:t>
      </w:r>
      <w:r>
        <w:t xml:space="preserve"> </w:t>
      </w:r>
      <w:r>
        <w:t xml:space="preserve">Operacionālā riska zaudējumus, kas saistīti ar kredītrisku un kas uzskaitīti riska darījumu riska svērtajā vērtībā kredītriskam (ar kredītrisku saistīti operacionālā riska robežnotikumi), neņem vērā ne C 17.01. veidnē, ne C 17.02. veidnē saskaņā ar Regulas (ES) Nr. 575/2013 317. panta 5. punktu.</w:t>
      </w:r>
    </w:p>
    <w:p w14:paraId="26DEA8B1" w14:textId="2FE80D2B"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144</w:t>
      </w:r>
      <w:r>
        <w:fldChar w:fldCharType="end"/>
      </w:r>
      <w:r>
        <w:t xml:space="preserve">.</w:t>
      </w:r>
      <w:r>
        <w:t xml:space="preserve"> </w:t>
      </w:r>
      <w:r>
        <w:t xml:space="preserve">[ieraksta nav].</w:t>
      </w:r>
      <w:r>
        <w:t xml:space="preserve"> </w:t>
      </w:r>
    </w:p>
    <w:p w14:paraId="46FA5B8D" w14:textId="744E080E"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145</w:t>
      </w:r>
      <w:r>
        <w:fldChar w:fldCharType="end"/>
      </w:r>
      <w:r>
        <w:t xml:space="preserve">.</w:t>
      </w:r>
      <w:r>
        <w:t xml:space="preserve"> </w:t>
      </w:r>
      <w:r>
        <w:t xml:space="preserve">“Bruto zaudējumi” ir zaudējumi — kā minēts Regulas (ES) Nr. 575/2013 318. panta 1. punktā  —,  kas saistīti ar operacionālo risku pat pirms jebkāda veida atgūšanas, neskarot “ātri atlīdzinātu zaudējumu gadījumi”, kā definēts turpmāk.</w:t>
      </w:r>
      <w:r>
        <w:t xml:space="preserve"> </w:t>
      </w:r>
    </w:p>
    <w:p w14:paraId="0D97147B" w14:textId="62C64B74"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146</w:t>
      </w:r>
      <w:r>
        <w:fldChar w:fldCharType="end"/>
      </w:r>
      <w:r>
        <w:t xml:space="preserve">.</w:t>
      </w:r>
      <w:r>
        <w:t xml:space="preserve"> </w:t>
      </w:r>
      <w:r>
        <w:t xml:space="preserve">“Atgūšana” ir — kā minēts 318. panta 1. punktā — viens vai vairāki neatkarīgi notikumi, kas saistīti ar sākotnējo operacionālā riska notikumu un kas ir nodalīti laikā, kad līdzekļus vai saimniecisko labumu ienākošās plūsmas saņem no trešās personas.</w:t>
      </w:r>
    </w:p>
    <w:p w14:paraId="77F96781" w14:textId="2DE959F6"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147</w:t>
      </w:r>
      <w:r>
        <w:fldChar w:fldCharType="end"/>
      </w:r>
      <w:r>
        <w:t xml:space="preserve">.</w:t>
      </w:r>
      <w:r>
        <w:tab/>
      </w:r>
      <w:r>
        <w:t xml:space="preserve"> </w:t>
      </w:r>
      <w:r>
        <w:t xml:space="preserve">“Ātri atlīdzinātu zaudējumu gadījumi” ir operacionālā riska notikumi, kas izraisa zaudējumus, kurus daļēji vai pilnībā atlīdzina piecu darbdienu laikā.</w:t>
      </w:r>
      <w:r>
        <w:t xml:space="preserve"> </w:t>
      </w:r>
      <w:r>
        <w:t xml:space="preserve">Attiecībā uz ātri atlīdzinātu zaudējumu gadījumu bruto zaudējuma definīcijā ietver tikai to zaudējuma daļu, kas nav pilnībā atlīdzināta (t. i., zaudējums, no kura atņemta īsā laikposmā daļēji atlīdzināmā summa).</w:t>
      </w:r>
      <w:r>
        <w:t xml:space="preserve"> </w:t>
      </w:r>
      <w:r>
        <w:t xml:space="preserve">Tā rezultātā zaudējumu notikumus, kas izraisa zaudējumus, kuri ir pilnībā atlīdzināti piecu darbdienu laikā, neietver ne bruto zaudējuma definīcijā, ne </w:t>
      </w:r>
      <w:r>
        <w:rPr>
          <w:i/>
          <w:iCs/>
          <w:i w:val="false"/>
          <w:iCs w:val="false"/>
        </w:rPr>
        <w:t xml:space="preserve">OPR DETAILS</w:t>
      </w:r>
      <w:r>
        <w:t xml:space="preserve"> veidnē.</w:t>
      </w:r>
    </w:p>
    <w:p w14:paraId="3604C23D" w14:textId="6C498265"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148</w:t>
      </w:r>
      <w:r>
        <w:fldChar w:fldCharType="end"/>
      </w:r>
      <w:r>
        <w:t xml:space="preserve">.</w:t>
      </w:r>
      <w:r>
        <w:tab/>
      </w:r>
      <w:r>
        <w:t xml:space="preserve"> </w:t>
      </w:r>
      <w:r>
        <w:t xml:space="preserve">“Uzskaites datums” ir datums, kurā zaudējums vai rezerves/uzkrājumi tika pirmoreiz atzīti peļņas un zaudējumu aprēķinā pret operacionāla riska zaudējumu, kā minēts Regulas (ES) Nr. 575/2013 317. panta 4. punkta a) apakšpunktā.</w:t>
      </w:r>
      <w:r>
        <w:t xml:space="preserve"> </w:t>
      </w:r>
      <w:r>
        <w:t xml:space="preserve">Šis datums loģiski seko “Notikuma datumam” (t. i., datumam, kad radās operacionālais risks vai kad tas pirmo reizi sākās) un “Atklāšanas datumam (t. i., datumam, kurā iestāde uzzināja par operacionālā riska notikumu).</w:t>
      </w:r>
      <w:r>
        <w:t xml:space="preserve"> </w:t>
      </w:r>
    </w:p>
    <w:p w14:paraId="6F9C7A18" w14:textId="68D15E32" w:rsidR="00FD54FC"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149</w:t>
      </w:r>
      <w:r>
        <w:fldChar w:fldCharType="end"/>
      </w:r>
      <w:r>
        <w:t xml:space="preserve">.</w:t>
      </w:r>
      <w:r>
        <w:tab/>
      </w:r>
      <w:r>
        <w:t xml:space="preserve"> </w:t>
      </w:r>
      <w:r>
        <w:t xml:space="preserve">Lai aprēķinātu ziņošanas robežvērtību, summē zaudējumus, ko izraisījis kopīgs operacionālā riska notikums vai vairāki notikumi, kuri saistīti ar sākotnējo operacionālā riska notikumu, kas izraisa notikumus vai zaudējumus (“pamatnotikums”).</w:t>
      </w:r>
      <w:r>
        <w:t xml:space="preserve"> </w:t>
      </w:r>
      <w:r>
        <w:t xml:space="preserve">Ja kopējā neto summa, kas aprēķināta par 10 gadu periodu, pārsniedz robežvērtību, zaudējumi un korekcijas būtu jāuzrāda, ņemot vērā ietekmi uz grāmatvedību, saskaņā ar Regulas (ES) Nr. 575/2013 317. panta 3. punkta c) apakšpunktu un 318. panta 1. punktu, pat ja ietekme konkrētā periodā var būt mazāka par robežvērtību.</w:t>
      </w:r>
      <w:r>
        <w:t xml:space="preserve">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150</w:t>
      </w:r>
      <w:r>
        <w:fldChar w:fldCharType="end"/>
      </w:r>
      <w:r>
        <w:t xml:space="preserve">.</w:t>
      </w:r>
      <w:r>
        <w:tab/>
      </w:r>
      <w:r>
        <w:t xml:space="preserve"> </w:t>
      </w:r>
      <w:r>
        <w:t xml:space="preserve">Attiecīgā gada jūnijā uzrādītie dati ir pagaidu dati, turpretim galīgos datus uzrāda decembrī.</w:t>
      </w:r>
      <w:r>
        <w:t xml:space="preserve"> </w:t>
      </w:r>
      <w:r>
        <w:t xml:space="preserve">Tādēļ jūnijā uzrādītajiem datiem ir sešu mēnešu atsauces periods (t. i., no kalendārā gada 1. janvāra līdz 30. jūnijam), turpretim decembrī uzrādītajiem datiem ir divpadsmit mēnešu atsauces periods (t. i., no kalendārā gada 1. janvāra līdz 31. decembrim).</w:t>
      </w:r>
      <w:r>
        <w:t xml:space="preserve"> </w:t>
      </w:r>
      <w:r>
        <w:t xml:space="preserve">Attiecībā uz datiem, kas uzrādīti gan no jūnija, gan no decembra, “iepriekšējā pārskata atsauces periodi” ir visi pārskata atsauces periodi līdz attiecīgajam mēnesim, ieskaitot periodu, kurš beidzas iepriekšējā kalendārā gada beigās.</w:t>
      </w:r>
    </w:p>
    <w:p w14:paraId="065A1906" w14:textId="563824E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1" w:name="_Toc473561025"/>
      <w:bookmarkStart w:id="62" w:name="_Toc152862719"/>
      <w:r>
        <w:rPr>
          <w:sz w:val="24"/>
          <w:u w:val="none"/>
          <w:rFonts w:ascii="Times New Roman" w:hAnsi="Times New Roman"/>
        </w:rPr>
        <w:t xml:space="preserve">4.2.2.</w:t>
      </w:r>
      <w:r>
        <w:rPr>
          <w:sz w:val="24"/>
          <w:u w:val="none"/>
          <w:rFonts w:ascii="Times New Roman" w:hAnsi="Times New Roman"/>
        </w:rPr>
        <w:tab/>
      </w:r>
      <w:r>
        <w:rPr>
          <w:sz w:val="24"/>
          <w:rFonts w:ascii="Times New Roman" w:hAnsi="Times New Roman"/>
        </w:rPr>
        <w:t xml:space="preserve">C 17.01 Operacionālais risks:</w:t>
      </w:r>
      <w:r>
        <w:rPr>
          <w:sz w:val="24"/>
          <w:rFonts w:ascii="Times New Roman" w:hAnsi="Times New Roman"/>
        </w:rPr>
        <w:t xml:space="preserve"> </w:t>
      </w:r>
      <w:r>
        <w:rPr>
          <w:sz w:val="24"/>
          <w:rFonts w:ascii="Times New Roman" w:hAnsi="Times New Roman"/>
        </w:rPr>
        <w:t xml:space="preserve">Operacionālais risks: pēdējā gada zaudējumi un zaudējumu atlīdzinājumi pēc darbības jomām un zaudējumu notikumu veidiem (</w:t>
      </w:r>
      <w:r>
        <w:rPr>
          <w:sz w:val="24"/>
          <w:i/>
          <w:iCs/>
          <w:i w:val="false"/>
          <w:iCs w:val="false"/>
          <w:rFonts w:ascii="Times New Roman" w:hAnsi="Times New Roman"/>
        </w:rPr>
        <w:t xml:space="preserve">OPR DETAILS</w:t>
      </w:r>
      <w:r>
        <w:rPr>
          <w:sz w:val="24"/>
          <w:rFonts w:ascii="Times New Roman" w:hAnsi="Times New Roman"/>
        </w:rPr>
        <w:t xml:space="preserve"> 1)</w:t>
      </w:r>
      <w:bookmarkEnd w:id="61"/>
      <w:bookmarkEnd w:id="62"/>
    </w:p>
    <w:p w14:paraId="497EA8D0"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3" w:name="_Toc473561026"/>
      <w:bookmarkStart w:id="64" w:name="_Toc152862720"/>
      <w:r>
        <w:rPr>
          <w:sz w:val="24"/>
          <w:u w:val="none"/>
          <w:rFonts w:ascii="Times New Roman" w:hAnsi="Times New Roman"/>
        </w:rPr>
        <w:t xml:space="preserve">4.2.2.1.</w:t>
      </w:r>
      <w:r>
        <w:rPr>
          <w:sz w:val="24"/>
          <w:u w:val="none"/>
          <w:rFonts w:ascii="Times New Roman" w:hAnsi="Times New Roman"/>
        </w:rPr>
        <w:tab/>
      </w:r>
      <w:r>
        <w:rPr>
          <w:sz w:val="24"/>
          <w:rFonts w:ascii="Times New Roman" w:hAnsi="Times New Roman"/>
        </w:rPr>
        <w:t xml:space="preserve">Vispārīgas piezīmes</w:t>
      </w:r>
      <w:bookmarkEnd w:id="63"/>
      <w:bookmarkEnd w:id="64"/>
    </w:p>
    <w:p w14:paraId="1B1EFECB" w14:textId="7B02287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151</w:t>
      </w:r>
      <w:r>
        <w:fldChar w:fldCharType="end"/>
      </w:r>
      <w:r>
        <w:t xml:space="preserve"> Veidnē C 17.01. apkopota informācija par zaudējumiem un atgūtajām summām, kas pārsniedz iekšējās robežvērtības, kuras iestāde reģistrējusi pēdējā pārskata gadā, pa notikumu veidiem un darbības jomām, ievērojot šīs iedaļas 1. un 2. tabulā sniegtās definīcijas.</w:t>
      </w:r>
      <w:r>
        <w:t xml:space="preserve"> </w:t>
      </w:r>
      <w:r>
        <w:t xml:space="preserve">Zaudējumus, kas atbilst vienam zaudējumu notikumam, ir iespējams sadalīt starp vairākām darbības jomām.</w:t>
      </w:r>
    </w:p>
    <w:p w14:paraId="0F217350" w14:textId="2457BB61"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152</w:t>
      </w:r>
      <w:r>
        <w:fldChar w:fldCharType="end"/>
      </w:r>
      <w:r>
        <w:t xml:space="preserve">.</w:t>
      </w:r>
      <w:r>
        <w:t xml:space="preserve"> </w:t>
      </w:r>
      <w:r>
        <w:t xml:space="preserve">Slejās norāda dažādos zaudējumu notikumu veidus un kopējos rādītājus par katru darbības jomu, kā arī izziņas posteni, kurā parādīts zemākais iekšējais slieksnis, kas piemērots zaudējumu datu apkopošanā, par katru darbības jomu uzrādot zemāko un augstāko slieksni gadījumā, ja ir vairāk par vienu slieksni.</w:t>
      </w:r>
    </w:p>
    <w:p w14:paraId="11517512" w14:textId="6BF52C10"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153</w:t>
      </w:r>
      <w:r>
        <w:fldChar w:fldCharType="end"/>
      </w:r>
      <w:r>
        <w:t xml:space="preserve">.</w:t>
      </w:r>
      <w:r>
        <w:tab/>
      </w:r>
      <w:r>
        <w:t xml:space="preserve"> </w:t>
      </w:r>
      <w:r>
        <w:t xml:space="preserve">Rindās norāda darbības jomas un katrā darbības jomā — informāciju par zaudējumu notikumu skaitu (jauni zaudējumu notikumi), bruto zaudējumu summu (jauni zaudējumu notikumi), to zaudējumu notikumu skaitu, kam piemēro zaudējumu korekcijas, zaudējumu korekcijas saistībā ar iepriekšējiem pārskata periodiem, maksimālos vienreizējos zaudējumus, piecu lielāko zaudējumu summu un zaudējumu atlīdzinājumu kopsummu (tiešie zaudējumu atlīdzinājumi, kā arī atlīdzinājumi no apdrošināšanas un citiem riska pārvešanas mehānismiem).</w:t>
      </w:r>
    </w:p>
    <w:p w14:paraId="01C6C8D7" w14:textId="4AC621C4" w:rsidR="008E3F40"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154</w:t>
      </w:r>
      <w:r>
        <w:fldChar w:fldCharType="end"/>
      </w:r>
      <w:r>
        <w:t xml:space="preserve">.</w:t>
      </w:r>
      <w:r>
        <w:t xml:space="preserve"> </w:t>
      </w:r>
      <w:r>
        <w:t xml:space="preserve">Attiecībā uz kopējām darbības jomām datus par zaudējumu notikumu skaitu un bruto zaudējumu summu uzrāda arī par konkrētiem intervāliem, balstoties uz noteiktiem sliekšņiem, proti, 10 000, 20 000, 100 000 un 1 000 000.</w:t>
      </w:r>
      <w:r>
        <w:t xml:space="preserve"> </w:t>
      </w:r>
      <w:r>
        <w:t xml:space="preserve">Sliekšņi ir noteikti euro valūtā un ir iekļauti uzrādīto zaudējumu salīdzināmības nolūkā starp iestādēm.</w:t>
      </w:r>
      <w:r>
        <w:t xml:space="preserve"> </w:t>
      </w:r>
      <w:r>
        <w:t xml:space="preserve">Tāpēc šie sliekšņi ne vienmēr ir saistīti ar minimālajiem zaudējumu sliekšņiem, ko izmanto, lai apkopotu datus par iekšējiem zaudējumu datiem (tos uzrāda citā veidnes iedaļā).</w:t>
      </w:r>
    </w:p>
    <w:p w14:paraId="66F6BC90" w14:textId="74B242EF" w:rsidR="008A1E95" w:rsidRPr="00594639" w:rsidRDefault="006B71D2" w:rsidP="008E3C30">
      <w:pPr>
        <w:pStyle w:val="InstructionsText2"/>
        <w:numPr>
          <w:ilvl w:val="0"/>
          <w:numId w:val="0"/>
        </w:numPr>
      </w:pPr>
      <w:r>
        <w:t xml:space="preserve">154.a</w:t>
      </w:r>
      <w:r>
        <w:t xml:space="preserve"> </w:t>
      </w:r>
      <w:r>
        <w:t xml:space="preserve">Zaudējumu atlīdzinājumus uzrāda ar plusa zīmi.</w:t>
      </w:r>
      <w:r>
        <w:t xml:space="preserve">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5" w:name="_Toc473561027"/>
      <w:bookmarkStart w:id="66" w:name="_Toc152862721"/>
      <w:r>
        <w:rPr>
          <w:sz w:val="24"/>
          <w:u w:val="none"/>
          <w:rFonts w:ascii="Times New Roman" w:hAnsi="Times New Roman"/>
        </w:rPr>
        <w:t xml:space="preserve">4.2.2.2.</w:t>
      </w:r>
      <w:r>
        <w:rPr>
          <w:sz w:val="24"/>
          <w:u w:val="none"/>
          <w:rFonts w:ascii="Times New Roman" w:hAnsi="Times New Roman"/>
        </w:rPr>
        <w:tab/>
      </w:r>
      <w:r>
        <w:rPr>
          <w:sz w:val="24"/>
          <w:rFonts w:ascii="Times New Roman" w:hAnsi="Times New Roman"/>
        </w:rPr>
        <w:t xml:space="preserve">Norādes par konkrētām pozīcijām</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Slejas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NOTIKUMU VEIDI</w:t>
            </w:r>
          </w:p>
          <w:p w14:paraId="77CB6459" w14:textId="34950BD9" w:rsidR="0084728B" w:rsidRPr="002A677E" w:rsidRDefault="00FD54FC" w:rsidP="0084728B">
            <w:pPr>
              <w:rPr>
                <w:sz w:val="24"/>
                <w:rFonts w:ascii="Times New Roman" w:hAnsi="Times New Roman"/>
              </w:rPr>
            </w:pPr>
            <w:r>
              <w:rPr>
                <w:sz w:val="24"/>
                <w:rFonts w:ascii="Times New Roman" w:hAnsi="Times New Roman"/>
              </w:rPr>
              <w:t xml:space="preserve">Iestādes attiecīgajā 0010.–0070. slejā uzrāda zaudējumus saskaņā ar zaudējumu notikumu veidiem.</w:t>
            </w:r>
          </w:p>
          <w:p w14:paraId="3023C2E3" w14:textId="3DB1C18B" w:rsidR="00FD54FC" w:rsidRPr="002A677E" w:rsidRDefault="00FD54FC" w:rsidP="0084728B">
            <w:pPr>
              <w:rPr>
                <w:bCs/>
                <w:sz w:val="24"/>
                <w:rFonts w:ascii="Times New Roman" w:hAnsi="Times New Roman"/>
              </w:rPr>
            </w:pPr>
            <w:r>
              <w:rPr>
                <w:sz w:val="24"/>
                <w:rFonts w:ascii="Times New Roman" w:hAnsi="Times New Roman"/>
              </w:rPr>
              <w:t xml:space="preserve">Iestādes, kas savu pašu kapitāla prasību aprēķinājušas 2024. gada decembrī saskaņā ar uzņēmējdarbības rādītāja pieeju (</w:t>
            </w:r>
            <w:r>
              <w:rPr>
                <w:sz w:val="24"/>
                <w:i/>
                <w:iCs/>
                <w:rFonts w:ascii="Times New Roman" w:hAnsi="Times New Roman"/>
              </w:rPr>
              <w:t xml:space="preserve">BIA</w:t>
            </w:r>
            <w:r>
              <w:rPr>
                <w:sz w:val="24"/>
                <w:rFonts w:ascii="Times New Roman" w:hAnsi="Times New Roman"/>
              </w:rPr>
              <w:t xml:space="preserve">), zaudējumus, kuru notikuma veids nav noteikts, var uzrādīt tikai 0080. slejā.</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ZAUDĒJUMU NOTIKUMU VEIDI KOPĀ</w:t>
            </w:r>
          </w:p>
          <w:p w14:paraId="64EF174C" w14:textId="77777777" w:rsidR="008D30F0"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slejā attiecībā uz katru darbības jomu iestādes uzrāda kopējo “zaudējumu notikumu skaitu (jauni zaudējumu notikumi)”, kopējo “bruto zaudējumu summu (jauni zaudējumu notikumi)”, kopējo “to zaudējumu notikumu skaitu, kam piemēro zaudējumu korekcijas”, kopējās “zaudējumu korekcijas saistībā ar iepriekšējiem pārskata periodiem”, “maksimālos vienreizējos zaudējumus”, “piecu lielāko zaudējumu summu”, kopējo “zaudējumu tiešo atlīdzinājumu kopsummu” un kopējos “atlīdzinājumus no apdrošināšanas un citiem riska pārvešanas mehānismiem”.</w:t>
            </w:r>
          </w:p>
          <w:p w14:paraId="435DA6FC" w14:textId="40BFB6DE"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Ja iestāde ir identificējusi visu zaudējumu notikumu veidus, 0080. slejā parādās zaudējumu gadījumu, bruto zaudējumu kopsummu, zaudējumu atlīdzinājumu kopsummu un 0010.–0070. slejā uzrādīto “zaudējumu korekciju saistībā ar iepriekšējiem pārskata periodiem” vienkāršs apkopojums.</w:t>
            </w:r>
            <w:r>
              <w:rPr>
                <w:rStyle w:val="InstructionsTabelleText"/>
                <w:sz w:val="24"/>
                <w:rFonts w:ascii="Times New Roman" w:hAnsi="Times New Roman"/>
              </w:rPr>
              <w:t xml:space="preserve"> </w:t>
            </w:r>
          </w:p>
          <w:p w14:paraId="7ADBEC5B" w14:textId="104FB11B"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slejā uzrādītie “maksimālie vienreizējie zaudējumi” ir maksimālie vienreizējie zaudējumi darbības jomā, un tie ir identiski 0010.–0070. slejā uzrādīto “maksimālo vienreizējo zaudējumu” maksimālajai vērtībai, ja iestāde ir identificējusi visu zaudējumu notikumu veidus.</w:t>
            </w:r>
            <w:r>
              <w:rPr>
                <w:rStyle w:val="InstructionsTabelleText"/>
                <w:sz w:val="24"/>
                <w:rFonts w:ascii="Times New Roman" w:hAnsi="Times New Roman"/>
              </w:rPr>
              <w:t xml:space="preserve"> </w:t>
            </w:r>
          </w:p>
          <w:p w14:paraId="620764F4" w14:textId="77777777" w:rsidR="00FD54FC" w:rsidRPr="002A677E" w:rsidRDefault="00FD54FC" w:rsidP="00FD54FC">
            <w:pPr>
              <w:rPr>
                <w:bCs/>
                <w:sz w:val="24"/>
                <w:rFonts w:ascii="Times New Roman" w:hAnsi="Times New Roman"/>
              </w:rPr>
            </w:pPr>
            <w:r>
              <w:rPr>
                <w:rStyle w:val="InstructionsTabelleText"/>
                <w:sz w:val="24"/>
                <w:rFonts w:ascii="Times New Roman" w:hAnsi="Times New Roman"/>
              </w:rPr>
              <w:t xml:space="preserve">Kā piecu lielāko zaudējumu summu 0080. slejā uzrāda piecu lielāko zaudējumu summu vienā darbības jomā.</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0090.–0100.</w:t>
            </w:r>
          </w:p>
        </w:tc>
        <w:tc>
          <w:tcPr>
            <w:tcW w:w="8195" w:type="dxa"/>
          </w:tcPr>
          <w:p w14:paraId="13E5A936" w14:textId="77777777" w:rsidR="00FD54FC" w:rsidRPr="002A677E" w:rsidRDefault="00FD54FC" w:rsidP="00FD54FC">
            <w:pPr>
              <w:autoSpaceDE w:val="0"/>
              <w:autoSpaceDN w:val="0"/>
              <w:adjustRightInd w:val="0"/>
              <w:spacing w:before="0" w:after="0"/>
              <w:rPr>
                <w:sz w:val="24"/>
                <w:rFonts w:ascii="Times New Roman" w:hAnsi="Times New Roman"/>
              </w:rPr>
            </w:pPr>
            <w:r>
              <w:rPr>
                <w:rStyle w:val="InstructionsTabelleberschrift"/>
                <w:sz w:val="24"/>
                <w:rFonts w:ascii="Times New Roman" w:hAnsi="Times New Roman"/>
              </w:rPr>
              <w:t xml:space="preserve">IZZIŅAS POSTENIS: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DATU APKOPOŠANĀ PIEMĒROTAIS SLIEKSNIS</w:t>
            </w:r>
          </w:p>
          <w:p w14:paraId="6C9949A4" w14:textId="0EA420E7" w:rsidR="00FD54FC" w:rsidRPr="002A677E" w:rsidRDefault="00FD54FC"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Iestādes 0090. un 0100. slejā uzrāda minimālos zaudējumu sliekšņus, kas jau ir noteikti un izmantoti iekšējo zaudējumu datu apkopošanai.</w:t>
            </w:r>
            <w:r>
              <w:rPr>
                <w:rStyle w:val="InstructionsTabelleText"/>
                <w:sz w:val="24"/>
                <w:rFonts w:ascii="Times New Roman" w:hAnsi="Times New Roman"/>
              </w:rPr>
              <w:t xml:space="preserve"> </w:t>
            </w:r>
          </w:p>
          <w:p w14:paraId="4FAB0E4A" w14:textId="77777777" w:rsidR="00FD54FC" w:rsidRPr="002A677E" w:rsidRDefault="001F6487"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Ja iestāde katrā darbības jomā izmanto tikai vienu slieksni, aizpilda tikai 0090. sleju.</w:t>
            </w:r>
            <w:r>
              <w:rPr>
                <w:rStyle w:val="InstructionsTabelleText"/>
                <w:sz w:val="24"/>
                <w:rFonts w:ascii="Times New Roman" w:hAnsi="Times New Roman"/>
              </w:rPr>
              <w:t xml:space="preserve"> </w:t>
            </w:r>
          </w:p>
          <w:p w14:paraId="70501482" w14:textId="498EFA89" w:rsidR="00650B6C" w:rsidRPr="002A677E" w:rsidRDefault="001F6487" w:rsidP="0002267E">
            <w:pPr>
              <w:rPr>
                <w:rStyle w:val="InstructionsTabelleText"/>
                <w:sz w:val="24"/>
                <w:rFonts w:ascii="Times New Roman" w:hAnsi="Times New Roman"/>
              </w:rPr>
            </w:pPr>
            <w:r>
              <w:rPr>
                <w:rStyle w:val="InstructionsTabelleText"/>
                <w:sz w:val="24"/>
                <w:rFonts w:ascii="Times New Roman" w:hAnsi="Times New Roman"/>
              </w:rPr>
              <w:t xml:space="preserve">Ja vienā un tajā pašā darbības jomā piemēro dažādus sliekšņus, norāda arī augstāko piemērojamo slieksni (0100. sleja).</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Rindas</w:t>
            </w:r>
          </w:p>
        </w:tc>
      </w:tr>
      <w:tr w:rsidR="00FD54FC" w:rsidRPr="002A677E" w14:paraId="747AECBF" w14:textId="77777777" w:rsidTr="00672D2A">
        <w:tc>
          <w:tcPr>
            <w:tcW w:w="1101" w:type="dxa"/>
          </w:tcPr>
          <w:p w14:paraId="373E8135" w14:textId="77777777" w:rsidR="00FD54FC" w:rsidRPr="002A677E" w:rsidRDefault="00C93FC2" w:rsidP="000F70EC">
            <w:pPr>
              <w:rPr>
                <w:bCs/>
                <w:sz w:val="24"/>
                <w:rFonts w:ascii="Times New Roman" w:hAnsi="Times New Roman"/>
              </w:rPr>
            </w:pPr>
            <w:r>
              <w:rPr>
                <w:sz w:val="24"/>
                <w:rFonts w:ascii="Times New Roman" w:hAnsi="Times New Roman"/>
              </w:rPr>
              <w:t xml:space="preserve">0010.–0880.</w:t>
            </w:r>
          </w:p>
        </w:tc>
        <w:tc>
          <w:tcPr>
            <w:tcW w:w="8079" w:type="dxa"/>
          </w:tcPr>
          <w:p w14:paraId="73EF9F40" w14:textId="7C8BD87F"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DARBĪBAS JOMAS: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FINANŠU PAKALPOJUMI UZŅĒMUMIEM, TIRDZNIECĪBA UN PĀRDOŠANA, STARPNIECĪBAS PAKALPOJUMI PRIVĀTPERSONĀM VAI MVU, KORPORATĪVO KLIENTU APKALPOŠANA, PRIVĀTPERSONU VAI MVU APKALPOŠANA, MAKSĀJUMI UN NORĒĶINI, AĢENTŪRU PAKALPOJUMI, AKTĪVU PĀRVALDĪŠANA, KORPORATĪVIE POSTEŅI</w:t>
            </w:r>
          </w:p>
          <w:p w14:paraId="4ABD41A7" w14:textId="4AA98EEC" w:rsidR="00FD54FC" w:rsidRPr="002A677E" w:rsidRDefault="00FD54FC" w:rsidP="00FD54FC">
            <w:pPr>
              <w:pStyle w:val="PlainText"/>
              <w:jc w:val="both"/>
              <w:rPr>
                <w:sz w:val="24"/>
                <w:szCs w:val="24"/>
                <w:rFonts w:ascii="Times New Roman" w:hAnsi="Times New Roman"/>
              </w:rPr>
            </w:pPr>
            <w:r>
              <w:rPr>
                <w:sz w:val="24"/>
                <w:rFonts w:ascii="Times New Roman" w:hAnsi="Times New Roman"/>
              </w:rPr>
              <w:t xml:space="preserve">Par katru zaudējumu notikuma veidu un darbības jomu iestāde saskaņā ar iekšējiem sliekšņiem uzrāda šādu informāciju:</w:t>
            </w:r>
            <w:r>
              <w:rPr>
                <w:sz w:val="24"/>
                <w:rFonts w:ascii="Times New Roman" w:hAnsi="Times New Roman"/>
              </w:rPr>
              <w:t xml:space="preserve"> </w:t>
            </w:r>
            <w:r>
              <w:rPr>
                <w:sz w:val="24"/>
                <w:rFonts w:ascii="Times New Roman" w:hAnsi="Times New Roman"/>
              </w:rPr>
              <w:t xml:space="preserve">zaudējumu notikumu skaits (jauni zaudējumu notikumi), bruto zaudējumu summa (jauni zaudējumu notikumi), to zaudējumu notikumu skaits, kam piemēro zaudējumu korekcijas, zaudējumu korekcijas saistībā ar iepriekšējiem pārskata periodiem, maksimālie vienreizējie zaudējumi, piecu lielāko zaudējumu summa, zaudējumu tiešo atlīdzinājumu kopsumma un kopējie atlīdzinājumi no apdrošināšanas un citiem riska pārvešanas mehānismiem.</w:t>
            </w:r>
          </w:p>
          <w:p w14:paraId="598C709E" w14:textId="77777777" w:rsidR="00FD54FC" w:rsidRPr="002A677E" w:rsidRDefault="00FD54FC" w:rsidP="00FD54FC">
            <w:pPr>
              <w:rPr>
                <w:sz w:val="24"/>
                <w:rFonts w:ascii="Times New Roman" w:hAnsi="Times New Roman"/>
              </w:rPr>
            </w:pPr>
            <w:r>
              <w:rPr>
                <w:sz w:val="24"/>
                <w:rFonts w:ascii="Times New Roman" w:hAnsi="Times New Roman"/>
              </w:rPr>
              <w:t xml:space="preserve">Attiecībā uz zaudējumu notikumu, kas ietekmē vairāk nekā vienu darbības jomu, “bruto zaudējumu summu” sadala starp visām ietekmētajām darbības jomām.</w:t>
            </w:r>
          </w:p>
          <w:p w14:paraId="7BC94C24" w14:textId="643D0143" w:rsidR="00FD54FC" w:rsidRPr="002A677E" w:rsidRDefault="00FD54FC" w:rsidP="00FD54FC">
            <w:pPr>
              <w:rPr>
                <w:bCs/>
                <w:sz w:val="24"/>
                <w:rFonts w:ascii="Times New Roman" w:hAnsi="Times New Roman"/>
              </w:rPr>
            </w:pPr>
            <w:r>
              <w:rPr>
                <w:sz w:val="24"/>
                <w:rFonts w:ascii="Times New Roman" w:hAnsi="Times New Roman"/>
              </w:rPr>
              <w:t xml:space="preserve">Iestādes, kas savu pašu kapitāla prasību aprēķinājušas 2024. gada decembrī saskaņā ar uzņēmējdarbības rādītāja pieeju (</w:t>
            </w:r>
            <w:r>
              <w:rPr>
                <w:sz w:val="24"/>
                <w:i/>
                <w:iCs/>
                <w:rFonts w:ascii="Times New Roman" w:hAnsi="Times New Roman"/>
              </w:rPr>
              <w:t xml:space="preserve">BIA</w:t>
            </w:r>
            <w:r>
              <w:rPr>
                <w:sz w:val="24"/>
                <w:rFonts w:ascii="Times New Roman" w:hAnsi="Times New Roman"/>
              </w:rPr>
              <w:t xml:space="preserve">), zaudējumus, kuru darbības joma nav noteikta, var uzrādīt tikai 0910.-0980. rindā.</w:t>
            </w:r>
          </w:p>
        </w:tc>
      </w:tr>
      <w:tr w:rsidR="00FD54FC" w:rsidRPr="002A677E" w14:paraId="5539CB2D" w14:textId="77777777" w:rsidTr="00672D2A">
        <w:tc>
          <w:tcPr>
            <w:tcW w:w="1101" w:type="dxa"/>
          </w:tcPr>
          <w:p w14:paraId="2AD95C57" w14:textId="77777777" w:rsidR="00FD54FC" w:rsidRPr="002A677E" w:rsidRDefault="00C93FC2" w:rsidP="00FD54FC">
            <w:pPr>
              <w:rPr>
                <w:bCs/>
                <w:sz w:val="24"/>
                <w:rFonts w:ascii="Times New Roman" w:hAnsi="Times New Roman"/>
              </w:rPr>
            </w:pPr>
            <w:r>
              <w:rPr>
                <w:sz w:val="24"/>
                <w:rFonts w:ascii="Times New Roman" w:hAnsi="Times New Roman"/>
              </w:rPr>
              <w:t xml:space="preserve">0010., 0110., 0210., 0310., 0410., 0510., 0610., 0710., 0810.</w:t>
            </w:r>
          </w:p>
        </w:tc>
        <w:tc>
          <w:tcPr>
            <w:tcW w:w="8079" w:type="dxa"/>
          </w:tcPr>
          <w:p w14:paraId="6FB8404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Zaudējumu notikumu skaits (jauni zaudējumu notikumi)</w:t>
            </w:r>
          </w:p>
          <w:p w14:paraId="0A87F437" w14:textId="77777777" w:rsidR="00FD54FC" w:rsidRPr="002A677E" w:rsidRDefault="00FD54FC" w:rsidP="00FD54FC">
            <w:pPr>
              <w:rPr>
                <w:sz w:val="24"/>
                <w:rFonts w:ascii="Times New Roman" w:hAnsi="Times New Roman"/>
              </w:rPr>
            </w:pPr>
            <w:r>
              <w:rPr>
                <w:sz w:val="24"/>
                <w:rFonts w:ascii="Times New Roman" w:hAnsi="Times New Roman"/>
              </w:rPr>
              <w:t xml:space="preserve">Zaudējumu notikumu skaits ir to zaudējumu notikumu skaits, kuru bruto zaudējumi tika uzskaitīti pārskata atsauces periodā.</w:t>
            </w:r>
          </w:p>
          <w:p w14:paraId="1CB08978" w14:textId="77777777" w:rsidR="00FD54FC" w:rsidRPr="002A677E" w:rsidRDefault="00FD54FC" w:rsidP="00FD54FC">
            <w:pPr>
              <w:rPr>
                <w:sz w:val="24"/>
                <w:rFonts w:ascii="Times New Roman" w:hAnsi="Times New Roman"/>
              </w:rPr>
            </w:pPr>
            <w:r>
              <w:rPr>
                <w:sz w:val="24"/>
                <w:rFonts w:ascii="Times New Roman" w:hAnsi="Times New Roman"/>
              </w:rPr>
              <w:t xml:space="preserve">Zaudējumu notikumu skaits attiecas uz “jauniem notikumiem”, t. i., operacionālā riska notikumiem, kas:</w:t>
            </w:r>
          </w:p>
          <w:p w14:paraId="3B968FDE"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“pirmo reizi uzskaitīti” pārskata atsauces periodā</w:t>
            </w:r>
            <w:r>
              <w:rPr>
                <w:sz w:val="24"/>
                <w:rFonts w:ascii="Times New Roman" w:hAnsi="Times New Roman"/>
              </w:rPr>
              <w:t xml:space="preserve"> </w:t>
            </w:r>
            <w:r>
              <w:rPr>
                <w:sz w:val="24"/>
                <w:rFonts w:ascii="Times New Roman" w:hAnsi="Times New Roman"/>
              </w:rPr>
              <w:t xml:space="preserve">vai</w:t>
            </w:r>
          </w:p>
          <w:p w14:paraId="1A1A183C" w14:textId="13664215"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76206E71" w14:textId="77777777" w:rsidR="00FD54FC" w:rsidRPr="002A677E" w:rsidRDefault="00FD54FC" w:rsidP="005F1EB8">
            <w:pPr>
              <w:rPr>
                <w:rStyle w:val="InstructionsTabelleberschrift"/>
                <w:sz w:val="24"/>
                <w:rFonts w:ascii="Times New Roman" w:hAnsi="Times New Roman"/>
              </w:rPr>
            </w:pPr>
            <w:r>
              <w:rPr>
                <w:sz w:val="24"/>
                <w:rFonts w:ascii="Times New Roman" w:hAnsi="Times New Roman"/>
              </w:rPr>
              <w:t xml:space="preserve">“Jauni zaudējumu notikumi” neietver zaudējumu notikumus, kas “pirmo reizi uzskaitīti” iepriekšējā pārskata atsauces periodā, kas jau bija iekļauts iepriekšējos uzraudzības pārskatos.</w:t>
            </w:r>
          </w:p>
        </w:tc>
      </w:tr>
      <w:tr w:rsidR="00FD54FC" w:rsidRPr="002A677E" w14:paraId="67B548BF" w14:textId="77777777" w:rsidTr="00672D2A">
        <w:tc>
          <w:tcPr>
            <w:tcW w:w="1101" w:type="dxa"/>
          </w:tcPr>
          <w:p w14:paraId="25346D5E" w14:textId="77777777" w:rsidR="00FD54FC" w:rsidRPr="002A677E" w:rsidRDefault="00C93FC2" w:rsidP="00FD54FC">
            <w:pPr>
              <w:rPr>
                <w:bCs/>
                <w:sz w:val="24"/>
                <w:rFonts w:ascii="Times New Roman" w:hAnsi="Times New Roman"/>
              </w:rPr>
            </w:pPr>
            <w:r>
              <w:rPr>
                <w:sz w:val="24"/>
                <w:rFonts w:ascii="Times New Roman" w:hAnsi="Times New Roman"/>
              </w:rPr>
              <w:t xml:space="preserve">0020., 0120., 0220., 0320., 0420., 0520., 0620., 0720., 0820.</w:t>
            </w:r>
          </w:p>
        </w:tc>
        <w:tc>
          <w:tcPr>
            <w:tcW w:w="8079" w:type="dxa"/>
          </w:tcPr>
          <w:p w14:paraId="675477D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Bruto zaudējumu summa (jauni zaudējumu notikumi)</w:t>
            </w:r>
          </w:p>
          <w:p w14:paraId="2E85E133" w14:textId="4AF33778" w:rsidR="00FD54FC" w:rsidRPr="002A677E" w:rsidRDefault="00FD54FC" w:rsidP="00FD54FC">
            <w:pPr>
              <w:rPr>
                <w:sz w:val="24"/>
                <w:rFonts w:ascii="Times New Roman" w:hAnsi="Times New Roman"/>
              </w:rPr>
            </w:pPr>
            <w:r>
              <w:rPr>
                <w:sz w:val="24"/>
                <w:rFonts w:ascii="Times New Roman" w:hAnsi="Times New Roman"/>
              </w:rPr>
              <w:t xml:space="preserve">Bruto zaudējumu summa ir bruto zaudējumu summas, kas attiecas uz operacionālā riska zaudējumu notikumiem saskaņā ar Regulas (ES) Nr. 575/2013 318. panta 2. punktu. Visus zaudējumus, kas saistīti ar vienu zaudējumu notikumu un kas uzskaitīti pārskata atsauces periodā, summē un uzskata par bruto zaudējumiem minētajam zaudējumu notikumam minētajā pārskata atsauces periodā.</w:t>
            </w:r>
          </w:p>
          <w:p w14:paraId="611D2B8E" w14:textId="77777777" w:rsidR="00FD54FC" w:rsidRPr="002A677E" w:rsidRDefault="00FD54FC" w:rsidP="00FD54FC">
            <w:pPr>
              <w:rPr>
                <w:sz w:val="24"/>
                <w:rFonts w:ascii="Times New Roman" w:hAnsi="Times New Roman"/>
              </w:rPr>
            </w:pPr>
            <w:r>
              <w:rPr>
                <w:sz w:val="24"/>
                <w:rFonts w:ascii="Times New Roman" w:hAnsi="Times New Roman"/>
              </w:rPr>
              <w:t xml:space="preserve">Uzrādītā bruto zaudējumu summa attiecas uz “jauniem zaudējumu notikumiem”, kā noteikts šīs tabulas iepriekšējā rindā.</w:t>
            </w:r>
            <w:r>
              <w:rPr>
                <w:sz w:val="24"/>
                <w:rFonts w:ascii="Times New Roman" w:hAnsi="Times New Roman"/>
              </w:rPr>
              <w:t xml:space="preserve"> </w:t>
            </w:r>
            <w:r>
              <w:rPr>
                <w:sz w:val="24"/>
                <w:rFonts w:ascii="Times New Roman" w:hAnsi="Times New Roman"/>
              </w:rPr>
              <w:t xml:space="preserve">Attiecībā uz zaudējumu notikumiem, kas “pirmo reizi uzskaitīti” iepriekšējā pārskata atsauces periodā un kas nebija iekļauti nevienā iepriekšējā uzraudzības pārskatā, kopējos zaudējumus, kuri uzkrāti līdz pārskata sniegšanas atsauces datumam (t. i., sākotnējie zaudējumi plus/mīnus visas iepriekšējos pārskata atsauces periodos izdarītās zaudējumu korekcijas), uzrāda kā bruto zaudējumus pārskata sniegšanas atsauces datumā.</w:t>
            </w:r>
          </w:p>
          <w:p w14:paraId="371CD21C" w14:textId="77777777" w:rsidR="00FD54FC" w:rsidRPr="002A677E" w:rsidRDefault="00FD54FC" w:rsidP="00F52FC6">
            <w:pPr>
              <w:rPr>
                <w:rStyle w:val="InstructionsTabelleberschrift"/>
                <w:sz w:val="24"/>
                <w:rFonts w:ascii="Times New Roman" w:hAnsi="Times New Roman"/>
              </w:rPr>
            </w:pPr>
            <w:r>
              <w:rPr>
                <w:sz w:val="24"/>
                <w:rFonts w:ascii="Times New Roman" w:hAnsi="Times New Roman"/>
              </w:rPr>
              <w:t xml:space="preserve">Uzrādāmajās summās neņem vērā iegūtos atlīdzinājumus.</w:t>
            </w:r>
          </w:p>
        </w:tc>
      </w:tr>
      <w:tr w:rsidR="00FD54FC" w:rsidRPr="002A677E" w14:paraId="35BC8758" w14:textId="77777777" w:rsidTr="00672D2A">
        <w:tc>
          <w:tcPr>
            <w:tcW w:w="1101" w:type="dxa"/>
          </w:tcPr>
          <w:p w14:paraId="30B4B9A7" w14:textId="77777777" w:rsidR="00FD54FC" w:rsidRPr="002A677E" w:rsidRDefault="00C93FC2" w:rsidP="00FD54FC">
            <w:pPr>
              <w:rPr>
                <w:bCs/>
                <w:sz w:val="24"/>
                <w:rFonts w:ascii="Times New Roman" w:hAnsi="Times New Roman"/>
              </w:rPr>
            </w:pPr>
            <w:r>
              <w:rPr>
                <w:sz w:val="24"/>
                <w:rFonts w:ascii="Times New Roman" w:hAnsi="Times New Roman"/>
              </w:rPr>
              <w:t xml:space="preserve">0030., 0130., 0230., 0330., 0430., 0530., 0630., 0730., 0830.</w:t>
            </w:r>
          </w:p>
        </w:tc>
        <w:tc>
          <w:tcPr>
            <w:tcW w:w="8079" w:type="dxa"/>
          </w:tcPr>
          <w:p w14:paraId="20431596"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To zaudējumu notikumu skaits, uz kuriem attiecas zaudējumu korekcijas</w:t>
            </w:r>
          </w:p>
          <w:p w14:paraId="489FCDC5" w14:textId="77777777" w:rsidR="00FD54FC" w:rsidRPr="002A677E" w:rsidRDefault="00FD54FC" w:rsidP="00FD54FC">
            <w:pPr>
              <w:rPr>
                <w:sz w:val="24"/>
                <w:rFonts w:ascii="Times New Roman" w:hAnsi="Times New Roman"/>
              </w:rPr>
            </w:pPr>
            <w:r>
              <w:rPr>
                <w:sz w:val="24"/>
                <w:rFonts w:ascii="Times New Roman" w:hAnsi="Times New Roman"/>
              </w:rPr>
              <w:t xml:space="preserve">To zaudējumu notikumu skaits, uz kuriem attiecas zaudējumu korekcijas, ir to operacionālā riska zaudējumu notikumu skaits, kas “pirmo reizi uzskaitīti” iepriekšējā pārskata atsauces periodā un jau iekļauti iepriekšējos pārskatos, un attiecībā uz kuriem zaudējumu korekcijas izdarītas pašreizējā pārskata atsauces periodā.</w:t>
            </w:r>
            <w:r>
              <w:rPr>
                <w:sz w:val="24"/>
                <w:rFonts w:ascii="Times New Roman" w:hAnsi="Times New Roman"/>
              </w:rPr>
              <w:t xml:space="preserve"> </w:t>
            </w:r>
          </w:p>
          <w:p w14:paraId="35A5D3D6" w14:textId="77777777" w:rsidR="00FD54FC" w:rsidRPr="002A677E" w:rsidRDefault="001F6487" w:rsidP="005F1EB8">
            <w:pPr>
              <w:rPr>
                <w:b/>
                <w:sz w:val="24"/>
              </w:rPr>
            </w:pPr>
            <w:r>
              <w:rPr>
                <w:sz w:val="24"/>
                <w:rFonts w:ascii="Times New Roman" w:hAnsi="Times New Roman"/>
              </w:rPr>
              <w:t xml:space="preserve">Ja pārskata atsauces periodā attiecībā uz zaudējumu notikumu izdarīta vairāk nekā viena zaudējumu korekcija, minēto zaudējumu korekciju summu uzskaita kā vienu korekciju periodā.</w:t>
            </w:r>
          </w:p>
        </w:tc>
      </w:tr>
      <w:tr w:rsidR="00FD54FC" w:rsidRPr="002A677E" w14:paraId="4897901E" w14:textId="77777777" w:rsidTr="00672D2A">
        <w:tc>
          <w:tcPr>
            <w:tcW w:w="1101" w:type="dxa"/>
          </w:tcPr>
          <w:p w14:paraId="1CA10334" w14:textId="77777777" w:rsidR="00FD54FC" w:rsidRPr="002A677E" w:rsidRDefault="00C93FC2" w:rsidP="00FD54FC">
            <w:pPr>
              <w:rPr>
                <w:bCs/>
                <w:sz w:val="24"/>
                <w:rFonts w:ascii="Times New Roman" w:hAnsi="Times New Roman"/>
              </w:rPr>
            </w:pPr>
            <w:r>
              <w:rPr>
                <w:sz w:val="24"/>
                <w:rFonts w:ascii="Times New Roman" w:hAnsi="Times New Roman"/>
              </w:rPr>
              <w:t xml:space="preserve">0040., 0140., 0240., 0340., 0440., 0540., 0640., 0740., 0840.</w:t>
            </w:r>
          </w:p>
        </w:tc>
        <w:tc>
          <w:tcPr>
            <w:tcW w:w="8079" w:type="dxa"/>
          </w:tcPr>
          <w:p w14:paraId="6804994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Zaudējumu korekcijas, kuras attiecas uz iepriekšējiem pārskata periodiem</w:t>
            </w:r>
          </w:p>
          <w:p w14:paraId="13788219" w14:textId="77777777" w:rsidR="00FD54FC" w:rsidRPr="002A677E" w:rsidRDefault="00FD54FC" w:rsidP="00FD54FC">
            <w:pPr>
              <w:rPr>
                <w:sz w:val="24"/>
                <w:rFonts w:ascii="Times New Roman" w:hAnsi="Times New Roman"/>
              </w:rPr>
            </w:pPr>
            <w:r>
              <w:rPr>
                <w:sz w:val="24"/>
                <w:rFonts w:ascii="Times New Roman" w:hAnsi="Times New Roman"/>
              </w:rPr>
              <w:t xml:space="preserve">Zaudējumu korekcijas saistībā ar iepriekšējiem pārskata atsauces periodiem ir šādu elementu (pozitīvu vai negatīvu) summa:</w:t>
            </w:r>
          </w:p>
          <w:p w14:paraId="1123BBFF"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bruto zaudējumu summas, kuras attiecas uz pārskata atsauces periodā veiktām pozitīvām zaudējumu korekcijām (piemēram, uzkrājumu palielinājums, saistīti zaudējumu notikumi, papildu norēķini) attiecībā uz operacionālā riska notikumiem, kuri “pirmo reizi uzskaitīti” un uzrādīti iepriekšējos pārskata atsauces periodos;</w:t>
            </w:r>
          </w:p>
          <w:p w14:paraId="22EFE0FB"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bruto zaudējumu summas attiecībā uz negatīvām zaudējumu korekcijām, kas veiktas pārskata atsauces periodā (piemēram, saistībā ar uzkrājumu samazinājumu) attiecībā uz operacionālā riska zaudējumu notikumiem, kuri “pirmo reizi uzskaitīti” un uzrādīti iepriekšējos pārskata atsauces periodos.</w:t>
            </w:r>
            <w:r>
              <w:rPr>
                <w:sz w:val="24"/>
                <w:rFonts w:ascii="Times New Roman" w:hAnsi="Times New Roman"/>
              </w:rPr>
              <w:t xml:space="preserve"> </w:t>
            </w:r>
          </w:p>
          <w:p w14:paraId="6796D1A0" w14:textId="77777777" w:rsidR="00FD54FC" w:rsidRPr="002A677E" w:rsidRDefault="001F6487" w:rsidP="00FD54FC">
            <w:pPr>
              <w:rPr>
                <w:sz w:val="24"/>
                <w:rFonts w:ascii="Times New Roman" w:hAnsi="Times New Roman"/>
              </w:rPr>
            </w:pPr>
            <w:r>
              <w:rPr>
                <w:sz w:val="24"/>
                <w:rFonts w:ascii="Times New Roman" w:hAnsi="Times New Roman"/>
              </w:rPr>
              <w:t xml:space="preserve">Ja pārskata atsauces periodā attiecībā uz zaudējumu notikumu izdarīta vairāk nekā viena zaudējumu korekcija, visu minēto zaudējumu korekciju vērtības summē, ņemot vērā korekciju zīmi (pozitīva, negatīva).</w:t>
            </w:r>
            <w:r>
              <w:rPr>
                <w:sz w:val="24"/>
                <w:rFonts w:ascii="Times New Roman" w:hAnsi="Times New Roman"/>
              </w:rPr>
              <w:t xml:space="preserve"> </w:t>
            </w:r>
            <w:r>
              <w:rPr>
                <w:sz w:val="24"/>
                <w:rFonts w:ascii="Times New Roman" w:hAnsi="Times New Roman"/>
              </w:rPr>
              <w:t xml:space="preserve">Minēto summu uzskata par zaudējumu korekciju attiecībā uz minēto zaudējumu notikumu minētajā pārskata atsauces periodā.</w:t>
            </w:r>
          </w:p>
          <w:p w14:paraId="1FF4DC2A" w14:textId="77777777" w:rsidR="00FD54FC" w:rsidRPr="002A677E" w:rsidRDefault="001F6487" w:rsidP="00FD54FC">
            <w:pPr>
              <w:rPr>
                <w:sz w:val="24"/>
                <w:rFonts w:ascii="Times New Roman" w:hAnsi="Times New Roman"/>
              </w:rPr>
            </w:pPr>
            <w:r>
              <w:rPr>
                <w:sz w:val="24"/>
                <w:rFonts w:ascii="Times New Roman" w:hAnsi="Times New Roman"/>
              </w:rPr>
              <w:t xml:space="preserve">Ja negatīvas zaudējumu korekcijas dēļ koriģētā zaudējumu summa, kas attiecināma uz zaudējumu notikumu, ir zemāka par iestādes iekšējo datu apkopošanas slieksni, iestāde zaudējumu kopsummu par minēto zaudējumu notikumu uzrāda apkopotā veidā līdz pēdējam brīdim, kad notikums tika uzrādīts ar decembra atsauces datumu (t. i., sākotnējie zaudējumi plus/mīnus visas iepriekšējos pārskata atsauces periodos izdarītās zaudējumu korekcijas), ar negatīvu zīmi tā vietā, lai uzrādītu pašu negatīvās zaudējumu korekcijas summu.</w:t>
            </w:r>
          </w:p>
          <w:p w14:paraId="0FAF0676" w14:textId="77777777" w:rsidR="00FD54FC" w:rsidRPr="002A677E" w:rsidRDefault="00FD54FC" w:rsidP="00EB62C2">
            <w:pPr>
              <w:rPr>
                <w:b/>
                <w:sz w:val="24"/>
              </w:rPr>
            </w:pPr>
            <w:r>
              <w:rPr>
                <w:sz w:val="24"/>
                <w:rFonts w:ascii="Times New Roman" w:hAnsi="Times New Roman"/>
              </w:rPr>
              <w:t xml:space="preserve">Uzrādāmajās summās neņem vērā iegūtos atlīdzinājumus.</w:t>
            </w:r>
          </w:p>
        </w:tc>
      </w:tr>
      <w:tr w:rsidR="00FD54FC" w:rsidRPr="002A677E" w14:paraId="03FCD499" w14:textId="77777777" w:rsidTr="00672D2A">
        <w:tc>
          <w:tcPr>
            <w:tcW w:w="1101" w:type="dxa"/>
          </w:tcPr>
          <w:p w14:paraId="7980B206" w14:textId="77777777" w:rsidR="00FD54FC" w:rsidRPr="002A677E" w:rsidRDefault="00C93FC2" w:rsidP="00FD54FC">
            <w:pPr>
              <w:rPr>
                <w:bCs/>
                <w:sz w:val="24"/>
                <w:rFonts w:ascii="Times New Roman" w:hAnsi="Times New Roman"/>
              </w:rPr>
            </w:pPr>
            <w:r>
              <w:rPr>
                <w:sz w:val="24"/>
                <w:rFonts w:ascii="Times New Roman" w:hAnsi="Times New Roman"/>
              </w:rPr>
              <w:t xml:space="preserve">0050., 0150., 0250., 0350., 0450., 0550., 0650., 0750., 0850.</w:t>
            </w:r>
          </w:p>
        </w:tc>
        <w:tc>
          <w:tcPr>
            <w:tcW w:w="8079" w:type="dxa"/>
          </w:tcPr>
          <w:p w14:paraId="593A9C4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Maksimālie vienreizējie zaudējumi</w:t>
            </w:r>
          </w:p>
          <w:p w14:paraId="388ADCDC" w14:textId="77777777" w:rsidR="00FD54FC" w:rsidRPr="002A677E" w:rsidRDefault="00FD54FC" w:rsidP="00FD54FC">
            <w:pPr>
              <w:rPr>
                <w:sz w:val="24"/>
                <w:rFonts w:ascii="Times New Roman" w:hAnsi="Times New Roman"/>
              </w:rPr>
            </w:pPr>
            <w:r>
              <w:rPr>
                <w:sz w:val="24"/>
                <w:rFonts w:ascii="Times New Roman" w:hAnsi="Times New Roman"/>
              </w:rPr>
              <w:t xml:space="preserve">Maksimālie vienreizējie zaudējumi ir lielākā no šīm summām:</w:t>
            </w:r>
          </w:p>
          <w:p w14:paraId="4247C82D"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lielākā bruto zaudējumu summa saistībā ar kādu zaudējumu notikumu, kas pirmo reizi uzrādīts pārskata atsauces periodā,</w:t>
            </w:r>
            <w:r>
              <w:rPr>
                <w:sz w:val="24"/>
                <w:rFonts w:ascii="Times New Roman" w:hAnsi="Times New Roman"/>
              </w:rPr>
              <w:t xml:space="preserve"> </w:t>
            </w:r>
            <w:r>
              <w:rPr>
                <w:sz w:val="24"/>
                <w:rFonts w:ascii="Times New Roman" w:hAnsi="Times New Roman"/>
              </w:rPr>
              <w:t xml:space="preserve">kā arī</w:t>
            </w:r>
          </w:p>
          <w:p w14:paraId="56D74189"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lielākajām pozitīvajām zaudējumu korekciju summām (kā minēts iepriekš 0040., 0140., ..., 0840. rindā) saistībā ar zaudējumu notikumu, kas pirmo reizi uzrādīts iepriekšējā pārskata atsauces periodā.</w:t>
            </w:r>
          </w:p>
          <w:p w14:paraId="1AFA00C9" w14:textId="77777777" w:rsidR="00FD54FC" w:rsidRPr="002A677E" w:rsidRDefault="00FD54FC" w:rsidP="00F52FC6">
            <w:pPr>
              <w:rPr>
                <w:sz w:val="24"/>
              </w:rPr>
            </w:pPr>
            <w:r>
              <w:rPr>
                <w:sz w:val="24"/>
                <w:rFonts w:ascii="Times New Roman" w:hAnsi="Times New Roman"/>
              </w:rPr>
              <w:t xml:space="preserve">Uzrādāmajās summās neņem vērā iegūtos atlīdzinājumus.</w:t>
            </w:r>
          </w:p>
        </w:tc>
      </w:tr>
      <w:tr w:rsidR="00FD54FC" w:rsidRPr="002A677E" w14:paraId="7ED98CBE" w14:textId="77777777" w:rsidTr="00672D2A">
        <w:tc>
          <w:tcPr>
            <w:tcW w:w="1101" w:type="dxa"/>
          </w:tcPr>
          <w:p w14:paraId="1574A031" w14:textId="77777777" w:rsidR="00FD54FC" w:rsidRPr="002A677E" w:rsidRDefault="00C93FC2" w:rsidP="00FD54FC">
            <w:pPr>
              <w:rPr>
                <w:bCs/>
                <w:sz w:val="24"/>
                <w:rFonts w:ascii="Times New Roman" w:hAnsi="Times New Roman"/>
              </w:rPr>
            </w:pPr>
            <w:r>
              <w:rPr>
                <w:sz w:val="24"/>
                <w:rFonts w:ascii="Times New Roman" w:hAnsi="Times New Roman"/>
              </w:rPr>
              <w:t xml:space="preserve">0060., 0160., 0260., 0360., 0460., 0560., 0660., 0760., 0860.</w:t>
            </w:r>
          </w:p>
        </w:tc>
        <w:tc>
          <w:tcPr>
            <w:tcW w:w="8079" w:type="dxa"/>
          </w:tcPr>
          <w:p w14:paraId="36322A8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Piecu lielāko zaudējumu summa</w:t>
            </w:r>
          </w:p>
          <w:p w14:paraId="3D9655C2" w14:textId="77777777" w:rsidR="00FD54FC" w:rsidRPr="002A677E" w:rsidRDefault="00FD54FC" w:rsidP="00FD54FC">
            <w:pPr>
              <w:rPr>
                <w:sz w:val="24"/>
                <w:rFonts w:ascii="Times New Roman" w:hAnsi="Times New Roman"/>
              </w:rPr>
            </w:pPr>
            <w:r>
              <w:rPr>
                <w:sz w:val="24"/>
                <w:rFonts w:ascii="Times New Roman" w:hAnsi="Times New Roman"/>
              </w:rPr>
              <w:t xml:space="preserve">Piecu lielāko zaudējumu summa ir to piecu lielāko summu kopsumma no:</w:t>
            </w:r>
          </w:p>
          <w:p w14:paraId="4B64CFB7"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bruto zaudējumu summām par zaudējumu notikumiem, kas pirmo reizi uzrādīti pārskata atsauces periodā,</w:t>
            </w:r>
            <w:r>
              <w:rPr>
                <w:sz w:val="24"/>
                <w:rFonts w:ascii="Times New Roman" w:hAnsi="Times New Roman"/>
              </w:rPr>
              <w:t xml:space="preserve"> </w:t>
            </w:r>
            <w:r>
              <w:rPr>
                <w:sz w:val="24"/>
                <w:rFonts w:ascii="Times New Roman" w:hAnsi="Times New Roman"/>
              </w:rPr>
              <w:t xml:space="preserve">kā arī</w:t>
            </w:r>
          </w:p>
          <w:p w14:paraId="758169F5"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pozitīvām zaudējumu korekciju summām (kā definēts iepriekš attiecībā uz 0040., 0140., ..., 0840. rindu) saistībā ar zaudējumu notikumiem, kas pirmo reizi uzrādīti iepriekšējā pārskata atsauces periodā.</w:t>
            </w:r>
            <w:r>
              <w:rPr>
                <w:sz w:val="24"/>
                <w:rFonts w:ascii="Times New Roman" w:hAnsi="Times New Roman"/>
              </w:rPr>
              <w:t xml:space="preserve"> </w:t>
            </w:r>
            <w:r>
              <w:rPr>
                <w:sz w:val="24"/>
                <w:rFonts w:ascii="Times New Roman" w:hAnsi="Times New Roman"/>
              </w:rPr>
              <w:t xml:space="preserve">Summa, kas ir atbilstīga, lai to kvalificētu kā vienu no piecām lielākajām, ir pašas zaudējumu korekcijas summa, nevis zaudējumu kopsumma, kas saistīta ar attiecīgo zaudējumu notikumu pirms vai pēc zaudējumu korekcijas.</w:t>
            </w:r>
          </w:p>
          <w:p w14:paraId="00CACAFA" w14:textId="77777777" w:rsidR="00FD54FC" w:rsidRPr="002A677E" w:rsidRDefault="00FD54FC" w:rsidP="00F52FC6">
            <w:pPr>
              <w:rPr>
                <w:sz w:val="24"/>
              </w:rPr>
            </w:pPr>
            <w:r>
              <w:rPr>
                <w:sz w:val="24"/>
                <w:rFonts w:ascii="Times New Roman" w:hAnsi="Times New Roman"/>
              </w:rPr>
              <w:t xml:space="preserve">Uzrādāmajās summās neņem vērā iegūtos atlīdzinājumus.</w:t>
            </w:r>
          </w:p>
        </w:tc>
      </w:tr>
      <w:tr w:rsidR="00FD54FC" w:rsidRPr="002A677E" w14:paraId="5406E1EB" w14:textId="77777777" w:rsidTr="00672D2A">
        <w:tc>
          <w:tcPr>
            <w:tcW w:w="1101" w:type="dxa"/>
          </w:tcPr>
          <w:p w14:paraId="7AF95081" w14:textId="77777777" w:rsidR="00FD54FC" w:rsidRPr="002A677E" w:rsidRDefault="00C93FC2" w:rsidP="00FD54FC">
            <w:pPr>
              <w:rPr>
                <w:bCs/>
                <w:sz w:val="24"/>
                <w:rFonts w:ascii="Times New Roman" w:hAnsi="Times New Roman"/>
              </w:rPr>
            </w:pPr>
            <w:r>
              <w:rPr>
                <w:sz w:val="24"/>
                <w:rFonts w:ascii="Times New Roman" w:hAnsi="Times New Roman"/>
              </w:rPr>
              <w:t xml:space="preserve">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sz w:val="24"/>
                <w:rFonts w:ascii="Times New Roman" w:hAnsi="Times New Roman"/>
              </w:rPr>
              <w:t xml:space="preserve">Zaudējumu tiešo atlīdzinājumu kopsumma</w:t>
            </w:r>
          </w:p>
          <w:p w14:paraId="0E30E677" w14:textId="793292FF" w:rsidR="00FD54FC" w:rsidRPr="002A677E" w:rsidRDefault="00FD54FC" w:rsidP="00FD54FC">
            <w:pPr>
              <w:rPr>
                <w:sz w:val="24"/>
                <w:rFonts w:ascii="Times New Roman" w:hAnsi="Times New Roman"/>
              </w:rPr>
            </w:pPr>
            <w:r>
              <w:rPr>
                <w:sz w:val="24"/>
                <w:rFonts w:ascii="Times New Roman" w:hAnsi="Times New Roman"/>
              </w:rPr>
              <w:t xml:space="preserve">Tiešie zaudējumu atlīdzinājumi ir visi iegūtie zaudējumu atlīdzinājumi, izņemot tos, kam piemēro apdrošināšanu, kā minēts šīs tabulas turpmākajā rindā.</w:t>
            </w:r>
            <w:r>
              <w:rPr>
                <w:sz w:val="24"/>
                <w:rFonts w:ascii="Times New Roman" w:hAnsi="Times New Roman"/>
              </w:rPr>
              <w:t xml:space="preserve"> </w:t>
            </w:r>
          </w:p>
          <w:p w14:paraId="49A16F4E" w14:textId="77777777" w:rsidR="00FD54FC" w:rsidRDefault="00FD54FC" w:rsidP="00FD54FC">
            <w:pPr>
              <w:rPr>
                <w:sz w:val="24"/>
                <w:rFonts w:ascii="Times New Roman" w:hAnsi="Times New Roman"/>
              </w:rPr>
            </w:pPr>
            <w:r>
              <w:rPr>
                <w:sz w:val="24"/>
                <w:rFonts w:ascii="Times New Roman" w:hAnsi="Times New Roman"/>
              </w:rPr>
              <w:t xml:space="preserve">Zaudējumu tiešo atlīdzinājumu kopsumma ir visu tiešo atlīdzinājumu un tiešo atlīdzinājumu korekciju summa, kas uzskaitīta pārskata periodā un kas attiecas uz operacionālā riska zaudējumu notikumiem, kuri uzskaitīti pirmo reizi pārskata atsauces periodā vai iepriekšējos pārskata atsauces periodos.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bCs/>
                <w:sz w:val="24"/>
                <w:rFonts w:ascii="Times New Roman" w:hAnsi="Times New Roman"/>
              </w:rPr>
            </w:pPr>
            <w:r>
              <w:rPr>
                <w:sz w:val="24"/>
                <w:rFonts w:ascii="Times New Roman" w:hAnsi="Times New Roman"/>
              </w:rPr>
              <w:t xml:space="preserve">0080., 0180., 0280., 0380., 0480., 0580., 0680., 0780., 0880.</w:t>
            </w:r>
          </w:p>
        </w:tc>
        <w:tc>
          <w:tcPr>
            <w:tcW w:w="8079" w:type="dxa"/>
          </w:tcPr>
          <w:p w14:paraId="0C974825" w14:textId="243E2BDC"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Kopējie atgūtie līdzekļi no apdrošināšanas</w:t>
            </w:r>
            <w:r>
              <w:rPr>
                <w:rStyle w:val="InstructionsTabelleberschrift"/>
                <w:sz w:val="24"/>
                <w:rFonts w:ascii="Times New Roman" w:hAnsi="Times New Roman"/>
              </w:rPr>
              <w:t xml:space="preserve"> </w:t>
            </w:r>
          </w:p>
          <w:p w14:paraId="22B75DB4" w14:textId="24AD70C9" w:rsidR="00FD54FC" w:rsidRPr="002A677E" w:rsidRDefault="00FD54FC" w:rsidP="00FD54FC">
            <w:pPr>
              <w:rPr>
                <w:sz w:val="24"/>
                <w:rFonts w:ascii="Times New Roman" w:hAnsi="Times New Roman"/>
              </w:rPr>
            </w:pPr>
            <w:r>
              <w:rPr>
                <w:sz w:val="24"/>
                <w:rFonts w:ascii="Times New Roman" w:hAnsi="Times New Roman"/>
              </w:rPr>
              <w:t xml:space="preserve">Atgūtās summas no apdrošināšanas ir atgūtās summas saskaņā ar Regulas (ES) Nr. 575/2013 317. panta 1. punktu un 318. pantu.</w:t>
            </w:r>
            <w:r>
              <w:rPr>
                <w:sz w:val="24"/>
                <w:rFonts w:ascii="Times New Roman" w:hAnsi="Times New Roman"/>
              </w:rPr>
              <w:t xml:space="preserve"> </w:t>
            </w:r>
          </w:p>
          <w:p w14:paraId="6F9286F3" w14:textId="3EB99CA9" w:rsidR="00FD54FC" w:rsidRPr="002A677E" w:rsidRDefault="00FD54FC" w:rsidP="00070AF9">
            <w:pPr>
              <w:rPr>
                <w:sz w:val="24"/>
              </w:rPr>
            </w:pPr>
            <w:r>
              <w:rPr>
                <w:sz w:val="24"/>
                <w:rFonts w:ascii="Times New Roman" w:hAnsi="Times New Roman"/>
              </w:rPr>
              <w:t xml:space="preserve">Kopējie atgūtie līdzekļi no apdrošināšanas ir visu atgūto līdzekļu no apdrošināšanas un šādu atgūto līdzekļu korekciju summa, kas uzskaitīta pārskata periodā un kas attiecas uz operacionālā riska zaudējumu notikumiem, kuri uzskaitīti pirmo reizi pārskata atsauces periodā vai iepriekšējos pārskata atsauces periodos.</w:t>
            </w:r>
          </w:p>
        </w:tc>
      </w:tr>
      <w:tr w:rsidR="00FD54FC" w:rsidRPr="002A677E" w14:paraId="331252AE" w14:textId="77777777" w:rsidTr="00672D2A">
        <w:tc>
          <w:tcPr>
            <w:tcW w:w="1101" w:type="dxa"/>
          </w:tcPr>
          <w:p w14:paraId="0E304D67" w14:textId="77777777" w:rsidR="00FD54FC" w:rsidRPr="002A677E" w:rsidRDefault="00C93FC2" w:rsidP="000F70EC">
            <w:pPr>
              <w:rPr>
                <w:bCs/>
                <w:sz w:val="24"/>
                <w:rFonts w:ascii="Times New Roman" w:hAnsi="Times New Roman"/>
              </w:rPr>
            </w:pPr>
            <w:r>
              <w:rPr>
                <w:sz w:val="24"/>
                <w:rFonts w:ascii="Times New Roman" w:hAnsi="Times New Roman"/>
              </w:rPr>
              <w:t xml:space="preserve">0910.–0980.</w:t>
            </w:r>
          </w:p>
        </w:tc>
        <w:tc>
          <w:tcPr>
            <w:tcW w:w="8079" w:type="dxa"/>
          </w:tcPr>
          <w:p w14:paraId="6E1626E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DARBĪBAS JOMAS KOPĀ</w:t>
            </w:r>
          </w:p>
          <w:p w14:paraId="62DF7EDA" w14:textId="77777777" w:rsidR="00FD54FC" w:rsidRPr="002A677E" w:rsidRDefault="00FD54FC" w:rsidP="00F114E6">
            <w:pPr>
              <w:rPr>
                <w:sz w:val="24"/>
                <w:rFonts w:ascii="Times New Roman" w:hAnsi="Times New Roman"/>
              </w:rPr>
            </w:pPr>
            <w:r>
              <w:rPr>
                <w:sz w:val="24"/>
                <w:rFonts w:ascii="Times New Roman" w:hAnsi="Times New Roman"/>
              </w:rPr>
              <w:t xml:space="preserve">Attiecībā uz katru zaudējumu notikuma veidu (0010.–0080. sleja) uzrāda informāciju par kopējām darbības jomām.</w:t>
            </w:r>
          </w:p>
        </w:tc>
      </w:tr>
      <w:tr w:rsidR="00FD54FC" w:rsidRPr="002A677E" w14:paraId="5E001C76" w14:textId="77777777" w:rsidTr="00672D2A">
        <w:tc>
          <w:tcPr>
            <w:tcW w:w="1101" w:type="dxa"/>
          </w:tcPr>
          <w:p w14:paraId="60FA9CC0" w14:textId="77777777" w:rsidR="00FD54FC" w:rsidRPr="002A677E" w:rsidRDefault="00C93FC2" w:rsidP="000F70EC">
            <w:pPr>
              <w:rPr>
                <w:bCs/>
                <w:sz w:val="24"/>
                <w:rFonts w:ascii="Times New Roman" w:hAnsi="Times New Roman"/>
              </w:rPr>
            </w:pPr>
            <w:r>
              <w:rPr>
                <w:sz w:val="24"/>
                <w:rFonts w:ascii="Times New Roman" w:hAnsi="Times New Roman"/>
              </w:rPr>
              <w:t xml:space="preserve">0910.–0914.</w:t>
            </w:r>
          </w:p>
        </w:tc>
        <w:tc>
          <w:tcPr>
            <w:tcW w:w="8079" w:type="dxa"/>
          </w:tcPr>
          <w:p w14:paraId="095C4CC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Zaudējumu notikumu skaits</w:t>
            </w:r>
          </w:p>
          <w:p w14:paraId="34FAAF76" w14:textId="71BBD004" w:rsidR="00FD54FC" w:rsidRPr="002A677E" w:rsidRDefault="00FD54FC" w:rsidP="00FD54FC">
            <w:pPr>
              <w:rPr>
                <w:sz w:val="24"/>
                <w:rFonts w:ascii="Times New Roman" w:hAnsi="Times New Roman"/>
              </w:rPr>
            </w:pPr>
            <w:r>
              <w:rPr>
                <w:sz w:val="24"/>
                <w:rFonts w:ascii="Times New Roman" w:hAnsi="Times New Roman"/>
              </w:rPr>
              <w:t xml:space="preserve">0910. rindā uzrāda to zaudējumu notikumu skaitu, kas pārsniedz iekšējo slieksni, pa zaudējumu notikumu veidiem, – par darbības jomām kopā.</w:t>
            </w:r>
            <w:r>
              <w:rPr>
                <w:sz w:val="24"/>
                <w:rFonts w:ascii="Times New Roman" w:hAnsi="Times New Roman"/>
              </w:rPr>
              <w:t xml:space="preserve"> </w:t>
            </w:r>
            <w:r>
              <w:rPr>
                <w:sz w:val="24"/>
                <w:rFonts w:ascii="Times New Roman" w:hAnsi="Times New Roman"/>
              </w:rPr>
              <w:t xml:space="preserve">Šis rādītājs var būt zemāks par zaudējumu notikumu skaita apkopojumu pa darbības jomām, jo zaudējumu notikumus ar vairākām ietekmēm (ietekmes dažādās darbības jomās) uzskata par vienu notikumu.</w:t>
            </w:r>
            <w:r>
              <w:rPr>
                <w:sz w:val="24"/>
                <w:rFonts w:ascii="Times New Roman" w:hAnsi="Times New Roman"/>
              </w:rPr>
              <w:t xml:space="preserve"> </w:t>
            </w:r>
            <w:r>
              <w:rPr>
                <w:sz w:val="24"/>
                <w:rFonts w:ascii="Times New Roman" w:hAnsi="Times New Roman"/>
              </w:rPr>
              <w:t xml:space="preserve">Tas var būt augstāks, ja iestāde, kas tās pašu kapitāla prasības aprēķinājusi 2024. gada decembrī saskaņā ar uzņēmējdarbības rādītāja pieeju (</w:t>
            </w:r>
            <w:r>
              <w:rPr>
                <w:sz w:val="24"/>
                <w:i/>
                <w:iCs/>
                <w:rFonts w:ascii="Times New Roman" w:hAnsi="Times New Roman"/>
              </w:rPr>
              <w:t xml:space="preserve">BIA</w:t>
            </w:r>
            <w:r>
              <w:rPr>
                <w:sz w:val="24"/>
                <w:rFonts w:ascii="Times New Roman" w:hAnsi="Times New Roman"/>
              </w:rPr>
              <w:t xml:space="preserve">), nevar katrā gadījumā identificēt darbības jomu(-as), kuru(-as) ietekmējuši zaudējumi.</w:t>
            </w:r>
          </w:p>
          <w:p w14:paraId="1029FFB0" w14:textId="77777777" w:rsidR="00FD54FC" w:rsidRPr="002A677E" w:rsidRDefault="00FD54FC" w:rsidP="00FD54FC">
            <w:pPr>
              <w:rPr>
                <w:sz w:val="24"/>
                <w:rFonts w:ascii="Times New Roman" w:hAnsi="Times New Roman"/>
              </w:rPr>
            </w:pPr>
            <w:r>
              <w:rPr>
                <w:sz w:val="24"/>
                <w:rFonts w:ascii="Times New Roman" w:hAnsi="Times New Roman"/>
              </w:rPr>
              <w:t xml:space="preserve">0911.–0914. rindā uzrāda to zaudējumu notikumu skaitu, kuru bruto zaudējumu summa iekļaujas tabulas attiecīgajās rindās definētajos intervālos.</w:t>
            </w:r>
          </w:p>
          <w:p w14:paraId="3642B0CB" w14:textId="732C4B5C" w:rsidR="00FD54FC" w:rsidRPr="002A677E" w:rsidRDefault="00FD54FC" w:rsidP="00FD54FC">
            <w:pPr>
              <w:rPr>
                <w:sz w:val="24"/>
                <w:rFonts w:ascii="Times New Roman" w:hAnsi="Times New Roman"/>
              </w:rPr>
            </w:pPr>
            <w:r>
              <w:rPr>
                <w:sz w:val="24"/>
                <w:rFonts w:ascii="Times New Roman" w:hAnsi="Times New Roman"/>
              </w:rPr>
              <w:t xml:space="preserve">Ja iestāde visus tās zaudējumus ir iedalījusi kādā darbības jomā vai ja tā ir identificējusi zaudējumu notikumu veidus visiem zaudējumiem, 0080. slejai attiecīgi piemēro šādus noteikumus:</w:t>
            </w:r>
          </w:p>
          <w:p w14:paraId="37853BE1" w14:textId="77777777" w:rsidR="00FD54FC" w:rsidRPr="002A677E" w:rsidRDefault="00125707" w:rsidP="0023700C">
            <w:pPr>
              <w:ind w:left="36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zaudējumu notikumu kopskaits, kas uzrādīts 0910.–0914. rindā, ir vienāds ar zaudējumu notikumu skaita horizontālo apkopojumu attiecīgajā rindā, jo šajos rādītājos zaudējumu notikumi ar ietekmi uz dažādām darbības jomām jau ir ņemti vērā kā viens zaudējumu notikums,</w:t>
            </w:r>
          </w:p>
          <w:p w14:paraId="0D57024E" w14:textId="77777777" w:rsidR="00FD54FC" w:rsidRPr="002A677E" w:rsidRDefault="00125707" w:rsidP="00F41508">
            <w:pPr>
              <w:ind w:left="360" w:hanging="360"/>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ab/>
            </w:r>
            <w:r>
              <w:rPr>
                <w:sz w:val="24"/>
                <w:rFonts w:ascii="Times New Roman" w:hAnsi="Times New Roman"/>
              </w:rPr>
              <w:t xml:space="preserve">0080. slejā, 0910. rindā norādītajai vērtībai nav noteikti jābūt vienādai ar 0080. slejā ietverto zaudējumu notikumu skaita vertikālo apkopojumu, jo vienam zaudējumu notikumam vienlaicīgi var būt ietekme uz dažādām darbības jomām.</w:t>
            </w:r>
          </w:p>
        </w:tc>
      </w:tr>
      <w:tr w:rsidR="00FD54FC" w:rsidRPr="002A677E" w14:paraId="758B9A40" w14:textId="77777777" w:rsidTr="00672D2A">
        <w:tc>
          <w:tcPr>
            <w:tcW w:w="1101" w:type="dxa"/>
          </w:tcPr>
          <w:p w14:paraId="4550C890" w14:textId="77777777" w:rsidR="00FD54FC" w:rsidRPr="002A677E" w:rsidRDefault="00C93FC2" w:rsidP="000F70EC">
            <w:pPr>
              <w:rPr>
                <w:bCs/>
                <w:sz w:val="24"/>
                <w:rFonts w:ascii="Times New Roman" w:hAnsi="Times New Roman"/>
              </w:rPr>
            </w:pPr>
            <w:r>
              <w:rPr>
                <w:sz w:val="24"/>
                <w:rFonts w:ascii="Times New Roman" w:hAnsi="Times New Roman"/>
              </w:rPr>
              <w:t xml:space="preserve">0920.–0924.</w:t>
            </w:r>
          </w:p>
        </w:tc>
        <w:tc>
          <w:tcPr>
            <w:tcW w:w="8079" w:type="dxa"/>
          </w:tcPr>
          <w:p w14:paraId="472B132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Bruto zaudējumu summa (jauni zaudējumu notikumi)</w:t>
            </w:r>
          </w:p>
          <w:p w14:paraId="5A8AAD03" w14:textId="058A16DC" w:rsidR="00FD54FC" w:rsidRPr="002A677E" w:rsidRDefault="00FD54FC" w:rsidP="00FD54FC">
            <w:pPr>
              <w:rPr>
                <w:sz w:val="24"/>
                <w:rFonts w:ascii="Times New Roman" w:hAnsi="Times New Roman"/>
              </w:rPr>
            </w:pPr>
            <w:r>
              <w:rPr>
                <w:sz w:val="24"/>
                <w:rFonts w:ascii="Times New Roman" w:hAnsi="Times New Roman"/>
              </w:rPr>
              <w:t xml:space="preserve">Ja iestāde visus tās zaudējumus ir iedalījusi kādā darbības jomā, 0920. rindā uzrādītā bruto zaudējumu summa (jauni zaudējumu notikumi) ir jaunu zaudējumu notikumu bruto zaudējumu summu vienkāršs apkopojums par katru darbības jomu.</w:t>
            </w:r>
            <w:r>
              <w:rPr>
                <w:sz w:val="24"/>
                <w:rFonts w:ascii="Times New Roman" w:hAnsi="Times New Roman"/>
              </w:rPr>
              <w:t xml:space="preserve"> </w:t>
            </w:r>
          </w:p>
          <w:p w14:paraId="151C30DF"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0921.–0924. rindā uzrāda to zaudējumu notikumu bruto zaudējumu summu, kuru bruto zaudējumu summa iekļaujas attiecīgajās rindās definētajos intervālos.</w:t>
            </w:r>
          </w:p>
        </w:tc>
      </w:tr>
      <w:tr w:rsidR="00FD54FC" w:rsidRPr="002A677E" w14:paraId="2C2C0351" w14:textId="77777777" w:rsidTr="00672D2A">
        <w:tc>
          <w:tcPr>
            <w:tcW w:w="1101" w:type="dxa"/>
          </w:tcPr>
          <w:p w14:paraId="07A96EC8" w14:textId="77777777" w:rsidR="00FD54FC" w:rsidRPr="002A677E" w:rsidRDefault="00C93FC2" w:rsidP="00FD54FC">
            <w:pPr>
              <w:rPr>
                <w:bCs/>
                <w:sz w:val="24"/>
                <w:rFonts w:ascii="Times New Roman" w:hAnsi="Times New Roman"/>
              </w:rPr>
            </w:pPr>
            <w:r>
              <w:rPr>
                <w:sz w:val="24"/>
                <w:rFonts w:ascii="Times New Roman" w:hAnsi="Times New Roman"/>
              </w:rPr>
              <w:t xml:space="preserve">0930., 0935., 0936.</w:t>
            </w:r>
          </w:p>
        </w:tc>
        <w:tc>
          <w:tcPr>
            <w:tcW w:w="8079" w:type="dxa"/>
          </w:tcPr>
          <w:p w14:paraId="0A0BA6EE"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To zaudējumu notikumu skaits, uz kuriem attiecas zaudējumu korekcijas</w:t>
            </w:r>
          </w:p>
          <w:p w14:paraId="7C0FBBBE" w14:textId="1D9BA1FB" w:rsidR="00FD54FC" w:rsidRPr="002A677E" w:rsidRDefault="00FD54FC" w:rsidP="00FD54FC">
            <w:pPr>
              <w:rPr>
                <w:sz w:val="24"/>
                <w:rFonts w:ascii="Times New Roman" w:hAnsi="Times New Roman"/>
              </w:rPr>
            </w:pPr>
            <w:r>
              <w:rPr>
                <w:sz w:val="24"/>
                <w:rFonts w:ascii="Times New Roman" w:hAnsi="Times New Roman"/>
              </w:rPr>
              <w:t xml:space="preserve">0930. rindā uzrāda to zaudējumu notikumu kopskaitu, kam piemēro zaudējumu korekcijas, kā uzrādīts 0030., 0130. .., 0830. rindā.</w:t>
            </w:r>
            <w:r>
              <w:rPr>
                <w:sz w:val="24"/>
                <w:rFonts w:ascii="Times New Roman" w:hAnsi="Times New Roman"/>
              </w:rPr>
              <w:t xml:space="preserve"> </w:t>
            </w:r>
            <w:r>
              <w:rPr>
                <w:sz w:val="24"/>
                <w:rFonts w:ascii="Times New Roman" w:hAnsi="Times New Roman"/>
              </w:rPr>
              <w:t xml:space="preserve">Minētais rādītājs var būt zemāks, nekā to zaudējumu notikumu skaita, kam piemēro zaudējumu korekcijas, apkopojums pa darbības jomām, jo zaudējumu notikumus ar vairākām ietekmēm (ietekmes dažādās darbības jomās) uzskata par vienu notikumu.</w:t>
            </w:r>
            <w:r>
              <w:rPr>
                <w:sz w:val="24"/>
                <w:rFonts w:ascii="Times New Roman" w:hAnsi="Times New Roman"/>
              </w:rPr>
              <w:t xml:space="preserve"> </w:t>
            </w:r>
            <w:r>
              <w:rPr>
                <w:sz w:val="24"/>
                <w:rFonts w:ascii="Times New Roman" w:hAnsi="Times New Roman"/>
              </w:rPr>
              <w:t xml:space="preserve">Tas var būt augstāks, ja iestāde tās pašu kapitāla prasības aprēķinājusi 2024. gada decembrī saskaņā ar uzņēmējdarbības rādītāja pieeju (</w:t>
            </w:r>
            <w:r>
              <w:rPr>
                <w:sz w:val="24"/>
                <w:i/>
                <w:iCs/>
                <w:rFonts w:ascii="Times New Roman" w:hAnsi="Times New Roman"/>
              </w:rPr>
              <w:t xml:space="preserve">BIA</w:t>
            </w:r>
            <w:r>
              <w:rPr>
                <w:sz w:val="24"/>
                <w:rFonts w:ascii="Times New Roman" w:hAnsi="Times New Roman"/>
              </w:rPr>
              <w:t xml:space="preserve">), nevar katrā gadījumā identificēt darbības jomu(-as), kuru(-as) ietekmējuši zaudējumi.</w:t>
            </w:r>
          </w:p>
          <w:p w14:paraId="02A26C93"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To zaudējumu notikumu skaitu, kam piemēro zaudējumu korekcijas, sadala pa tādu zaudējumu notikumu skaitu, attiecībā uz kuriem pārskata atsauces periodā tika izdarītas pozitīvas korekcijas, un tādu zaudējumu notikumu skaitu, attiecībā uz kuriem pārskata atsauces periodā tika izdarītas negatīvas korekcijas (visas uzrādītas ar pozitīvu zīmi).</w:t>
            </w:r>
          </w:p>
        </w:tc>
      </w:tr>
      <w:tr w:rsidR="00FD54FC" w:rsidRPr="002A677E" w14:paraId="601E5006" w14:textId="77777777" w:rsidTr="00672D2A">
        <w:tc>
          <w:tcPr>
            <w:tcW w:w="1101" w:type="dxa"/>
          </w:tcPr>
          <w:p w14:paraId="2F8811F2" w14:textId="77777777" w:rsidR="00FD54FC" w:rsidRPr="002A677E" w:rsidRDefault="00C93FC2" w:rsidP="00FD54FC">
            <w:pPr>
              <w:rPr>
                <w:sz w:val="24"/>
                <w:rFonts w:ascii="Times New Roman" w:hAnsi="Times New Roman"/>
              </w:rPr>
            </w:pPr>
            <w:r>
              <w:rPr>
                <w:sz w:val="24"/>
                <w:rFonts w:ascii="Times New Roman" w:hAnsi="Times New Roman"/>
              </w:rPr>
              <w:t xml:space="preserve">0940., 0945., 0946.</w:t>
            </w:r>
          </w:p>
        </w:tc>
        <w:tc>
          <w:tcPr>
            <w:tcW w:w="8079" w:type="dxa"/>
          </w:tcPr>
          <w:p w14:paraId="12254164"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Zaudējumu korekcijas, kuras attiecas uz iepriekšējiem pārskata periodiem</w:t>
            </w:r>
          </w:p>
          <w:p w14:paraId="3A4A4FF4" w14:textId="280DCB1D" w:rsidR="00FD54FC" w:rsidRPr="002A677E" w:rsidRDefault="00FD54FC" w:rsidP="00FD54FC">
            <w:pPr>
              <w:rPr>
                <w:sz w:val="24"/>
                <w:rFonts w:ascii="Times New Roman" w:hAnsi="Times New Roman"/>
              </w:rPr>
            </w:pPr>
            <w:r>
              <w:rPr>
                <w:sz w:val="24"/>
                <w:rFonts w:ascii="Times New Roman" w:hAnsi="Times New Roman"/>
              </w:rPr>
              <w:t xml:space="preserve">0940. rindā uzrāda to zaudējumu korekciju kopsummu, kas attiecas uz iepriekšējiem pārskatu periodiem pa darījumu jomām (kā uzrādīts 0040., 0140. .., 0840. rindā).</w:t>
            </w:r>
            <w:r>
              <w:rPr>
                <w:sz w:val="24"/>
                <w:rFonts w:ascii="Times New Roman" w:hAnsi="Times New Roman"/>
              </w:rPr>
              <w:t xml:space="preserve"> </w:t>
            </w:r>
            <w:r>
              <w:rPr>
                <w:sz w:val="24"/>
                <w:rFonts w:ascii="Times New Roman" w:hAnsi="Times New Roman"/>
              </w:rPr>
              <w:t xml:space="preserve">Ja iestāde visus tās zaudējumus ir iedalījusi kādā darbības jomā, 0940. rindā uzrādītā summa ir zaudējumu korekciju, kas attiecas uz iepriekšējiem pārskata periodiem, kuri uzrādīti attiecībā uz dažādām darbības jomām, vienkāršs apkopojums.</w:t>
            </w:r>
          </w:p>
          <w:p w14:paraId="4FEA0713" w14:textId="77777777" w:rsidR="00FD54FC" w:rsidRPr="002A677E" w:rsidRDefault="00FD54FC" w:rsidP="00EB6FC2">
            <w:pPr>
              <w:rPr>
                <w:sz w:val="24"/>
                <w:rFonts w:ascii="Times New Roman" w:hAnsi="Times New Roman"/>
              </w:rPr>
            </w:pPr>
            <w:r>
              <w:rPr>
                <w:sz w:val="24"/>
                <w:rFonts w:ascii="Times New Roman" w:hAnsi="Times New Roman"/>
              </w:rPr>
              <w:t xml:space="preserve">Summa, kas saistīta ar zaudējumu notikumiem, attiecībā uz kuriem pārskata atsauces periodā tika izdarītas pozitīvas zaudējumu korekcijas (0945. rinda, uzrādīta kā pozitīvs rādītājs), un summa, kas saistīta ar zaudējumu notikumiem, attiecībā uz kuriem pārskata periodā tika izdarītas negatīvas zaudējumu korekcijas (0946. rinda, uzrādīta kā negatīvs rādītājs).</w:t>
            </w:r>
            <w:r>
              <w:rPr>
                <w:sz w:val="24"/>
                <w:rFonts w:ascii="Times New Roman" w:hAnsi="Times New Roman"/>
              </w:rPr>
              <w:t xml:space="preserve"> </w:t>
            </w:r>
            <w:r>
              <w:rPr>
                <w:sz w:val="24"/>
                <w:rFonts w:ascii="Times New Roman" w:hAnsi="Times New Roman"/>
              </w:rPr>
              <w:t xml:space="preserve">Ja negatīvas zaudējumu korekcijas dēļ koriģētā zaudējumu summa, kas attiecināma uz kādu zaudējumu notikumu, ir zemāka par iestādes iekšējo datu apkopošanas slieksni, iestāde zaudējumu kopsummu par minēto zaudējumu notikumu uzrāda apkopotā veidā līdz pēdējam brīdim, kad zaudējumu notikums tika uzrādīts ar decembra atsauces datumu (t. i., sākotnējie zaudējumi plus/mīnus visas iepriekšējos pārskata atsauces periodos izdarītās zaudējumu korekcijas), ar negatīvu zīmi 0946. rindā tā vietā, lai uzrādītu pašu negatīvās zaudējumu korekcijas summu.</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sz w:val="24"/>
                <w:rFonts w:ascii="Times New Roman" w:hAnsi="Times New Roman"/>
              </w:rPr>
            </w:pPr>
            <w:r>
              <w:rPr>
                <w:sz w:val="24"/>
                <w:rFonts w:ascii="Times New Roman" w:hAnsi="Times New Roman"/>
              </w:rPr>
              <w:t xml:space="preserve">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Maksimālie vienreizējie zaudējumi</w:t>
            </w:r>
          </w:p>
          <w:p w14:paraId="475751C9" w14:textId="4A0524CC" w:rsidR="00FD54FC" w:rsidRPr="002A677E" w:rsidRDefault="00FD54FC" w:rsidP="00FD54FC">
            <w:pPr>
              <w:rPr>
                <w:sz w:val="24"/>
                <w:rFonts w:ascii="Times New Roman" w:hAnsi="Times New Roman"/>
              </w:rPr>
            </w:pPr>
            <w:r>
              <w:rPr>
                <w:sz w:val="24"/>
                <w:rFonts w:ascii="Times New Roman" w:hAnsi="Times New Roman"/>
              </w:rPr>
              <w:t xml:space="preserve">Ja iestāde visus tās zaudējumus ir iedalījusi kādā no uzskaitītajām darbības jomām, maksimālie vienreizējie zaudējumi ir maksimālie zaudējumi, kas pārsniedz iekšējo slieksni katram zaudējumu notikuma veidam un starp visām darbības jomām.</w:t>
            </w:r>
            <w:r>
              <w:rPr>
                <w:sz w:val="24"/>
                <w:rFonts w:ascii="Times New Roman" w:hAnsi="Times New Roman"/>
              </w:rPr>
              <w:t xml:space="preserve"> </w:t>
            </w:r>
            <w:r>
              <w:rPr>
                <w:sz w:val="24"/>
                <w:rFonts w:ascii="Times New Roman" w:hAnsi="Times New Roman"/>
              </w:rPr>
              <w:t xml:space="preserve">Minētie rādītāji var būt augstāki par visaugstāko vienreizējo zaudējumu, kas uzrādīts katrā darbības jomā, ja zaudējumu notikums ietekmē dažādas darījumu jomas;</w:t>
            </w:r>
          </w:p>
          <w:p w14:paraId="7BE96ED9" w14:textId="718AAC52" w:rsidR="00FD54FC" w:rsidRPr="002A677E" w:rsidRDefault="00FD54FC" w:rsidP="00FD54FC">
            <w:pPr>
              <w:rPr>
                <w:sz w:val="24"/>
                <w:rFonts w:ascii="Times New Roman" w:hAnsi="Times New Roman"/>
              </w:rPr>
            </w:pPr>
            <w:r>
              <w:rPr>
                <w:sz w:val="24"/>
                <w:rFonts w:ascii="Times New Roman" w:hAnsi="Times New Roman"/>
              </w:rPr>
              <w:t xml:space="preserve">Ja iestāde visus tās zaudējumus ir iedalījusi kādā no uzskaitītajām darbības jomām un identificējusi visu zaudējumu notikumu veidus, uz 0080. sleju attiecas šādi noteikumi:</w:t>
            </w:r>
          </w:p>
          <w:p w14:paraId="454E8214" w14:textId="77777777" w:rsidR="00FD54FC" w:rsidRPr="002A677E" w:rsidRDefault="00125707" w:rsidP="0023700C">
            <w:pPr>
              <w:ind w:left="360" w:hanging="360"/>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uzrādītie maksimālie vienreizējie zaudējumi ir vienādi ar augstāko no šīs rindas 0010.–0070. slejā uzrādīto vērtību,</w:t>
            </w:r>
          </w:p>
          <w:p w14:paraId="6FE10DDB" w14:textId="77777777" w:rsidR="00FD54FC" w:rsidRPr="002A677E" w:rsidRDefault="00125707" w:rsidP="0023700C">
            <w:pPr>
              <w:ind w:left="360" w:hanging="360"/>
              <w:rPr>
                <w:rStyle w:val="InstructionsTabelleberschrift"/>
                <w:bCs w:val="0"/>
                <w:sz w:val="24"/>
                <w:rFonts w:ascii="Times New Roman" w:hAnsi="Times New Roman"/>
              </w:rPr>
            </w:pP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ab/>
            </w:r>
            <w:r>
              <w:rPr>
                <w:sz w:val="24"/>
                <w:rFonts w:ascii="Times New Roman" w:hAnsi="Times New Roman"/>
              </w:rPr>
              <w:t xml:space="preserve">ja ir zaudējumu notikumi, kas ietekmē dažādas darījumu jomas, 0950.r., 0080.s. uzrādītā summa var būt lielāka par “Maksimālo vienreizējo zaudējumu” summu, kura citās 0080. slejas rindās uzrādīta pa darījumu jomām.</w:t>
            </w:r>
            <w:r>
              <w:rPr>
                <w:sz w:val="24"/>
                <w:rFonts w:ascii="Times New Roman" w:hAnsi="Times New Roman"/>
              </w:rPr>
              <w:t xml:space="preserve">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sz w:val="24"/>
                <w:rFonts w:ascii="Times New Roman" w:hAnsi="Times New Roman"/>
              </w:rPr>
            </w:pPr>
            <w:r>
              <w:rPr>
                <w:sz w:val="24"/>
                <w:rFonts w:ascii="Times New Roman" w:hAnsi="Times New Roman"/>
              </w:rPr>
              <w:t xml:space="preserve">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Piecu lielāko zaudējumu summa</w:t>
            </w:r>
          </w:p>
          <w:p w14:paraId="2EA9E110" w14:textId="77777777" w:rsidR="00FD54FC" w:rsidRPr="002A677E" w:rsidRDefault="00FD54FC" w:rsidP="00FD54FC">
            <w:pPr>
              <w:rPr>
                <w:sz w:val="24"/>
                <w:rFonts w:ascii="Times New Roman" w:hAnsi="Times New Roman"/>
              </w:rPr>
            </w:pPr>
            <w:r>
              <w:rPr>
                <w:sz w:val="24"/>
                <w:rFonts w:ascii="Times New Roman" w:hAnsi="Times New Roman"/>
              </w:rPr>
              <w:t xml:space="preserve">Uzrāda piecu lielāko bruto zaudējumu summu par katru zaudējumu notikuma veidu un visām darbības jomām.</w:t>
            </w:r>
            <w:r>
              <w:rPr>
                <w:sz w:val="24"/>
                <w:rFonts w:ascii="Times New Roman" w:hAnsi="Times New Roman"/>
              </w:rPr>
              <w:t xml:space="preserve"> </w:t>
            </w:r>
            <w:r>
              <w:rPr>
                <w:sz w:val="24"/>
                <w:rFonts w:ascii="Times New Roman" w:hAnsi="Times New Roman"/>
              </w:rPr>
              <w:t xml:space="preserve">Minētā summa var būt augstāka par visaugstāko piecu lielāko kopējo zaudējumu summu, kas uzrādīta katrā darbības jomā.</w:t>
            </w:r>
            <w:r>
              <w:rPr>
                <w:sz w:val="24"/>
                <w:rFonts w:ascii="Times New Roman" w:hAnsi="Times New Roman"/>
              </w:rPr>
              <w:t xml:space="preserve"> </w:t>
            </w:r>
            <w:r>
              <w:rPr>
                <w:sz w:val="24"/>
                <w:rFonts w:ascii="Times New Roman" w:hAnsi="Times New Roman"/>
              </w:rPr>
              <w:t xml:space="preserve">Minēto summu uzrāda neatkarīgi no zaudējumu skaita.</w:t>
            </w:r>
            <w:r>
              <w:rPr>
                <w:sz w:val="24"/>
                <w:rFonts w:ascii="Times New Roman" w:hAnsi="Times New Roman"/>
              </w:rPr>
              <w:t xml:space="preserve"> </w:t>
            </w:r>
          </w:p>
          <w:p w14:paraId="462BED5E" w14:textId="12CDE9EE" w:rsidR="00FD54FC" w:rsidRPr="002A677E" w:rsidRDefault="00FD54FC" w:rsidP="00AB6610">
            <w:pPr>
              <w:rPr>
                <w:rStyle w:val="InstructionsTabelleberschrift"/>
                <w:sz w:val="24"/>
                <w:rFonts w:ascii="Times New Roman" w:hAnsi="Times New Roman"/>
              </w:rPr>
            </w:pPr>
            <w:r>
              <w:rPr>
                <w:sz w:val="24"/>
                <w:rFonts w:ascii="Times New Roman" w:hAnsi="Times New Roman"/>
              </w:rPr>
              <w:t xml:space="preserve">Ja iestāde visus tās zaudējumus ir iedalījusi kādā no uzskaitītajām darbības jomām un identificējusi visu zaudējumu notikumu veidus, 0080. slejā piecu lielāko zaudējumu summa ir piecu lielāko zaudējumu summa visā matricā, kas nozīmē, ka tā var arī nebūt vienāda ar 0960. rindā norādīto “piecu lielāko zaudējumu summas” maksimālo vērtību vai ar 0080. slejā norādīto “piecu lielāko zaudējumu summas” maksimālo vērtību.</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sz w:val="24"/>
                <w:rFonts w:ascii="Times New Roman" w:hAnsi="Times New Roman"/>
              </w:rPr>
            </w:pPr>
            <w:r>
              <w:rPr>
                <w:sz w:val="24"/>
                <w:rFonts w:ascii="Times New Roman" w:hAnsi="Times New Roman"/>
              </w:rPr>
              <w:t xml:space="preserve">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Zaudējumu tiešo atlīdzinājumu kopsumma</w:t>
            </w:r>
          </w:p>
          <w:p w14:paraId="651924C3" w14:textId="6F1F830A" w:rsidR="00FD54FC" w:rsidRPr="002A677E" w:rsidRDefault="00FD54FC" w:rsidP="00705025">
            <w:pPr>
              <w:rPr>
                <w:rStyle w:val="InstructionsTabelleberschrift"/>
                <w:sz w:val="24"/>
                <w:rFonts w:ascii="Times New Roman" w:hAnsi="Times New Roman"/>
              </w:rPr>
            </w:pPr>
            <w:r>
              <w:rPr>
                <w:sz w:val="24"/>
                <w:rFonts w:ascii="Times New Roman" w:hAnsi="Times New Roman"/>
              </w:rPr>
              <w:t xml:space="preserve">Ja iestāde visus tās zaudējumus ir iedalījusi kādā no uzskaitītajām darbības jomām, zaudējumu tiešo atlīdzinājumu kopsumma ir zaudējumu tiešo atlīdzinājumu kopsummas vienkāršs apkopojums par katru darbības jomu.</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sz w:val="24"/>
                <w:rFonts w:ascii="Times New Roman" w:hAnsi="Times New Roman"/>
              </w:rPr>
            </w:pPr>
            <w:r>
              <w:rPr>
                <w:sz w:val="24"/>
                <w:rFonts w:ascii="Times New Roman" w:hAnsi="Times New Roman"/>
              </w:rPr>
              <w:t xml:space="preserve">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Kopējie atgūtie līdzekļi no apdrošināšanas</w:t>
            </w:r>
            <w:r>
              <w:rPr>
                <w:rStyle w:val="InstructionsTabelleberschrift"/>
                <w:sz w:val="24"/>
                <w:rFonts w:ascii="Times New Roman" w:hAnsi="Times New Roman"/>
              </w:rPr>
              <w:t xml:space="preserve"> </w:t>
            </w:r>
          </w:p>
          <w:p w14:paraId="105A6F22" w14:textId="54B9A449" w:rsidR="00FD54FC" w:rsidRPr="002A677E" w:rsidRDefault="00FD54FC" w:rsidP="007062FD">
            <w:pPr>
              <w:rPr>
                <w:b/>
                <w:bCs/>
                <w:sz w:val="24"/>
                <w:u w:val="single"/>
                <w:rFonts w:ascii="Times New Roman" w:hAnsi="Times New Roman"/>
              </w:rPr>
            </w:pPr>
            <w:r>
              <w:rPr>
                <w:sz w:val="24"/>
                <w:rFonts w:ascii="Times New Roman" w:hAnsi="Times New Roman"/>
              </w:rPr>
              <w:t xml:space="preserve">Ja iestāde visus tās zaudējumus ir iedalījusi kādā no uzskaitītajām darbības jomām, kopējie atgūtie līdzekļi no apdrošināšanas ir zaudējumu atlīdzinājumu kopsummas no apdrošināšanas vienkāršs apkopojums par katru darbības jomu.</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7" w:name="_Toc473561028"/>
      <w:bookmarkStart w:id="68" w:name="_Toc152862722"/>
      <w:r>
        <w:rPr>
          <w:sz w:val="24"/>
          <w:u w:val="none"/>
          <w:rFonts w:ascii="Times New Roman" w:hAnsi="Times New Roman"/>
        </w:rPr>
        <w:t xml:space="preserve">4.2.3.</w:t>
      </w:r>
      <w:r>
        <w:rPr>
          <w:sz w:val="24"/>
          <w:u w:val="none"/>
          <w:rFonts w:ascii="Times New Roman" w:hAnsi="Times New Roman"/>
        </w:rPr>
        <w:tab/>
      </w:r>
      <w:r>
        <w:rPr>
          <w:sz w:val="24"/>
          <w:rFonts w:ascii="Times New Roman" w:hAnsi="Times New Roman"/>
        </w:rPr>
        <w:t xml:space="preserve">C 17.02.</w:t>
      </w:r>
      <w:r>
        <w:rPr>
          <w:sz w:val="24"/>
          <w:rFonts w:ascii="Times New Roman" w:hAnsi="Times New Roman"/>
        </w:rPr>
        <w:t xml:space="preserve"> </w:t>
      </w:r>
      <w:r>
        <w:rPr>
          <w:sz w:val="24"/>
          <w:rFonts w:ascii="Times New Roman" w:hAnsi="Times New Roman"/>
        </w:rPr>
        <w:t xml:space="preserve">Operacionālais risks:</w:t>
      </w:r>
      <w:r>
        <w:rPr>
          <w:sz w:val="24"/>
          <w:rFonts w:ascii="Times New Roman" w:hAnsi="Times New Roman"/>
        </w:rPr>
        <w:t xml:space="preserve"> </w:t>
      </w:r>
      <w:r>
        <w:rPr>
          <w:sz w:val="24"/>
          <w:rFonts w:ascii="Times New Roman" w:hAnsi="Times New Roman"/>
        </w:rPr>
        <w:t xml:space="preserve">detalizēta informācija par lielāko zaudējumu notikumiem pēdējā gadā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9" w:name="_Toc473561029"/>
      <w:bookmarkStart w:id="70" w:name="_Toc152862723"/>
      <w:r>
        <w:rPr>
          <w:sz w:val="24"/>
          <w:u w:val="none"/>
          <w:rFonts w:ascii="Times New Roman" w:hAnsi="Times New Roman"/>
        </w:rPr>
        <w:t xml:space="preserve">4.2.3.1.</w:t>
      </w:r>
      <w:r>
        <w:rPr>
          <w:sz w:val="24"/>
          <w:u w:val="none"/>
          <w:rFonts w:ascii="Times New Roman" w:hAnsi="Times New Roman"/>
        </w:rPr>
        <w:tab/>
      </w:r>
      <w:r>
        <w:rPr>
          <w:sz w:val="24"/>
          <w:rFonts w:ascii="Times New Roman" w:hAnsi="Times New Roman"/>
        </w:rPr>
        <w:t xml:space="preserve">Vispārīgas piezīmes</w:t>
      </w:r>
      <w:bookmarkEnd w:id="69"/>
      <w:bookmarkEnd w:id="70"/>
    </w:p>
    <w:p w14:paraId="06D9B602" w14:textId="53B658AD" w:rsidR="00FD54FC" w:rsidRPr="002A677E" w:rsidRDefault="00457837" w:rsidP="00E434A1">
      <w:pPr>
        <w:pStyle w:val="InstructionsText2"/>
        <w:numPr>
          <w:ilvl w:val="0"/>
          <w:numId w:val="0"/>
        </w:numPr>
      </w:pPr>
      <w:r>
        <w:fldChar w:fldCharType="begin" w:dirty="true"/>
      </w:r>
      <w:r>
        <w:instrText xml:space="preserve"> seq paragraphs </w:instrText>
      </w:r>
      <w:r>
        <w:fldChar w:fldCharType="separate"/>
      </w:r>
      <w:r w:rsidR="00771068" w:rsidRPr="002A677E">
        <w:t>155</w:t>
      </w:r>
      <w:r>
        <w:fldChar w:fldCharType="end"/>
      </w:r>
      <w:r>
        <w:t xml:space="preserve">.</w:t>
      </w:r>
      <w:r>
        <w:t xml:space="preserve"> </w:t>
      </w:r>
      <w:r>
        <w:t xml:space="preserve">C 17.02. veidnē sniedz informāciju par atsevišķiem zaudējumu notikumiem (viena rinda uz zaudējumu notikumu).</w:t>
      </w:r>
    </w:p>
    <w:p w14:paraId="6928228C" w14:textId="046FA9AB"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156</w:t>
      </w:r>
      <w:r>
        <w:fldChar w:fldCharType="end"/>
      </w:r>
      <w:r>
        <w:t xml:space="preserve">.</w:t>
      </w:r>
      <w:r>
        <w:tab/>
      </w:r>
      <w:r>
        <w:t xml:space="preserve"> </w:t>
      </w:r>
      <w:r>
        <w:t xml:space="preserve">Šajā veidnē uzrādītā informācija attiecas uz “jauniem zaudējumu notikumiem”, t. i., operacionālā riska notikumiem, kas:</w:t>
      </w:r>
    </w:p>
    <w:p w14:paraId="43C23B10" w14:textId="77777777" w:rsidR="00FD54FC" w:rsidRPr="002A677E" w:rsidRDefault="00125707" w:rsidP="00E434A1">
      <w:pPr>
        <w:pStyle w:val="InstructionsText2"/>
        <w:numPr>
          <w:ilvl w:val="0"/>
          <w:numId w:val="0"/>
        </w:numPr>
      </w:pPr>
      <w:r>
        <w:t xml:space="preserve">a)</w:t>
      </w:r>
      <w:r>
        <w:tab/>
      </w:r>
      <w:r>
        <w:t xml:space="preserve">“pirmo reizi uzskaitīti” pārskata atsauces periodā</w:t>
      </w:r>
      <w:r>
        <w:t xml:space="preserve"> </w:t>
      </w:r>
      <w:r>
        <w:t xml:space="preserve">vai</w:t>
      </w:r>
    </w:p>
    <w:p w14:paraId="0D60A55D" w14:textId="77777777" w:rsidR="00FD54FC" w:rsidRPr="002A677E" w:rsidRDefault="00125707" w:rsidP="00E434A1">
      <w:pPr>
        <w:pStyle w:val="InstructionsText2"/>
        <w:numPr>
          <w:ilvl w:val="0"/>
          <w:numId w:val="0"/>
        </w:numPr>
      </w:pPr>
      <w:r>
        <w:t xml:space="preserve">b)</w:t>
      </w:r>
      <w:r>
        <w:tab/>
      </w:r>
      <w:r>
        <w:t xml:space="preserve">“pirmo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4FB49E60" w14:textId="5D0BE6A7" w:rsidR="00F41508"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157</w:t>
      </w:r>
      <w:r>
        <w:fldChar w:fldCharType="end"/>
      </w:r>
      <w:r>
        <w:t xml:space="preserve">.</w:t>
      </w:r>
      <w:r>
        <w:t xml:space="preserve"> </w:t>
      </w:r>
      <w:r>
        <w:t xml:space="preserve">Uzrāda tikai tādus zaudējumu notikumus, kas saistīti ar bruto zaudējumu summu, kura ir vienāda ar 100 000 EUR vai lielāka par to.</w:t>
      </w:r>
    </w:p>
    <w:p w14:paraId="5F2CAE8D" w14:textId="77777777" w:rsidR="00FD54FC" w:rsidRPr="002A677E" w:rsidRDefault="00FD54FC" w:rsidP="00E434A1">
      <w:pPr>
        <w:pStyle w:val="InstructionsText2"/>
        <w:numPr>
          <w:ilvl w:val="0"/>
          <w:numId w:val="0"/>
        </w:numPr>
      </w:pPr>
      <w:r>
        <w:t xml:space="preserve">Ņemot vērā minēto slieksni:</w:t>
      </w:r>
    </w:p>
    <w:p w14:paraId="503143B8" w14:textId="1D0A0564" w:rsidR="00FD54FC" w:rsidRPr="002A677E" w:rsidRDefault="00125707" w:rsidP="00E434A1">
      <w:pPr>
        <w:pStyle w:val="InstructionsText2"/>
        <w:numPr>
          <w:ilvl w:val="0"/>
          <w:numId w:val="0"/>
        </w:numPr>
      </w:pPr>
      <w:r>
        <w:t xml:space="preserve">a)</w:t>
      </w:r>
      <w:r>
        <w:tab/>
      </w:r>
      <w:r>
        <w:t xml:space="preserve">lielāko notikumu katrā notikumu veidā ar nosacījumu, ka iestāde ir identificējusi zaudējumu noteikumu veidus;</w:t>
      </w:r>
      <w:r>
        <w:t xml:space="preserve"> </w:t>
      </w:r>
      <w:r>
        <w:t xml:space="preserve">kā arī</w:t>
      </w:r>
    </w:p>
    <w:p w14:paraId="0CFFC449" w14:textId="77777777" w:rsidR="00FD54FC" w:rsidRPr="002A677E" w:rsidRDefault="00125707" w:rsidP="00E434A1">
      <w:pPr>
        <w:pStyle w:val="InstructionsText2"/>
        <w:numPr>
          <w:ilvl w:val="0"/>
          <w:numId w:val="0"/>
        </w:numPr>
      </w:pPr>
      <w:r>
        <w:t xml:space="preserve">b)</w:t>
      </w:r>
      <w:r>
        <w:tab/>
      </w:r>
      <w:r>
        <w:t xml:space="preserve">veidnē ietver vismaz desmit lielākos atlikušos notikumus ar vai bez identificētiem notikumu veidiem, pa bruto zaudējumu summām;</w:t>
      </w:r>
    </w:p>
    <w:p w14:paraId="4B19E136" w14:textId="77777777" w:rsidR="00FD54FC" w:rsidRPr="002A677E" w:rsidRDefault="00125707" w:rsidP="00E434A1">
      <w:pPr>
        <w:pStyle w:val="InstructionsText2"/>
        <w:numPr>
          <w:ilvl w:val="0"/>
          <w:numId w:val="0"/>
        </w:numPr>
      </w:pPr>
      <w:r>
        <w:t xml:space="preserve">c)</w:t>
      </w:r>
      <w:r>
        <w:tab/>
      </w:r>
      <w:r>
        <w:t xml:space="preserve">zaudējumu notikumus pakārto, pamatojoties uz tiem piedēvētajiem zaudējumiem;</w:t>
      </w:r>
    </w:p>
    <w:p w14:paraId="3AE1B367" w14:textId="77777777" w:rsidR="00FD54FC" w:rsidRPr="002A677E" w:rsidRDefault="00125707" w:rsidP="00E434A1">
      <w:pPr>
        <w:pStyle w:val="InstructionsText2"/>
        <w:numPr>
          <w:ilvl w:val="0"/>
          <w:numId w:val="0"/>
        </w:numPr>
      </w:pPr>
      <w:r>
        <w:t xml:space="preserve">d)</w:t>
      </w:r>
      <w:r>
        <w:tab/>
      </w:r>
      <w:r>
        <w:t xml:space="preserve">zaudējumu notikumu ņem vērā tikai vienu reizi.</w:t>
      </w:r>
    </w:p>
    <w:p w14:paraId="7FAC47A3" w14:textId="3107F2F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71" w:name="_Toc473561030"/>
      <w:bookmarkStart w:id="72" w:name="_Toc152862724"/>
      <w:r>
        <w:rPr>
          <w:sz w:val="24"/>
          <w:u w:val="none"/>
          <w:rFonts w:ascii="Times New Roman" w:hAnsi="Times New Roman"/>
        </w:rPr>
        <w:t xml:space="preserve">4.2.3.2.</w:t>
      </w:r>
      <w:r>
        <w:rPr>
          <w:sz w:val="24"/>
          <w:u w:val="none"/>
          <w:rFonts w:ascii="Times New Roman" w:hAnsi="Times New Roman"/>
        </w:rPr>
        <w:tab/>
      </w:r>
      <w:r>
        <w:rPr>
          <w:sz w:val="24"/>
          <w:rFonts w:ascii="Times New Roman" w:hAnsi="Times New Roman"/>
        </w:rPr>
        <w:t xml:space="preserve">Norādījumi par konkrētām pozīcijām</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sz w:val="24"/>
                <w:rFonts w:ascii="Times New Roman" w:hAnsi="Times New Roman"/>
              </w:rPr>
            </w:pPr>
            <w:r>
              <w:rPr>
                <w:b/>
                <w:sz w:val="24"/>
                <w:rFonts w:ascii="Times New Roman" w:hAnsi="Times New Roman"/>
              </w:rPr>
              <w:t xml:space="preserve">Slejas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sz w:val="24"/>
                <w:rFonts w:ascii="Times New Roman" w:hAnsi="Times New Roman"/>
              </w:rPr>
            </w:pPr>
            <w:r>
              <w:rPr>
                <w:sz w:val="24"/>
                <w:rFonts w:ascii="Times New Roman" w:hAnsi="Times New Roman"/>
              </w:rPr>
              <w:t xml:space="preserve">0010.</w:t>
            </w:r>
          </w:p>
        </w:tc>
        <w:tc>
          <w:tcPr>
            <w:tcW w:w="8111" w:type="dxa"/>
            <w:shd w:val="clear" w:color="auto" w:fill="auto"/>
          </w:tcPr>
          <w:p w14:paraId="7D920D2F"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Notikuma ID</w:t>
            </w:r>
          </w:p>
          <w:p w14:paraId="6710BBCF" w14:textId="77777777" w:rsidR="00FD54FC" w:rsidRPr="002A677E" w:rsidRDefault="00FD54FC" w:rsidP="00FD54FC">
            <w:pPr>
              <w:rPr>
                <w:sz w:val="24"/>
                <w:rFonts w:ascii="Times New Roman" w:hAnsi="Times New Roman"/>
              </w:rPr>
            </w:pPr>
            <w:r>
              <w:rPr>
                <w:sz w:val="24"/>
                <w:rFonts w:ascii="Times New Roman" w:hAnsi="Times New Roman"/>
              </w:rPr>
              <w:t xml:space="preserve">Notikuma ID ir rindas identifikators, un tas ir unikāls katrai veidnes rindai.</w:t>
            </w:r>
            <w:r>
              <w:rPr>
                <w:sz w:val="24"/>
                <w:rFonts w:ascii="Times New Roman" w:hAnsi="Times New Roman"/>
              </w:rPr>
              <w:t xml:space="preserve"> </w:t>
            </w:r>
          </w:p>
          <w:p w14:paraId="0801D83B" w14:textId="77777777" w:rsidR="00FD54FC" w:rsidRPr="002A677E" w:rsidRDefault="00FD54FC" w:rsidP="00FD54FC">
            <w:pPr>
              <w:rPr>
                <w:sz w:val="24"/>
                <w:rFonts w:ascii="Times New Roman" w:hAnsi="Times New Roman"/>
              </w:rPr>
            </w:pPr>
            <w:r>
              <w:rPr>
                <w:sz w:val="24"/>
                <w:rFonts w:ascii="Times New Roman" w:hAnsi="Times New Roman"/>
              </w:rPr>
              <w:t xml:space="preserve">Ja ir pieejams iekšējs ID, iestādes norāda iekšējo ID.</w:t>
            </w:r>
            <w:r>
              <w:rPr>
                <w:sz w:val="24"/>
                <w:rFonts w:ascii="Times New Roman" w:hAnsi="Times New Roman"/>
              </w:rPr>
              <w:t xml:space="preserve"> </w:t>
            </w:r>
            <w:r>
              <w:rPr>
                <w:sz w:val="24"/>
                <w:rFonts w:ascii="Times New Roman" w:hAnsi="Times New Roman"/>
              </w:rPr>
              <w:t xml:space="preserve">Pretējā gadījumā uzrādītajā ID ievērota numerācijas kārtība 1, 2, 3 utt.</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sz w:val="24"/>
                <w:rFonts w:ascii="Times New Roman" w:hAnsi="Times New Roman"/>
              </w:rPr>
            </w:pPr>
            <w:r>
              <w:rPr>
                <w:sz w:val="24"/>
                <w:rFonts w:ascii="Times New Roman" w:hAnsi="Times New Roman"/>
              </w:rPr>
              <w:t xml:space="preserve">0020.</w:t>
            </w:r>
          </w:p>
        </w:tc>
        <w:tc>
          <w:tcPr>
            <w:tcW w:w="8111" w:type="dxa"/>
            <w:shd w:val="clear" w:color="auto" w:fill="auto"/>
          </w:tcPr>
          <w:p w14:paraId="71F6AD5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Uzskaites datums</w:t>
            </w:r>
          </w:p>
          <w:p w14:paraId="1F65F50C" w14:textId="77777777" w:rsidR="00FD54FC" w:rsidRPr="002A677E" w:rsidRDefault="00FD54FC" w:rsidP="00C7103D">
            <w:pPr>
              <w:rPr>
                <w:sz w:val="24"/>
                <w:rFonts w:ascii="Times New Roman" w:hAnsi="Times New Roman"/>
              </w:rPr>
            </w:pPr>
            <w:r>
              <w:rPr>
                <w:sz w:val="24"/>
                <w:rFonts w:ascii="Times New Roman" w:hAnsi="Times New Roman"/>
              </w:rPr>
              <w:t xml:space="preserve">Uzskaites datums ir datums, kurā zaudējums vai rezerves/uzkrājumi tika pirmoreiz atzīti peļņas un zaudējumu aprēķinā pret operacionāla riska zaudējumu.</w:t>
            </w:r>
            <w:r>
              <w:rPr>
                <w:sz w:val="24"/>
                <w:rFonts w:ascii="Times New Roman" w:hAnsi="Times New Roman"/>
              </w:rPr>
              <w:t xml:space="preserv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sz w:val="24"/>
                <w:rFonts w:ascii="Times New Roman" w:hAnsi="Times New Roman"/>
              </w:rPr>
            </w:pPr>
            <w:r>
              <w:rPr>
                <w:sz w:val="24"/>
                <w:rFonts w:ascii="Times New Roman" w:hAnsi="Times New Roman"/>
              </w:rPr>
              <w:t xml:space="preserve">0030.</w:t>
            </w:r>
          </w:p>
        </w:tc>
        <w:tc>
          <w:tcPr>
            <w:tcW w:w="8111" w:type="dxa"/>
            <w:shd w:val="clear" w:color="auto" w:fill="auto"/>
          </w:tcPr>
          <w:p w14:paraId="7E4571A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Notikuma datums</w:t>
            </w:r>
          </w:p>
          <w:p w14:paraId="49262D6C" w14:textId="77777777" w:rsidR="00FD54FC" w:rsidRPr="002A677E" w:rsidRDefault="00FD54FC" w:rsidP="00871877">
            <w:pPr>
              <w:rPr>
                <w:sz w:val="24"/>
                <w:rFonts w:ascii="Times New Roman" w:hAnsi="Times New Roman"/>
              </w:rPr>
            </w:pPr>
            <w:r>
              <w:rPr>
                <w:sz w:val="24"/>
                <w:rFonts w:ascii="Times New Roman" w:hAnsi="Times New Roman"/>
              </w:rPr>
              <w:t xml:space="preserve">Notikuma datums ir datums, kad radās operacionālā riska zaudējumu notikums vai kad tas pirmo reizi sākās.</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sz w:val="24"/>
                <w:rFonts w:ascii="Times New Roman" w:hAnsi="Times New Roman"/>
              </w:rPr>
            </w:pPr>
            <w:r>
              <w:rPr>
                <w:sz w:val="24"/>
                <w:rFonts w:ascii="Times New Roman" w:hAnsi="Times New Roman"/>
              </w:rPr>
              <w:t xml:space="preserve">0040.</w:t>
            </w:r>
          </w:p>
        </w:tc>
        <w:tc>
          <w:tcPr>
            <w:tcW w:w="8111" w:type="dxa"/>
            <w:shd w:val="clear" w:color="auto" w:fill="auto"/>
          </w:tcPr>
          <w:p w14:paraId="3CE5AC19"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Atklāšanas datums</w:t>
            </w:r>
          </w:p>
          <w:p w14:paraId="520821A8" w14:textId="77777777" w:rsidR="00FD54FC" w:rsidRPr="002A677E" w:rsidRDefault="00FD54FC" w:rsidP="00FD54FC">
            <w:pPr>
              <w:rPr>
                <w:sz w:val="24"/>
                <w:rFonts w:ascii="Times New Roman" w:hAnsi="Times New Roman"/>
              </w:rPr>
            </w:pPr>
            <w:r>
              <w:rPr>
                <w:sz w:val="24"/>
                <w:rFonts w:ascii="Times New Roman" w:hAnsi="Times New Roman"/>
              </w:rPr>
              <w:t xml:space="preserve">Atklāšanas datums ir datums, kurā iestāde uzzināja par operacionālā riska zaudējumu notikumu.</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sz w:val="24"/>
                <w:rFonts w:ascii="Times New Roman" w:hAnsi="Times New Roman"/>
              </w:rPr>
            </w:pPr>
            <w:r>
              <w:rPr>
                <w:sz w:val="24"/>
                <w:rFonts w:ascii="Times New Roman" w:hAnsi="Times New Roman"/>
              </w:rPr>
              <w:t xml:space="preserve">0050.</w:t>
            </w:r>
          </w:p>
        </w:tc>
        <w:tc>
          <w:tcPr>
            <w:tcW w:w="8111" w:type="dxa"/>
            <w:shd w:val="clear" w:color="auto" w:fill="auto"/>
          </w:tcPr>
          <w:p w14:paraId="3FDF46AE" w14:textId="77777777" w:rsidR="00FD54FC" w:rsidRPr="002A677E" w:rsidRDefault="00F41508" w:rsidP="00FD54FC">
            <w:pPr>
              <w:rPr>
                <w:rStyle w:val="InstructionsTabelleberschrift"/>
                <w:sz w:val="24"/>
                <w:rFonts w:ascii="Times New Roman" w:hAnsi="Times New Roman"/>
              </w:rPr>
            </w:pPr>
            <w:r>
              <w:rPr>
                <w:rStyle w:val="InstructionsTabelleberschrift"/>
                <w:sz w:val="24"/>
                <w:rFonts w:ascii="Times New Roman" w:hAnsi="Times New Roman"/>
              </w:rPr>
              <w:t xml:space="preserve">Zaudējumu notikuma veids</w:t>
            </w:r>
          </w:p>
          <w:p w14:paraId="73A75C19" w14:textId="1C0C4757" w:rsidR="00FD54FC" w:rsidRPr="002A677E" w:rsidRDefault="00F41508" w:rsidP="00EB6FC2">
            <w:pPr>
              <w:rPr>
                <w:sz w:val="24"/>
                <w:rFonts w:ascii="Times New Roman" w:hAnsi="Times New Roman"/>
              </w:rPr>
            </w:pPr>
            <w:r>
              <w:rPr>
                <w:sz w:val="24"/>
                <w:rFonts w:ascii="Times New Roman" w:hAnsi="Times New Roman"/>
              </w:rPr>
              <w:t xml:space="preserve">Zaudējumu notikumu veidi, kā noteikts šā pielikuma 1. tabulas 4.2.1. iedaļā.</w:t>
            </w:r>
            <w:r>
              <w:rPr>
                <w:sz w:val="24"/>
                <w:rFonts w:ascii="Times New Roman" w:hAnsi="Times New Roman"/>
              </w:rPr>
              <w:t xml:space="preserv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sz w:val="24"/>
                <w:rFonts w:ascii="Times New Roman" w:hAnsi="Times New Roman"/>
              </w:rPr>
            </w:pPr>
            <w:r>
              <w:rPr>
                <w:sz w:val="24"/>
                <w:rFonts w:ascii="Times New Roman" w:hAnsi="Times New Roman"/>
              </w:rPr>
              <w:t xml:space="preserve">0060.</w:t>
            </w:r>
          </w:p>
        </w:tc>
        <w:tc>
          <w:tcPr>
            <w:tcW w:w="8111" w:type="dxa"/>
            <w:shd w:val="clear" w:color="auto" w:fill="auto"/>
          </w:tcPr>
          <w:p w14:paraId="2D778DC5"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Bruto zaudējumi</w:t>
            </w:r>
          </w:p>
          <w:p w14:paraId="5E868659" w14:textId="77777777" w:rsidR="00FD54FC" w:rsidRPr="002A677E" w:rsidRDefault="00FD54FC" w:rsidP="0023276A">
            <w:pPr>
              <w:rPr>
                <w:sz w:val="24"/>
                <w:rFonts w:ascii="Times New Roman" w:hAnsi="Times New Roman"/>
              </w:rPr>
            </w:pPr>
            <w:r>
              <w:rPr>
                <w:sz w:val="24"/>
                <w:rFonts w:ascii="Times New Roman" w:hAnsi="Times New Roman"/>
              </w:rPr>
              <w:t xml:space="preserve">Bruto zaudējumi saistībā ar zaudējumu notikumu, kas uzrādīts C 17.01. veidnes 0020., 0120. rindā utt.</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sz w:val="24"/>
                <w:rFonts w:ascii="Times New Roman" w:hAnsi="Times New Roman"/>
              </w:rPr>
            </w:pPr>
            <w:r>
              <w:rPr>
                <w:sz w:val="24"/>
                <w:rFonts w:ascii="Times New Roman" w:hAnsi="Times New Roman"/>
              </w:rPr>
              <w:t xml:space="preserve">0070.</w:t>
            </w:r>
          </w:p>
        </w:tc>
        <w:tc>
          <w:tcPr>
            <w:tcW w:w="8111" w:type="dxa"/>
            <w:shd w:val="clear" w:color="auto" w:fill="auto"/>
          </w:tcPr>
          <w:p w14:paraId="38BFF4C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Bruto zaudējumi, atskaitot tiešos zaudējumu atlīdzinājumus</w:t>
            </w:r>
          </w:p>
          <w:p w14:paraId="371DD3AD" w14:textId="77777777" w:rsidR="00FD54FC" w:rsidRPr="002A677E" w:rsidRDefault="00FD54FC" w:rsidP="0023276A">
            <w:pPr>
              <w:rPr>
                <w:sz w:val="24"/>
                <w:rFonts w:ascii="Times New Roman" w:hAnsi="Times New Roman"/>
              </w:rPr>
            </w:pPr>
            <w:r>
              <w:rPr>
                <w:sz w:val="24"/>
                <w:rFonts w:ascii="Times New Roman" w:hAnsi="Times New Roman"/>
              </w:rPr>
              <w:t xml:space="preserve">Bruto zaudējumi saistībā ar zaudējumu notikumu, kas uzrādīts C 17.01. veidnes 0020., 0120. rindā utt., atskaitot tiešos zaudējumu atlīdzinājumus, kas attiecas uz minēto zaudējumu notikumu.</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sz w:val="24"/>
                <w:rFonts w:ascii="Times New Roman" w:hAnsi="Times New Roman"/>
              </w:rPr>
            </w:pPr>
            <w:r>
              <w:rPr>
                <w:sz w:val="24"/>
                <w:rFonts w:ascii="Times New Roman" w:hAnsi="Times New Roman"/>
              </w:rPr>
              <w:t xml:space="preserve">0080.-0160.</w:t>
            </w:r>
          </w:p>
        </w:tc>
        <w:tc>
          <w:tcPr>
            <w:tcW w:w="8111" w:type="dxa"/>
            <w:shd w:val="clear" w:color="auto" w:fill="auto"/>
          </w:tcPr>
          <w:p w14:paraId="5640FB7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Bruto zaudējumi pēc darbības jomas</w:t>
            </w:r>
          </w:p>
          <w:p w14:paraId="15FC08A2" w14:textId="6BE4BE54" w:rsidR="00FD54FC" w:rsidRPr="002A677E" w:rsidRDefault="00FD54FC" w:rsidP="007062FD">
            <w:pPr>
              <w:rPr>
                <w:sz w:val="24"/>
                <w:rFonts w:ascii="Times New Roman" w:hAnsi="Times New Roman"/>
              </w:rPr>
            </w:pPr>
            <w:r>
              <w:rPr>
                <w:sz w:val="24"/>
                <w:rFonts w:ascii="Times New Roman" w:hAnsi="Times New Roman"/>
              </w:rPr>
              <w:t xml:space="preserve">Bruto zaudējumus, kas uzrādīti 0060. slejā, attiecina uz attiecīgajām darbības jomām, kas minētas 2. tabulas 4.2.1. iedaļā.</w:t>
            </w:r>
            <w:r>
              <w:rPr>
                <w:sz w:val="24"/>
                <w:rFonts w:ascii="Times New Roman" w:hAnsi="Times New Roman"/>
              </w:rPr>
              <w:t xml:space="preserv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sz w:val="24"/>
                <w:rFonts w:ascii="Times New Roman" w:hAnsi="Times New Roman"/>
              </w:rPr>
            </w:pPr>
            <w:r>
              <w:rPr>
                <w:sz w:val="24"/>
                <w:rFonts w:ascii="Times New Roman" w:hAnsi="Times New Roman"/>
              </w:rPr>
              <w:t xml:space="preserve">0170.</w:t>
            </w:r>
          </w:p>
        </w:tc>
        <w:tc>
          <w:tcPr>
            <w:tcW w:w="8111" w:type="dxa"/>
            <w:shd w:val="clear" w:color="auto" w:fill="auto"/>
          </w:tcPr>
          <w:p w14:paraId="3BBE952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Juridiskās personas nosaukums</w:t>
            </w:r>
          </w:p>
          <w:p w14:paraId="196BBE73" w14:textId="7342A187" w:rsidR="00FD54FC" w:rsidRPr="002A677E" w:rsidRDefault="00FD54FC" w:rsidP="00FD54FC">
            <w:pPr>
              <w:rPr>
                <w:sz w:val="24"/>
                <w:rFonts w:ascii="Times New Roman" w:hAnsi="Times New Roman"/>
              </w:rPr>
            </w:pPr>
            <w:r>
              <w:rPr>
                <w:sz w:val="24"/>
                <w:rFonts w:ascii="Times New Roman" w:hAnsi="Times New Roman"/>
              </w:rPr>
              <w:t xml:space="preserve">Juridiskās personas nosaukums, kā uzrādīts C 06.02. veidnes 0011. slejā, ja ir radušies zaudējumi — vai zaudējumu lielākā daļa, ja ir ietekmētas vairākas sabiedrības.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sz w:val="24"/>
                <w:rFonts w:ascii="Times New Roman" w:hAnsi="Times New Roman"/>
              </w:rPr>
            </w:pPr>
            <w:r>
              <w:rPr>
                <w:sz w:val="24"/>
                <w:rFonts w:ascii="Times New Roman" w:hAnsi="Times New Roman"/>
              </w:rPr>
              <w:t xml:space="preserve">0181.</w:t>
            </w:r>
          </w:p>
        </w:tc>
        <w:tc>
          <w:tcPr>
            <w:tcW w:w="8111" w:type="dxa"/>
            <w:shd w:val="clear" w:color="auto" w:fill="auto"/>
          </w:tcPr>
          <w:p w14:paraId="4F848E3A" w14:textId="77777777" w:rsidR="00FD54FC" w:rsidRPr="002A677E" w:rsidRDefault="00105A75"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Kods</w:t>
            </w:r>
          </w:p>
          <w:p w14:paraId="2B51325F" w14:textId="351ACEFF" w:rsidR="000D0A23" w:rsidRPr="002A677E" w:rsidRDefault="0062362F" w:rsidP="009B627A">
            <w:pPr>
              <w:rPr>
                <w:sz w:val="24"/>
                <w:rFonts w:ascii="Times New Roman" w:hAnsi="Times New Roman"/>
              </w:rPr>
            </w:pPr>
            <w:r>
              <w:rPr>
                <w:sz w:val="24"/>
                <w:rFonts w:ascii="Times New Roman" w:hAnsi="Times New Roman"/>
              </w:rPr>
              <w:t xml:space="preserve">Juridiskās personas kods, kā uzrādīts C 06.02. veidnes 0021. slejā, ja ir radušies zaudējumi – vai zaudējumu lielākā daļa, ja ir ietekmētas vairākas sabiedrības.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sz w:val="24"/>
                <w:rFonts w:ascii="Times New Roman" w:hAnsi="Times New Roman"/>
              </w:rPr>
            </w:pPr>
            <w:r>
              <w:rPr>
                <w:rStyle w:val="InstructionsTabelleText"/>
                <w:sz w:val="24"/>
                <w:rFonts w:ascii="Times New Roman" w:hAnsi="Times New Roman"/>
              </w:rPr>
              <w:t xml:space="preserve">0185.</w:t>
            </w:r>
          </w:p>
        </w:tc>
        <w:tc>
          <w:tcPr>
            <w:tcW w:w="8111" w:type="dxa"/>
            <w:shd w:val="clear" w:color="auto" w:fill="auto"/>
          </w:tcPr>
          <w:p w14:paraId="1CF8E766" w14:textId="77777777" w:rsidR="000D0A23" w:rsidRPr="002A677E" w:rsidRDefault="000D0A23" w:rsidP="00127FEA">
            <w:pPr>
              <w:rPr>
                <w:rStyle w:val="InstructionsTabelleberschrift"/>
                <w:sz w:val="24"/>
                <w:rFonts w:ascii="Times New Roman" w:hAnsi="Times New Roman"/>
              </w:rPr>
            </w:pPr>
            <w:r>
              <w:rPr>
                <w:rStyle w:val="InstructionsTabelleberschrift"/>
                <w:sz w:val="24"/>
                <w:rFonts w:ascii="Times New Roman" w:hAnsi="Times New Roman"/>
              </w:rPr>
              <w:t xml:space="preserve">KODA VEIDS</w:t>
            </w:r>
          </w:p>
          <w:p w14:paraId="13D1F0E6" w14:textId="5C3CE252" w:rsidR="000D0A23" w:rsidRPr="002A677E" w:rsidRDefault="000D0A23" w:rsidP="009B627A">
            <w:pPr>
              <w:rPr>
                <w:rStyle w:val="InstructionsTabelleberschrift"/>
                <w:sz w:val="24"/>
                <w:rFonts w:ascii="Times New Roman" w:hAnsi="Times New Roman"/>
              </w:rPr>
            </w:pPr>
            <w:r>
              <w:rPr>
                <w:sz w:val="24"/>
                <w:rFonts w:ascii="Times New Roman" w:hAnsi="Times New Roman"/>
              </w:rPr>
              <w:t xml:space="preserve">Iestādes identificē 0181. slejā uzrādīto kodu kā “</w:t>
            </w:r>
            <w:r>
              <w:rPr>
                <w:sz w:val="24"/>
                <w:i/>
                <w:iCs/>
                <w:rFonts w:ascii="Times New Roman" w:hAnsi="Times New Roman"/>
              </w:rPr>
              <w:t xml:space="preserve">LEI</w:t>
            </w:r>
            <w:r>
              <w:rPr>
                <w:sz w:val="24"/>
                <w:rFonts w:ascii="Times New Roman" w:hAnsi="Times New Roman"/>
              </w:rPr>
              <w:t xml:space="preserve"> kodu” vai kodu, kas nav </w:t>
            </w:r>
            <w:r>
              <w:rPr>
                <w:sz w:val="24"/>
                <w:i/>
                <w:iCs/>
                <w:rFonts w:ascii="Times New Roman" w:hAnsi="Times New Roman"/>
              </w:rPr>
              <w:t xml:space="preserve">LEI</w:t>
            </w:r>
            <w:r>
              <w:rPr>
                <w:sz w:val="24"/>
                <w:rFonts w:ascii="Times New Roman" w:hAnsi="Times New Roman"/>
              </w:rPr>
              <w:t xml:space="preserve"> kods, arī saskaņā ar C 06.02. veidnes 0026. sleju. Koda veids ir jāuzrāda vienmēr.</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sz w:val="24"/>
                <w:rFonts w:ascii="Times New Roman" w:hAnsi="Times New Roman"/>
              </w:rPr>
            </w:pPr>
            <w:r>
              <w:rPr>
                <w:sz w:val="24"/>
                <w:rFonts w:ascii="Times New Roman" w:hAnsi="Times New Roman"/>
              </w:rPr>
              <w:t xml:space="preserve">0190.</w:t>
            </w:r>
          </w:p>
        </w:tc>
        <w:tc>
          <w:tcPr>
            <w:tcW w:w="8111" w:type="dxa"/>
            <w:shd w:val="clear" w:color="auto" w:fill="auto"/>
          </w:tcPr>
          <w:p w14:paraId="07842AC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Uzņēmējdarbības vienība</w:t>
            </w:r>
          </w:p>
          <w:p w14:paraId="7468F598" w14:textId="77777777" w:rsidR="00FD54FC" w:rsidRPr="002A677E" w:rsidRDefault="00FD54FC" w:rsidP="00FD54FC">
            <w:pPr>
              <w:rPr>
                <w:sz w:val="24"/>
                <w:rFonts w:ascii="Times New Roman" w:hAnsi="Times New Roman"/>
              </w:rPr>
            </w:pPr>
            <w:r>
              <w:rPr>
                <w:sz w:val="24"/>
                <w:rFonts w:ascii="Times New Roman" w:hAnsi="Times New Roman"/>
              </w:rPr>
              <w:t xml:space="preserve">Iestādes uzņēmējdarbības vienība vai korporatīvā struktūra, ja ir radušies zaudējumi — vai zaudējumu lielākā daļa, ja ir ietekmētas vairākas sabiedrības.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sz w:val="24"/>
                <w:rFonts w:ascii="Times New Roman" w:hAnsi="Times New Roman"/>
              </w:rPr>
            </w:pPr>
            <w:r>
              <w:rPr>
                <w:sz w:val="24"/>
                <w:rFonts w:ascii="Times New Roman" w:hAnsi="Times New Roman"/>
              </w:rPr>
              <w:t xml:space="preserve">0200.</w:t>
            </w:r>
          </w:p>
        </w:tc>
        <w:tc>
          <w:tcPr>
            <w:tcW w:w="8111" w:type="dxa"/>
            <w:shd w:val="clear" w:color="auto" w:fill="auto"/>
          </w:tcPr>
          <w:p w14:paraId="008721A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Apraksts</w:t>
            </w:r>
          </w:p>
          <w:p w14:paraId="5B222555" w14:textId="77777777" w:rsidR="00FD54FC" w:rsidRPr="002A677E" w:rsidRDefault="00FD54FC" w:rsidP="00FD239F">
            <w:pPr>
              <w:rPr>
                <w:sz w:val="24"/>
                <w:rFonts w:ascii="Times New Roman" w:hAnsi="Times New Roman"/>
              </w:rPr>
            </w:pPr>
            <w:r>
              <w:rPr>
                <w:sz w:val="24"/>
                <w:rFonts w:ascii="Times New Roman" w:hAnsi="Times New Roman"/>
              </w:rPr>
              <w:t xml:space="preserve">Zaudējumu notikuma apraksts — ja nepieciešams, vispārīgā vai anonīmā veidā —, kas ietver vismaz informāciju par pašu notikumu un informāciju par zaudējumu notikuma izraisītājiem vai cēloņiem, ja tie ir zināmi.</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I oficiālai lietošanai"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I oficiālai lietošanai"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I oficiālai lietošanai"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dirty"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lv-LV"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v-LV"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v-LV"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v-LV"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v-LV"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lv-LV"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v-LV"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v-LV"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v-LV"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v-LV"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v-LV"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lv-LV"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lv-LV"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lv-LV"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lv-LV"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lv-LV"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lv-LV"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lv-LV"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lv-LV"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lv-LV"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lv-LV"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lv-LV"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lv-LV"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lv-LV"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lv-LV"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lv-LV"/>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lv-LV"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lv-LV"/>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ACFC7D-586B-4CCB-A7AE-A59786AEA87B}"/>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5981</Words>
  <Characters>32117</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2024-07-05T07:59:00Z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