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LV</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IV PIELIKUMS</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“XVII PIELIKUMS</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NORĀDES PĀRSKATU SNIEGŠANAI PAR AKTĪVU APGRŪTINĀJUMIEM</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Satura rādītājs</w:t>
      </w:r>
    </w:p>
    <w:p w14:paraId="429CF5C3" w14:textId="029AC97D" w:rsidR="008E4D9C" w:rsidRDefault="00941FAE">
      <w:pPr>
        <w:pStyle w:val="TOC2"/>
        <w:rPr>
          <w:rFonts w:asciiTheme="minorHAnsi" w:eastAsiaTheme="minorEastAsia" w:hAnsiTheme="minorHAnsi" w:cstheme="minorBidi"/>
          <w:b w:val="0"/>
          <w:smallCaps w:val="0"/>
          <w:kern w:val="2"/>
          <w:sz w:val="24"/>
          <w:szCs w:val="24"/>
          <w:lang w:val="en-IE" w:eastAsia="en-IE"/>
          <w14:ligatures w14:val="standardContextual"/>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88866008" w:history="1">
        <w:r w:rsidR="008E4D9C" w:rsidRPr="00C0103C">
          <w:rPr>
            <w:rStyle w:val="Hyperlink"/>
            <w:rFonts w:ascii="Times New Roman" w:hAnsi="Times New Roman"/>
          </w:rPr>
          <w:t>VISPĀRĪGI NORĀDĪJUMI</w:t>
        </w:r>
        <w:r w:rsidR="008E4D9C">
          <w:rPr>
            <w:webHidden/>
          </w:rPr>
          <w:tab/>
        </w:r>
        <w:r w:rsidR="008E4D9C">
          <w:rPr>
            <w:webHidden/>
          </w:rPr>
          <w:fldChar w:fldCharType="begin"/>
        </w:r>
        <w:r w:rsidR="008E4D9C">
          <w:rPr>
            <w:webHidden/>
          </w:rPr>
          <w:instrText xml:space="preserve"> PAGEREF _Toc188866008 \h </w:instrText>
        </w:r>
        <w:r w:rsidR="008E4D9C">
          <w:rPr>
            <w:webHidden/>
          </w:rPr>
        </w:r>
        <w:r w:rsidR="008E4D9C">
          <w:rPr>
            <w:webHidden/>
          </w:rPr>
          <w:fldChar w:fldCharType="separate"/>
        </w:r>
        <w:r w:rsidR="008E4D9C">
          <w:rPr>
            <w:webHidden/>
          </w:rPr>
          <w:t>3</w:t>
        </w:r>
        <w:r w:rsidR="008E4D9C">
          <w:rPr>
            <w:webHidden/>
          </w:rPr>
          <w:fldChar w:fldCharType="end"/>
        </w:r>
      </w:hyperlink>
    </w:p>
    <w:p w14:paraId="1A8D1F5F" w14:textId="51182EC9"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09" w:history="1">
        <w:r w:rsidRPr="00C0103C">
          <w:rPr>
            <w:rStyle w:val="Hyperlink"/>
            <w:rFonts w:ascii="Times New Roman" w:hAnsi="Times New Roman"/>
          </w:rPr>
          <w:t>1 STRUKTŪRA UN KONVENCIJAS</w:t>
        </w:r>
        <w:r>
          <w:rPr>
            <w:webHidden/>
          </w:rPr>
          <w:tab/>
        </w:r>
        <w:r>
          <w:rPr>
            <w:webHidden/>
          </w:rPr>
          <w:fldChar w:fldCharType="begin"/>
        </w:r>
        <w:r>
          <w:rPr>
            <w:webHidden/>
          </w:rPr>
          <w:instrText xml:space="preserve"> PAGEREF _Toc188866009 \h </w:instrText>
        </w:r>
        <w:r>
          <w:rPr>
            <w:webHidden/>
          </w:rPr>
        </w:r>
        <w:r>
          <w:rPr>
            <w:webHidden/>
          </w:rPr>
          <w:fldChar w:fldCharType="separate"/>
        </w:r>
        <w:r>
          <w:rPr>
            <w:webHidden/>
          </w:rPr>
          <w:t>3</w:t>
        </w:r>
        <w:r>
          <w:rPr>
            <w:webHidden/>
          </w:rPr>
          <w:fldChar w:fldCharType="end"/>
        </w:r>
      </w:hyperlink>
    </w:p>
    <w:p w14:paraId="32F937B6" w14:textId="6127518C"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0" w:history="1">
        <w:r w:rsidRPr="00C0103C">
          <w:rPr>
            <w:rStyle w:val="Hyperlink"/>
            <w:rFonts w:ascii="Times New Roman" w:hAnsi="Times New Roman"/>
          </w:rPr>
          <w:t>1.1.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Struktūra</w:t>
        </w:r>
        <w:r>
          <w:rPr>
            <w:webHidden/>
          </w:rPr>
          <w:tab/>
        </w:r>
        <w:r>
          <w:rPr>
            <w:webHidden/>
          </w:rPr>
          <w:fldChar w:fldCharType="begin"/>
        </w:r>
        <w:r>
          <w:rPr>
            <w:webHidden/>
          </w:rPr>
          <w:instrText xml:space="preserve"> PAGEREF _Toc188866010 \h </w:instrText>
        </w:r>
        <w:r>
          <w:rPr>
            <w:webHidden/>
          </w:rPr>
        </w:r>
        <w:r>
          <w:rPr>
            <w:webHidden/>
          </w:rPr>
          <w:fldChar w:fldCharType="separate"/>
        </w:r>
        <w:r>
          <w:rPr>
            <w:webHidden/>
          </w:rPr>
          <w:t>3</w:t>
        </w:r>
        <w:r>
          <w:rPr>
            <w:webHidden/>
          </w:rPr>
          <w:fldChar w:fldCharType="end"/>
        </w:r>
      </w:hyperlink>
    </w:p>
    <w:p w14:paraId="1DDAFD70" w14:textId="0FEA7213"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1" w:history="1">
        <w:r w:rsidRPr="00C0103C">
          <w:rPr>
            <w:rStyle w:val="Hyperlink"/>
            <w:rFonts w:ascii="Times New Roman" w:hAnsi="Times New Roman"/>
          </w:rPr>
          <w:t>1.2.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Grāmatvedības standarts</w:t>
        </w:r>
        <w:r>
          <w:rPr>
            <w:webHidden/>
          </w:rPr>
          <w:tab/>
        </w:r>
        <w:r>
          <w:rPr>
            <w:webHidden/>
          </w:rPr>
          <w:fldChar w:fldCharType="begin"/>
        </w:r>
        <w:r>
          <w:rPr>
            <w:webHidden/>
          </w:rPr>
          <w:instrText xml:space="preserve"> PAGEREF _Toc188866011 \h </w:instrText>
        </w:r>
        <w:r>
          <w:rPr>
            <w:webHidden/>
          </w:rPr>
        </w:r>
        <w:r>
          <w:rPr>
            <w:webHidden/>
          </w:rPr>
          <w:fldChar w:fldCharType="separate"/>
        </w:r>
        <w:r>
          <w:rPr>
            <w:webHidden/>
          </w:rPr>
          <w:t>3</w:t>
        </w:r>
        <w:r>
          <w:rPr>
            <w:webHidden/>
          </w:rPr>
          <w:fldChar w:fldCharType="end"/>
        </w:r>
      </w:hyperlink>
    </w:p>
    <w:p w14:paraId="75396DA1" w14:textId="1E07F230"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2" w:history="1">
        <w:r w:rsidRPr="00C0103C">
          <w:rPr>
            <w:rStyle w:val="Hyperlink"/>
            <w:rFonts w:ascii="Times New Roman" w:hAnsi="Times New Roman"/>
          </w:rPr>
          <w:t>1.3.</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Numerācijas konvencijas</w:t>
        </w:r>
        <w:r>
          <w:rPr>
            <w:webHidden/>
          </w:rPr>
          <w:tab/>
        </w:r>
        <w:r>
          <w:rPr>
            <w:webHidden/>
          </w:rPr>
          <w:fldChar w:fldCharType="begin"/>
        </w:r>
        <w:r>
          <w:rPr>
            <w:webHidden/>
          </w:rPr>
          <w:instrText xml:space="preserve"> PAGEREF _Toc188866012 \h </w:instrText>
        </w:r>
        <w:r>
          <w:rPr>
            <w:webHidden/>
          </w:rPr>
        </w:r>
        <w:r>
          <w:rPr>
            <w:webHidden/>
          </w:rPr>
          <w:fldChar w:fldCharType="separate"/>
        </w:r>
        <w:r>
          <w:rPr>
            <w:webHidden/>
          </w:rPr>
          <w:t>3</w:t>
        </w:r>
        <w:r>
          <w:rPr>
            <w:webHidden/>
          </w:rPr>
          <w:fldChar w:fldCharType="end"/>
        </w:r>
      </w:hyperlink>
    </w:p>
    <w:p w14:paraId="372F9F51" w14:textId="32FBE656"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3" w:history="1">
        <w:r w:rsidRPr="00C0103C">
          <w:rPr>
            <w:rStyle w:val="Hyperlink"/>
            <w:rFonts w:ascii="Times New Roman" w:hAnsi="Times New Roman"/>
          </w:rPr>
          <w:t>1.4.</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Pieņemtā prakse attiecībā uz zīmēm</w:t>
        </w:r>
        <w:r>
          <w:rPr>
            <w:webHidden/>
          </w:rPr>
          <w:tab/>
        </w:r>
        <w:r>
          <w:rPr>
            <w:webHidden/>
          </w:rPr>
          <w:fldChar w:fldCharType="begin"/>
        </w:r>
        <w:r>
          <w:rPr>
            <w:webHidden/>
          </w:rPr>
          <w:instrText xml:space="preserve"> PAGEREF _Toc188866013 \h </w:instrText>
        </w:r>
        <w:r>
          <w:rPr>
            <w:webHidden/>
          </w:rPr>
        </w:r>
        <w:r>
          <w:rPr>
            <w:webHidden/>
          </w:rPr>
          <w:fldChar w:fldCharType="separate"/>
        </w:r>
        <w:r>
          <w:rPr>
            <w:webHidden/>
          </w:rPr>
          <w:t>4</w:t>
        </w:r>
        <w:r>
          <w:rPr>
            <w:webHidden/>
          </w:rPr>
          <w:fldChar w:fldCharType="end"/>
        </w:r>
      </w:hyperlink>
    </w:p>
    <w:p w14:paraId="38FFBA92" w14:textId="30E98CFD"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4" w:history="1">
        <w:r w:rsidRPr="00C0103C">
          <w:rPr>
            <w:rStyle w:val="Hyperlink"/>
            <w:rFonts w:ascii="Times New Roman" w:hAnsi="Times New Roman"/>
          </w:rPr>
          <w:t>1.5.</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Piemērošanas līmenis</w:t>
        </w:r>
        <w:r>
          <w:rPr>
            <w:webHidden/>
          </w:rPr>
          <w:tab/>
        </w:r>
        <w:r>
          <w:rPr>
            <w:webHidden/>
          </w:rPr>
          <w:fldChar w:fldCharType="begin"/>
        </w:r>
        <w:r>
          <w:rPr>
            <w:webHidden/>
          </w:rPr>
          <w:instrText xml:space="preserve"> PAGEREF _Toc188866014 \h </w:instrText>
        </w:r>
        <w:r>
          <w:rPr>
            <w:webHidden/>
          </w:rPr>
        </w:r>
        <w:r>
          <w:rPr>
            <w:webHidden/>
          </w:rPr>
          <w:fldChar w:fldCharType="separate"/>
        </w:r>
        <w:r>
          <w:rPr>
            <w:webHidden/>
          </w:rPr>
          <w:t>4</w:t>
        </w:r>
        <w:r>
          <w:rPr>
            <w:webHidden/>
          </w:rPr>
          <w:fldChar w:fldCharType="end"/>
        </w:r>
      </w:hyperlink>
    </w:p>
    <w:p w14:paraId="45A54C34" w14:textId="27C557B5"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5" w:history="1">
        <w:r w:rsidRPr="00C0103C">
          <w:rPr>
            <w:rStyle w:val="Hyperlink"/>
            <w:rFonts w:ascii="Times New Roman" w:hAnsi="Times New Roman"/>
          </w:rPr>
          <w:t>1.6.</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Proporcionalitāte</w:t>
        </w:r>
        <w:r>
          <w:rPr>
            <w:webHidden/>
          </w:rPr>
          <w:tab/>
        </w:r>
        <w:r>
          <w:rPr>
            <w:webHidden/>
          </w:rPr>
          <w:fldChar w:fldCharType="begin"/>
        </w:r>
        <w:r>
          <w:rPr>
            <w:webHidden/>
          </w:rPr>
          <w:instrText xml:space="preserve"> PAGEREF _Toc188866015 \h </w:instrText>
        </w:r>
        <w:r>
          <w:rPr>
            <w:webHidden/>
          </w:rPr>
        </w:r>
        <w:r>
          <w:rPr>
            <w:webHidden/>
          </w:rPr>
          <w:fldChar w:fldCharType="separate"/>
        </w:r>
        <w:r>
          <w:rPr>
            <w:webHidden/>
          </w:rPr>
          <w:t>4</w:t>
        </w:r>
        <w:r>
          <w:rPr>
            <w:webHidden/>
          </w:rPr>
          <w:fldChar w:fldCharType="end"/>
        </w:r>
      </w:hyperlink>
    </w:p>
    <w:p w14:paraId="71694692" w14:textId="1E249C8C"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6" w:history="1">
        <w:r w:rsidRPr="00C0103C">
          <w:rPr>
            <w:rStyle w:val="Hyperlink"/>
            <w:rFonts w:ascii="Times New Roman" w:hAnsi="Times New Roman"/>
          </w:rPr>
          <w:t>1.7.</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Apgrūtinājuma definīcija</w:t>
        </w:r>
        <w:r>
          <w:rPr>
            <w:webHidden/>
          </w:rPr>
          <w:tab/>
        </w:r>
        <w:r>
          <w:rPr>
            <w:webHidden/>
          </w:rPr>
          <w:fldChar w:fldCharType="begin"/>
        </w:r>
        <w:r>
          <w:rPr>
            <w:webHidden/>
          </w:rPr>
          <w:instrText xml:space="preserve"> PAGEREF _Toc188866016 \h </w:instrText>
        </w:r>
        <w:r>
          <w:rPr>
            <w:webHidden/>
          </w:rPr>
        </w:r>
        <w:r>
          <w:rPr>
            <w:webHidden/>
          </w:rPr>
          <w:fldChar w:fldCharType="separate"/>
        </w:r>
        <w:r>
          <w:rPr>
            <w:webHidden/>
          </w:rPr>
          <w:t>4</w:t>
        </w:r>
        <w:r>
          <w:rPr>
            <w:webHidden/>
          </w:rPr>
          <w:fldChar w:fldCharType="end"/>
        </w:r>
      </w:hyperlink>
    </w:p>
    <w:p w14:paraId="6EC54D84" w14:textId="055FA128"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7" w:history="1">
        <w:r w:rsidRPr="00C0103C">
          <w:rPr>
            <w:rStyle w:val="Hyperlink"/>
            <w:rFonts w:ascii="Times New Roman" w:hAnsi="Times New Roman"/>
          </w:rPr>
          <w:t>AR VEIDNI SAISTĪTI NORĀDĪJUMI</w:t>
        </w:r>
        <w:r>
          <w:rPr>
            <w:webHidden/>
          </w:rPr>
          <w:tab/>
        </w:r>
        <w:r>
          <w:rPr>
            <w:webHidden/>
          </w:rPr>
          <w:fldChar w:fldCharType="begin"/>
        </w:r>
        <w:r>
          <w:rPr>
            <w:webHidden/>
          </w:rPr>
          <w:instrText xml:space="preserve"> PAGEREF _Toc188866017 \h </w:instrText>
        </w:r>
        <w:r>
          <w:rPr>
            <w:webHidden/>
          </w:rPr>
        </w:r>
        <w:r>
          <w:rPr>
            <w:webHidden/>
          </w:rPr>
          <w:fldChar w:fldCharType="separate"/>
        </w:r>
        <w:r>
          <w:rPr>
            <w:webHidden/>
          </w:rPr>
          <w:t>5</w:t>
        </w:r>
        <w:r>
          <w:rPr>
            <w:webHidden/>
          </w:rPr>
          <w:fldChar w:fldCharType="end"/>
        </w:r>
      </w:hyperlink>
    </w:p>
    <w:p w14:paraId="223BB22C" w14:textId="718A0594"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8" w:history="1">
        <w:r w:rsidRPr="00C0103C">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A daļa. Pārskats par apgrūtinājumiem</w:t>
        </w:r>
        <w:r>
          <w:rPr>
            <w:webHidden/>
          </w:rPr>
          <w:tab/>
        </w:r>
        <w:r>
          <w:rPr>
            <w:webHidden/>
          </w:rPr>
          <w:fldChar w:fldCharType="begin"/>
        </w:r>
        <w:r>
          <w:rPr>
            <w:webHidden/>
          </w:rPr>
          <w:instrText xml:space="preserve"> PAGEREF _Toc188866018 \h </w:instrText>
        </w:r>
        <w:r>
          <w:rPr>
            <w:webHidden/>
          </w:rPr>
        </w:r>
        <w:r>
          <w:rPr>
            <w:webHidden/>
          </w:rPr>
          <w:fldChar w:fldCharType="separate"/>
        </w:r>
        <w:r>
          <w:rPr>
            <w:webHidden/>
          </w:rPr>
          <w:t>5</w:t>
        </w:r>
        <w:r>
          <w:rPr>
            <w:webHidden/>
          </w:rPr>
          <w:fldChar w:fldCharType="end"/>
        </w:r>
      </w:hyperlink>
    </w:p>
    <w:p w14:paraId="672F0724" w14:textId="2192CF1D"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19" w:history="1">
        <w:r w:rsidRPr="00C0103C">
          <w:rPr>
            <w:rStyle w:val="Hyperlink"/>
            <w:rFonts w:ascii="Times New Roman" w:hAnsi="Times New Roman"/>
          </w:rPr>
          <w:t>2.1.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AE-ASS. Pārskatus sniedzošās iestādes aktīvi</w:t>
        </w:r>
        <w:r>
          <w:rPr>
            <w:webHidden/>
          </w:rPr>
          <w:tab/>
        </w:r>
        <w:r>
          <w:rPr>
            <w:webHidden/>
          </w:rPr>
          <w:fldChar w:fldCharType="begin"/>
        </w:r>
        <w:r>
          <w:rPr>
            <w:webHidden/>
          </w:rPr>
          <w:instrText xml:space="preserve"> PAGEREF _Toc188866019 \h </w:instrText>
        </w:r>
        <w:r>
          <w:rPr>
            <w:webHidden/>
          </w:rPr>
        </w:r>
        <w:r>
          <w:rPr>
            <w:webHidden/>
          </w:rPr>
          <w:fldChar w:fldCharType="separate"/>
        </w:r>
        <w:r>
          <w:rPr>
            <w:webHidden/>
          </w:rPr>
          <w:t>5</w:t>
        </w:r>
        <w:r>
          <w:rPr>
            <w:webHidden/>
          </w:rPr>
          <w:fldChar w:fldCharType="end"/>
        </w:r>
      </w:hyperlink>
    </w:p>
    <w:p w14:paraId="1231E305" w14:textId="6453387D"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0" w:history="1">
        <w:r w:rsidRPr="00C0103C">
          <w:rPr>
            <w:rStyle w:val="Hyperlink"/>
            <w:rFonts w:ascii="Times New Roman" w:hAnsi="Times New Roman"/>
          </w:rPr>
          <w:t>2.1.1.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Vispārīgas piezīmes</w:t>
        </w:r>
        <w:r>
          <w:rPr>
            <w:webHidden/>
          </w:rPr>
          <w:tab/>
        </w:r>
        <w:r>
          <w:rPr>
            <w:webHidden/>
          </w:rPr>
          <w:fldChar w:fldCharType="begin"/>
        </w:r>
        <w:r>
          <w:rPr>
            <w:webHidden/>
          </w:rPr>
          <w:instrText xml:space="preserve"> PAGEREF _Toc188866020 \h </w:instrText>
        </w:r>
        <w:r>
          <w:rPr>
            <w:webHidden/>
          </w:rPr>
        </w:r>
        <w:r>
          <w:rPr>
            <w:webHidden/>
          </w:rPr>
          <w:fldChar w:fldCharType="separate"/>
        </w:r>
        <w:r>
          <w:rPr>
            <w:webHidden/>
          </w:rPr>
          <w:t>5</w:t>
        </w:r>
        <w:r>
          <w:rPr>
            <w:webHidden/>
          </w:rPr>
          <w:fldChar w:fldCharType="end"/>
        </w:r>
      </w:hyperlink>
    </w:p>
    <w:p w14:paraId="1EDF02B9" w14:textId="7EBE4F58"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1" w:history="1">
        <w:r w:rsidRPr="00C0103C">
          <w:rPr>
            <w:rStyle w:val="Hyperlink"/>
            <w:rFonts w:ascii="Times New Roman" w:hAnsi="Times New Roman"/>
          </w:rPr>
          <w:t>2.1.2.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_Toc188866021 \h </w:instrText>
        </w:r>
        <w:r>
          <w:rPr>
            <w:webHidden/>
          </w:rPr>
        </w:r>
        <w:r>
          <w:rPr>
            <w:webHidden/>
          </w:rPr>
          <w:fldChar w:fldCharType="separate"/>
        </w:r>
        <w:r>
          <w:rPr>
            <w:webHidden/>
          </w:rPr>
          <w:t>8</w:t>
        </w:r>
        <w:r>
          <w:rPr>
            <w:webHidden/>
          </w:rPr>
          <w:fldChar w:fldCharType="end"/>
        </w:r>
      </w:hyperlink>
    </w:p>
    <w:p w14:paraId="6C7826C1" w14:textId="0E786941"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2" w:history="1">
        <w:r w:rsidRPr="00C0103C">
          <w:rPr>
            <w:rStyle w:val="Hyperlink"/>
            <w:rFonts w:ascii="Times New Roman" w:hAnsi="Times New Roman"/>
          </w:rPr>
          <w:t>Norādījumi par konkrētām slejām</w:t>
        </w:r>
        <w:r>
          <w:rPr>
            <w:webHidden/>
          </w:rPr>
          <w:tab/>
        </w:r>
        <w:r>
          <w:rPr>
            <w:webHidden/>
          </w:rPr>
          <w:fldChar w:fldCharType="begin"/>
        </w:r>
        <w:r>
          <w:rPr>
            <w:webHidden/>
          </w:rPr>
          <w:instrText xml:space="preserve"> PAGEREF _Toc188866022 \h </w:instrText>
        </w:r>
        <w:r>
          <w:rPr>
            <w:webHidden/>
          </w:rPr>
        </w:r>
        <w:r>
          <w:rPr>
            <w:webHidden/>
          </w:rPr>
          <w:fldChar w:fldCharType="separate"/>
        </w:r>
        <w:r>
          <w:rPr>
            <w:webHidden/>
          </w:rPr>
          <w:t>9</w:t>
        </w:r>
        <w:r>
          <w:rPr>
            <w:webHidden/>
          </w:rPr>
          <w:fldChar w:fldCharType="end"/>
        </w:r>
      </w:hyperlink>
    </w:p>
    <w:p w14:paraId="5873B91E" w14:textId="486689C1"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3" w:history="1">
        <w:r w:rsidRPr="00C0103C">
          <w:rPr>
            <w:rStyle w:val="Hyperlink"/>
            <w:rFonts w:ascii="Times New Roman" w:hAnsi="Times New Roman"/>
          </w:rPr>
          <w:t>2.2.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AE-COL. Pārskatus sniedzošās iestādes saņemtais nodrošinājums</w:t>
        </w:r>
        <w:r>
          <w:rPr>
            <w:webHidden/>
          </w:rPr>
          <w:tab/>
        </w:r>
        <w:r>
          <w:rPr>
            <w:webHidden/>
          </w:rPr>
          <w:fldChar w:fldCharType="begin"/>
        </w:r>
        <w:r>
          <w:rPr>
            <w:webHidden/>
          </w:rPr>
          <w:instrText xml:space="preserve"> PAGEREF _Toc188866023 \h </w:instrText>
        </w:r>
        <w:r>
          <w:rPr>
            <w:webHidden/>
          </w:rPr>
        </w:r>
        <w:r>
          <w:rPr>
            <w:webHidden/>
          </w:rPr>
          <w:fldChar w:fldCharType="separate"/>
        </w:r>
        <w:r>
          <w:rPr>
            <w:webHidden/>
          </w:rPr>
          <w:t>12</w:t>
        </w:r>
        <w:r>
          <w:rPr>
            <w:webHidden/>
          </w:rPr>
          <w:fldChar w:fldCharType="end"/>
        </w:r>
      </w:hyperlink>
    </w:p>
    <w:p w14:paraId="6A91893D" w14:textId="7B23EE79"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4" w:history="1">
        <w:r w:rsidRPr="00C0103C">
          <w:rPr>
            <w:rStyle w:val="Hyperlink"/>
            <w:rFonts w:ascii="Times New Roman" w:hAnsi="Times New Roman"/>
          </w:rPr>
          <w:t>2.2.1.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Vispārīgas piezīmes</w:t>
        </w:r>
        <w:r>
          <w:rPr>
            <w:webHidden/>
          </w:rPr>
          <w:tab/>
        </w:r>
        <w:r>
          <w:rPr>
            <w:webHidden/>
          </w:rPr>
          <w:fldChar w:fldCharType="begin"/>
        </w:r>
        <w:r>
          <w:rPr>
            <w:webHidden/>
          </w:rPr>
          <w:instrText xml:space="preserve"> PAGEREF _Toc188866024 \h </w:instrText>
        </w:r>
        <w:r>
          <w:rPr>
            <w:webHidden/>
          </w:rPr>
        </w:r>
        <w:r>
          <w:rPr>
            <w:webHidden/>
          </w:rPr>
          <w:fldChar w:fldCharType="separate"/>
        </w:r>
        <w:r>
          <w:rPr>
            <w:webHidden/>
          </w:rPr>
          <w:t>12</w:t>
        </w:r>
        <w:r>
          <w:rPr>
            <w:webHidden/>
          </w:rPr>
          <w:fldChar w:fldCharType="end"/>
        </w:r>
      </w:hyperlink>
    </w:p>
    <w:p w14:paraId="6C4AE517" w14:textId="736D04BD"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5" w:history="1">
        <w:r w:rsidRPr="00C0103C">
          <w:rPr>
            <w:rStyle w:val="Hyperlink"/>
            <w:rFonts w:ascii="Times New Roman" w:hAnsi="Times New Roman"/>
          </w:rPr>
          <w:t>2.2.2.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_Toc188866025 \h </w:instrText>
        </w:r>
        <w:r>
          <w:rPr>
            <w:webHidden/>
          </w:rPr>
        </w:r>
        <w:r>
          <w:rPr>
            <w:webHidden/>
          </w:rPr>
          <w:fldChar w:fldCharType="separate"/>
        </w:r>
        <w:r>
          <w:rPr>
            <w:webHidden/>
          </w:rPr>
          <w:t>13</w:t>
        </w:r>
        <w:r>
          <w:rPr>
            <w:webHidden/>
          </w:rPr>
          <w:fldChar w:fldCharType="end"/>
        </w:r>
      </w:hyperlink>
    </w:p>
    <w:p w14:paraId="10438DD5" w14:textId="36F3B24B"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6" w:history="1">
        <w:r w:rsidRPr="00C0103C">
          <w:rPr>
            <w:rStyle w:val="Hyperlink"/>
            <w:rFonts w:ascii="Times New Roman" w:hAnsi="Times New Roman"/>
          </w:rPr>
          <w:t>2.2.3.</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Norādījumi par konkrētām slejām</w:t>
        </w:r>
        <w:r>
          <w:rPr>
            <w:webHidden/>
          </w:rPr>
          <w:tab/>
        </w:r>
        <w:r>
          <w:rPr>
            <w:webHidden/>
          </w:rPr>
          <w:fldChar w:fldCharType="begin"/>
        </w:r>
        <w:r>
          <w:rPr>
            <w:webHidden/>
          </w:rPr>
          <w:instrText xml:space="preserve"> PAGEREF _Toc188866026 \h </w:instrText>
        </w:r>
        <w:r>
          <w:rPr>
            <w:webHidden/>
          </w:rPr>
        </w:r>
        <w:r>
          <w:rPr>
            <w:webHidden/>
          </w:rPr>
          <w:fldChar w:fldCharType="separate"/>
        </w:r>
        <w:r>
          <w:rPr>
            <w:webHidden/>
          </w:rPr>
          <w:t>15</w:t>
        </w:r>
        <w:r>
          <w:rPr>
            <w:webHidden/>
          </w:rPr>
          <w:fldChar w:fldCharType="end"/>
        </w:r>
      </w:hyperlink>
    </w:p>
    <w:p w14:paraId="0AA4DC34" w14:textId="3BD42D47"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7" w:history="1">
        <w:r w:rsidRPr="00C0103C">
          <w:rPr>
            <w:rStyle w:val="Hyperlink"/>
            <w:rFonts w:ascii="Times New Roman" w:hAnsi="Times New Roman"/>
          </w:rPr>
          <w:t>2.3.</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AE-NPL. Pašu segtās obligācijas un vērtspapīrošanas, kas ir emitētas un vēl nav ieķīlātas</w:t>
        </w:r>
        <w:r>
          <w:rPr>
            <w:webHidden/>
          </w:rPr>
          <w:tab/>
        </w:r>
        <w:r>
          <w:rPr>
            <w:webHidden/>
          </w:rPr>
          <w:fldChar w:fldCharType="begin"/>
        </w:r>
        <w:r>
          <w:rPr>
            <w:webHidden/>
          </w:rPr>
          <w:instrText xml:space="preserve"> PAGEREF _Toc188866027 \h </w:instrText>
        </w:r>
        <w:r>
          <w:rPr>
            <w:webHidden/>
          </w:rPr>
        </w:r>
        <w:r>
          <w:rPr>
            <w:webHidden/>
          </w:rPr>
          <w:fldChar w:fldCharType="separate"/>
        </w:r>
        <w:r>
          <w:rPr>
            <w:webHidden/>
          </w:rPr>
          <w:t>17</w:t>
        </w:r>
        <w:r>
          <w:rPr>
            <w:webHidden/>
          </w:rPr>
          <w:fldChar w:fldCharType="end"/>
        </w:r>
      </w:hyperlink>
    </w:p>
    <w:p w14:paraId="71A076BA" w14:textId="1FC0AFA3"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8" w:history="1">
        <w:r w:rsidRPr="00C0103C">
          <w:rPr>
            <w:rStyle w:val="Hyperlink"/>
            <w:rFonts w:ascii="Times New Roman" w:hAnsi="Times New Roman"/>
          </w:rPr>
          <w:t>2.3.1.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Vispārīgas piezīmes</w:t>
        </w:r>
        <w:r>
          <w:rPr>
            <w:webHidden/>
          </w:rPr>
          <w:tab/>
        </w:r>
        <w:r>
          <w:rPr>
            <w:webHidden/>
          </w:rPr>
          <w:fldChar w:fldCharType="begin"/>
        </w:r>
        <w:r>
          <w:rPr>
            <w:webHidden/>
          </w:rPr>
          <w:instrText xml:space="preserve"> PAGEREF _Toc188866028 \h </w:instrText>
        </w:r>
        <w:r>
          <w:rPr>
            <w:webHidden/>
          </w:rPr>
        </w:r>
        <w:r>
          <w:rPr>
            <w:webHidden/>
          </w:rPr>
          <w:fldChar w:fldCharType="separate"/>
        </w:r>
        <w:r>
          <w:rPr>
            <w:webHidden/>
          </w:rPr>
          <w:t>17</w:t>
        </w:r>
        <w:r>
          <w:rPr>
            <w:webHidden/>
          </w:rPr>
          <w:fldChar w:fldCharType="end"/>
        </w:r>
      </w:hyperlink>
    </w:p>
    <w:p w14:paraId="33F7B47C" w14:textId="032064B5"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29" w:history="1">
        <w:r w:rsidRPr="00C0103C">
          <w:rPr>
            <w:rStyle w:val="Hyperlink"/>
            <w:rFonts w:ascii="Times New Roman" w:hAnsi="Times New Roman"/>
          </w:rPr>
          <w:t>2.3.2.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_Toc188866029 \h </w:instrText>
        </w:r>
        <w:r>
          <w:rPr>
            <w:webHidden/>
          </w:rPr>
        </w:r>
        <w:r>
          <w:rPr>
            <w:webHidden/>
          </w:rPr>
          <w:fldChar w:fldCharType="separate"/>
        </w:r>
        <w:r>
          <w:rPr>
            <w:webHidden/>
          </w:rPr>
          <w:t>17</w:t>
        </w:r>
        <w:r>
          <w:rPr>
            <w:webHidden/>
          </w:rPr>
          <w:fldChar w:fldCharType="end"/>
        </w:r>
      </w:hyperlink>
    </w:p>
    <w:p w14:paraId="40D3B6B7" w14:textId="3E0DF35E"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0" w:history="1">
        <w:r w:rsidRPr="00C0103C">
          <w:rPr>
            <w:rStyle w:val="Hyperlink"/>
            <w:rFonts w:ascii="Times New Roman" w:hAnsi="Times New Roman"/>
          </w:rPr>
          <w:t>2.3.3.</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Norādījumi par konkrētām slejām</w:t>
        </w:r>
        <w:r>
          <w:rPr>
            <w:webHidden/>
          </w:rPr>
          <w:tab/>
        </w:r>
        <w:r>
          <w:rPr>
            <w:webHidden/>
          </w:rPr>
          <w:fldChar w:fldCharType="begin"/>
        </w:r>
        <w:r>
          <w:rPr>
            <w:webHidden/>
          </w:rPr>
          <w:instrText xml:space="preserve"> PAGEREF _Toc188866030 \h </w:instrText>
        </w:r>
        <w:r>
          <w:rPr>
            <w:webHidden/>
          </w:rPr>
        </w:r>
        <w:r>
          <w:rPr>
            <w:webHidden/>
          </w:rPr>
          <w:fldChar w:fldCharType="separate"/>
        </w:r>
        <w:r>
          <w:rPr>
            <w:webHidden/>
          </w:rPr>
          <w:t>18</w:t>
        </w:r>
        <w:r>
          <w:rPr>
            <w:webHidden/>
          </w:rPr>
          <w:fldChar w:fldCharType="end"/>
        </w:r>
      </w:hyperlink>
    </w:p>
    <w:p w14:paraId="151550C4" w14:textId="5B29B6E1"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1" w:history="1">
        <w:r w:rsidRPr="00C0103C">
          <w:rPr>
            <w:rStyle w:val="Hyperlink"/>
            <w:rFonts w:ascii="Times New Roman" w:hAnsi="Times New Roman"/>
          </w:rPr>
          <w:t>2.4.</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AE-SOU. Apgrūtinājumu avoti</w:t>
        </w:r>
        <w:r>
          <w:rPr>
            <w:webHidden/>
          </w:rPr>
          <w:tab/>
        </w:r>
        <w:r>
          <w:rPr>
            <w:webHidden/>
          </w:rPr>
          <w:fldChar w:fldCharType="begin"/>
        </w:r>
        <w:r>
          <w:rPr>
            <w:webHidden/>
          </w:rPr>
          <w:instrText xml:space="preserve"> PAGEREF _Toc188866031 \h </w:instrText>
        </w:r>
        <w:r>
          <w:rPr>
            <w:webHidden/>
          </w:rPr>
        </w:r>
        <w:r>
          <w:rPr>
            <w:webHidden/>
          </w:rPr>
          <w:fldChar w:fldCharType="separate"/>
        </w:r>
        <w:r>
          <w:rPr>
            <w:webHidden/>
          </w:rPr>
          <w:t>19</w:t>
        </w:r>
        <w:r>
          <w:rPr>
            <w:webHidden/>
          </w:rPr>
          <w:fldChar w:fldCharType="end"/>
        </w:r>
      </w:hyperlink>
    </w:p>
    <w:p w14:paraId="6DC83136" w14:textId="7A4A94D2"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2" w:history="1">
        <w:r w:rsidRPr="00C0103C">
          <w:rPr>
            <w:rStyle w:val="Hyperlink"/>
            <w:rFonts w:ascii="Times New Roman" w:hAnsi="Times New Roman"/>
          </w:rPr>
          <w:t>2.4.1.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Vispārīgas piezīmes</w:t>
        </w:r>
        <w:r>
          <w:rPr>
            <w:webHidden/>
          </w:rPr>
          <w:tab/>
        </w:r>
        <w:r>
          <w:rPr>
            <w:webHidden/>
          </w:rPr>
          <w:fldChar w:fldCharType="begin"/>
        </w:r>
        <w:r>
          <w:rPr>
            <w:webHidden/>
          </w:rPr>
          <w:instrText xml:space="preserve"> PAGEREF _Toc188866032 \h </w:instrText>
        </w:r>
        <w:r>
          <w:rPr>
            <w:webHidden/>
          </w:rPr>
        </w:r>
        <w:r>
          <w:rPr>
            <w:webHidden/>
          </w:rPr>
          <w:fldChar w:fldCharType="separate"/>
        </w:r>
        <w:r>
          <w:rPr>
            <w:webHidden/>
          </w:rPr>
          <w:t>19</w:t>
        </w:r>
        <w:r>
          <w:rPr>
            <w:webHidden/>
          </w:rPr>
          <w:fldChar w:fldCharType="end"/>
        </w:r>
      </w:hyperlink>
    </w:p>
    <w:p w14:paraId="3414E5CB" w14:textId="79F74880"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3" w:history="1">
        <w:r w:rsidRPr="00C0103C">
          <w:rPr>
            <w:rStyle w:val="Hyperlink"/>
            <w:rFonts w:ascii="Times New Roman" w:hAnsi="Times New Roman"/>
          </w:rPr>
          <w:t>2.4.2.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_Toc188866033 \h </w:instrText>
        </w:r>
        <w:r>
          <w:rPr>
            <w:webHidden/>
          </w:rPr>
        </w:r>
        <w:r>
          <w:rPr>
            <w:webHidden/>
          </w:rPr>
          <w:fldChar w:fldCharType="separate"/>
        </w:r>
        <w:r>
          <w:rPr>
            <w:webHidden/>
          </w:rPr>
          <w:t>19</w:t>
        </w:r>
        <w:r>
          <w:rPr>
            <w:webHidden/>
          </w:rPr>
          <w:fldChar w:fldCharType="end"/>
        </w:r>
      </w:hyperlink>
    </w:p>
    <w:p w14:paraId="20C07C48" w14:textId="5606208C"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4" w:history="1">
        <w:r w:rsidRPr="00C0103C">
          <w:rPr>
            <w:rStyle w:val="Hyperlink"/>
            <w:rFonts w:ascii="Times New Roman" w:hAnsi="Times New Roman"/>
          </w:rPr>
          <w:t>2.4.3.</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Norādījumi par konkrētām slejām</w:t>
        </w:r>
        <w:r>
          <w:rPr>
            <w:webHidden/>
          </w:rPr>
          <w:tab/>
        </w:r>
        <w:r>
          <w:rPr>
            <w:webHidden/>
          </w:rPr>
          <w:fldChar w:fldCharType="begin"/>
        </w:r>
        <w:r>
          <w:rPr>
            <w:webHidden/>
          </w:rPr>
          <w:instrText xml:space="preserve"> PAGEREF _Toc188866034 \h </w:instrText>
        </w:r>
        <w:r>
          <w:rPr>
            <w:webHidden/>
          </w:rPr>
        </w:r>
        <w:r>
          <w:rPr>
            <w:webHidden/>
          </w:rPr>
          <w:fldChar w:fldCharType="separate"/>
        </w:r>
        <w:r>
          <w:rPr>
            <w:webHidden/>
          </w:rPr>
          <w:t>21</w:t>
        </w:r>
        <w:r>
          <w:rPr>
            <w:webHidden/>
          </w:rPr>
          <w:fldChar w:fldCharType="end"/>
        </w:r>
      </w:hyperlink>
    </w:p>
    <w:p w14:paraId="136CA057" w14:textId="79CB5DBA"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5" w:history="1">
        <w:r w:rsidRPr="00C0103C">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B daļa. Dati par termiņu</w:t>
        </w:r>
        <w:r>
          <w:rPr>
            <w:webHidden/>
          </w:rPr>
          <w:tab/>
        </w:r>
        <w:r>
          <w:rPr>
            <w:webHidden/>
          </w:rPr>
          <w:fldChar w:fldCharType="begin"/>
        </w:r>
        <w:r>
          <w:rPr>
            <w:webHidden/>
          </w:rPr>
          <w:instrText xml:space="preserve"> PAGEREF _Toc188866035 \h </w:instrText>
        </w:r>
        <w:r>
          <w:rPr>
            <w:webHidden/>
          </w:rPr>
        </w:r>
        <w:r>
          <w:rPr>
            <w:webHidden/>
          </w:rPr>
          <w:fldChar w:fldCharType="separate"/>
        </w:r>
        <w:r>
          <w:rPr>
            <w:webHidden/>
          </w:rPr>
          <w:t>22</w:t>
        </w:r>
        <w:r>
          <w:rPr>
            <w:webHidden/>
          </w:rPr>
          <w:fldChar w:fldCharType="end"/>
        </w:r>
      </w:hyperlink>
    </w:p>
    <w:p w14:paraId="494FD656" w14:textId="62A2999A"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6" w:history="1">
        <w:r w:rsidRPr="00C0103C">
          <w:rPr>
            <w:rStyle w:val="Hyperlink"/>
            <w:rFonts w:ascii="Times New Roman" w:hAnsi="Times New Roman"/>
          </w:rPr>
          <w:t>3.1.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Vispārīgas piezīmes</w:t>
        </w:r>
        <w:r>
          <w:rPr>
            <w:webHidden/>
          </w:rPr>
          <w:tab/>
        </w:r>
        <w:r>
          <w:rPr>
            <w:webHidden/>
          </w:rPr>
          <w:fldChar w:fldCharType="begin"/>
        </w:r>
        <w:r>
          <w:rPr>
            <w:webHidden/>
          </w:rPr>
          <w:instrText xml:space="preserve"> PAGEREF _Toc188866036 \h </w:instrText>
        </w:r>
        <w:r>
          <w:rPr>
            <w:webHidden/>
          </w:rPr>
        </w:r>
        <w:r>
          <w:rPr>
            <w:webHidden/>
          </w:rPr>
          <w:fldChar w:fldCharType="separate"/>
        </w:r>
        <w:r>
          <w:rPr>
            <w:webHidden/>
          </w:rPr>
          <w:t>22</w:t>
        </w:r>
        <w:r>
          <w:rPr>
            <w:webHidden/>
          </w:rPr>
          <w:fldChar w:fldCharType="end"/>
        </w:r>
      </w:hyperlink>
    </w:p>
    <w:p w14:paraId="16DE8BF1" w14:textId="57AD85B3"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7" w:history="1">
        <w:r w:rsidRPr="00C0103C">
          <w:rPr>
            <w:rStyle w:val="Hyperlink"/>
            <w:rFonts w:ascii="Times New Roman" w:hAnsi="Times New Roman"/>
          </w:rPr>
          <w:t>3.2.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AE-MAT. Dati par termiņu</w:t>
        </w:r>
        <w:r>
          <w:rPr>
            <w:webHidden/>
          </w:rPr>
          <w:tab/>
        </w:r>
        <w:r>
          <w:rPr>
            <w:webHidden/>
          </w:rPr>
          <w:fldChar w:fldCharType="begin"/>
        </w:r>
        <w:r>
          <w:rPr>
            <w:webHidden/>
          </w:rPr>
          <w:instrText xml:space="preserve"> PAGEREF _Toc188866037 \h </w:instrText>
        </w:r>
        <w:r>
          <w:rPr>
            <w:webHidden/>
          </w:rPr>
        </w:r>
        <w:r>
          <w:rPr>
            <w:webHidden/>
          </w:rPr>
          <w:fldChar w:fldCharType="separate"/>
        </w:r>
        <w:r>
          <w:rPr>
            <w:webHidden/>
          </w:rPr>
          <w:t>22</w:t>
        </w:r>
        <w:r>
          <w:rPr>
            <w:webHidden/>
          </w:rPr>
          <w:fldChar w:fldCharType="end"/>
        </w:r>
      </w:hyperlink>
    </w:p>
    <w:p w14:paraId="72AB6933" w14:textId="1796F707"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8" w:history="1">
        <w:r w:rsidRPr="00C0103C">
          <w:rPr>
            <w:rStyle w:val="Hyperlink"/>
            <w:rFonts w:ascii="Times New Roman" w:hAnsi="Times New Roman"/>
          </w:rPr>
          <w:t>3.2.1.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_Toc188866038 \h </w:instrText>
        </w:r>
        <w:r>
          <w:rPr>
            <w:webHidden/>
          </w:rPr>
        </w:r>
        <w:r>
          <w:rPr>
            <w:webHidden/>
          </w:rPr>
          <w:fldChar w:fldCharType="separate"/>
        </w:r>
        <w:r>
          <w:rPr>
            <w:webHidden/>
          </w:rPr>
          <w:t>22</w:t>
        </w:r>
        <w:r>
          <w:rPr>
            <w:webHidden/>
          </w:rPr>
          <w:fldChar w:fldCharType="end"/>
        </w:r>
      </w:hyperlink>
    </w:p>
    <w:p w14:paraId="34EFC2C3" w14:textId="7EAEABFB"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39" w:history="1">
        <w:r w:rsidRPr="00C0103C">
          <w:rPr>
            <w:rStyle w:val="Hyperlink"/>
            <w:rFonts w:ascii="Times New Roman" w:hAnsi="Times New Roman"/>
          </w:rPr>
          <w:t>3.2.2.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slejām</w:t>
        </w:r>
        <w:r>
          <w:rPr>
            <w:webHidden/>
          </w:rPr>
          <w:tab/>
        </w:r>
        <w:r>
          <w:rPr>
            <w:webHidden/>
          </w:rPr>
          <w:fldChar w:fldCharType="begin"/>
        </w:r>
        <w:r>
          <w:rPr>
            <w:webHidden/>
          </w:rPr>
          <w:instrText xml:space="preserve"> PAGEREF _Toc188866039 \h </w:instrText>
        </w:r>
        <w:r>
          <w:rPr>
            <w:webHidden/>
          </w:rPr>
        </w:r>
        <w:r>
          <w:rPr>
            <w:webHidden/>
          </w:rPr>
          <w:fldChar w:fldCharType="separate"/>
        </w:r>
        <w:r>
          <w:rPr>
            <w:webHidden/>
          </w:rPr>
          <w:t>22</w:t>
        </w:r>
        <w:r>
          <w:rPr>
            <w:webHidden/>
          </w:rPr>
          <w:fldChar w:fldCharType="end"/>
        </w:r>
      </w:hyperlink>
    </w:p>
    <w:p w14:paraId="6D0F88C8" w14:textId="79C02C4A"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0" w:history="1">
        <w:r w:rsidRPr="00C0103C">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C daļa. Iespējamais apgrūtinājums</w:t>
        </w:r>
        <w:r>
          <w:rPr>
            <w:webHidden/>
          </w:rPr>
          <w:tab/>
        </w:r>
        <w:r>
          <w:rPr>
            <w:webHidden/>
          </w:rPr>
          <w:fldChar w:fldCharType="begin"/>
        </w:r>
        <w:r>
          <w:rPr>
            <w:webHidden/>
          </w:rPr>
          <w:instrText xml:space="preserve"> PAGEREF _Toc188866040 \h </w:instrText>
        </w:r>
        <w:r>
          <w:rPr>
            <w:webHidden/>
          </w:rPr>
        </w:r>
        <w:r>
          <w:rPr>
            <w:webHidden/>
          </w:rPr>
          <w:fldChar w:fldCharType="separate"/>
        </w:r>
        <w:r>
          <w:rPr>
            <w:webHidden/>
          </w:rPr>
          <w:t>23</w:t>
        </w:r>
        <w:r>
          <w:rPr>
            <w:webHidden/>
          </w:rPr>
          <w:fldChar w:fldCharType="end"/>
        </w:r>
      </w:hyperlink>
    </w:p>
    <w:p w14:paraId="07FF479D" w14:textId="3E01681F"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1" w:history="1">
        <w:r w:rsidRPr="00C0103C">
          <w:rPr>
            <w:rStyle w:val="Hyperlink"/>
            <w:rFonts w:ascii="Times New Roman" w:hAnsi="Times New Roman"/>
          </w:rPr>
          <w:t>4.1.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Vispārīgas piezīmes</w:t>
        </w:r>
        <w:r>
          <w:rPr>
            <w:webHidden/>
          </w:rPr>
          <w:tab/>
        </w:r>
        <w:r>
          <w:rPr>
            <w:webHidden/>
          </w:rPr>
          <w:fldChar w:fldCharType="begin"/>
        </w:r>
        <w:r>
          <w:rPr>
            <w:webHidden/>
          </w:rPr>
          <w:instrText xml:space="preserve"> PAGEREF _Toc188866041 \h </w:instrText>
        </w:r>
        <w:r>
          <w:rPr>
            <w:webHidden/>
          </w:rPr>
        </w:r>
        <w:r>
          <w:rPr>
            <w:webHidden/>
          </w:rPr>
          <w:fldChar w:fldCharType="separate"/>
        </w:r>
        <w:r>
          <w:rPr>
            <w:webHidden/>
          </w:rPr>
          <w:t>23</w:t>
        </w:r>
        <w:r>
          <w:rPr>
            <w:webHidden/>
          </w:rPr>
          <w:fldChar w:fldCharType="end"/>
        </w:r>
      </w:hyperlink>
    </w:p>
    <w:p w14:paraId="676AF553" w14:textId="68D540D2"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2" w:history="1">
        <w:r w:rsidRPr="00C0103C">
          <w:rPr>
            <w:rStyle w:val="Hyperlink"/>
            <w:rFonts w:ascii="Times New Roman" w:hAnsi="Times New Roman"/>
          </w:rPr>
          <w:t>4.1.1.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A scenārijs. Apgrūtināto aktīvu samazinājums par 30 %</w:t>
        </w:r>
        <w:r>
          <w:rPr>
            <w:webHidden/>
          </w:rPr>
          <w:tab/>
        </w:r>
        <w:r>
          <w:rPr>
            <w:webHidden/>
          </w:rPr>
          <w:fldChar w:fldCharType="begin"/>
        </w:r>
        <w:r>
          <w:rPr>
            <w:webHidden/>
          </w:rPr>
          <w:instrText xml:space="preserve"> PAGEREF _Toc188866042 \h </w:instrText>
        </w:r>
        <w:r>
          <w:rPr>
            <w:webHidden/>
          </w:rPr>
        </w:r>
        <w:r>
          <w:rPr>
            <w:webHidden/>
          </w:rPr>
          <w:fldChar w:fldCharType="separate"/>
        </w:r>
        <w:r>
          <w:rPr>
            <w:webHidden/>
          </w:rPr>
          <w:t>24</w:t>
        </w:r>
        <w:r>
          <w:rPr>
            <w:webHidden/>
          </w:rPr>
          <w:fldChar w:fldCharType="end"/>
        </w:r>
      </w:hyperlink>
    </w:p>
    <w:p w14:paraId="0D526033" w14:textId="222DF166"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3" w:history="1">
        <w:r w:rsidRPr="00C0103C">
          <w:rPr>
            <w:rStyle w:val="Hyperlink"/>
            <w:rFonts w:ascii="Times New Roman" w:hAnsi="Times New Roman"/>
          </w:rPr>
          <w:t>4.1.2.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B scenārijs. Amortizācija 10 % apmērā būtiskajās valūtās</w:t>
        </w:r>
        <w:r>
          <w:rPr>
            <w:webHidden/>
          </w:rPr>
          <w:tab/>
        </w:r>
        <w:r>
          <w:rPr>
            <w:webHidden/>
          </w:rPr>
          <w:fldChar w:fldCharType="begin"/>
        </w:r>
        <w:r>
          <w:rPr>
            <w:webHidden/>
          </w:rPr>
          <w:instrText xml:space="preserve"> PAGEREF _Toc188866043 \h </w:instrText>
        </w:r>
        <w:r>
          <w:rPr>
            <w:webHidden/>
          </w:rPr>
        </w:r>
        <w:r>
          <w:rPr>
            <w:webHidden/>
          </w:rPr>
          <w:fldChar w:fldCharType="separate"/>
        </w:r>
        <w:r>
          <w:rPr>
            <w:webHidden/>
          </w:rPr>
          <w:t>24</w:t>
        </w:r>
        <w:r>
          <w:rPr>
            <w:webHidden/>
          </w:rPr>
          <w:fldChar w:fldCharType="end"/>
        </w:r>
      </w:hyperlink>
    </w:p>
    <w:p w14:paraId="2C413F59" w14:textId="63E84DAA"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4" w:history="1">
        <w:r w:rsidRPr="00C0103C">
          <w:rPr>
            <w:rStyle w:val="Hyperlink"/>
            <w:rFonts w:ascii="Times New Roman" w:hAnsi="Times New Roman"/>
          </w:rPr>
          <w:t>4.2.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AE-CONT. Iespējamais apgrūtinājums</w:t>
        </w:r>
        <w:r>
          <w:rPr>
            <w:webHidden/>
          </w:rPr>
          <w:tab/>
        </w:r>
        <w:r>
          <w:rPr>
            <w:webHidden/>
          </w:rPr>
          <w:fldChar w:fldCharType="begin"/>
        </w:r>
        <w:r>
          <w:rPr>
            <w:webHidden/>
          </w:rPr>
          <w:instrText xml:space="preserve"> PAGEREF _Toc188866044 \h </w:instrText>
        </w:r>
        <w:r>
          <w:rPr>
            <w:webHidden/>
          </w:rPr>
        </w:r>
        <w:r>
          <w:rPr>
            <w:webHidden/>
          </w:rPr>
          <w:fldChar w:fldCharType="separate"/>
        </w:r>
        <w:r>
          <w:rPr>
            <w:webHidden/>
          </w:rPr>
          <w:t>24</w:t>
        </w:r>
        <w:r>
          <w:rPr>
            <w:webHidden/>
          </w:rPr>
          <w:fldChar w:fldCharType="end"/>
        </w:r>
      </w:hyperlink>
    </w:p>
    <w:p w14:paraId="5E28035C" w14:textId="0F48C9FA"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5" w:history="1">
        <w:r w:rsidRPr="00C0103C">
          <w:rPr>
            <w:rStyle w:val="Hyperlink"/>
            <w:rFonts w:ascii="Times New Roman" w:hAnsi="Times New Roman"/>
          </w:rPr>
          <w:t>4.2.1.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_Toc188866045 \h </w:instrText>
        </w:r>
        <w:r>
          <w:rPr>
            <w:webHidden/>
          </w:rPr>
        </w:r>
        <w:r>
          <w:rPr>
            <w:webHidden/>
          </w:rPr>
          <w:fldChar w:fldCharType="separate"/>
        </w:r>
        <w:r>
          <w:rPr>
            <w:webHidden/>
          </w:rPr>
          <w:t>24</w:t>
        </w:r>
        <w:r>
          <w:rPr>
            <w:webHidden/>
          </w:rPr>
          <w:fldChar w:fldCharType="end"/>
        </w:r>
      </w:hyperlink>
    </w:p>
    <w:p w14:paraId="4015CBF2" w14:textId="61A54242"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6" w:history="1">
        <w:r w:rsidRPr="00C0103C">
          <w:rPr>
            <w:rStyle w:val="Hyperlink"/>
            <w:rFonts w:ascii="Times New Roman" w:hAnsi="Times New Roman"/>
          </w:rPr>
          <w:t>4.2.2.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slejām</w:t>
        </w:r>
        <w:r>
          <w:rPr>
            <w:webHidden/>
          </w:rPr>
          <w:tab/>
        </w:r>
        <w:r>
          <w:rPr>
            <w:webHidden/>
          </w:rPr>
          <w:fldChar w:fldCharType="begin"/>
        </w:r>
        <w:r>
          <w:rPr>
            <w:webHidden/>
          </w:rPr>
          <w:instrText xml:space="preserve"> PAGEREF _Toc188866046 \h </w:instrText>
        </w:r>
        <w:r>
          <w:rPr>
            <w:webHidden/>
          </w:rPr>
        </w:r>
        <w:r>
          <w:rPr>
            <w:webHidden/>
          </w:rPr>
          <w:fldChar w:fldCharType="separate"/>
        </w:r>
        <w:r>
          <w:rPr>
            <w:webHidden/>
          </w:rPr>
          <w:t>25</w:t>
        </w:r>
        <w:r>
          <w:rPr>
            <w:webHidden/>
          </w:rPr>
          <w:fldChar w:fldCharType="end"/>
        </w:r>
      </w:hyperlink>
    </w:p>
    <w:p w14:paraId="1F3DCF7E" w14:textId="44CAF188"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7" w:history="1">
        <w:r w:rsidRPr="00C0103C">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D daļa. Segtās obligācijas</w:t>
        </w:r>
        <w:r>
          <w:rPr>
            <w:webHidden/>
          </w:rPr>
          <w:tab/>
        </w:r>
        <w:r>
          <w:rPr>
            <w:webHidden/>
          </w:rPr>
          <w:fldChar w:fldCharType="begin"/>
        </w:r>
        <w:r>
          <w:rPr>
            <w:webHidden/>
          </w:rPr>
          <w:instrText xml:space="preserve"> PAGEREF _Toc188866047 \h </w:instrText>
        </w:r>
        <w:r>
          <w:rPr>
            <w:webHidden/>
          </w:rPr>
        </w:r>
        <w:r>
          <w:rPr>
            <w:webHidden/>
          </w:rPr>
          <w:fldChar w:fldCharType="separate"/>
        </w:r>
        <w:r>
          <w:rPr>
            <w:webHidden/>
          </w:rPr>
          <w:t>25</w:t>
        </w:r>
        <w:r>
          <w:rPr>
            <w:webHidden/>
          </w:rPr>
          <w:fldChar w:fldCharType="end"/>
        </w:r>
      </w:hyperlink>
    </w:p>
    <w:p w14:paraId="214DE0AE" w14:textId="0205AB0A"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8" w:history="1">
        <w:r w:rsidRPr="00C0103C">
          <w:rPr>
            <w:rStyle w:val="Hyperlink"/>
            <w:rFonts w:ascii="Times New Roman" w:hAnsi="Times New Roman"/>
          </w:rPr>
          <w:t>5.1.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Vispārīgas piezīmes</w:t>
        </w:r>
        <w:r>
          <w:rPr>
            <w:webHidden/>
          </w:rPr>
          <w:tab/>
        </w:r>
        <w:r>
          <w:rPr>
            <w:webHidden/>
          </w:rPr>
          <w:fldChar w:fldCharType="begin"/>
        </w:r>
        <w:r>
          <w:rPr>
            <w:webHidden/>
          </w:rPr>
          <w:instrText xml:space="preserve"> PAGEREF _Toc188866048 \h </w:instrText>
        </w:r>
        <w:r>
          <w:rPr>
            <w:webHidden/>
          </w:rPr>
        </w:r>
        <w:r>
          <w:rPr>
            <w:webHidden/>
          </w:rPr>
          <w:fldChar w:fldCharType="separate"/>
        </w:r>
        <w:r>
          <w:rPr>
            <w:webHidden/>
          </w:rPr>
          <w:t>25</w:t>
        </w:r>
        <w:r>
          <w:rPr>
            <w:webHidden/>
          </w:rPr>
          <w:fldChar w:fldCharType="end"/>
        </w:r>
      </w:hyperlink>
    </w:p>
    <w:p w14:paraId="43B126C3" w14:textId="2893033F"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49" w:history="1">
        <w:r w:rsidRPr="00C0103C">
          <w:rPr>
            <w:rStyle w:val="Hyperlink"/>
            <w:rFonts w:ascii="Times New Roman" w:hAnsi="Times New Roman"/>
          </w:rPr>
          <w:t>5.2.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AE-CB. Segto obligāciju emisija</w:t>
        </w:r>
        <w:r>
          <w:rPr>
            <w:webHidden/>
          </w:rPr>
          <w:tab/>
        </w:r>
        <w:r>
          <w:rPr>
            <w:webHidden/>
          </w:rPr>
          <w:fldChar w:fldCharType="begin"/>
        </w:r>
        <w:r>
          <w:rPr>
            <w:webHidden/>
          </w:rPr>
          <w:instrText xml:space="preserve"> PAGEREF _Toc188866049 \h </w:instrText>
        </w:r>
        <w:r>
          <w:rPr>
            <w:webHidden/>
          </w:rPr>
        </w:r>
        <w:r>
          <w:rPr>
            <w:webHidden/>
          </w:rPr>
          <w:fldChar w:fldCharType="separate"/>
        </w:r>
        <w:r>
          <w:rPr>
            <w:webHidden/>
          </w:rPr>
          <w:t>26</w:t>
        </w:r>
        <w:r>
          <w:rPr>
            <w:webHidden/>
          </w:rPr>
          <w:fldChar w:fldCharType="end"/>
        </w:r>
      </w:hyperlink>
    </w:p>
    <w:p w14:paraId="7E28DF7A" w14:textId="5190290D"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0" w:history="1">
        <w:r w:rsidRPr="00C0103C">
          <w:rPr>
            <w:rStyle w:val="Hyperlink"/>
            <w:rFonts w:ascii="Times New Roman" w:hAnsi="Times New Roman"/>
          </w:rPr>
          <w:t>5.2.1.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z-asi</w:t>
        </w:r>
        <w:r>
          <w:rPr>
            <w:webHidden/>
          </w:rPr>
          <w:tab/>
        </w:r>
        <w:r>
          <w:rPr>
            <w:webHidden/>
          </w:rPr>
          <w:fldChar w:fldCharType="begin"/>
        </w:r>
        <w:r>
          <w:rPr>
            <w:webHidden/>
          </w:rPr>
          <w:instrText xml:space="preserve"> PAGEREF _Toc188866050 \h </w:instrText>
        </w:r>
        <w:r>
          <w:rPr>
            <w:webHidden/>
          </w:rPr>
        </w:r>
        <w:r>
          <w:rPr>
            <w:webHidden/>
          </w:rPr>
          <w:fldChar w:fldCharType="separate"/>
        </w:r>
        <w:r>
          <w:rPr>
            <w:webHidden/>
          </w:rPr>
          <w:t>26</w:t>
        </w:r>
        <w:r>
          <w:rPr>
            <w:webHidden/>
          </w:rPr>
          <w:fldChar w:fldCharType="end"/>
        </w:r>
      </w:hyperlink>
    </w:p>
    <w:p w14:paraId="011246F5" w14:textId="0150BD9A"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1" w:history="1">
        <w:r w:rsidRPr="00C0103C">
          <w:rPr>
            <w:rStyle w:val="Hyperlink"/>
            <w:rFonts w:ascii="Times New Roman" w:hAnsi="Times New Roman"/>
          </w:rPr>
          <w:t>5.2.2.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_Toc188866051 \h </w:instrText>
        </w:r>
        <w:r>
          <w:rPr>
            <w:webHidden/>
          </w:rPr>
        </w:r>
        <w:r>
          <w:rPr>
            <w:webHidden/>
          </w:rPr>
          <w:fldChar w:fldCharType="separate"/>
        </w:r>
        <w:r>
          <w:rPr>
            <w:webHidden/>
          </w:rPr>
          <w:t>26</w:t>
        </w:r>
        <w:r>
          <w:rPr>
            <w:webHidden/>
          </w:rPr>
          <w:fldChar w:fldCharType="end"/>
        </w:r>
      </w:hyperlink>
    </w:p>
    <w:p w14:paraId="3538CD64" w14:textId="48490567"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2" w:history="1">
        <w:r w:rsidRPr="00C0103C">
          <w:rPr>
            <w:rStyle w:val="Hyperlink"/>
            <w:rFonts w:ascii="Times New Roman" w:hAnsi="Times New Roman"/>
          </w:rPr>
          <w:t>5.2.3.</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slejām</w:t>
        </w:r>
        <w:r>
          <w:rPr>
            <w:webHidden/>
          </w:rPr>
          <w:tab/>
        </w:r>
        <w:r>
          <w:rPr>
            <w:webHidden/>
          </w:rPr>
          <w:fldChar w:fldCharType="begin"/>
        </w:r>
        <w:r>
          <w:rPr>
            <w:webHidden/>
          </w:rPr>
          <w:instrText xml:space="preserve"> PAGEREF _Toc188866052 \h </w:instrText>
        </w:r>
        <w:r>
          <w:rPr>
            <w:webHidden/>
          </w:rPr>
        </w:r>
        <w:r>
          <w:rPr>
            <w:webHidden/>
          </w:rPr>
          <w:fldChar w:fldCharType="separate"/>
        </w:r>
        <w:r>
          <w:rPr>
            <w:webHidden/>
          </w:rPr>
          <w:t>26</w:t>
        </w:r>
        <w:r>
          <w:rPr>
            <w:webHidden/>
          </w:rPr>
          <w:fldChar w:fldCharType="end"/>
        </w:r>
      </w:hyperlink>
    </w:p>
    <w:p w14:paraId="5F2C4B7F" w14:textId="7969BF64"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3" w:history="1">
        <w:r w:rsidRPr="00C0103C">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E daļa Izvērsti dati.</w:t>
        </w:r>
        <w:r>
          <w:rPr>
            <w:webHidden/>
          </w:rPr>
          <w:tab/>
        </w:r>
        <w:r>
          <w:rPr>
            <w:webHidden/>
          </w:rPr>
          <w:fldChar w:fldCharType="begin"/>
        </w:r>
        <w:r>
          <w:rPr>
            <w:webHidden/>
          </w:rPr>
          <w:instrText xml:space="preserve"> PAGEREF _Toc188866053 \h </w:instrText>
        </w:r>
        <w:r>
          <w:rPr>
            <w:webHidden/>
          </w:rPr>
        </w:r>
        <w:r>
          <w:rPr>
            <w:webHidden/>
          </w:rPr>
          <w:fldChar w:fldCharType="separate"/>
        </w:r>
        <w:r>
          <w:rPr>
            <w:webHidden/>
          </w:rPr>
          <w:t>29</w:t>
        </w:r>
        <w:r>
          <w:rPr>
            <w:webHidden/>
          </w:rPr>
          <w:fldChar w:fldCharType="end"/>
        </w:r>
      </w:hyperlink>
    </w:p>
    <w:p w14:paraId="41592822" w14:textId="1073C709"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4" w:history="1">
        <w:r w:rsidRPr="00C0103C">
          <w:rPr>
            <w:rStyle w:val="Hyperlink"/>
            <w:rFonts w:ascii="Times New Roman" w:hAnsi="Times New Roman"/>
          </w:rPr>
          <w:t>6.1.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Vispārīgas piezīmes</w:t>
        </w:r>
        <w:r>
          <w:rPr>
            <w:webHidden/>
          </w:rPr>
          <w:tab/>
        </w:r>
        <w:r>
          <w:rPr>
            <w:webHidden/>
          </w:rPr>
          <w:fldChar w:fldCharType="begin"/>
        </w:r>
        <w:r>
          <w:rPr>
            <w:webHidden/>
          </w:rPr>
          <w:instrText xml:space="preserve"> PAGEREF _Toc188866054 \h </w:instrText>
        </w:r>
        <w:r>
          <w:rPr>
            <w:webHidden/>
          </w:rPr>
        </w:r>
        <w:r>
          <w:rPr>
            <w:webHidden/>
          </w:rPr>
          <w:fldChar w:fldCharType="separate"/>
        </w:r>
        <w:r>
          <w:rPr>
            <w:webHidden/>
          </w:rPr>
          <w:t>29</w:t>
        </w:r>
        <w:r>
          <w:rPr>
            <w:webHidden/>
          </w:rPr>
          <w:fldChar w:fldCharType="end"/>
        </w:r>
      </w:hyperlink>
    </w:p>
    <w:p w14:paraId="14656C2F" w14:textId="4A035D88"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5" w:history="1">
        <w:r w:rsidRPr="00C0103C">
          <w:rPr>
            <w:rStyle w:val="Hyperlink"/>
            <w:rFonts w:ascii="Times New Roman" w:hAnsi="Times New Roman"/>
          </w:rPr>
          <w:t>6.2.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AE-ADV1. Izvērsta veidne par pārskatu sniedzošās iestādes aktīviem</w:t>
        </w:r>
        <w:r>
          <w:rPr>
            <w:webHidden/>
          </w:rPr>
          <w:tab/>
        </w:r>
        <w:r>
          <w:rPr>
            <w:webHidden/>
          </w:rPr>
          <w:fldChar w:fldCharType="begin"/>
        </w:r>
        <w:r>
          <w:rPr>
            <w:webHidden/>
          </w:rPr>
          <w:instrText xml:space="preserve"> PAGEREF _Toc188866055 \h </w:instrText>
        </w:r>
        <w:r>
          <w:rPr>
            <w:webHidden/>
          </w:rPr>
        </w:r>
        <w:r>
          <w:rPr>
            <w:webHidden/>
          </w:rPr>
          <w:fldChar w:fldCharType="separate"/>
        </w:r>
        <w:r>
          <w:rPr>
            <w:webHidden/>
          </w:rPr>
          <w:t>29</w:t>
        </w:r>
        <w:r>
          <w:rPr>
            <w:webHidden/>
          </w:rPr>
          <w:fldChar w:fldCharType="end"/>
        </w:r>
      </w:hyperlink>
    </w:p>
    <w:p w14:paraId="11F3F3A9" w14:textId="0B770BCF"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6" w:history="1">
        <w:r w:rsidRPr="00C0103C">
          <w:rPr>
            <w:rStyle w:val="Hyperlink"/>
            <w:rFonts w:ascii="Times New Roman" w:hAnsi="Times New Roman"/>
          </w:rPr>
          <w:t>6.2.1.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_Toc188866056 \h </w:instrText>
        </w:r>
        <w:r>
          <w:rPr>
            <w:webHidden/>
          </w:rPr>
        </w:r>
        <w:r>
          <w:rPr>
            <w:webHidden/>
          </w:rPr>
          <w:fldChar w:fldCharType="separate"/>
        </w:r>
        <w:r>
          <w:rPr>
            <w:webHidden/>
          </w:rPr>
          <w:t>29</w:t>
        </w:r>
        <w:r>
          <w:rPr>
            <w:webHidden/>
          </w:rPr>
          <w:fldChar w:fldCharType="end"/>
        </w:r>
      </w:hyperlink>
    </w:p>
    <w:p w14:paraId="56D750CB" w14:textId="45D31785"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7" w:history="1">
        <w:r w:rsidRPr="00C0103C">
          <w:rPr>
            <w:rStyle w:val="Hyperlink"/>
            <w:rFonts w:ascii="Times New Roman" w:hAnsi="Times New Roman"/>
          </w:rPr>
          <w:t>6.2.2.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slejām</w:t>
        </w:r>
        <w:r>
          <w:rPr>
            <w:webHidden/>
          </w:rPr>
          <w:tab/>
        </w:r>
        <w:r>
          <w:rPr>
            <w:webHidden/>
          </w:rPr>
          <w:fldChar w:fldCharType="begin"/>
        </w:r>
        <w:r>
          <w:rPr>
            <w:webHidden/>
          </w:rPr>
          <w:instrText xml:space="preserve"> PAGEREF _Toc188866057 \h </w:instrText>
        </w:r>
        <w:r>
          <w:rPr>
            <w:webHidden/>
          </w:rPr>
        </w:r>
        <w:r>
          <w:rPr>
            <w:webHidden/>
          </w:rPr>
          <w:fldChar w:fldCharType="separate"/>
        </w:r>
        <w:r>
          <w:rPr>
            <w:webHidden/>
          </w:rPr>
          <w:t>31</w:t>
        </w:r>
        <w:r>
          <w:rPr>
            <w:webHidden/>
          </w:rPr>
          <w:fldChar w:fldCharType="end"/>
        </w:r>
      </w:hyperlink>
    </w:p>
    <w:p w14:paraId="1D4350A4" w14:textId="460C47BB"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8" w:history="1">
        <w:r w:rsidRPr="00C0103C">
          <w:rPr>
            <w:rStyle w:val="Hyperlink"/>
            <w:rFonts w:ascii="Times New Roman" w:hAnsi="Times New Roman"/>
          </w:rPr>
          <w:t>6.3.</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Veidne: AE-ADV2. Izvērsta veidne par pārskatu sniedzošās iestādes saņemto nodrošinājumu</w:t>
        </w:r>
        <w:r>
          <w:rPr>
            <w:webHidden/>
          </w:rPr>
          <w:tab/>
        </w:r>
        <w:r>
          <w:rPr>
            <w:webHidden/>
          </w:rPr>
          <w:fldChar w:fldCharType="begin"/>
        </w:r>
        <w:r>
          <w:rPr>
            <w:webHidden/>
          </w:rPr>
          <w:instrText xml:space="preserve"> PAGEREF _Toc188866058 \h </w:instrText>
        </w:r>
        <w:r>
          <w:rPr>
            <w:webHidden/>
          </w:rPr>
        </w:r>
        <w:r>
          <w:rPr>
            <w:webHidden/>
          </w:rPr>
          <w:fldChar w:fldCharType="separate"/>
        </w:r>
        <w:r>
          <w:rPr>
            <w:webHidden/>
          </w:rPr>
          <w:t>33</w:t>
        </w:r>
        <w:r>
          <w:rPr>
            <w:webHidden/>
          </w:rPr>
          <w:fldChar w:fldCharType="end"/>
        </w:r>
      </w:hyperlink>
    </w:p>
    <w:p w14:paraId="3A7975B3" w14:textId="589E758E"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59" w:history="1">
        <w:r w:rsidRPr="00C0103C">
          <w:rPr>
            <w:rStyle w:val="Hyperlink"/>
            <w:rFonts w:ascii="Times New Roman" w:hAnsi="Times New Roman"/>
          </w:rPr>
          <w:t>6.3.1.</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rindām</w:t>
        </w:r>
        <w:r>
          <w:rPr>
            <w:webHidden/>
          </w:rPr>
          <w:tab/>
        </w:r>
        <w:r>
          <w:rPr>
            <w:webHidden/>
          </w:rPr>
          <w:fldChar w:fldCharType="begin"/>
        </w:r>
        <w:r>
          <w:rPr>
            <w:webHidden/>
          </w:rPr>
          <w:instrText xml:space="preserve"> PAGEREF _Toc188866059 \h </w:instrText>
        </w:r>
        <w:r>
          <w:rPr>
            <w:webHidden/>
          </w:rPr>
        </w:r>
        <w:r>
          <w:rPr>
            <w:webHidden/>
          </w:rPr>
          <w:fldChar w:fldCharType="separate"/>
        </w:r>
        <w:r>
          <w:rPr>
            <w:webHidden/>
          </w:rPr>
          <w:t>33</w:t>
        </w:r>
        <w:r>
          <w:rPr>
            <w:webHidden/>
          </w:rPr>
          <w:fldChar w:fldCharType="end"/>
        </w:r>
      </w:hyperlink>
    </w:p>
    <w:p w14:paraId="60A530DD" w14:textId="21C3AA83" w:rsidR="008E4D9C" w:rsidRDefault="008E4D9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6060" w:history="1">
        <w:r w:rsidRPr="00C0103C">
          <w:rPr>
            <w:rStyle w:val="Hyperlink"/>
            <w:rFonts w:ascii="Times New Roman" w:hAnsi="Times New Roman"/>
          </w:rPr>
          <w:t>6.3.2.</w:t>
        </w:r>
        <w:r>
          <w:rPr>
            <w:rFonts w:asciiTheme="minorHAnsi" w:eastAsiaTheme="minorEastAsia" w:hAnsiTheme="minorHAnsi" w:cstheme="minorBidi"/>
            <w:b w:val="0"/>
            <w:smallCaps w:val="0"/>
            <w:kern w:val="2"/>
            <w:sz w:val="24"/>
            <w:szCs w:val="24"/>
            <w:lang w:val="en-IE" w:eastAsia="en-IE"/>
            <w14:ligatures w14:val="standardContextual"/>
          </w:rPr>
          <w:tab/>
        </w:r>
        <w:r w:rsidRPr="00C0103C">
          <w:rPr>
            <w:rStyle w:val="Hyperlink"/>
            <w:rFonts w:ascii="Times New Roman" w:hAnsi="Times New Roman"/>
          </w:rPr>
          <w:t>Norādes par konkrētām slejām</w:t>
        </w:r>
        <w:r>
          <w:rPr>
            <w:webHidden/>
          </w:rPr>
          <w:tab/>
        </w:r>
        <w:r>
          <w:rPr>
            <w:webHidden/>
          </w:rPr>
          <w:fldChar w:fldCharType="begin"/>
        </w:r>
        <w:r>
          <w:rPr>
            <w:webHidden/>
          </w:rPr>
          <w:instrText xml:space="preserve"> PAGEREF _Toc188866060 \h </w:instrText>
        </w:r>
        <w:r>
          <w:rPr>
            <w:webHidden/>
          </w:rPr>
        </w:r>
        <w:r>
          <w:rPr>
            <w:webHidden/>
          </w:rPr>
          <w:fldChar w:fldCharType="separate"/>
        </w:r>
        <w:r>
          <w:rPr>
            <w:webHidden/>
          </w:rPr>
          <w:t>33</w:t>
        </w:r>
        <w:r>
          <w:rPr>
            <w:webHidden/>
          </w:rPr>
          <w:fldChar w:fldCharType="end"/>
        </w:r>
      </w:hyperlink>
    </w:p>
    <w:p w14:paraId="36A94005" w14:textId="3C506A26"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8866008"/>
      <w:r>
        <w:rPr>
          <w:rFonts w:ascii="Times New Roman" w:hAnsi="Times New Roman"/>
        </w:rPr>
        <w:lastRenderedPageBreak/>
        <w:t>VISPĀRĪGI NORĀDĪJUMI</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8866009"/>
      <w:r>
        <w:rPr>
          <w:rFonts w:ascii="Times New Roman" w:hAnsi="Times New Roman"/>
        </w:rPr>
        <w:t>1 STRUKTŪRA UN KONVENCIJAS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88866010"/>
      <w:r>
        <w:rPr>
          <w:rFonts w:ascii="Times New Roman" w:hAnsi="Times New Roman"/>
          <w:sz w:val="24"/>
          <w:u w:val="none"/>
        </w:rPr>
        <w:t>Struktūra</w:t>
      </w:r>
      <w:bookmarkEnd w:id="5"/>
      <w:bookmarkEnd w:id="8"/>
    </w:p>
    <w:p w14:paraId="6ACBD089" w14:textId="77777777" w:rsidR="00941FAE" w:rsidRPr="00857276" w:rsidRDefault="00941FAE" w:rsidP="00941FAE">
      <w:pPr>
        <w:pStyle w:val="InstructionsText2"/>
        <w:shd w:val="clear" w:color="auto" w:fill="FFFFFF"/>
        <w:spacing w:after="120"/>
        <w:rPr>
          <w:sz w:val="24"/>
        </w:rPr>
      </w:pPr>
      <w:r>
        <w:rPr>
          <w:sz w:val="24"/>
        </w:rPr>
        <w:t>Sistēmā ir ietverti pieci veidņu bloki, kuros ietvertas kopā deviņas veidnes saskaņā ar šādu shēmu:</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daļa. Pārskats par apgrūtinājumiem</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 veidne. Pārskatus sniedzošās iestādes aktīvi;</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 veidne. Pārskatus sniedzošās iestādes saņemtais nodrošinājums;</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 xml:space="preserve">AE-NPL veidne. Pašu segtās obligācijas un </w:t>
      </w:r>
      <w:proofErr w:type="spellStart"/>
      <w:r>
        <w:rPr>
          <w:rFonts w:ascii="Times New Roman" w:hAnsi="Times New Roman"/>
          <w:sz w:val="24"/>
        </w:rPr>
        <w:t>vērtspapīrošanas</w:t>
      </w:r>
      <w:proofErr w:type="spellEnd"/>
      <w:r>
        <w:rPr>
          <w:rFonts w:ascii="Times New Roman" w:hAnsi="Times New Roman"/>
          <w:sz w:val="24"/>
        </w:rPr>
        <w:t>, kas ir emitētas un vēl nav ieķīlātas;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 veidne. Apgrūtinājumu avoti;</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B daļa. Dati par termiņu:</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 veidne. Dati par termiņu;</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 daļa. Iespējamais apgrūtinājums: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 veidne. Iespējamais apgrūtinājums;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 daļa. Segtās obligācijas: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 veidne. Segto obligāciju emisija;</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E daļa Izvērsti dati:</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 veidne. Izvērsta veidne par pārskatu sniedzošās iestādes aktīviem;</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veidne. Izvērsta veidne par pārskatu sniedzošās iestādes saņemto nodrošinājumu.</w:t>
      </w:r>
    </w:p>
    <w:p w14:paraId="719FD80A" w14:textId="77777777" w:rsidR="00941FAE" w:rsidRPr="00857276" w:rsidRDefault="00941FAE" w:rsidP="00941FAE">
      <w:pPr>
        <w:pStyle w:val="InstructionsText2"/>
        <w:shd w:val="clear" w:color="auto" w:fill="FFFFFF"/>
        <w:spacing w:after="120"/>
        <w:rPr>
          <w:sz w:val="24"/>
        </w:rPr>
      </w:pPr>
      <w:r>
        <w:rPr>
          <w:sz w:val="24"/>
        </w:rPr>
        <w:t>Katrai veidnei ir sniegtas atsauces uz tiesību aktiem, kā arī sīkāka informācija par pārskatu sniegšanas vispārīgākiem aspektiem.</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8866011"/>
      <w:r>
        <w:rPr>
          <w:rFonts w:ascii="Times New Roman" w:hAnsi="Times New Roman"/>
          <w:sz w:val="24"/>
          <w:u w:val="none"/>
        </w:rPr>
        <w:t>Grāmatvedības standarts</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Iestādes uzrāda uzskaites vērtības saskaņā ar to grāmatvedības standartu, kuru tās lieto, sniedzot finanšu informāciju saskaņā ar 11. līdz 12. pantu. Iestādes, kurām nav pienākuma sniegt finanšu informāciju, izmanto savu attiecīgo grāmatvedības regulējumu. Veidnē AE-SOU iestādes parasti uzrāda uzskaites vērtības, izņemot grāmatvedības savstarpējo prasījumu ieskaitu, ja tāds ir, saskaņā ar bruto pārskatu sniegšanu par aktīvu un nodrošinājuma apgrūtinājumiem.</w:t>
      </w:r>
    </w:p>
    <w:p w14:paraId="2963DEDD" w14:textId="77777777" w:rsidR="00941FAE" w:rsidRPr="00857276" w:rsidRDefault="00941FAE" w:rsidP="00941FAE">
      <w:pPr>
        <w:pStyle w:val="InstructionsText2"/>
        <w:shd w:val="clear" w:color="auto" w:fill="FFFFFF"/>
        <w:spacing w:after="120"/>
        <w:rPr>
          <w:sz w:val="24"/>
        </w:rPr>
      </w:pPr>
      <w:r>
        <w:rPr>
          <w:sz w:val="24"/>
        </w:rPr>
        <w:t xml:space="preserve">Šajā pielikumā “SGS” (starptautiskie grāmatvedības standarti) un “SFPS” (starptautiskie finanšu pārskatu standarti) attiecas uz starptautiskajiem grāmatvedības standartiem, kā definēts Regulas (EK) Nr. 1606/2002 2. pantā. Iestādēm, kas sniedz pārskatus saskaņā ar SFPS standartiem, ir iekļautas atsauces uz attiecīgajiem SFPS standartiem.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88866012"/>
      <w:r>
        <w:rPr>
          <w:rFonts w:ascii="Times New Roman" w:hAnsi="Times New Roman"/>
          <w:sz w:val="24"/>
          <w:u w:val="none"/>
        </w:rPr>
        <w:t>Numerācijas konvencijas</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Lai norādītu uz veidnes slejām, rindām un ailēm, šajos norādījumos izmanto šādu vispārēju pieraksta formu: {Veidne; Rinda; Sleja}. Zvaigznītes zīmi izmanto, lai norādītu, ka validāciju veic attiecībā uz visu rindu vai sleju. Piemēram {AE-ASS; *; 2}  attiecas uz datu punktu jebkurā AE-ASS veidnes 2. slejas rindā.</w:t>
      </w:r>
    </w:p>
    <w:p w14:paraId="2BDBC894" w14:textId="77777777" w:rsidR="00941FAE" w:rsidRPr="00857276" w:rsidRDefault="00941FAE" w:rsidP="00941FAE">
      <w:pPr>
        <w:pStyle w:val="InstructionsText2"/>
        <w:shd w:val="clear" w:color="auto" w:fill="FFFFFF"/>
        <w:spacing w:after="120"/>
        <w:rPr>
          <w:sz w:val="24"/>
        </w:rPr>
      </w:pPr>
      <w:r>
        <w:rPr>
          <w:sz w:val="24"/>
        </w:rPr>
        <w:t>Veicot validāciju veidnes ietvaros, atsaucei uz datu punktiem no šīs veidnes izmanto šādu apzīmējumu: {Rinda; Sleja}.</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866013"/>
      <w:r>
        <w:rPr>
          <w:rFonts w:ascii="Times New Roman" w:hAnsi="Times New Roman"/>
          <w:sz w:val="24"/>
          <w:u w:val="none"/>
        </w:rPr>
        <w:lastRenderedPageBreak/>
        <w:t>Pieņemtā prakse attiecībā uz zīmēm</w:t>
      </w:r>
      <w:bookmarkEnd w:id="12"/>
      <w:bookmarkEnd w:id="13"/>
    </w:p>
    <w:p w14:paraId="115F5EAB" w14:textId="52B82412" w:rsidR="00941FAE" w:rsidRPr="00857276" w:rsidRDefault="00941FAE" w:rsidP="00941FAE">
      <w:pPr>
        <w:pStyle w:val="InstructionsText2"/>
        <w:shd w:val="clear" w:color="auto" w:fill="FFFFFF"/>
        <w:spacing w:after="120"/>
        <w:rPr>
          <w:sz w:val="24"/>
        </w:rPr>
      </w:pPr>
      <w:r>
        <w:t>Veidnes XVI pielikumā atbilst zīmju konvencijai, kas aprakstīta V pielikuma 1. daļas 9. un 10. punktā</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866014"/>
      <w:r>
        <w:rPr>
          <w:rFonts w:ascii="Times New Roman" w:hAnsi="Times New Roman"/>
          <w:sz w:val="24"/>
          <w:u w:val="none"/>
        </w:rPr>
        <w:t>Piemērošanas līmenis</w:t>
      </w:r>
      <w:bookmarkEnd w:id="15"/>
    </w:p>
    <w:p w14:paraId="586BFFF3" w14:textId="7D4CAF5C" w:rsidR="00941FAE" w:rsidRPr="00857276" w:rsidRDefault="00941FAE" w:rsidP="00941FAE">
      <w:pPr>
        <w:pStyle w:val="InstructionsText2"/>
        <w:spacing w:after="120"/>
        <w:rPr>
          <w:sz w:val="24"/>
        </w:rPr>
      </w:pPr>
      <w:r>
        <w:rPr>
          <w:sz w:val="24"/>
        </w:rPr>
        <w:t xml:space="preserve">Pārskatu sniegšanas piemērošanas līmenis attiecībā uz aktīvu apgrūtinājumiem ir tāds pats kā pārskatu sniegšanas prasībām par pašu kapitālu saskaņā ar Regulas (ES) Nr. 575/2013 430. panta 1. punkta a) apakšpunktu. Līdz ar to iestādēm, uz kurām neattiecas </w:t>
      </w:r>
      <w:proofErr w:type="spellStart"/>
      <w:r>
        <w:rPr>
          <w:sz w:val="24"/>
        </w:rPr>
        <w:t>prudenciālās</w:t>
      </w:r>
      <w:proofErr w:type="spellEnd"/>
      <w:r>
        <w:rPr>
          <w:sz w:val="24"/>
        </w:rPr>
        <w:t xml:space="preserve"> prasības saskaņā ar minētās regulas 7. pantu, nav jāuzrāda informācija par aktīvu apgrūtinājumiem.</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866015"/>
      <w:r>
        <w:rPr>
          <w:rFonts w:ascii="Times New Roman" w:hAnsi="Times New Roman"/>
          <w:sz w:val="24"/>
          <w:u w:val="none"/>
        </w:rPr>
        <w:t>Proporcionalitāte</w:t>
      </w:r>
      <w:bookmarkEnd w:id="16"/>
    </w:p>
    <w:p w14:paraId="35D2536C" w14:textId="704A548E" w:rsidR="00941FAE" w:rsidRPr="00857276" w:rsidRDefault="00941FAE" w:rsidP="00941FAE">
      <w:pPr>
        <w:pStyle w:val="InstructionsText2"/>
        <w:spacing w:after="120"/>
        <w:rPr>
          <w:sz w:val="24"/>
        </w:rPr>
      </w:pPr>
      <w:r>
        <w:rPr>
          <w:sz w:val="24"/>
        </w:rPr>
        <w:t>Šīs regulas 19. panta 3. punkta c) apakšpunkta vajadzībām aktīvu apgrūtinājuma pakāpi aprēķina šādi:</w:t>
      </w:r>
    </w:p>
    <w:p w14:paraId="60D7388A" w14:textId="5772CB48" w:rsidR="00941FAE" w:rsidRPr="00857276" w:rsidRDefault="00941FAE" w:rsidP="00DE426C">
      <w:pPr>
        <w:pStyle w:val="InstructionsText2"/>
        <w:numPr>
          <w:ilvl w:val="1"/>
          <w:numId w:val="2"/>
        </w:numPr>
        <w:spacing w:after="120"/>
        <w:rPr>
          <w:sz w:val="24"/>
        </w:rPr>
      </w:pPr>
      <w:r>
        <w:rPr>
          <w:sz w:val="24"/>
        </w:rPr>
        <w:t>apgrūtināto aktīvu un nodrošinājuma uzskaites vērtība = {AE-ASS;0010;0010}– {AE-ASS;0015;0010} +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aktīvi un nodrošinājums kopā = {AE-ASS;0010;0010} + {AE-ASS;0010;0060}– {AE-ASS;0015;0010</w:t>
      </w:r>
      <w:r>
        <w:rPr>
          <w:color w:val="000000" w:themeColor="text1"/>
          <w:sz w:val="24"/>
        </w:rPr>
        <w:t>}</w:t>
      </w:r>
      <w:r>
        <w:rPr>
          <w:sz w:val="24"/>
        </w:rPr>
        <w:t xml:space="preserve"> +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aktīvu apgrūtinājuma rādītājs = (Apgrūtināto aktīvu un nodrošinājuma uzskaites vērtība)/(Aktīvi un nodrošinājums kopā).</w:t>
      </w:r>
    </w:p>
    <w:p w14:paraId="053943E9" w14:textId="3771CB49" w:rsidR="00941FAE" w:rsidRPr="00857276" w:rsidRDefault="00E374DF" w:rsidP="00080DB3">
      <w:pPr>
        <w:pStyle w:val="InstructionsText2"/>
        <w:spacing w:after="120"/>
        <w:rPr>
          <w:sz w:val="24"/>
        </w:rPr>
      </w:pPr>
      <w:r>
        <w:rPr>
          <w:sz w:val="24"/>
        </w:rPr>
        <w:t>[Svītrots]</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866016"/>
      <w:r>
        <w:rPr>
          <w:rFonts w:ascii="Times New Roman" w:hAnsi="Times New Roman"/>
          <w:sz w:val="24"/>
          <w:u w:val="none"/>
        </w:rPr>
        <w:t>Apgrūtinājuma definīcija</w:t>
      </w:r>
      <w:bookmarkEnd w:id="17"/>
    </w:p>
    <w:p w14:paraId="69EDFB8D" w14:textId="42AF5CF5" w:rsidR="00941FAE" w:rsidRPr="00857276" w:rsidRDefault="00941FAE" w:rsidP="00941FAE">
      <w:pPr>
        <w:pStyle w:val="InstructionsText2"/>
        <w:spacing w:after="120"/>
        <w:rPr>
          <w:sz w:val="24"/>
        </w:rPr>
      </w:pPr>
      <w:r>
        <w:rPr>
          <w:sz w:val="24"/>
        </w:rPr>
        <w:t>Šā pielikuma un XVI pielikuma vajadzībām aktīvs ir atzīstams par apgrūtinātu, ja tas ir ieķīlāts vai uz to attiecas jebkāda veida vienošanās garantēt, nodrošināt vai uzlabot kredīta kvalitāti jebkuram tādam darījumam, no kura šo aktīvu nevar netraucēti izņemt.</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Īpaši jānorāda, ka par apgrūtinātiem būtu jāatzīst tie ieķīlātie aktīvi, uz kuriem attiecas jebkāda veida izņemšanas ierobežojumi, piemēram, aktīvi, kuriem pirms to izņemšanas vai aizstāšanas ar citiem aktīviem ir vajadzīgs iepriekšējs apstiprinājums. Šīs definīcijas pamatā nav skaidra juridiska definīcija, kā, piemēram, īpašumtiesību gadījumā, bet drīzāk ekonomikas principi, jo tiesiskais regulējums dažādās valstīs šajā jomā var būt atšķirīgs. Tomēr šī definīcija ir cieši saistīta ar līgumiskiem nosacījumiem. EBI uzskata, ka šī definīcija aptver šādu veidu līgumus (šis saraksts nav pilnīgs): </w:t>
      </w:r>
    </w:p>
    <w:p w14:paraId="2A8C82FE" w14:textId="77777777" w:rsidR="00941FAE" w:rsidRPr="00857276" w:rsidRDefault="00941FAE" w:rsidP="00941FAE">
      <w:pPr>
        <w:pStyle w:val="InstructionsText2"/>
        <w:numPr>
          <w:ilvl w:val="0"/>
          <w:numId w:val="21"/>
        </w:numPr>
        <w:spacing w:after="120"/>
        <w:rPr>
          <w:sz w:val="24"/>
        </w:rPr>
      </w:pPr>
      <w:r>
        <w:rPr>
          <w:sz w:val="24"/>
        </w:rPr>
        <w:t>nodrošināti finansējuma darījumi, tostarp līgumi un vienošanās par aktīvu pārdošanu ar atpirkšanu, vērtspapīru aizdevumi un cita veida nodrošināti kreditēšanas darījumi,</w:t>
      </w:r>
    </w:p>
    <w:p w14:paraId="6B8A23E3" w14:textId="77777777" w:rsidR="00941FAE" w:rsidRPr="00857276" w:rsidRDefault="00941FAE" w:rsidP="00941FAE">
      <w:pPr>
        <w:pStyle w:val="InstructionsText2"/>
        <w:numPr>
          <w:ilvl w:val="0"/>
          <w:numId w:val="21"/>
        </w:numPr>
        <w:spacing w:after="120"/>
        <w:rPr>
          <w:sz w:val="24"/>
        </w:rPr>
      </w:pPr>
      <w:r>
        <w:rPr>
          <w:sz w:val="24"/>
        </w:rPr>
        <w:t>dažādi nodrošinājuma līgumi, piemēram, nodrošinājums, kas izvietots atvasināto instrumentu darījumu tirgus vērtībā,</w:t>
      </w:r>
    </w:p>
    <w:p w14:paraId="2D8F9E99" w14:textId="7DC7D050" w:rsidR="00941FAE" w:rsidRPr="00857276" w:rsidRDefault="00941FAE" w:rsidP="00941FAE">
      <w:pPr>
        <w:pStyle w:val="InstructionsText2"/>
        <w:numPr>
          <w:ilvl w:val="0"/>
          <w:numId w:val="21"/>
        </w:numPr>
        <w:spacing w:after="120"/>
        <w:rPr>
          <w:sz w:val="24"/>
        </w:rPr>
      </w:pPr>
      <w:r>
        <w:rPr>
          <w:sz w:val="24"/>
        </w:rPr>
        <w:t>nodrošinātas finanšu garantijas. Izmantotais apmērs būtu jāsadala tikai tad, ja attiecībā uz neizmantoto garantijas daļu nav šķēršļu nodrošinājuma izņemšanai, piemēram, vajadzības saņemt iepriekšēju apstiprinājumu (proporcionāls sadalījums),</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 xml:space="preserve">nodrošinājums, kas izvietots </w:t>
      </w:r>
      <w:proofErr w:type="spellStart"/>
      <w:r>
        <w:rPr>
          <w:sz w:val="24"/>
        </w:rPr>
        <w:t>tīrvērtes</w:t>
      </w:r>
      <w:proofErr w:type="spellEnd"/>
      <w:r>
        <w:rPr>
          <w:sz w:val="24"/>
        </w:rPr>
        <w:t xml:space="preserve"> sistēmās, </w:t>
      </w:r>
      <w:r>
        <w:rPr>
          <w:i/>
          <w:iCs/>
          <w:sz w:val="24"/>
        </w:rPr>
        <w:t>CCP</w:t>
      </w:r>
      <w:r>
        <w:rPr>
          <w:sz w:val="24"/>
        </w:rPr>
        <w:t xml:space="preserve"> un citās infrastruktūras iestādēs kā priekšnoteikums, lai piekļūtu pakalpojumam. Tas ietver saistību neizpildes fondus un sākotnējās drošības rezerves,</w:t>
      </w:r>
    </w:p>
    <w:p w14:paraId="721B876D" w14:textId="77777777" w:rsidR="00941FAE" w:rsidRPr="00857276" w:rsidRDefault="00941FAE" w:rsidP="00941FAE">
      <w:pPr>
        <w:pStyle w:val="InstructionsText2"/>
        <w:numPr>
          <w:ilvl w:val="0"/>
          <w:numId w:val="21"/>
        </w:numPr>
        <w:spacing w:after="120"/>
        <w:rPr>
          <w:sz w:val="24"/>
        </w:rPr>
      </w:pPr>
      <w:r>
        <w:rPr>
          <w:sz w:val="24"/>
        </w:rPr>
        <w:t>centrālās bankas pakalpojumi. Iepriekš izvietoti aktīvi nav uzskatāmi par apgrūtinātiem, ja vien centrālā banka bez iepriekšēja apstiprinājuma neatļauj izņemt jebkurus izvietotos aktīvus. Neizmanto finanšu garantiju neizmantoto daļu, t. i., virs centrālās bankas noteiktā minimuma, būtu jāsadala proporcionāli starp centrālajā bankā izvietotajiem aktīviem,</w:t>
      </w:r>
    </w:p>
    <w:p w14:paraId="2527594F" w14:textId="758F8DCA" w:rsidR="00941FAE" w:rsidRPr="00857276" w:rsidRDefault="00941FAE" w:rsidP="00941FAE">
      <w:pPr>
        <w:pStyle w:val="InstructionsText2"/>
        <w:numPr>
          <w:ilvl w:val="0"/>
          <w:numId w:val="21"/>
        </w:numPr>
        <w:spacing w:after="120"/>
        <w:rPr>
          <w:sz w:val="24"/>
        </w:rPr>
      </w:pPr>
      <w:r>
        <w:rPr>
          <w:sz w:val="24"/>
        </w:rPr>
        <w:t xml:space="preserve">pamatā esošie aktīvi no </w:t>
      </w:r>
      <w:proofErr w:type="spellStart"/>
      <w:r>
        <w:rPr>
          <w:sz w:val="24"/>
        </w:rPr>
        <w:t>vērtspapīrošanas</w:t>
      </w:r>
      <w:proofErr w:type="spellEnd"/>
      <w:r>
        <w:rPr>
          <w:sz w:val="24"/>
        </w:rPr>
        <w:t xml:space="preserve"> struktūrām, ja nav pārtraukta finanšu aktīvu atzīšana iestādes finanšu aktīvos. Aktīvi, kas ir saglabāto vērtspapīru pamatā, nav uzskatāmi par apgrūtinātiem, ja vien šie vērtspapīri nav jebkādā veidā ieķīlāti vai izmantoti kā nodrošinājums, lai nodrošinātu darījumu,</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seguma pūlos esoši aktīvi, kurus izmanto segto obligāciju emitēšanai. Aktīvi, kas ir segto obligāciju pamatā, ir uzskatāmi par apgrūtinātiem, izņemot atsevišķus gadījumus, kad attiecīgās segtās obligācijas tur iestāde (“pašu emitētas obligācijas”), </w:t>
      </w:r>
    </w:p>
    <w:p w14:paraId="3AAB69A3" w14:textId="77777777" w:rsidR="00941FAE" w:rsidRPr="00857276" w:rsidRDefault="00941FAE" w:rsidP="00941FAE">
      <w:pPr>
        <w:pStyle w:val="InstructionsText2"/>
        <w:numPr>
          <w:ilvl w:val="0"/>
          <w:numId w:val="21"/>
        </w:numPr>
        <w:spacing w:after="120"/>
        <w:rPr>
          <w:sz w:val="24"/>
        </w:rPr>
      </w:pPr>
      <w:r>
        <w:rPr>
          <w:sz w:val="24"/>
        </w:rPr>
        <w:t>kā likums mehānismos izvietoti aktīvi, kurus neizmanto un kurus var brīvi izņemt, nav uzskatāmi par apgrūtinātiem aktīviem.</w:t>
      </w:r>
    </w:p>
    <w:p w14:paraId="5D005D5E" w14:textId="77777777" w:rsidR="00941FAE" w:rsidRPr="00857276" w:rsidRDefault="00941FAE" w:rsidP="00941FAE">
      <w:pPr>
        <w:pStyle w:val="Heading2"/>
        <w:spacing w:before="0"/>
        <w:rPr>
          <w:rFonts w:ascii="Times New Roman" w:hAnsi="Times New Roman"/>
        </w:rPr>
      </w:pPr>
      <w:bookmarkStart w:id="18" w:name="_Toc188866017"/>
      <w:bookmarkEnd w:id="6"/>
      <w:bookmarkEnd w:id="7"/>
      <w:bookmarkEnd w:id="10"/>
      <w:r>
        <w:rPr>
          <w:rFonts w:ascii="Times New Roman" w:hAnsi="Times New Roman"/>
        </w:rPr>
        <w:t>AR VEIDNI SAISTĪTI NORĀDĪJUMI</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8866018"/>
      <w:r>
        <w:rPr>
          <w:rFonts w:ascii="Times New Roman" w:hAnsi="Times New Roman"/>
          <w:b/>
          <w:sz w:val="24"/>
          <w:u w:val="none"/>
        </w:rPr>
        <w:t>A daļa. Pārskats par apgrūtinājumiem</w:t>
      </w:r>
      <w:bookmarkEnd w:id="19"/>
    </w:p>
    <w:p w14:paraId="2178A74C" w14:textId="77777777" w:rsidR="00941FAE" w:rsidRPr="00857276" w:rsidRDefault="00941FAE" w:rsidP="00941FAE">
      <w:pPr>
        <w:pStyle w:val="InstructionsText2"/>
        <w:spacing w:after="120"/>
        <w:rPr>
          <w:sz w:val="24"/>
        </w:rPr>
      </w:pPr>
      <w:r>
        <w:rPr>
          <w:sz w:val="24"/>
        </w:rPr>
        <w:t xml:space="preserve">Pārskata par apgrūtinājumiem veidnēs ir nošķirti aktīvi, ko izmanto finansēšanas vai nodrošinājuma atbalstam pārskata perioda beigās (“apgrūtinājuma brīdis”), no aktīviem, kas ir pieejami iespējamām finansēšanas vajadzībām. </w:t>
      </w:r>
    </w:p>
    <w:p w14:paraId="2CB6E035" w14:textId="77777777" w:rsidR="00941FAE" w:rsidRPr="00857276" w:rsidRDefault="00941FAE" w:rsidP="00941FAE">
      <w:pPr>
        <w:pStyle w:val="InstructionsText2"/>
        <w:spacing w:after="120"/>
        <w:rPr>
          <w:sz w:val="24"/>
        </w:rPr>
      </w:pPr>
      <w:r>
        <w:rPr>
          <w:sz w:val="24"/>
        </w:rPr>
        <w:t xml:space="preserve">Pārskata veidnē tabulas formā pa produktiem uzrāda pārskatu sniedzošās iestādes apgrūtināto un neapgrūtināto aktīvu apmēru. Tādu pašu sadalījumu piemēro saņemtajam nodrošinājumam un emitētajiem pašu parāda vērtspapīriem, kas nav segtās obligācijas un </w:t>
      </w:r>
      <w:proofErr w:type="spellStart"/>
      <w:r>
        <w:rPr>
          <w:sz w:val="24"/>
        </w:rPr>
        <w:t>vērtspapīrošanas</w:t>
      </w:r>
      <w:proofErr w:type="spellEnd"/>
      <w:r>
        <w:rPr>
          <w:sz w:val="24"/>
        </w:rPr>
        <w:t>.</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8866019"/>
      <w:r>
        <w:rPr>
          <w:rFonts w:ascii="Times New Roman" w:hAnsi="Times New Roman"/>
          <w:sz w:val="24"/>
          <w:u w:val="none"/>
        </w:rPr>
        <w:t>Veidne AE-ASS. Pārskatus sniedzošās iestādes aktīvi</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88866020"/>
      <w:r>
        <w:rPr>
          <w:rFonts w:ascii="Times New Roman" w:hAnsi="Times New Roman"/>
          <w:sz w:val="24"/>
          <w:u w:val="none"/>
        </w:rPr>
        <w:t>Vispārīgas piezīmes</w:t>
      </w:r>
      <w:bookmarkEnd w:id="21"/>
      <w:bookmarkEnd w:id="22"/>
      <w:bookmarkEnd w:id="26"/>
    </w:p>
    <w:p w14:paraId="2B58279E" w14:textId="49A3113F" w:rsidR="00941FAE" w:rsidRPr="00857276" w:rsidRDefault="00941FAE" w:rsidP="00941FAE">
      <w:pPr>
        <w:pStyle w:val="InstructionsText2"/>
        <w:shd w:val="clear" w:color="auto" w:fill="FFFFFF"/>
        <w:spacing w:after="120"/>
        <w:rPr>
          <w:sz w:val="24"/>
        </w:rPr>
      </w:pPr>
      <w:r>
        <w:rPr>
          <w:sz w:val="24"/>
        </w:rPr>
        <w:t>Šajā punktā iekļautas norādes, ko piemēro tādiem galvenajiem darījumu veidiem, kuri ir svarīgi saistībā ar AE veidņu aizpildīšanu.</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Visiem darījumiem, kas palielina iestādes apgrūtinājuma līmeni, ir divas iezīmes, kas AE veidnēs jāuzrāda neatkarīgi. Šādus darījumus uzrāda gan kā apgrūtinājuma avotus, gan kā apgrūtinātu aktīvu vai nodrošinājumu.</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Turpmāk minētajos piemēros aprakstīts, kā uzrādīt šīs daļas darījuma veidu, bet šos noteikumus piemēro arī citām AE veidnēm.</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Nodrošināts noguldījums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Nodrošinātu noguldījumu uzrāda šādi:</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Noguldījuma bilances vērtību reģistrē kā apgrūtinājuma avotu {AE-SOU; 0070.r.; 0010.s.};</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ja nodrošinājums ir pārskatu sniedzošās iestādes aktīvs: tā bilances vērtību uzrāda {AE-ASS; *; 0010.s.} un {AE-SOU; 0070.r.; 0030.s.}; tā patieso vērtību uzrāda {AE-ASS; *; 0040.s.};</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pārskatu sniedzošā iestāde ir saņēmusi nodrošinājumu, tad tā patieso vērtību uzrāda {AE-COL; *; 0010.s.}, {AE-SOU; 0070.r.; 0030.s.} un {AE-SOU; 0070.r.; 0040.s.}.</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proofErr w:type="spellStart"/>
            <w:r>
              <w:rPr>
                <w:rStyle w:val="InstructionsTabelleberschrift"/>
                <w:rFonts w:ascii="Times New Roman" w:hAnsi="Times New Roman"/>
                <w:sz w:val="24"/>
              </w:rPr>
              <w:t>Repo</w:t>
            </w:r>
            <w:proofErr w:type="spellEnd"/>
            <w:r>
              <w:rPr>
                <w:rStyle w:val="InstructionsTabelleberschrift"/>
                <w:rFonts w:ascii="Times New Roman" w:hAnsi="Times New Roman"/>
                <w:sz w:val="24"/>
              </w:rPr>
              <w:t xml:space="preserve"> darījums / sakrītoši </w:t>
            </w:r>
            <w:proofErr w:type="spellStart"/>
            <w:r>
              <w:rPr>
                <w:rStyle w:val="InstructionsTabelleberschrift"/>
                <w:rFonts w:ascii="Times New Roman" w:hAnsi="Times New Roman"/>
                <w:sz w:val="24"/>
              </w:rPr>
              <w:t>repo</w:t>
            </w:r>
            <w:proofErr w:type="spellEnd"/>
            <w:r>
              <w:rPr>
                <w:rStyle w:val="InstructionsTabelleberschrift"/>
                <w:rFonts w:ascii="Times New Roman" w:hAnsi="Times New Roman"/>
                <w:sz w:val="24"/>
              </w:rPr>
              <w:t xml:space="preserve"> darījumi</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Līgumu par aktīvu pārdošanu ar atpirkšanu (turpmāk “</w:t>
            </w: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darījums”) uzrāda šādi:</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darījuma uzskaites vērtību uzrāda kā apgrūtinājuma avotu {AE-SOU; 0050.r.; 0010.s.};</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darījuma nodrošinājums būtu jāuzrāda:</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nodrošinājums ir pārskatu sniedzošās iestādes aktīvs: tā bilances vērtību uzrāda {AE-ASS; *; 0010.s.} un {AE-SOU; 0050.r.; 0030.s.}; tā patieso vērtību uzrāda {AE-ASS; *; 0040.s.};</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ja pārskatu sniedzošā iestāde ir saņēmusi nodrošinājumu, izmantojot iepriekšēju līgumu par aktīvu pirkšanu ar </w:t>
            </w:r>
            <w:proofErr w:type="spellStart"/>
            <w:r>
              <w:rPr>
                <w:rStyle w:val="InstructionsTabelleberschrift"/>
                <w:rFonts w:ascii="Times New Roman" w:hAnsi="Times New Roman"/>
                <w:b w:val="0"/>
                <w:sz w:val="24"/>
                <w:u w:val="none"/>
              </w:rPr>
              <w:t>atpārdošanu</w:t>
            </w:r>
            <w:proofErr w:type="spellEnd"/>
            <w:r>
              <w:rPr>
                <w:rStyle w:val="InstructionsTabelleberschrift"/>
                <w:rFonts w:ascii="Times New Roman" w:hAnsi="Times New Roman"/>
                <w:b w:val="0"/>
                <w:sz w:val="24"/>
                <w:u w:val="none"/>
              </w:rPr>
              <w:t xml:space="preserve"> (sakrītošs </w:t>
            </w: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darījums), tā patieso vērtību uzrāda {AE-COL; *; 0010.s.}, {AE-SOU; 0050.r.; 0030.s.} un {AE-SOU; 0050.r.; 0040.s.}.</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Centrālās bankas finansējums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Ievērojot to, ka nodrošināts centrālās bankas finansējums ir tikai nodrošināta noguldījuma vai </w:t>
            </w: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darījuma, kurā darījuma partneris ir centrālā banka, īpašs gadījums, piemēro šā 14. punkta a) un b) apakšpunkta noteikumus.</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Operācijās, kurās attiecībā uz katru darbību nav iespējams noteikt konkrētu nodrošinājumu, jo tas ir apvienots pūlā, nodrošinājuma sadalījums jāveic proporcionāli, balstoties uz nodrošinājuma pūla struktūru.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Aktīvi, kuri ir </w:t>
            </w:r>
            <w:proofErr w:type="spellStart"/>
            <w:r>
              <w:rPr>
                <w:rStyle w:val="InstructionsTabelleberschrift"/>
                <w:rFonts w:ascii="Times New Roman" w:hAnsi="Times New Roman"/>
                <w:b w:val="0"/>
                <w:sz w:val="24"/>
                <w:u w:val="none"/>
              </w:rPr>
              <w:t>priekšpozicionēti</w:t>
            </w:r>
            <w:proofErr w:type="spellEnd"/>
            <w:r>
              <w:rPr>
                <w:rStyle w:val="InstructionsTabelleberschrift"/>
                <w:rFonts w:ascii="Times New Roman" w:hAnsi="Times New Roman"/>
                <w:b w:val="0"/>
                <w:sz w:val="24"/>
                <w:u w:val="none"/>
              </w:rPr>
              <w:t xml:space="preserve"> centrālajās bankās, nav apgrūtināti aktīvi, ja vien centrālā banka bez iepriekšēja apstiprinājuma neatļauj jebkuru izvietoto aktīvu izņemšanu. Neizmantoto finanšu garantiju neizmantoto daļu, t. i., virs centrālās bankas noteiktā minimuma, sadala proporcionāli starp centrālajā bankā izvietotajiem aktīviem.</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Vērtspapīru aizdošana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Vērtspapīru aizdevumiem, kas nodrošināti ar naudu, piemēro </w:t>
            </w: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darījumu/sakrītošo </w:t>
            </w: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darījumu noteikumus.</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Vērtspapīru aizdevumus, kas nav nodrošināti ar naudu, uzrāda šādi:</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aizņemto vērtspapīru patieso vērtību uzrāda kā apgrūtinājuma avotu {AE-SOU; 0150.r.; 0010.s.}. Kad aizdevējs apmaiņā pret aizdotajiem vērtspapīriem nesaņem citus vērtspapīrus, bet gan maksu, {AE-SOU; 0150.r.; 0010.s.} uzrāda kā nulli;</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vērtspapīri, kas aizdoti kā nodrošinājums, ir pārskatu sniedzošās iestādes aktīvs: to uzskaites vērtību uzrāda {AE-ASS; *; 0010.s.} un {AE-SOU; 0150.r.; 0030.s.}; to patieso vērtību uzrāda {AE-ASS; *; 0040.s.};</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vērtspapīrus, kas aizdoti kā nodrošinājums, saņem pārskatu sniedzošā iestāde, to patieso vērtību uzrāda {AE-COL; *; 0010.s.}, {AE-SOU; 0150.r.; 0030.s.} un {AE-SOU; 0150.r.; 0040.s.}.</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Atvasinātie instrumenti (saistības)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Nodrošinātus atvasinātos instrumentus ar negatīvu vērtību uzrāda šādi:</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atvasinātā instrumenta uzskaites vērtību uzrāda kā apgrūtinājuma avotu {AE-SOU; 0020.r.; 0010.s.};</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nodrošinājumu (drošības rezerves, kas nepieciešamas, lai atvērtu pozīciju un jebkādu nodrošinājumu, kas izvietots atvasināto instrumentu darījumu tirgus vērtībā) uzrāda šādi:</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tas ir pārskatu sniedzošās iestādes aktīvs: tā bilances vērtību uzrāda {AE-ASS; *; 0010.s.} un {AE-SOU; 0020.r.; 0030.s.}; tā patieso vērtību uzrāda {AE-ASS; *; 0040.s.};</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tas ir pārskatu sniedzošās iestādes saņemtais nodrošinājums, tā patieso vērtību uzrāda {AE-COL; *; 0010.s.}, {AE-SOU; 0020.r.; 0030.s.} un {AE-SOU; 0020.r.; 0040.s.}.</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Segtās obligācijas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Segtās obligācijas visas aktīvu apgrūtinājumu uzrādīšanas vajadzībām ir instrumenti, kas minēti Direktīvas 2009/65/ES 52. panta 4. punkta pirmajā daļā neatkarīgi no tā, vai šie instrumenti ir vai nav vērtspapīri juridiskā nozīmē.</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Segtajām obligācijām nepiemēro īpašus noteikumus, ja netiek saglabāta pārskatu sniedzošās iestādes emitēto vērtspapīru daļa.</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Gadījumā, ja saglabā daļu no emisijas, un nolūkā izvairīties no dubultās uzskaites piemēro turpmāk minēto procedūru:</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pašu segtās obligācijas nav ieķīlātas, seguma portfeļa, ar kuru nodrošināti šie saglabātie un vēl neieķīlātie vērtspapīri, apmēru uzrāda AE-ASS veidnēs kā neapgrūtinātus aktīvus. Papildu informāciju par saglabātām un vēl neieķīlātām segtajām obligācijām (pamatā esošie aktīvi, apgrūtinājumam pieejamo aktīvu patiesā vērtība un atbilstība un to aktīvu, kas nav pieejami apgrūtinājumam, nomināls) uzrāda AE-NPL veidnē;</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ir ieķīlātas pašu segtās obligācijas, tad seguma portfeļa, ar kuru nodrošināti šie saglabātie un vēl neieķīlātie vērtspapīri, summu uzrāda AE-ASS veidnē kā apgrūtinātus aktīvus.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Turpmākajā tabulā noteikts, kā uzrādīt segto obligāciju emisiju EUR 100 apmērā, no kā 15 % ir saglabāti un neieķīlāti un 10 % ir saglabāti un ieķīlāti kā nodrošinājums EUR 11 vērtā </w:t>
            </w: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darījumā ar centrālo banku, ja seguma pūls ietver nenodrošinātus aizdevumus un to bilances vērtība ir EUR 150.</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proofErr w:type="spellStart"/>
            <w:r>
              <w:rPr>
                <w:rStyle w:val="InstructionsTabelleberschrift"/>
                <w:rFonts w:ascii="Times New Roman" w:hAnsi="Times New Roman"/>
                <w:sz w:val="24"/>
              </w:rPr>
              <w:t>Vērtspapīrošanas</w:t>
            </w:r>
            <w:proofErr w:type="spellEnd"/>
          </w:p>
          <w:p w14:paraId="36E15182" w14:textId="41DFD8D9" w:rsidR="00941FAE" w:rsidRPr="00857276" w:rsidRDefault="00941FAE" w:rsidP="005150E8">
            <w:pPr>
              <w:spacing w:before="0"/>
              <w:rPr>
                <w:rStyle w:val="InstructionsTabelleberschrift"/>
                <w:rFonts w:ascii="Times New Roman" w:hAnsi="Times New Roman"/>
                <w:b w:val="0"/>
                <w:sz w:val="24"/>
                <w:u w:val="none"/>
              </w:rPr>
            </w:pP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nozīmē pārskatu sniedzošās iestādes turētus parāda vērtspapīrus, kas iniciēti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darījumā, kā definēts Regulas (ES) Nr. 575/2013 4. panta 1. punkta 61) apakšpunktā.</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proofErr w:type="spellStart"/>
            <w:r>
              <w:rPr>
                <w:rStyle w:val="InstructionsTabelleberschrift"/>
                <w:rFonts w:ascii="Times New Roman" w:hAnsi="Times New Roman"/>
                <w:b w:val="0"/>
                <w:sz w:val="24"/>
                <w:u w:val="none"/>
              </w:rPr>
              <w:t>Vērtspapīrošanām</w:t>
            </w:r>
            <w:proofErr w:type="spellEnd"/>
            <w:r>
              <w:rPr>
                <w:rStyle w:val="InstructionsTabelleberschrift"/>
                <w:rFonts w:ascii="Times New Roman" w:hAnsi="Times New Roman"/>
                <w:b w:val="0"/>
                <w:sz w:val="24"/>
                <w:u w:val="none"/>
              </w:rPr>
              <w:t>, kas saglabātas bilancē (nav pārtraukta atzīšana), piemēro segto obligāciju noteikumus.</w:t>
            </w:r>
          </w:p>
          <w:p w14:paraId="212D5755" w14:textId="77777777" w:rsidR="00941FAE" w:rsidRPr="00857276" w:rsidRDefault="00941FAE" w:rsidP="005150E8">
            <w:pPr>
              <w:spacing w:before="0"/>
              <w:rPr>
                <w:rFonts w:ascii="Times New Roman" w:hAnsi="Times New Roman"/>
                <w:sz w:val="24"/>
              </w:rPr>
            </w:pPr>
            <w:proofErr w:type="spellStart"/>
            <w:r>
              <w:rPr>
                <w:rStyle w:val="InstructionsTabelleberschrift"/>
                <w:rFonts w:ascii="Times New Roman" w:hAnsi="Times New Roman"/>
                <w:b w:val="0"/>
                <w:sz w:val="24"/>
                <w:u w:val="none"/>
              </w:rPr>
              <w:t>Vērtspapīrošanām</w:t>
            </w:r>
            <w:proofErr w:type="spellEnd"/>
            <w:r>
              <w:rPr>
                <w:rStyle w:val="InstructionsTabelleberschrift"/>
                <w:rFonts w:ascii="Times New Roman" w:hAnsi="Times New Roman"/>
                <w:b w:val="0"/>
                <w:sz w:val="24"/>
                <w:u w:val="none"/>
              </w:rPr>
              <w:t>, kuru atzīšana ir pārtraukta, nav apgrūtinājuma, ja iestāde tur atsevišķus vērtspapīrus. Šos vērtspapīrus atspoguļos pārskatu sniedzošo iestāžu tirdzniecības portfelī vai banku portfelī tāpat kā jebkuru citu vērtspapīru, kuru emitējusi trešā puse.</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8866021"/>
      <w:r>
        <w:rPr>
          <w:rFonts w:ascii="Times New Roman" w:hAnsi="Times New Roman"/>
          <w:sz w:val="24"/>
          <w:u w:val="none"/>
        </w:rPr>
        <w:lastRenderedPageBreak/>
        <w:t>Norādes par konkrētām rindām</w:t>
      </w:r>
      <w:bookmarkEnd w:id="23"/>
      <w:bookmarkEnd w:id="24"/>
      <w:bookmarkEnd w:id="25"/>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Pārskatu sniedzošās iestādes aktīvi</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1. SGS 9. punkta a) apakšpunkts, Īstenošanas norādes (IG) 6. Pārskatu sniedzošās iestādes kopējie aktīvi, kas iekļauti tās bilancē.</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No kā: atbilstīgi </w:t>
            </w:r>
            <w:proofErr w:type="spellStart"/>
            <w:r>
              <w:rPr>
                <w:rStyle w:val="InstructionsTabelleberschrift"/>
                <w:rFonts w:ascii="Times New Roman" w:hAnsi="Times New Roman"/>
                <w:sz w:val="24"/>
              </w:rPr>
              <w:t>fiduciārie</w:t>
            </w:r>
            <w:proofErr w:type="spellEnd"/>
            <w:r>
              <w:rPr>
                <w:rStyle w:val="InstructionsTabelleberschrift"/>
                <w:rFonts w:ascii="Times New Roman" w:hAnsi="Times New Roman"/>
                <w:sz w:val="24"/>
              </w:rPr>
              <w:t xml:space="preserve"> aktīvi</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proofErr w:type="spellStart"/>
            <w:r>
              <w:rPr>
                <w:rStyle w:val="InstructionsTabelleberschrift"/>
                <w:rFonts w:ascii="Times New Roman" w:hAnsi="Times New Roman"/>
                <w:b w:val="0"/>
                <w:sz w:val="24"/>
                <w:u w:val="none"/>
              </w:rPr>
              <w:t>fiduciāros</w:t>
            </w:r>
            <w:proofErr w:type="spellEnd"/>
            <w:r>
              <w:rPr>
                <w:rStyle w:val="InstructionsTabelleberschrift"/>
                <w:rFonts w:ascii="Times New Roman" w:hAnsi="Times New Roman"/>
                <w:b w:val="0"/>
                <w:sz w:val="24"/>
                <w:u w:val="none"/>
              </w:rPr>
              <w:t xml:space="preserve"> aktīvus, kas atbilst visiem šādiem nosacījumiem: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tos saskaņā ar valsts vispārpieņemtajiem grāmatvedības principiem atzīst iestādes bilancē saskaņā ar Direktīvas 86/635/EEK 10. pantu;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tie atbilst kritērijiem par neatzīšanu, kas izklāstīti 9. starptautiskajā finanšu pārskatu standartā (SFPS), ko attiecīgā gadījumā piemēro saskaņā ar Regulu (EK)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tie atbilst kritērijiem par nekonsolidēšanu, kas izklāstīti 10. SFPS, ko attiecīgā gadījumā piemēro saskaņā ar Regulu (EK) Nr. 1606/2002.</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 SGS 54. punkta i) apakšpunkts</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no centrālajām bankām un citām iestādēm pēc pieprasījuma saņemamus atlikumus. Skaidru naudu, proti, valsts un ārvalstu apgrozībā esošās banknotes un monētas, ko parasti izmanto maksājumu veikšanai, iekļauj rindā “citi aktīvi”.</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Pašu kapitāla instrumenti</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Kapitāla vērtspapīru instrumenti, ko tur pārskatu sniedzošās iestādes, kā definēts 32. SGS 1. punktā.</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Parāda vērtspapīri</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pielikuma 1. daļas 31. punkts</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Iestādes uzrāda pārskatu sniedzošās iestādes turētos parāda instrumentus, kas emitēti kā tādi vērtspapīri, kuri saskaņā ar Regulu (ES)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 xml:space="preserve"> nav aizdevumi.</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segtās obligācijas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turēti parāda instrumenti, kas ir</w:t>
            </w:r>
            <w:r>
              <w:rPr>
                <w:rFonts w:ascii="Times New Roman" w:hAnsi="Times New Roman"/>
                <w:sz w:val="24"/>
              </w:rPr>
              <w:t xml:space="preserve"> Direktīvas 2009/65/EK 52. panta 4. punkta pirmajā daļā minētās obligācijas.</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vērtspapīrošanas</w:t>
            </w:r>
            <w:proofErr w:type="spellEnd"/>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Pārskatu sniedzošās iestādes turēti parāda vērtspapīri, kas ir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kā definēts Regulas (ES) Nr. 575/2013 4. panta 1. punkta 61) apakšpunktā.</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vispārējo valdību emitēti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turēti parāda vērtspapīri, kurus emitējušas vispārējās valdības.</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No kā.: finanšu sabiedrību emitēti</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turēti parāda vērtspapīri, kurus emitējušas finanšu sabiedrības, kā definēts V pielikuma 1. daļas 42. punkta c) un d) apakšpunktā.</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nefinanšu</w:t>
            </w:r>
            <w:proofErr w:type="spellEnd"/>
            <w:r>
              <w:rPr>
                <w:rStyle w:val="InstructionsTabelleberschrift"/>
                <w:rFonts w:ascii="Times New Roman" w:hAnsi="Times New Roman"/>
                <w:sz w:val="24"/>
              </w:rPr>
              <w:t xml:space="preserve"> sabiedrību emitēti</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Pārskatu sniedzošās iestādes turēti parāda vērtspapīri, kurus emitējušas </w:t>
            </w:r>
            <w:proofErr w:type="spellStart"/>
            <w:r>
              <w:rPr>
                <w:rStyle w:val="InstructionsTabelleberschrift"/>
                <w:rFonts w:ascii="Times New Roman" w:hAnsi="Times New Roman"/>
                <w:b w:val="0"/>
                <w:sz w:val="24"/>
                <w:u w:val="none"/>
              </w:rPr>
              <w:t>nefinanšu</w:t>
            </w:r>
            <w:proofErr w:type="spellEnd"/>
            <w:r>
              <w:rPr>
                <w:rStyle w:val="InstructionsTabelleberschrift"/>
                <w:rFonts w:ascii="Times New Roman" w:hAnsi="Times New Roman"/>
                <w:b w:val="0"/>
                <w:sz w:val="24"/>
                <w:u w:val="none"/>
              </w:rPr>
              <w:t xml:space="preserve"> sabiedrības, kā definēts V pielikuma 1. daļas 42. punkta e) apakšpunktā.</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un avansi, izņemot aizdevumus pēc pieprasījuma</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ir parāda instrumenti, kuri nav pārskatu sniedzošo iestāžu turētie vērtspapīri; izņemot pēc pieprasījuma saņemamos atlikumus.</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No kā.: aizdevumi, kas nodrošināti ar nekustamo īpašumu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kuri nav tādi aizdevumi pēc pieprasījuma, kas nodrošināti ar nekustamo īpašumu, saskaņā ar V pielikuma 2. daļas 86. punktu.</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aktīvi</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Citi pārskatu sniedzošās iestādes aktīvi, kas iekļauti bilancē, izņemot tos, kas minēti no 0020. līdz 0040. rindai un 0100. rindā un kas ir atšķirīgi no pašu parāda vērtspapīriem un pašu kapitāla vērtspapīru instrumentiem, kuru atzīšanu bilancē nevar pārtraukt iestāde, kurā nepiemēro SFPS.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Šādā gadījumā pašu parāda vērtspapīrus iekļauj AE-COL veidnes 0240. rindā un pašu kapitāla vērtspapīru instrumentus pie aktīvu apgrūtinājumiem neuzrāda.</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866022"/>
      <w:r>
        <w:rPr>
          <w:rFonts w:ascii="Times New Roman" w:hAnsi="Times New Roman"/>
          <w:sz w:val="24"/>
          <w:u w:val="none"/>
        </w:rPr>
        <w:t>Norādījumi par konkrētām slejām</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Apgrūtināto aktīvu uzskaites vērtība</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Iestādes uzrāda to savu aktīvu uzskaites vērtību, kas ir apgrūtināti saskaņā ar aktīvu apgrūtinājuma definīciju, kas minēta šā pielikuma 11. punktā.</w:t>
            </w:r>
            <w:r>
              <w:rPr>
                <w:rStyle w:val="InstructionsTabelleberschrift"/>
                <w:rFonts w:ascii="Times New Roman" w:hAnsi="Times New Roman"/>
                <w:b w:val="0"/>
                <w:color w:val="auto"/>
                <w:sz w:val="24"/>
                <w:u w:val="none"/>
              </w:rPr>
              <w:t xml:space="preserve"> Uzskaites vērtība ir summa, ko bilancē uzrāda aktīva pusē</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citu grupas sabiedrību emitēti</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aktīvu bilances vērtība, kurus tur pārskatu sniedzošā iestāde un kurus emitējusi jebkura sabiedrība, kas ir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atbilstīgi darījumiem ar centrālo banku</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aktīvu bilances vērtība, kurus tur pārskatu sniedzošā iestāde un kuri ir atbilstīgi darījumiem ar tām centrālajām bankām, kas ir pieejamas pārskatu sniedzošajai iestādei.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tai skaitā nosacīti atbilstīgie</w:t>
            </w:r>
            <w:r>
              <w:rPr>
                <w:rStyle w:val="InstructionsTabelleberschrift"/>
                <w:rFonts w:ascii="Times New Roman" w:hAnsi="Times New Roman"/>
                <w:i/>
                <w:iCs/>
                <w:sz w:val="24"/>
              </w:rPr>
              <w:t xml:space="preserve"> EHQLA</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aktīvu uzskaites vērtība, kuri ir nomināli atbilstīgi, lai tiktu kvalificēti kā ārkārtīgi augstas likviditātes un </w:t>
            </w:r>
            <w:proofErr w:type="spellStart"/>
            <w:r>
              <w:rPr>
                <w:rStyle w:val="InstructionsTabelleberschrift"/>
                <w:rFonts w:ascii="Times New Roman" w:hAnsi="Times New Roman"/>
                <w:b w:val="0"/>
                <w:sz w:val="24"/>
                <w:u w:val="none"/>
              </w:rPr>
              <w:t>kredītkvalitātes</w:t>
            </w:r>
            <w:proofErr w:type="spellEnd"/>
            <w:r>
              <w:rPr>
                <w:rStyle w:val="InstructionsTabelleberschrift"/>
                <w:rFonts w:ascii="Times New Roman" w:hAnsi="Times New Roman"/>
                <w:b w:val="0"/>
                <w:sz w:val="24"/>
                <w:u w:val="none"/>
              </w:rPr>
              <w:t xml:space="preserve"> aktīvi (</w:t>
            </w:r>
            <w:r>
              <w:rPr>
                <w:rStyle w:val="InstructionsTabelleberschrift"/>
                <w:rFonts w:ascii="Times New Roman" w:hAnsi="Times New Roman"/>
                <w:b w:val="0"/>
                <w:i/>
                <w:iCs/>
                <w:sz w:val="24"/>
                <w:u w:val="none"/>
              </w:rPr>
              <w:t>EHQLA</w:t>
            </w:r>
            <w:r>
              <w:rPr>
                <w:rStyle w:val="InstructionsTabelleberschrift"/>
                <w:rFonts w:ascii="Times New Roman" w:hAnsi="Times New Roman"/>
                <w:b w:val="0"/>
                <w:sz w:val="24"/>
                <w:u w:val="none"/>
              </w:rPr>
              <w:t xml:space="preserve">) un augstas likviditātes un </w:t>
            </w:r>
            <w:proofErr w:type="spellStart"/>
            <w:r>
              <w:rPr>
                <w:rStyle w:val="InstructionsTabelleberschrift"/>
                <w:rFonts w:ascii="Times New Roman" w:hAnsi="Times New Roman"/>
                <w:b w:val="0"/>
                <w:sz w:val="24"/>
                <w:u w:val="none"/>
              </w:rPr>
              <w:t>kredītkvalitātes</w:t>
            </w:r>
            <w:proofErr w:type="spellEnd"/>
            <w:r>
              <w:rPr>
                <w:rStyle w:val="InstructionsTabelleberschrift"/>
                <w:rFonts w:ascii="Times New Roman" w:hAnsi="Times New Roman"/>
                <w:b w:val="0"/>
                <w:sz w:val="24"/>
                <w:u w:val="none"/>
              </w:rPr>
              <w:t xml:space="preserve"> aktīvi (</w:t>
            </w:r>
            <w:r>
              <w:rPr>
                <w:rStyle w:val="InstructionsTabelleberschrift"/>
                <w:rFonts w:ascii="Times New Roman" w:hAnsi="Times New Roman"/>
                <w:b w:val="0"/>
                <w:i/>
                <w:iCs/>
                <w:sz w:val="24"/>
                <w:u w:val="none"/>
              </w:rPr>
              <w:t>HQLA</w:t>
            </w:r>
            <w:r>
              <w:rPr>
                <w:rStyle w:val="InstructionsTabelleberschrift"/>
                <w:rFonts w:ascii="Times New Roman" w:hAnsi="Times New Roman"/>
                <w:b w:val="0"/>
                <w:sz w:val="24"/>
                <w:u w:val="none"/>
              </w:rPr>
              <w:t xml:space="preserve">).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Šīs regulas vajadzībām nomināli atbilstīgie apgrūtinātie </w:t>
            </w:r>
            <w:r>
              <w:rPr>
                <w:rStyle w:val="InstructionsTabelleberschrift"/>
                <w:rFonts w:ascii="Times New Roman" w:hAnsi="Times New Roman"/>
                <w:b w:val="0"/>
                <w:i/>
                <w:iCs/>
                <w:sz w:val="24"/>
                <w:u w:val="none"/>
              </w:rPr>
              <w:t>EHQLA</w:t>
            </w:r>
            <w:r>
              <w:rPr>
                <w:rStyle w:val="InstructionsTabelleberschrift"/>
                <w:rFonts w:ascii="Times New Roman" w:hAnsi="Times New Roman"/>
                <w:b w:val="0"/>
                <w:sz w:val="24"/>
                <w:u w:val="none"/>
              </w:rPr>
              <w:t xml:space="preserve"> un nomināli atbilstīgie apgrūtinātie </w:t>
            </w:r>
            <w:r>
              <w:rPr>
                <w:rStyle w:val="InstructionsTabelleberschrift"/>
                <w:rFonts w:ascii="Times New Roman" w:hAnsi="Times New Roman"/>
                <w:b w:val="0"/>
                <w:i/>
                <w:iCs/>
                <w:sz w:val="24"/>
                <w:u w:val="none"/>
              </w:rPr>
              <w:t>HQLA</w:t>
            </w:r>
            <w:r>
              <w:rPr>
                <w:rStyle w:val="InstructionsTabelleberschrift"/>
                <w:rFonts w:ascii="Times New Roman" w:hAnsi="Times New Roman"/>
                <w:b w:val="0"/>
                <w:sz w:val="24"/>
                <w:u w:val="none"/>
              </w:rPr>
              <w:t xml:space="preserve"> ir aktīvi, kas minēti Deleģētās regulas (ES) 2015/61 10. līdz 13. pantā un kas atbilstu vispārīgajām un operacionālajām prasībām, kas izklāstītas minētās deleģētās regulas 7. un 8. pantā, ja vien tiem nebūtu apgrūtinātu aktīvu statusa, kā noteikts šajā pielikumā.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Nomināli atbilstīgie apgrūtinātie </w:t>
            </w:r>
            <w:r>
              <w:rPr>
                <w:rStyle w:val="InstructionsTabelleberschrift"/>
                <w:rFonts w:ascii="Times New Roman" w:hAnsi="Times New Roman"/>
                <w:b w:val="0"/>
                <w:i/>
                <w:iCs/>
                <w:sz w:val="24"/>
                <w:u w:val="none"/>
              </w:rPr>
              <w:t>EHQLA</w:t>
            </w:r>
            <w:r>
              <w:rPr>
                <w:rStyle w:val="InstructionsTabelleberschrift"/>
                <w:rFonts w:ascii="Times New Roman" w:hAnsi="Times New Roman"/>
                <w:b w:val="0"/>
                <w:sz w:val="24"/>
                <w:u w:val="none"/>
              </w:rPr>
              <w:t xml:space="preserve"> un nomināli atbilstīgie apgrūtinātie </w:t>
            </w:r>
            <w:r>
              <w:rPr>
                <w:rStyle w:val="InstructionsTabelleberschrift"/>
                <w:rFonts w:ascii="Times New Roman" w:hAnsi="Times New Roman"/>
                <w:b w:val="0"/>
                <w:i/>
                <w:iCs/>
                <w:sz w:val="24"/>
                <w:u w:val="none"/>
              </w:rPr>
              <w:t>HQLA</w:t>
            </w:r>
            <w:r>
              <w:rPr>
                <w:rStyle w:val="InstructionsTabelleberschrift"/>
                <w:rFonts w:ascii="Times New Roman" w:hAnsi="Times New Roman"/>
                <w:b w:val="0"/>
                <w:sz w:val="24"/>
                <w:u w:val="none"/>
              </w:rPr>
              <w:t xml:space="preserve"> atbilst arī speciālajām prasībām attiecībā uz riska darījumu kategoriju, kas izklāstītas Deleģētās regulas (ES) 2015/61 10.–16. un 35.–37. pantā. Nomināli atbilstīgo apgrūtināto </w:t>
            </w:r>
            <w:r>
              <w:rPr>
                <w:rStyle w:val="InstructionsTabelleberschrift"/>
                <w:rFonts w:ascii="Times New Roman" w:hAnsi="Times New Roman"/>
                <w:b w:val="0"/>
                <w:i/>
                <w:iCs/>
                <w:sz w:val="24"/>
                <w:u w:val="none"/>
              </w:rPr>
              <w:t>EHQLA</w:t>
            </w:r>
            <w:r>
              <w:rPr>
                <w:rStyle w:val="InstructionsTabelleberschrift"/>
                <w:rFonts w:ascii="Times New Roman" w:hAnsi="Times New Roman"/>
                <w:b w:val="0"/>
                <w:sz w:val="24"/>
                <w:u w:val="none"/>
              </w:rPr>
              <w:t xml:space="preserve"> uzskaites vērtība un nomināli atbilstīgo apgrūtināto </w:t>
            </w:r>
            <w:r>
              <w:rPr>
                <w:rStyle w:val="InstructionsTabelleberschrift"/>
                <w:rFonts w:ascii="Times New Roman" w:hAnsi="Times New Roman"/>
                <w:b w:val="0"/>
                <w:i/>
                <w:iCs/>
                <w:sz w:val="24"/>
                <w:u w:val="none"/>
              </w:rPr>
              <w:t>HQLA</w:t>
            </w:r>
            <w:r>
              <w:rPr>
                <w:rStyle w:val="InstructionsTabelleberschrift"/>
                <w:rFonts w:ascii="Times New Roman" w:hAnsi="Times New Roman"/>
                <w:b w:val="0"/>
                <w:sz w:val="24"/>
                <w:u w:val="none"/>
              </w:rPr>
              <w:t xml:space="preserve"> uzskaites vērtība ir uzskaites vērtība pirms minētās deleģētās regulas 10.–16. pantā minēto diskonta likmju piemērošanas.</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Apgrūtināto aktīvu patiesā vērtība</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13. SFPS un 8. pants Direktīvā 2013/34/ES iestādēm, kurās nepiemēro SFPS.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uzrāda to savu parāda vērtspapīru patieso vērtību, kuri ir apgrūtināti saskaņā ar aktīvu apgrūtinājuma definīciju, kas minēta šā pielikuma 11. punktā.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atbilstīgi darījumiem ar centrālo banku</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parāda vērtspapīru patiesā vērtība, kurus tur pārskatu sniedzošā iestāde un kuri ir atbilstīgi darījumiem ar tām centrālajām bankām, kas ir pieejamas pārskatu sniedzošajai iestādei.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lastRenderedPageBreak/>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tai skaitā nosacīti atbilstīgie </w:t>
            </w:r>
            <w:r>
              <w:rPr>
                <w:rStyle w:val="InstructionsTabelleberschrift"/>
                <w:rFonts w:ascii="Times New Roman" w:hAnsi="Times New Roman"/>
                <w:i/>
                <w:iCs/>
                <w:sz w:val="24"/>
              </w:rPr>
              <w:t>EHQLA</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To apgrūtināto aktīvu patiesā vērtība, kas ir nomināli atbilstīgi, lai tos kvalificētu kā </w:t>
            </w:r>
            <w:r>
              <w:rPr>
                <w:rStyle w:val="TeksttreciTimesNewRoman105ptOdstpy0pt"/>
                <w:i/>
                <w:iCs/>
                <w:sz w:val="24"/>
              </w:rPr>
              <w:t>EHQLA</w:t>
            </w:r>
            <w:r>
              <w:rPr>
                <w:rStyle w:val="TeksttreciTimesNewRoman105ptOdstpy0pt"/>
                <w:sz w:val="24"/>
              </w:rPr>
              <w:t xml:space="preserve"> un </w:t>
            </w:r>
            <w:r>
              <w:rPr>
                <w:rStyle w:val="TeksttreciTimesNewRoman105ptOdstpy0pt"/>
                <w:i/>
                <w:iCs/>
                <w:sz w:val="24"/>
              </w:rPr>
              <w:t>HQLA</w:t>
            </w:r>
            <w:r>
              <w:rPr>
                <w:rStyle w:val="TeksttreciTimesNewRoman105ptOdstpy0pt"/>
                <w:sz w:val="24"/>
              </w:rPr>
              <w:t xml:space="preserve">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Šīs regulas vajadzībām nomināli atbilstīgie apgrūtinātie </w:t>
            </w:r>
            <w:r>
              <w:rPr>
                <w:rStyle w:val="TeksttreciTimesNewRoman105ptOdstpy0pt"/>
                <w:i/>
                <w:iCs/>
                <w:sz w:val="24"/>
              </w:rPr>
              <w:t>EHQLA</w:t>
            </w:r>
            <w:r>
              <w:rPr>
                <w:rStyle w:val="TeksttreciTimesNewRoman105ptOdstpy0pt"/>
                <w:sz w:val="24"/>
              </w:rPr>
              <w:t xml:space="preserve"> un nomināli atbilstīgie apgrūtinātie </w:t>
            </w:r>
            <w:r>
              <w:rPr>
                <w:rStyle w:val="TeksttreciTimesNewRoman105ptOdstpy0pt"/>
                <w:i/>
                <w:iCs/>
                <w:sz w:val="24"/>
              </w:rPr>
              <w:t>HQLA</w:t>
            </w:r>
            <w:r>
              <w:rPr>
                <w:rStyle w:val="TeksttreciTimesNewRoman105ptOdstpy0pt"/>
                <w:sz w:val="24"/>
              </w:rPr>
              <w:t xml:space="preserve"> ir aktīvi, kas minēti Deleģētās regulas (ES) 2015/61 10. līdz 13. pantā un kas atbilstu vispārīgajām un operacionālajām prasībām, kas izklāstītas minētās deleģētās regulas 7. un 8. pantā, ja vien tiem nebūtu apgrūtinātu aktīvu statusa, kā noteikts šajā pielikumā. Nomināli atbilstīgie apgrūtinātie </w:t>
            </w:r>
            <w:r>
              <w:rPr>
                <w:rStyle w:val="TeksttreciTimesNewRoman105ptOdstpy0pt"/>
                <w:i/>
                <w:iCs/>
                <w:sz w:val="24"/>
              </w:rPr>
              <w:t>EHQLA</w:t>
            </w:r>
            <w:r>
              <w:rPr>
                <w:rStyle w:val="TeksttreciTimesNewRoman105ptOdstpy0pt"/>
                <w:sz w:val="24"/>
              </w:rPr>
              <w:t xml:space="preserve"> un nomināli atbilstīgie apgrūtinātie </w:t>
            </w:r>
            <w:r>
              <w:rPr>
                <w:rStyle w:val="TeksttreciTimesNewRoman105ptOdstpy0pt"/>
                <w:i/>
                <w:iCs/>
                <w:sz w:val="24"/>
              </w:rPr>
              <w:t>HQLA</w:t>
            </w:r>
            <w:r>
              <w:rPr>
                <w:rStyle w:val="TeksttreciTimesNewRoman105ptOdstpy0pt"/>
                <w:sz w:val="24"/>
              </w:rPr>
              <w:t xml:space="preserve"> atbilst arī speciālajām prasībām attiecībā uz riska darījumu kategoriju, kas izklāstītas Deleģētās regulas (ES) 2015/61 10.–16. un 35.–37. pantā. Nomināli atbilstīgo apgrūtināto </w:t>
            </w:r>
            <w:r>
              <w:rPr>
                <w:rStyle w:val="TeksttreciTimesNewRoman105ptOdstpy0pt"/>
                <w:i/>
                <w:iCs/>
                <w:sz w:val="24"/>
              </w:rPr>
              <w:t>EHQLA</w:t>
            </w:r>
            <w:r>
              <w:rPr>
                <w:rStyle w:val="TeksttreciTimesNewRoman105ptOdstpy0pt"/>
                <w:sz w:val="24"/>
              </w:rPr>
              <w:t xml:space="preserve"> un nomināli atbilstīgo apgrūtināto </w:t>
            </w:r>
            <w:r>
              <w:rPr>
                <w:rStyle w:val="TeksttreciTimesNewRoman105ptOdstpy0pt"/>
                <w:i/>
                <w:iCs/>
                <w:sz w:val="24"/>
              </w:rPr>
              <w:t>HQLA</w:t>
            </w:r>
            <w:r>
              <w:rPr>
                <w:rStyle w:val="TeksttreciTimesNewRoman105ptOdstpy0pt"/>
                <w:sz w:val="24"/>
              </w:rPr>
              <w:t xml:space="preserve"> patiesā vērtība ir patiesā vērtība pirms minētās deleģētās regulas 10.–16. pantā konkretizētā diskonta piemērošanas.</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Neapgrūtināto aktīvu uzskaites vērtība</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to savu aktīvu uzskaites vērtību, kuri nav apgrūtināti saskaņā ar aktīvu apgrūtinājuma definīciju, kas minēta šā pielikuma 11. punktā.</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Uzskaites vērtība ir summa, ko bilancē uzrāda aktīva pusē.</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citu grupas sabiedrību emitēti</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neapgrūtinātu aktīvu bilances vērtība, kurus tur pārskatu sniedzošā iestāde un kurus emitējusi jebkura sabiedrība, kas ir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atbilstīgi darījumiem ar centrālo banku</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neapgrūtinātu aktīvu bilances vērtība, kurus tur pārskatu sniedzošā iestāde un kurus var izmantot darījumos ar tām centrālajām bankām, kas ir pieejamas pārskatu sniedzošajai iestādei.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tai skaitā </w:t>
            </w:r>
            <w:r>
              <w:rPr>
                <w:rStyle w:val="InstructionsTabelleberschrift"/>
                <w:rFonts w:ascii="Times New Roman" w:hAnsi="Times New Roman"/>
                <w:i/>
                <w:iCs/>
                <w:sz w:val="24"/>
              </w:rPr>
              <w:t>EHQLA</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Deleģētās regulas (ES) 2015/61 10. līdz 13. pantā minēto neapgrūtināto </w:t>
            </w:r>
            <w:r>
              <w:rPr>
                <w:rStyle w:val="TeksttreciTimesNewRoman105ptOdstpy0pt"/>
                <w:i/>
                <w:iCs/>
                <w:sz w:val="24"/>
              </w:rPr>
              <w:t>EHQLA</w:t>
            </w:r>
            <w:r>
              <w:rPr>
                <w:rStyle w:val="TeksttreciTimesNewRoman105ptOdstpy0pt"/>
                <w:sz w:val="24"/>
              </w:rPr>
              <w:t xml:space="preserve"> un </w:t>
            </w:r>
            <w:r>
              <w:rPr>
                <w:rStyle w:val="TeksttreciTimesNewRoman105ptOdstpy0pt"/>
                <w:i/>
                <w:iCs/>
                <w:sz w:val="24"/>
              </w:rPr>
              <w:t>HQLA</w:t>
            </w:r>
            <w:r>
              <w:rPr>
                <w:rStyle w:val="TeksttreciTimesNewRoman105ptOdstpy0pt"/>
                <w:sz w:val="24"/>
              </w:rPr>
              <w:t xml:space="preserve"> uzskaites vērtība, kas atbilst vispārīgajām un operacionālajām prasībām, kuras izklāstītas minētās deleģētās regulas 7. un 8. pantā, kā arī konkrētajam prasībām attiecībā uz riska darījumu kategoriju, kas izklāstītas minētās deleģētās regulas 10.–16. un 35.–37. pantā.</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i/>
                <w:iCs/>
                <w:sz w:val="24"/>
              </w:rPr>
              <w:lastRenderedPageBreak/>
              <w:t>EHQLA</w:t>
            </w:r>
            <w:r>
              <w:rPr>
                <w:rStyle w:val="TeksttreciTimesNewRoman105ptOdstpy0pt"/>
                <w:sz w:val="24"/>
              </w:rPr>
              <w:t xml:space="preserve"> un </w:t>
            </w:r>
            <w:r>
              <w:rPr>
                <w:rStyle w:val="TeksttreciTimesNewRoman105ptOdstpy0pt"/>
                <w:i/>
                <w:iCs/>
                <w:sz w:val="24"/>
              </w:rPr>
              <w:t>HQLA</w:t>
            </w:r>
            <w:r>
              <w:rPr>
                <w:rStyle w:val="TeksttreciTimesNewRoman105ptOdstpy0pt"/>
                <w:sz w:val="24"/>
              </w:rPr>
              <w:t xml:space="preserve"> uzskaites vērtība ir uzskaites vērtība pirms Deleģētās regulas (ES) 2015/61 10.–16. pantā konkretizētā diskonta piemērošanas.</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Neapgrūtinātu aktīvu patiesā vērtība</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 SFPS un 8. pants Direktīvā 2013/34/ES iestādēm, kurās nepiemēro SFPS.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to savu parāda vērtspapīru patieso vērtību, kuri nav apgrūtināti saskaņā ar aktīvu apgrūtinājuma definīciju, kas minēta šā pielikuma 11. punktā.</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atbilstīgi darījumiem ar centrālo banku</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neapgrūtinātu parāda vērtspapīru patiesā vērtība, kurus tur pārskatu sniedzošā iestāde un kuri ir atbilstīgi darījumiem ar tām centrālajām bankām, kas ir pieejamas pārskatu sniedzošajai iestādei.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tai skaitā </w:t>
            </w:r>
            <w:r>
              <w:rPr>
                <w:rStyle w:val="InstructionsTabelleberschrift"/>
                <w:rFonts w:ascii="Times New Roman" w:hAnsi="Times New Roman"/>
                <w:i/>
                <w:iCs/>
                <w:sz w:val="24"/>
              </w:rPr>
              <w:t>EHQLA</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HQLA</w:t>
            </w:r>
          </w:p>
          <w:p w14:paraId="6A307766" w14:textId="3C568025"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Deleģētās regulas (ES) 2015/61 10. līdz 13. pantā minēto neapgrūtināto </w:t>
            </w:r>
            <w:r>
              <w:rPr>
                <w:rStyle w:val="TeksttreciTimesNewRoman105ptOdstpy0pt"/>
                <w:i/>
                <w:iCs/>
                <w:sz w:val="24"/>
              </w:rPr>
              <w:t>EHQLA</w:t>
            </w:r>
            <w:r>
              <w:rPr>
                <w:rStyle w:val="TeksttreciTimesNewRoman105ptOdstpy0pt"/>
                <w:sz w:val="24"/>
              </w:rPr>
              <w:t xml:space="preserve"> un </w:t>
            </w:r>
            <w:r>
              <w:rPr>
                <w:rStyle w:val="TeksttreciTimesNewRoman105ptOdstpy0pt"/>
                <w:i/>
                <w:iCs/>
                <w:sz w:val="24"/>
              </w:rPr>
              <w:t>HQLA</w:t>
            </w:r>
            <w:r>
              <w:rPr>
                <w:rStyle w:val="TeksttreciTimesNewRoman105ptOdstpy0pt"/>
                <w:sz w:val="24"/>
              </w:rPr>
              <w:t xml:space="preserve"> uzskaites vērtība, kas atbilst vispārīgajām un operacionālajām prasībām, kuras izklāstītas minētās deleģētās regulas 7. un 8. pantā, kā arī konkrētajam prasībām attiecībā uz riska darījumu kategoriju, kas izklāstītas minētās deleģētās regulas 10.–16. un 35.–37. pantā.</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i/>
                <w:iCs/>
                <w:sz w:val="24"/>
              </w:rPr>
              <w:t>EHQLA</w:t>
            </w:r>
            <w:r>
              <w:rPr>
                <w:rStyle w:val="TeksttreciTimesNewRoman105ptOdstpy0pt"/>
                <w:sz w:val="24"/>
              </w:rPr>
              <w:t xml:space="preserve"> un </w:t>
            </w:r>
            <w:r>
              <w:rPr>
                <w:rStyle w:val="TeksttreciTimesNewRoman105ptOdstpy0pt"/>
                <w:i/>
                <w:iCs/>
                <w:sz w:val="24"/>
              </w:rPr>
              <w:t>HQLA</w:t>
            </w:r>
            <w:r>
              <w:rPr>
                <w:rStyle w:val="TeksttreciTimesNewRoman105ptOdstpy0pt"/>
                <w:sz w:val="24"/>
              </w:rPr>
              <w:t xml:space="preserve"> patiesā vērtība ir patiesā vērtība pirms Deleģētās regulas (ES) 2015/61 10.–16. pantā konkretizētā diskonta piemērošanas.</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866023"/>
      <w:r>
        <w:rPr>
          <w:rFonts w:ascii="Times New Roman" w:hAnsi="Times New Roman"/>
          <w:sz w:val="24"/>
          <w:u w:val="none"/>
        </w:rPr>
        <w:t>Veidne: AE-COL. Pārskatus sniedzošās iestādes saņemtais nodrošinājums</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348096567"/>
      <w:bookmarkStart w:id="35" w:name="_Toc348097328"/>
      <w:bookmarkStart w:id="36" w:name="_Toc188866024"/>
      <w:r>
        <w:rPr>
          <w:rFonts w:ascii="Times New Roman" w:hAnsi="Times New Roman"/>
          <w:sz w:val="24"/>
          <w:u w:val="none"/>
        </w:rPr>
        <w:t>Vispārīgas piezīmes</w:t>
      </w:r>
      <w:bookmarkEnd w:id="36"/>
    </w:p>
    <w:p w14:paraId="35FC672D" w14:textId="77777777" w:rsidR="00941FAE" w:rsidRPr="00857276" w:rsidRDefault="00941FAE" w:rsidP="00941FAE">
      <w:pPr>
        <w:pStyle w:val="InstructionsText2"/>
        <w:shd w:val="clear" w:color="auto" w:fill="FFFFFF"/>
        <w:spacing w:after="120"/>
        <w:rPr>
          <w:sz w:val="24"/>
        </w:rPr>
      </w:pPr>
      <w:r>
        <w:rPr>
          <w:sz w:val="24"/>
        </w:rPr>
        <w:t>Attiecībā uz pārskatu sniedzošās iestādes saņemto nodrošinājumu un emitētiem pašu parāda vērtspapīriem, kas nav pašu segtās obligācijas vai ar aktīviem nodrošināti vērtspapīri, “neapgrūtināto” aktīvu kategorija ir sadalīta starp aktīviem, kuri ir “pieejami apgrūtināšanai” vai ir potenciāli atbilstoši apgrūtināšanai, un aktīviem, kuri “nav pieejami apgrūtināšanai”.</w:t>
      </w:r>
    </w:p>
    <w:p w14:paraId="2F0EF69A" w14:textId="77777777" w:rsidR="00941FAE" w:rsidRPr="00857276" w:rsidRDefault="00941FAE" w:rsidP="00941FAE">
      <w:pPr>
        <w:pStyle w:val="InstructionsText2"/>
        <w:shd w:val="clear" w:color="auto" w:fill="FFFFFF"/>
        <w:spacing w:after="120"/>
        <w:rPr>
          <w:sz w:val="24"/>
        </w:rPr>
      </w:pPr>
      <w:r>
        <w:rPr>
          <w:sz w:val="24"/>
        </w:rPr>
        <w:t xml:space="preserve">Aktīvi “nav pieejami apgrūtināšanai”, ja tie ir saņemti kā nodrošinājums un pārskatu sniedzošā iestāde nevar to pārdot vai atkārtoti ieķīlāt, izņemot nodrošinājuma īpašnieka saistību neizpildes gadījumā. Emitēti pašu parāda vērtspapīri, kas nav pašu segtās obligācijas vai </w:t>
      </w:r>
      <w:proofErr w:type="spellStart"/>
      <w:r>
        <w:rPr>
          <w:sz w:val="24"/>
        </w:rPr>
        <w:t>vērtspapīrošanas</w:t>
      </w:r>
      <w:proofErr w:type="spellEnd"/>
      <w:r>
        <w:rPr>
          <w:sz w:val="24"/>
        </w:rPr>
        <w:t>, nav pieejami apgrūtināšanai, ja pastāv jebkādi ierobežojumi noteikumos par turēto vērtspapīru emisiju, tos pārdodot vai atkārtoti ieķīlājot.</w:t>
      </w:r>
    </w:p>
    <w:p w14:paraId="6C172FD5" w14:textId="59669A70" w:rsidR="00941FAE" w:rsidRPr="00857276" w:rsidRDefault="00941FAE" w:rsidP="00941FAE">
      <w:pPr>
        <w:pStyle w:val="InstructionsText2"/>
        <w:shd w:val="clear" w:color="auto" w:fill="FFFFFF"/>
        <w:spacing w:after="120"/>
        <w:rPr>
          <w:sz w:val="24"/>
        </w:rPr>
      </w:pPr>
      <w:r>
        <w:rPr>
          <w:sz w:val="24"/>
        </w:rPr>
        <w:lastRenderedPageBreak/>
        <w:t>Aktīvu apgrūtinājuma uzrādīšanas vajadzībām vērtspapīrus, kas ir aizņemti apmaiņā pret maksu, nesniedzot naudas vai bezskaidras naudas nodrošinājumu, uzrāda kā saņemto nodrošinājumu.</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866025"/>
      <w:r>
        <w:rPr>
          <w:rFonts w:ascii="Times New Roman" w:hAnsi="Times New Roman"/>
          <w:sz w:val="24"/>
          <w:u w:val="none"/>
        </w:rPr>
        <w:t>Norādes par konkrētām rindām</w:t>
      </w:r>
      <w:bookmarkEnd w:id="34"/>
      <w:bookmarkEnd w:id="35"/>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Pārskatus sniedzošās iestādes saņemtais nodrošinājums</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Visas pārskatu sniedzošās iestādes saņemtā nodrošinājuma kategorijas.</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aizdevumus pēc pieprasījuma.</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0020. rindu.</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Pašu kapitāla instrumenti</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kapitāla vērtspapīru instrumentus.</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0030. rindu.</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Parāda vērtspapīri</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parāda vērtspapīrus.</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0040. rindu.</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segtās obligācijas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segtās obligācijas.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0050. rindu.</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vērtspapīrošanas</w:t>
            </w:r>
            <w:proofErr w:type="spellEnd"/>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Pārskatu sniedzošās iestādes saņemtais nodrošinājums, kas ietver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0060. rindu.</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vispārējo valdību emitēti</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vispārējo valdību emitētus parāda vērtspapīrus.</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0070. rindu.</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finanšu sabiedrību emitēti</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finanšu sabiedrību emitētus parāda vērtspapīrus.</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0080. rindu.</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nefinanšu</w:t>
            </w:r>
            <w:proofErr w:type="spellEnd"/>
            <w:r>
              <w:rPr>
                <w:rStyle w:val="InstructionsTabelleberschrift"/>
                <w:rFonts w:ascii="Times New Roman" w:hAnsi="Times New Roman"/>
                <w:sz w:val="24"/>
              </w:rPr>
              <w:t xml:space="preserve"> sabiedrību emitēti</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Pārskatu sniedzošās iestādes saņemtais nodrošinājums, kas ietver </w:t>
            </w:r>
            <w:proofErr w:type="spellStart"/>
            <w:r>
              <w:rPr>
                <w:rStyle w:val="InstructionsTabelleberschrift"/>
                <w:rFonts w:ascii="Times New Roman" w:hAnsi="Times New Roman"/>
                <w:b w:val="0"/>
                <w:sz w:val="24"/>
                <w:u w:val="none"/>
              </w:rPr>
              <w:t>nefinanšu</w:t>
            </w:r>
            <w:proofErr w:type="spellEnd"/>
            <w:r>
              <w:rPr>
                <w:rStyle w:val="InstructionsTabelleberschrift"/>
                <w:rFonts w:ascii="Times New Roman" w:hAnsi="Times New Roman"/>
                <w:b w:val="0"/>
                <w:sz w:val="24"/>
                <w:u w:val="none"/>
              </w:rPr>
              <w:t xml:space="preserve"> sabiedrību emitētus parāda vērtspapīrus.</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0090. rindu.</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Aizdevumi un avansi, izņemot aizdevumus pēc pieprasījuma</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tādus aizdevumus un avansus, kuri nav aizdevumi pēc pieprasījuma.</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0100. rindu.</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Cits saņemtais nodrošinājums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citus aktīvus.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0120. rindu.</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Emitēti pašu parāda vērtspapīri, kuri nav pašu segtās obligācijas vai </w:t>
            </w:r>
            <w:proofErr w:type="spellStart"/>
            <w:r>
              <w:rPr>
                <w:rStyle w:val="InstructionsTabelleberschrift"/>
                <w:rFonts w:ascii="Times New Roman" w:hAnsi="Times New Roman"/>
                <w:sz w:val="24"/>
              </w:rPr>
              <w:t>vērtspapīrošanas</w:t>
            </w:r>
            <w:proofErr w:type="spellEnd"/>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Pārskatu sniedzošās iestādes saglabāti emitētie pašu parāda vērtspapīri, kas nav emitētas pašu segtās obligācijas vai emitētas pašu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Ņemot vērā to, ka saglabāti vai atpirkti emitēti pašu parāda vērtspapīri (saskaņā ar 39. SGS 42. punktu) samazina attiecīgās finanšu saistības, šos vērtspapīrus neuzrāda pārskatu sniedzošās iestādes aktīvu kategorijā (AE-ASS veidnes 0010. rinda). Pašu parāda vērtspapīrus, kuru atzīšanu bilancē nevar pārtraukt ar SFPS nesaistīta iestāde, uzrāda šajā rindā.</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Šajā kategorijā neuzrāda emitētas pašu segtās obligācijas vai emitētas pašu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jo šajos gadījumos, lai izvairītos no dubultas uzskaites, piemēro atšķirīgus noteikumus.</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ir ieķīlāti pašu parāda vērtspapīri, tad seguma portfeļa/pamatā esošo aktīvu, ar ko nodrošina šos saglabātos un ieķīlātos vērtspapīrus, summu AE-ASS veidnē uzrāda kā apgrūtinātus aktīvus.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 pašu parāda vērtspapīri vēl nav ieķīlāti, tad seguma portfeļa/pamatā esošo aktīvu, ar ko nodrošina šos saglabātos un vēl neieķīlātos vērtspapīrus, summu AE-ASS veidnē uzrāda kā neapgrūtinātus aktīvus. AE-NPL veidnē norāda papildu informāciju par minēto vēl neieķīlāto pašu parāda vērtspapīru otru veidu (pamatā esošie aktīvi, to aktīvu patiesā vērtība un atbilstība, kuri ir pieejami apgrūtināšanai un to aktīvu nomināls, kuri nav-pieejami apgrūtināšanai).</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Pašu segtās obligācijas un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kas ir emitētas un vēl nav ieķīlātas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Emitētas pašu segtās obligācijas un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kuras pārskatu sniedzošā iestāde ir saglabājusi un kuras nav apgrūtinātas.</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 izvairītos no dubultās uzskaites, attiecībā uz pārskatu sniedzošās iestādes emitētām un saglabātām pašu segtajām obligācijām un </w:t>
            </w:r>
            <w:proofErr w:type="spellStart"/>
            <w:r>
              <w:rPr>
                <w:rStyle w:val="InstructionsTabelleberschrift"/>
                <w:rFonts w:ascii="Times New Roman" w:hAnsi="Times New Roman"/>
                <w:b w:val="0"/>
                <w:sz w:val="24"/>
                <w:u w:val="none"/>
              </w:rPr>
              <w:t>vērtspapīrošanām</w:t>
            </w:r>
            <w:proofErr w:type="spellEnd"/>
            <w:r>
              <w:rPr>
                <w:rStyle w:val="InstructionsTabelleberschrift"/>
                <w:rFonts w:ascii="Times New Roman" w:hAnsi="Times New Roman"/>
                <w:b w:val="0"/>
                <w:sz w:val="24"/>
                <w:u w:val="none"/>
              </w:rPr>
              <w:t xml:space="preserve"> piemēro šādu noteikumu:</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ja šie vērtspapīri ir ieķīlāti, tad seguma portfeļa/pamatā esošo aktīvu, ar ko nodrošina šos saglabātos un vēl neieķīlātos vērtspapīrus, summu AE-ASS veidnē (F32.01) uzrāda kā apgrūtinātus aktīvus. Gadījumā, ja pašu segtās obligācijas un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ir ieķīlātas, finansējuma avots ir </w:t>
            </w:r>
            <w:r>
              <w:rPr>
                <w:rStyle w:val="InstructionsTabelleberschrift"/>
                <w:rFonts w:ascii="Times New Roman" w:hAnsi="Times New Roman"/>
                <w:b w:val="0"/>
                <w:sz w:val="24"/>
                <w:u w:val="none"/>
              </w:rPr>
              <w:lastRenderedPageBreak/>
              <w:t xml:space="preserve">jaunais darījums, ar kuru vērtspapīri tiek ieķīlāti (centrālās bankas finansējums vai cita veida nodrošināts finansējums), bet ne segto obligāciju vai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sākotnējā emisija;</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ja šie vērtspapīri vēl nav ieķīlāti, tad seguma portfeļa/pamatā esošo aktīvu, ar ko nodrošina šos vērtspapīrus, summu AE-ASS veidnē (F32.01) uzrāda kā neapgrūtinātus aktīvus.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AKTĪVI, SAŅEMTAIS NODROŠINĀJUMS UN EMITĒTIE PAŠU PARĀDA VĒRTSPAPĪRI KOPĀ</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Visi pārskatu sniedzošās iestādes bilancē reģistrētie aktīvi, visas pārskatu sniedzošās iestādes saņemtā nodrošinājuma kategorijas un saglabāti emitētie pārskatu sniedzošās iestādes pašu parāda vērtspapīri, kas nav emitētas pašu segtās obligācijas vai pašu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866026"/>
      <w:r>
        <w:rPr>
          <w:rFonts w:ascii="Times New Roman" w:hAnsi="Times New Roman"/>
          <w:sz w:val="24"/>
          <w:u w:val="none"/>
        </w:rPr>
        <w:t>Norādījumi par konkrētām slejām</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Saņemtā apgrūtinātā nodrošinājuma vai emitēto pašu parāda vērtspapīru patiesā vērtība</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patieso vērtību saņemtajam nodrošinājumam vai tās turētajiem/saglabātajiem pašu parāda vērtspapīriem, kuri ir apgrūtināti saskaņā ar aktīvu apgrūtinājuma definīciju, kas minēta šā pielikuma 11. punktā.</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citu grupas sabiedrību emitēti</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saņemta apgrūtinātā nodrošinājuma vai emitēto pašu parāda vērtspapīru patiesā vērtība, kurus tur/saglabā pārskatu sniedzošā iestāde un kurus emitējusi jebkura sabiedrība, kas ir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atbilstīgi darījumiem ar centrālo banku</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saņemta apgrūtinātā nodrošinājuma vai emitēto pašu parāda vērtspapīru patiesā vērtība, kurus tur/saglabā pārskatu sniedzošā iestāde un kuri ir atbilstīgi darījumiem ar tām centrālajām bankām, kas ir pieejamas pārskatu sniedzošajai iestādei.</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nosacīti atbilstīgie </w:t>
            </w:r>
            <w:r>
              <w:rPr>
                <w:rStyle w:val="InstructionsTabelleberschrift"/>
                <w:rFonts w:ascii="Times New Roman" w:hAnsi="Times New Roman"/>
                <w:i/>
                <w:iCs/>
                <w:sz w:val="24"/>
              </w:rPr>
              <w:t>EHQLA</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Patiesā vērtība saņemtajam apgrūtinātajam nodrošinājumam, tai skaitā jebkurā vērtspapīru aizņemšanās darījumā, vai pašu parāda vērtspapīriem, kurus iestāde emitējusi un tur/saglabā un kuri ir nomināli atbilstīgi, lai tos kvalificētu kā </w:t>
            </w:r>
            <w:r>
              <w:rPr>
                <w:rStyle w:val="TeksttreciTimesNewRoman105ptOdstpy0pt"/>
                <w:i/>
                <w:iCs/>
                <w:sz w:val="24"/>
              </w:rPr>
              <w:t>EHQLA</w:t>
            </w:r>
            <w:r>
              <w:rPr>
                <w:rStyle w:val="TeksttreciTimesNewRoman105ptOdstpy0pt"/>
                <w:sz w:val="24"/>
              </w:rPr>
              <w:t xml:space="preserve"> un </w:t>
            </w:r>
            <w:r>
              <w:rPr>
                <w:rStyle w:val="TeksttreciTimesNewRoman105ptOdstpy0pt"/>
                <w:i/>
                <w:iCs/>
                <w:sz w:val="24"/>
              </w:rPr>
              <w:t>HQLA</w:t>
            </w:r>
            <w:r>
              <w:rPr>
                <w:rStyle w:val="TeksttreciTimesNewRoman105ptOdstpy0pt"/>
                <w:sz w:val="24"/>
              </w:rPr>
              <w:t>.</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lastRenderedPageBreak/>
              <w:t xml:space="preserve">Šīs regulas vajadzībām nomināli atbilstīgie apgrūtinātie </w:t>
            </w:r>
            <w:r>
              <w:rPr>
                <w:rStyle w:val="TeksttreciTimesNewRoman105ptOdstpy0pt"/>
                <w:i/>
                <w:iCs/>
                <w:sz w:val="24"/>
              </w:rPr>
              <w:t>EHQLA</w:t>
            </w:r>
            <w:r>
              <w:rPr>
                <w:rStyle w:val="TeksttreciTimesNewRoman105ptOdstpy0pt"/>
                <w:sz w:val="24"/>
              </w:rPr>
              <w:t xml:space="preserve"> un nomināli atbilstīgie apgrūtinātie </w:t>
            </w:r>
            <w:r>
              <w:rPr>
                <w:rStyle w:val="TeksttreciTimesNewRoman105ptOdstpy0pt"/>
                <w:i/>
                <w:iCs/>
                <w:sz w:val="24"/>
              </w:rPr>
              <w:t>HQLA</w:t>
            </w:r>
            <w:r>
              <w:rPr>
                <w:rStyle w:val="TeksttreciTimesNewRoman105ptOdstpy0pt"/>
                <w:sz w:val="24"/>
              </w:rPr>
              <w:t xml:space="preserve"> ir saņemtā nodrošinājuma vai iestādes emitēto, turēto/paturēto pašu parāda vērtspapīru posteņi, kas minēti Deleģētās regulas (ES) 2015/61 10. līdz 13. pantā un kas atbilstu vispārīgajām un operacionālajām prasībām, kas izklāstītas minētās deleģētās regulas 7. un 8. pantā, ja vien tiem nebūtu apgrūtinātu aktīvu statusa, kā noteikts šajā pielikumā. Nomināli atbilstīgie apgrūtinātie </w:t>
            </w:r>
            <w:r>
              <w:rPr>
                <w:rStyle w:val="TeksttreciTimesNewRoman105ptOdstpy0pt"/>
                <w:i/>
                <w:iCs/>
                <w:sz w:val="24"/>
              </w:rPr>
              <w:t>EHQLA</w:t>
            </w:r>
            <w:r>
              <w:rPr>
                <w:rStyle w:val="TeksttreciTimesNewRoman105ptOdstpy0pt"/>
                <w:sz w:val="24"/>
              </w:rPr>
              <w:t xml:space="preserve"> un apgrūtinātie </w:t>
            </w:r>
            <w:r>
              <w:rPr>
                <w:rStyle w:val="TeksttreciTimesNewRoman105ptOdstpy0pt"/>
                <w:i/>
                <w:iCs/>
                <w:sz w:val="24"/>
              </w:rPr>
              <w:t>HQLA</w:t>
            </w:r>
            <w:r>
              <w:rPr>
                <w:rStyle w:val="TeksttreciTimesNewRoman105ptOdstpy0pt"/>
                <w:sz w:val="24"/>
              </w:rPr>
              <w:t xml:space="preserve"> atbilst arī konkrētajām prasībām attiecībā uz riska darījumu kategoriju, kuras izklāstītas Deleģētās regulas (ES) 2015/61 10.–16. un 35.–37. pantā. Nomināli atbilstīgo apgrūtināto </w:t>
            </w:r>
            <w:r>
              <w:rPr>
                <w:rStyle w:val="TeksttreciTimesNewRoman105ptOdstpy0pt"/>
                <w:i/>
                <w:iCs/>
                <w:sz w:val="24"/>
              </w:rPr>
              <w:t>EHQLA</w:t>
            </w:r>
            <w:r>
              <w:rPr>
                <w:rStyle w:val="TeksttreciTimesNewRoman105ptOdstpy0pt"/>
                <w:sz w:val="24"/>
              </w:rPr>
              <w:t xml:space="preserve"> un nomināli atbilstīgo apgrūtināto </w:t>
            </w:r>
            <w:r>
              <w:rPr>
                <w:rStyle w:val="TeksttreciTimesNewRoman105ptOdstpy0pt"/>
                <w:i/>
                <w:iCs/>
                <w:sz w:val="24"/>
              </w:rPr>
              <w:t>HQLA</w:t>
            </w:r>
            <w:r>
              <w:rPr>
                <w:rStyle w:val="TeksttreciTimesNewRoman105ptOdstpy0pt"/>
                <w:sz w:val="24"/>
              </w:rPr>
              <w:t xml:space="preserve"> patiesā vērtība ir patiesā vērtība pirms Deleģētās regulas (ES) 2015/61 10.–16. pantā konkretizētā diskonta piemērošanas.</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pieejama saņemtā nodrošinājuma vai emitēto pašu parāda vērtspapīru patiesā vērtība</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 vērtība pārskatu sniedzošās iestādes saņemtajam nodrošinājumam, kas nav apgrūtināts, bet ir pieejams apgrūtināšanai, jo pārskatu sniedzošā iestāde drīkst to pārdot vai atkārtoti ieķīlāt nodrošinājuma īpašnieka saistību izpildes gadījumā. Tas arī ietver tādu emitēto pašu parāda vērtspapīru patieso vērtību, kuri nav pašu segtās obligācijas vai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un kuri nav apgrūtināti, bet ir pieejami apgrūtināšanai.</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No kā.: citu grupas sabiedrību emitēti</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 vērtība saņemtajam nodrošinājumam vai emitētajiem pašu parāda vērtspapīriem, kuri nav apgrūtināšanai pieejamas pašu segtās obligācijas vai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ko emitējusi jebkura sabiedrība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No kā.: atbilstīgi darījumiem ar centrālo banku</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 vērtība saņemtajam nodrošinājumam vai emitētajiem pašu parāda vērtspapīriem, kuri nav apgrūtināšanai pieejamas pašu segtās obligācijas vai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un kuri ir atbilstīgi darījumiem ar tām centrālajām bankām, kas ir pieejamas pārskatu sniedzošajai iestādei.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tai skaitā </w:t>
            </w:r>
            <w:r>
              <w:rPr>
                <w:rStyle w:val="InstructionsTabelleberschrift"/>
                <w:rFonts w:ascii="Times New Roman" w:hAnsi="Times New Roman"/>
                <w:i/>
                <w:iCs/>
                <w:sz w:val="24"/>
              </w:rPr>
              <w:t>EHQLA</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Patiesā vērtība saņemtajam neapgrūtinātajam nodrošinājumam vai apgrūtināšanai pieejamiem pašu parāda vērtspapīriem, kurus iestāde emitējusi un tur/saglabā un kuri nav pašu segtās obligācijas vai </w:t>
            </w:r>
            <w:proofErr w:type="spellStart"/>
            <w:r>
              <w:rPr>
                <w:rStyle w:val="TeksttreciTimesNewRoman105ptOdstpy0pt"/>
                <w:sz w:val="24"/>
              </w:rPr>
              <w:t>vērtspapīrošanas</w:t>
            </w:r>
            <w:proofErr w:type="spellEnd"/>
            <w:r>
              <w:rPr>
                <w:rStyle w:val="TeksttreciTimesNewRoman105ptOdstpy0pt"/>
                <w:sz w:val="24"/>
              </w:rPr>
              <w:t xml:space="preserve"> posteņi, kas ir kvalificējami kā Deleģētās regulas (ES) 2015/61 10. līdz 13. pantā minētie </w:t>
            </w:r>
            <w:r>
              <w:rPr>
                <w:rStyle w:val="TeksttreciTimesNewRoman105ptOdstpy0pt"/>
                <w:i/>
                <w:iCs/>
                <w:sz w:val="24"/>
              </w:rPr>
              <w:t>EHQLA</w:t>
            </w:r>
            <w:r>
              <w:rPr>
                <w:rStyle w:val="TeksttreciTimesNewRoman105ptOdstpy0pt"/>
                <w:sz w:val="24"/>
              </w:rPr>
              <w:t xml:space="preserve"> un </w:t>
            </w:r>
            <w:r>
              <w:rPr>
                <w:rStyle w:val="TeksttreciTimesNewRoman105ptOdstpy0pt"/>
                <w:i/>
                <w:iCs/>
                <w:sz w:val="24"/>
              </w:rPr>
              <w:t>HQL</w:t>
            </w:r>
            <w:r>
              <w:rPr>
                <w:rStyle w:val="TeksttreciTimesNewRoman105ptOdstpy0pt"/>
                <w:sz w:val="24"/>
              </w:rPr>
              <w:t xml:space="preserve">A un kas atbilst vispārīgajām un operacionālajām prasībām, kuras izklāstītas minētās deleģētās regulas 7. un 8. pantā, kā arī konkrētajam prasībām attiecībā uz riska darījumu kategoriju, kas izklāstītas minētās deleģētās regulas 10.–16. un 35.–37. pantā.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i/>
                <w:iCs/>
                <w:sz w:val="24"/>
              </w:rPr>
              <w:lastRenderedPageBreak/>
              <w:t>EHQLA</w:t>
            </w:r>
            <w:r>
              <w:rPr>
                <w:rStyle w:val="TeksttreciTimesNewRoman105ptOdstpy0pt"/>
                <w:sz w:val="24"/>
              </w:rPr>
              <w:t xml:space="preserve"> un </w:t>
            </w:r>
            <w:r>
              <w:rPr>
                <w:rStyle w:val="TeksttreciTimesNewRoman105ptOdstpy0pt"/>
                <w:i/>
                <w:iCs/>
                <w:sz w:val="24"/>
              </w:rPr>
              <w:t>HQLA</w:t>
            </w:r>
            <w:r>
              <w:rPr>
                <w:rStyle w:val="TeksttreciTimesNewRoman105ptOdstpy0pt"/>
                <w:sz w:val="24"/>
              </w:rPr>
              <w:t xml:space="preserve"> patiesā vērtība ir patiesā vērtība pirms Deleģētās regulas (ES) 2015/61 10.–16. pantā konkretizētā diskonta piemērošanas.</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nepieejama saņemtā nodrošinājuma vai emitēto pašu parāda vērtspapīru nomināls</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saņemtā nodrošinājuma nominālā summa, kuru tur pārskatu sniedzošā iestāde, kurš nav apgrūtināts un pieejams apgrūtināšanai.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Tas arī ietver tādu emitēto pašu parāda vērtspapīru nominālo summu, kuri nav pārskatu sniedzošās iestādes saglabātas pašu segtās obligācijas vai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un kuri nav apgrūtināti un arī nav pieejami apgrūtināšanai.</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8866027"/>
      <w:r>
        <w:rPr>
          <w:rFonts w:ascii="Times New Roman" w:hAnsi="Times New Roman"/>
          <w:sz w:val="24"/>
          <w:u w:val="none"/>
        </w:rPr>
        <w:t xml:space="preserve">Veidne: AE-NPL. Pašu segtās obligācijas un </w:t>
      </w:r>
      <w:proofErr w:type="spellStart"/>
      <w:r>
        <w:rPr>
          <w:rFonts w:ascii="Times New Roman" w:hAnsi="Times New Roman"/>
          <w:sz w:val="24"/>
          <w:u w:val="none"/>
        </w:rPr>
        <w:t>vērtspapīrošanas</w:t>
      </w:r>
      <w:proofErr w:type="spellEnd"/>
      <w:r>
        <w:rPr>
          <w:rFonts w:ascii="Times New Roman" w:hAnsi="Times New Roman"/>
          <w:sz w:val="24"/>
          <w:u w:val="none"/>
        </w:rPr>
        <w:t>, kas ir emitētas un vēl nav ieķīlātas</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8866028"/>
      <w:r>
        <w:rPr>
          <w:rFonts w:ascii="Times New Roman" w:hAnsi="Times New Roman"/>
          <w:sz w:val="24"/>
          <w:u w:val="none"/>
        </w:rPr>
        <w:t>Vispārīgas piezīmes</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 xml:space="preserve">Lai izvairītos no dubultās uzskaites, attiecībā uz pārskatu sniedzošās iestādes emitētām un saglabātām pašu segtajām obligācijām un </w:t>
      </w:r>
      <w:proofErr w:type="spellStart"/>
      <w:r>
        <w:rPr>
          <w:sz w:val="24"/>
        </w:rPr>
        <w:t>vērtspapīrošanām</w:t>
      </w:r>
      <w:proofErr w:type="spellEnd"/>
      <w:r>
        <w:rPr>
          <w:sz w:val="24"/>
        </w:rPr>
        <w:t xml:space="preserve"> piemēro šādu noteikumu:</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ja šie vērtspapīri ir ieķīlāti, tad seguma pūla/pamatā esošo aktīvu, ar ko nodrošina šos saglabātos un vēl neieķīlātos vērtspapīrus, summu AE-ASS veidnē uzrāda kā neapgrūtinātus aktīvus. Gadījumā, ja pašu segtās obligācijas un </w:t>
      </w:r>
      <w:proofErr w:type="spellStart"/>
      <w:r>
        <w:rPr>
          <w:sz w:val="24"/>
        </w:rPr>
        <w:t>vērtspapīrošanas</w:t>
      </w:r>
      <w:proofErr w:type="spellEnd"/>
      <w:r>
        <w:rPr>
          <w:sz w:val="24"/>
        </w:rPr>
        <w:t xml:space="preserve"> ir ieķīlātas, finansējuma avots ir jaunais darījums, ar kuru vērtspapīri tiek ieķīlāti (centrālās bankas finansējums vai cita veida nodrošināts finansējums), bet ne segto obligāciju vai </w:t>
      </w:r>
      <w:proofErr w:type="spellStart"/>
      <w:r>
        <w:rPr>
          <w:sz w:val="24"/>
        </w:rPr>
        <w:t>vērtspapīrošanas</w:t>
      </w:r>
      <w:proofErr w:type="spellEnd"/>
      <w:r>
        <w:rPr>
          <w:sz w:val="24"/>
        </w:rPr>
        <w:t xml:space="preserve"> sākotnējā emisija;</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ja šie vērtspapīri vēl nav ieķīlāti, tad seguma pūla/pamatā esošo aktīvu, ar ko nodrošina šos vērtspapīrus, summu AE-ASS veidnē uzrāda kā neapgrūtinātus aktīvus.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866029"/>
      <w:r>
        <w:rPr>
          <w:rFonts w:ascii="Times New Roman" w:hAnsi="Times New Roman"/>
          <w:sz w:val="24"/>
          <w:u w:val="none"/>
        </w:rPr>
        <w:t>Norādes par konkrētām rindām</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Pašu segtās obligācijas un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kas ir emitētas un vēl nav ieķīlātas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Emitētas pašu segtās obligācijas un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kuras pārskatu sniedzošā iestāde ir saglabājusi un kuras nav apgrūtinātas.</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Emitētās segtās obligācijas, kas saglabātas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segtās obligācijas, kuras pārskatu sniedzošā iestāde ir saglabājusi un kuras nav apgrūtinātas.</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Emitētas </w:t>
            </w:r>
            <w:proofErr w:type="spellStart"/>
            <w:r>
              <w:rPr>
                <w:rStyle w:val="InstructionsTabelleberschrift"/>
                <w:rFonts w:ascii="Times New Roman" w:hAnsi="Times New Roman"/>
                <w:sz w:val="24"/>
              </w:rPr>
              <w:t>vērtspapīrošanas</w:t>
            </w:r>
            <w:proofErr w:type="spellEnd"/>
            <w:r>
              <w:rPr>
                <w:rStyle w:val="InstructionsTabelleberschrift"/>
                <w:rFonts w:ascii="Times New Roman" w:hAnsi="Times New Roman"/>
                <w:sz w:val="24"/>
              </w:rPr>
              <w:t>, kas saglabātas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Emitētas pašu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kuras pārskatu sniedzošā iestāde ir saglabājusi un kuras nav apgrūtinātas.</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Augstākas prioritātes</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To emitēto pašu </w:t>
            </w:r>
            <w:proofErr w:type="spellStart"/>
            <w:r>
              <w:rPr>
                <w:rStyle w:val="InstructionsTabelleberschrift"/>
                <w:rFonts w:ascii="Times New Roman" w:hAnsi="Times New Roman"/>
                <w:b w:val="0"/>
                <w:sz w:val="24"/>
                <w:u w:val="none"/>
              </w:rPr>
              <w:t>vērtspapīrošanu</w:t>
            </w:r>
            <w:proofErr w:type="spellEnd"/>
            <w:r>
              <w:rPr>
                <w:rStyle w:val="InstructionsTabelleberschrift"/>
                <w:rFonts w:ascii="Times New Roman" w:hAnsi="Times New Roman"/>
                <w:b w:val="0"/>
                <w:sz w:val="24"/>
                <w:u w:val="none"/>
              </w:rPr>
              <w:t xml:space="preserve"> augstākas prioritātes laidieni, kuras pārskatu sniedzošā iestāde ir saglabājusi un kuras nav apgrūtinātas.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 Regulas (ES) Nr. 575/2013 4. panta 1. punkta 67) apakšpunktu.</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proofErr w:type="spellStart"/>
            <w:r>
              <w:rPr>
                <w:rStyle w:val="InstructionsTabelleberschrift"/>
                <w:rFonts w:ascii="Times New Roman" w:hAnsi="Times New Roman"/>
                <w:sz w:val="24"/>
              </w:rPr>
              <w:t>Mezanīna</w:t>
            </w:r>
            <w:proofErr w:type="spellEnd"/>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To emitēto pašu </w:t>
            </w:r>
            <w:proofErr w:type="spellStart"/>
            <w:r>
              <w:rPr>
                <w:rStyle w:val="InstructionsTabelleberschrift"/>
                <w:rFonts w:ascii="Times New Roman" w:hAnsi="Times New Roman"/>
                <w:b w:val="0"/>
                <w:sz w:val="24"/>
                <w:u w:val="none"/>
              </w:rPr>
              <w:t>vērtspapīrošanu</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mezanīna</w:t>
            </w:r>
            <w:proofErr w:type="spellEnd"/>
            <w:r>
              <w:rPr>
                <w:rStyle w:val="InstructionsTabelleberschrift"/>
                <w:rFonts w:ascii="Times New Roman" w:hAnsi="Times New Roman"/>
                <w:b w:val="0"/>
                <w:sz w:val="24"/>
                <w:u w:val="none"/>
              </w:rPr>
              <w:t xml:space="preserve"> laidieni, kuras pārskatu sniedzošā iestāde ir saglabājusi un kuras nav apgrūtinātas.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Visi laidieni, kas nav augstākas prioritātes laidieni, t. i., tādi, kas kā pēdējie absorbē zaudējumus vai pirmo zaudējumu laidienus, ir uzskatāmi par </w:t>
            </w:r>
            <w:proofErr w:type="spellStart"/>
            <w:r>
              <w:rPr>
                <w:rStyle w:val="InstructionsTabelleberschrift"/>
                <w:rFonts w:ascii="Times New Roman" w:hAnsi="Times New Roman"/>
                <w:b w:val="0"/>
                <w:sz w:val="24"/>
                <w:u w:val="none"/>
              </w:rPr>
              <w:t>mezanīna</w:t>
            </w:r>
            <w:proofErr w:type="spellEnd"/>
            <w:r>
              <w:rPr>
                <w:rStyle w:val="InstructionsTabelleberschrift"/>
                <w:rFonts w:ascii="Times New Roman" w:hAnsi="Times New Roman"/>
                <w:b w:val="0"/>
                <w:sz w:val="24"/>
                <w:u w:val="none"/>
              </w:rPr>
              <w:t xml:space="preserve"> laidieniem. Sk. Regulas (ES) Nr. 575/2013 4. panta 1. punkta 67) apakšpunktu.</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Pirmās kārtas zaudējumi</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To emitēto pašu </w:t>
            </w:r>
            <w:proofErr w:type="spellStart"/>
            <w:r>
              <w:rPr>
                <w:rStyle w:val="InstructionsTabelleberschrift"/>
                <w:rFonts w:ascii="Times New Roman" w:hAnsi="Times New Roman"/>
                <w:b w:val="0"/>
                <w:sz w:val="24"/>
                <w:u w:val="none"/>
              </w:rPr>
              <w:t>vērtspapīrošanu</w:t>
            </w:r>
            <w:proofErr w:type="spellEnd"/>
            <w:r>
              <w:rPr>
                <w:rStyle w:val="InstructionsTabelleberschrift"/>
                <w:rFonts w:ascii="Times New Roman" w:hAnsi="Times New Roman"/>
                <w:b w:val="0"/>
                <w:sz w:val="24"/>
                <w:u w:val="none"/>
              </w:rPr>
              <w:t xml:space="preserve"> pirmās kārtas zaudējumu laidieni, kuras pārskatu sniedzošā iestāde ir saglabājusi un kuras nav apgrūtinātas.</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Regulas (ES) Nr. 575/2013 4. panta 1. punkta 67) apakšpunktu.</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866030"/>
      <w:r>
        <w:rPr>
          <w:rFonts w:ascii="Times New Roman" w:hAnsi="Times New Roman"/>
          <w:sz w:val="24"/>
          <w:u w:val="none"/>
        </w:rPr>
        <w:t>Norādījumi par konkrētām slejām</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Slejas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Pamatā esošā aktīvu portfeļa uzskaites vērtība</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seguma pūla/pamatā esošo aktīvu bilances vērtība, kas nodrošina saglabātās pašu segtās obligācijas un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un kas vēl nav ieķīlāts.</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Emitēto un apgrūtināšanai pieejamo parāda vērtspapīru patiesā vērtība</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saglabātu pašu segto obligāciju un pašu </w:t>
            </w:r>
            <w:proofErr w:type="spellStart"/>
            <w:r>
              <w:rPr>
                <w:rStyle w:val="InstructionsTabelleberschrift"/>
                <w:rFonts w:ascii="Times New Roman" w:hAnsi="Times New Roman"/>
                <w:b w:val="0"/>
                <w:sz w:val="24"/>
                <w:u w:val="none"/>
              </w:rPr>
              <w:t>vērtspapīrošanu</w:t>
            </w:r>
            <w:proofErr w:type="spellEnd"/>
            <w:r>
              <w:rPr>
                <w:rStyle w:val="InstructionsTabelleberschrift"/>
                <w:rFonts w:ascii="Times New Roman" w:hAnsi="Times New Roman"/>
                <w:b w:val="0"/>
                <w:sz w:val="24"/>
                <w:u w:val="none"/>
              </w:rPr>
              <w:t xml:space="preserve"> patiesā vērtība, kuras nav apgrūtinātas, bet ir pieejamas apgrūtināšanai.</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No kā: atbilstīgi darījumiem ar centrālo banku</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saglabātu pašu segto obligāciju un pašu </w:t>
            </w:r>
            <w:proofErr w:type="spellStart"/>
            <w:r>
              <w:rPr>
                <w:rStyle w:val="InstructionsTabelleberschrift"/>
                <w:rFonts w:ascii="Times New Roman" w:hAnsi="Times New Roman"/>
                <w:b w:val="0"/>
                <w:sz w:val="24"/>
                <w:u w:val="none"/>
              </w:rPr>
              <w:t>vērtspapīrošanu</w:t>
            </w:r>
            <w:proofErr w:type="spellEnd"/>
            <w:r>
              <w:rPr>
                <w:rStyle w:val="InstructionsTabelleberschrift"/>
                <w:rFonts w:ascii="Times New Roman" w:hAnsi="Times New Roman"/>
                <w:b w:val="0"/>
                <w:sz w:val="24"/>
                <w:u w:val="none"/>
              </w:rPr>
              <w:t xml:space="preserve"> patiesā vērtība, kuras atbilst katram no šādiem kritērijiem:</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tās nav apgrūtinātas;</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tās ir pieejamas apgrūtināšanai;</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tās ir atbilstīgas darījumiem ar tām centrālajām bankām, kas ir pieejamas pārskatu sniedzošajai iestādei.</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tai skaitā nosacīti atbilstīgie </w:t>
            </w:r>
            <w:r>
              <w:rPr>
                <w:rStyle w:val="InstructionsTabelleberschrift"/>
                <w:rFonts w:ascii="Times New Roman" w:hAnsi="Times New Roman"/>
                <w:i/>
                <w:iCs/>
                <w:sz w:val="24"/>
              </w:rPr>
              <w:t>EHQLA</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 vērtība saņemtajam apgrūtinātajam nodrošinājumam, tai skaitā jebkurā vērtspapīru aizņemšanās darījumā, vai pašu parāda vērtspapīriem, kurus iestāde emitējusi un tur/saglabā un kuri ir nomināli atbilstīgi, lai tos kvalificētu kā </w:t>
            </w:r>
            <w:r>
              <w:rPr>
                <w:rStyle w:val="InstructionsTabelleberschrift"/>
                <w:rFonts w:ascii="Times New Roman" w:hAnsi="Times New Roman"/>
                <w:b w:val="0"/>
                <w:i/>
                <w:iCs/>
                <w:sz w:val="24"/>
                <w:u w:val="none"/>
              </w:rPr>
              <w:t>EHQLA</w:t>
            </w:r>
            <w:r>
              <w:rPr>
                <w:rStyle w:val="InstructionsTabelleberschrift"/>
                <w:rFonts w:ascii="Times New Roman" w:hAnsi="Times New Roman"/>
                <w:b w:val="0"/>
                <w:sz w:val="24"/>
                <w:u w:val="none"/>
              </w:rPr>
              <w:t xml:space="preserve"> un </w:t>
            </w:r>
            <w:r>
              <w:rPr>
                <w:rStyle w:val="InstructionsTabelleberschrift"/>
                <w:rFonts w:ascii="Times New Roman" w:hAnsi="Times New Roman"/>
                <w:b w:val="0"/>
                <w:i/>
                <w:iCs/>
                <w:sz w:val="24"/>
                <w:u w:val="none"/>
              </w:rPr>
              <w:t>HQLA</w:t>
            </w:r>
            <w:r>
              <w:rPr>
                <w:rStyle w:val="InstructionsTabelleberschrift"/>
                <w:rFonts w:ascii="Times New Roman" w:hAnsi="Times New Roman"/>
                <w:b w:val="0"/>
                <w:sz w:val="24"/>
                <w:u w:val="none"/>
              </w:rPr>
              <w:t>.</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Šīs regulas vajadzībām nomināli atbilstīgie apgrūtinātie </w:t>
            </w:r>
            <w:r>
              <w:rPr>
                <w:rStyle w:val="InstructionsTabelleberschrift"/>
                <w:rFonts w:ascii="Times New Roman" w:hAnsi="Times New Roman"/>
                <w:b w:val="0"/>
                <w:i/>
                <w:iCs/>
                <w:sz w:val="24"/>
                <w:u w:val="none"/>
              </w:rPr>
              <w:t>EHQLA</w:t>
            </w:r>
            <w:r>
              <w:rPr>
                <w:rStyle w:val="InstructionsTabelleberschrift"/>
                <w:rFonts w:ascii="Times New Roman" w:hAnsi="Times New Roman"/>
                <w:b w:val="0"/>
                <w:sz w:val="24"/>
                <w:u w:val="none"/>
              </w:rPr>
              <w:t xml:space="preserve"> un nomināli atbilstīgie apgrūtinātie </w:t>
            </w:r>
            <w:r>
              <w:rPr>
                <w:rStyle w:val="InstructionsTabelleberschrift"/>
                <w:rFonts w:ascii="Times New Roman" w:hAnsi="Times New Roman"/>
                <w:b w:val="0"/>
                <w:i/>
                <w:iCs/>
                <w:sz w:val="24"/>
                <w:u w:val="none"/>
              </w:rPr>
              <w:t>HQLA</w:t>
            </w:r>
            <w:r>
              <w:rPr>
                <w:rStyle w:val="InstructionsTabelleberschrift"/>
                <w:rFonts w:ascii="Times New Roman" w:hAnsi="Times New Roman"/>
                <w:b w:val="0"/>
                <w:sz w:val="24"/>
                <w:u w:val="none"/>
              </w:rPr>
              <w:t xml:space="preserve"> ir saņemtā nodrošinājuma vai iestādes emitēto, turēto/paturēto pašu parāda vērtspapīru posteņi, kas minēti Deleģētās regulas (ES) 2015/61 10. līdz 13. pantā un kas atbilstu vispārīgajām un operacionālajām </w:t>
            </w:r>
            <w:r>
              <w:rPr>
                <w:rStyle w:val="InstructionsTabelleberschrift"/>
                <w:rFonts w:ascii="Times New Roman" w:hAnsi="Times New Roman"/>
                <w:b w:val="0"/>
                <w:sz w:val="24"/>
                <w:u w:val="none"/>
              </w:rPr>
              <w:lastRenderedPageBreak/>
              <w:t xml:space="preserve">prasībām, kas izklāstītas minētās deleģētās regulas 7. un 8. pantā, ja vien tiem nebūtu apgrūtinātu aktīvu statusa, kā noteikts šajā XVII pielikumā. Nomināli atbilstīgie apgrūtinātie </w:t>
            </w:r>
            <w:r>
              <w:rPr>
                <w:rStyle w:val="InstructionsTabelleberschrift"/>
                <w:rFonts w:ascii="Times New Roman" w:hAnsi="Times New Roman"/>
                <w:b w:val="0"/>
                <w:i/>
                <w:iCs/>
                <w:sz w:val="24"/>
                <w:u w:val="none"/>
              </w:rPr>
              <w:t>EHQLA</w:t>
            </w:r>
            <w:r>
              <w:rPr>
                <w:rStyle w:val="InstructionsTabelleberschrift"/>
                <w:rFonts w:ascii="Times New Roman" w:hAnsi="Times New Roman"/>
                <w:b w:val="0"/>
                <w:sz w:val="24"/>
                <w:u w:val="none"/>
              </w:rPr>
              <w:t xml:space="preserve"> un apgrūtinātie </w:t>
            </w:r>
            <w:r>
              <w:rPr>
                <w:rStyle w:val="InstructionsTabelleberschrift"/>
                <w:rFonts w:ascii="Times New Roman" w:hAnsi="Times New Roman"/>
                <w:b w:val="0"/>
                <w:i/>
                <w:iCs/>
                <w:sz w:val="24"/>
                <w:u w:val="none"/>
              </w:rPr>
              <w:t>HQLA</w:t>
            </w:r>
            <w:r>
              <w:rPr>
                <w:rStyle w:val="InstructionsTabelleberschrift"/>
                <w:rFonts w:ascii="Times New Roman" w:hAnsi="Times New Roman"/>
                <w:b w:val="0"/>
                <w:sz w:val="24"/>
                <w:u w:val="none"/>
              </w:rPr>
              <w:t xml:space="preserve"> atbilst arī konkrētajām prasībām attiecībā uz riska darījumu kategoriju, kuras izklāstītas Deleģētās regulas (ES) 2015/61 10.–16. un 35.–37. pantā. Nomināli atbilstīgo apgrūtināto </w:t>
            </w:r>
            <w:r>
              <w:rPr>
                <w:rStyle w:val="InstructionsTabelleberschrift"/>
                <w:rFonts w:ascii="Times New Roman" w:hAnsi="Times New Roman"/>
                <w:b w:val="0"/>
                <w:i/>
                <w:iCs/>
                <w:sz w:val="24"/>
                <w:u w:val="none"/>
              </w:rPr>
              <w:t>EHQLA</w:t>
            </w:r>
            <w:r>
              <w:rPr>
                <w:rStyle w:val="InstructionsTabelleberschrift"/>
                <w:rFonts w:ascii="Times New Roman" w:hAnsi="Times New Roman"/>
                <w:b w:val="0"/>
                <w:sz w:val="24"/>
                <w:u w:val="none"/>
              </w:rPr>
              <w:t xml:space="preserve"> un nomināli atbilstīgo apgrūtināto </w:t>
            </w:r>
            <w:r>
              <w:rPr>
                <w:rStyle w:val="InstructionsTabelleberschrift"/>
                <w:rFonts w:ascii="Times New Roman" w:hAnsi="Times New Roman"/>
                <w:b w:val="0"/>
                <w:i/>
                <w:iCs/>
                <w:sz w:val="24"/>
                <w:u w:val="none"/>
              </w:rPr>
              <w:t>HQLA</w:t>
            </w:r>
            <w:r>
              <w:rPr>
                <w:rStyle w:val="InstructionsTabelleberschrift"/>
                <w:rFonts w:ascii="Times New Roman" w:hAnsi="Times New Roman"/>
                <w:b w:val="0"/>
                <w:sz w:val="24"/>
                <w:u w:val="none"/>
              </w:rPr>
              <w:t xml:space="preserve"> patiesā vērtība ir patiesā vērtība pirms Deleģētās regulas (ES) 2015/61 10.–16. pantā konkretizētā diskonta piemērošanas.</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nepieejamu emitēto pašu parāda vērtspapīru nomināls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saglabātu pašu segto obligāciju un pašu </w:t>
            </w:r>
            <w:proofErr w:type="spellStart"/>
            <w:r>
              <w:rPr>
                <w:rStyle w:val="InstructionsTabelleberschrift"/>
                <w:rFonts w:ascii="Times New Roman" w:hAnsi="Times New Roman"/>
                <w:b w:val="0"/>
                <w:sz w:val="24"/>
                <w:u w:val="none"/>
              </w:rPr>
              <w:t>vērtspapīrošanu</w:t>
            </w:r>
            <w:proofErr w:type="spellEnd"/>
            <w:r>
              <w:rPr>
                <w:rStyle w:val="InstructionsTabelleberschrift"/>
                <w:rFonts w:ascii="Times New Roman" w:hAnsi="Times New Roman"/>
                <w:b w:val="0"/>
                <w:sz w:val="24"/>
                <w:u w:val="none"/>
              </w:rPr>
              <w:t xml:space="preserve"> nominālā summa, kuras nav apgrūtinātas un nav- pieejamas apgrūtināšanai.</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8866031"/>
      <w:r>
        <w:rPr>
          <w:rFonts w:ascii="Times New Roman" w:hAnsi="Times New Roman"/>
          <w:sz w:val="24"/>
          <w:u w:val="none"/>
        </w:rPr>
        <w:t>Veidne: AE-SOU. Apgrūtinājumu avoti</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348096573"/>
      <w:bookmarkStart w:id="55" w:name="_Toc348097334"/>
      <w:bookmarkStart w:id="56" w:name="_Toc348101355"/>
      <w:bookmarkStart w:id="57" w:name="_Toc188866032"/>
      <w:r>
        <w:rPr>
          <w:rFonts w:ascii="Times New Roman" w:hAnsi="Times New Roman"/>
          <w:sz w:val="24"/>
          <w:u w:val="none"/>
        </w:rPr>
        <w:t>Vispārīgas piezīmes</w:t>
      </w:r>
      <w:bookmarkEnd w:id="57"/>
    </w:p>
    <w:p w14:paraId="5FB769B7" w14:textId="77777777" w:rsidR="00941FAE" w:rsidRPr="00857276" w:rsidRDefault="00941FAE" w:rsidP="00941FAE">
      <w:pPr>
        <w:pStyle w:val="InstructionsText2"/>
        <w:shd w:val="clear" w:color="auto" w:fill="FFFFFF"/>
        <w:spacing w:after="120"/>
        <w:rPr>
          <w:sz w:val="24"/>
        </w:rPr>
      </w:pPr>
      <w:r>
        <w:rPr>
          <w:sz w:val="24"/>
        </w:rPr>
        <w:t>Šajā veidnē iekļauta informācija par dažādu apgrūtinājuma avotu nozīmību pārskatu sniedzošajai iestādei, tostarp tādiem avotiem, kuru finansējums nav saistīts ar saņemtajām aizdevumu saistībām vai finanšu garantijām un vērtspapīru aizdevumiem ar bezskaidras naudas nodrošinājumu.</w:t>
      </w:r>
    </w:p>
    <w:p w14:paraId="1A5F7B35" w14:textId="7406514A" w:rsidR="00941FAE" w:rsidRPr="00857276" w:rsidRDefault="00941FAE" w:rsidP="00941FAE">
      <w:pPr>
        <w:pStyle w:val="InstructionsText2"/>
        <w:shd w:val="clear" w:color="auto" w:fill="FFFFFF"/>
        <w:spacing w:after="120"/>
        <w:rPr>
          <w:sz w:val="24"/>
        </w:rPr>
      </w:pPr>
      <w:r>
        <w:rPr>
          <w:sz w:val="24"/>
        </w:rPr>
        <w:t xml:space="preserve">Kopējais aktīvu un saņemtā nodrošinājuma apmērs AE-ASS un AE-COL veidnēs atbilst šādam validācijas noteikumam: {AE-SOU; 0170.r.; 0030.s.} = {AE-ASS; 0010.r.; 0010.s.} + {AE-COL; 0130.r.; 0010.s.} + {AE-COL; 0240.r.; 0010.s.}.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8866033"/>
      <w:r>
        <w:rPr>
          <w:rFonts w:ascii="Times New Roman" w:hAnsi="Times New Roman"/>
          <w:sz w:val="24"/>
          <w:u w:val="none"/>
        </w:rPr>
        <w:t>Norādes par konkrētām rindām</w:t>
      </w:r>
      <w:bookmarkEnd w:id="54"/>
      <w:bookmarkEnd w:id="55"/>
      <w:bookmarkEnd w:id="56"/>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Atlasītu finanšu saistību uzskaites vērtība</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atlasītu nodrošināto finanšu saistību uzskaites vērtība, ciktāl šīs saistības apgrūtina konkrētās iestādes aktīvus.</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Atvasināti instrumenti</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pārskatu sniedzošās iestādes nodrošinātu atvasināto instrumentu uzskaites vērtība, kuri ir finanšu saistības, proti, ar negatīvu patieso vērtību, ciktāl šie atvasinātie instrumenti apgrūtina konkrētās iestādes aktīvus.</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ārpusbiržas</w:t>
            </w:r>
            <w:proofErr w:type="spellEnd"/>
            <w:r>
              <w:rPr>
                <w:rStyle w:val="InstructionsTabelleberschrift"/>
                <w:rFonts w:ascii="Times New Roman" w:hAnsi="Times New Roman"/>
                <w:sz w:val="24"/>
              </w:rPr>
              <w:t xml:space="preserve">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Tādu pārskatu sniedzošās iestādes nodrošinātu atvasināto instrumentu uzskaites vērtība, kurus tirgo </w:t>
            </w:r>
            <w:proofErr w:type="spellStart"/>
            <w:r>
              <w:rPr>
                <w:rStyle w:val="InstructionsTabelleberschrift"/>
                <w:rFonts w:ascii="Times New Roman" w:hAnsi="Times New Roman"/>
                <w:b w:val="0"/>
                <w:sz w:val="24"/>
                <w:u w:val="none"/>
              </w:rPr>
              <w:t>ārpusbiržas</w:t>
            </w:r>
            <w:proofErr w:type="spellEnd"/>
            <w:r>
              <w:rPr>
                <w:rStyle w:val="InstructionsTabelleberschrift"/>
                <w:rFonts w:ascii="Times New Roman" w:hAnsi="Times New Roman"/>
                <w:b w:val="0"/>
                <w:sz w:val="24"/>
                <w:u w:val="none"/>
              </w:rPr>
              <w:t xml:space="preserve"> tirgū, ciktāl šie atvasinātie instrumenti apgrūtina aktīvus.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Noguldījumi</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noguldījumu uzskaites vērtība, ciktāl šie noguldījumi apgrūtina konkrētās iestādes aktīvus.</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Līgumi par aktīvu pārdošanu ar atpirkšanu</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Pārskatu sniedzošās iestādes līgumu par aktīvu pārdošanu ar atpirkšanu bruto uzskaites vērtība (neļaujot savstarpēju ieskaitu grāmatvedības regulējumā), ciktāl šie darījumi apgrūtina konkrētās iestādes aktīvus.</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Līgumi par aktīvu pārdošanu ar atpirkšanu (“</w:t>
            </w: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ir darījumi, kuros iestāde saņem naudas līdzekļus apmaiņā pret finanšu aktīviem, ko pārdod par noteiktu cenu, apņemoties atpirkt tos pašus (vai identiskus) aktīvus par noteiktu cenu konkrētā dienā nākotnē. Visi turpmāk minētie </w:t>
            </w:r>
            <w:proofErr w:type="spellStart"/>
            <w:r>
              <w:rPr>
                <w:rStyle w:val="InstructionsTabelleberschrift"/>
                <w:rFonts w:ascii="Times New Roman" w:hAnsi="Times New Roman"/>
                <w:b w:val="0"/>
                <w:sz w:val="24"/>
                <w:u w:val="none"/>
              </w:rPr>
              <w:t>repo</w:t>
            </w:r>
            <w:proofErr w:type="spellEnd"/>
            <w:r>
              <w:rPr>
                <w:rStyle w:val="InstructionsTabelleberschrift"/>
                <w:rFonts w:ascii="Times New Roman" w:hAnsi="Times New Roman"/>
                <w:b w:val="0"/>
                <w:sz w:val="24"/>
                <w:u w:val="none"/>
              </w:rPr>
              <w:t xml:space="preserve"> veida darījumu varianti ir jāuzrāda kā līgumi par aktīvu pārdošanu ar atpirkšanu: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summas, ko saņem apmaiņā pret vērtspapīriem, kas uz laiku pārvesti </w:t>
            </w:r>
            <w:proofErr w:type="spellStart"/>
            <w:r>
              <w:rPr>
                <w:rStyle w:val="InstructionsTabelleberschrift"/>
                <w:rFonts w:ascii="Times New Roman" w:hAnsi="Times New Roman"/>
                <w:b w:val="0"/>
                <w:sz w:val="24"/>
                <w:u w:val="none"/>
              </w:rPr>
              <w:t>trešai</w:t>
            </w:r>
            <w:proofErr w:type="spellEnd"/>
            <w:r>
              <w:rPr>
                <w:rStyle w:val="InstructionsTabelleberschrift"/>
                <w:rFonts w:ascii="Times New Roman" w:hAnsi="Times New Roman"/>
                <w:b w:val="0"/>
                <w:sz w:val="24"/>
                <w:u w:val="none"/>
              </w:rPr>
              <w:t xml:space="preserve"> personai vērtspapīru aizdevuma veidā pret nodrošinājumu naudā, kā arī</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 summas, ko saņem apmaiņā pret vērtspapīriem, kas pagaidām nodoti </w:t>
            </w:r>
            <w:proofErr w:type="spellStart"/>
            <w:r>
              <w:rPr>
                <w:rStyle w:val="InstructionsTabelleberschrift"/>
                <w:rFonts w:ascii="Times New Roman" w:hAnsi="Times New Roman"/>
                <w:b w:val="0"/>
                <w:sz w:val="24"/>
                <w:u w:val="none"/>
              </w:rPr>
              <w:t>trešai</w:t>
            </w:r>
            <w:proofErr w:type="spellEnd"/>
            <w:r>
              <w:rPr>
                <w:rStyle w:val="InstructionsTabelleberschrift"/>
                <w:rFonts w:ascii="Times New Roman" w:hAnsi="Times New Roman"/>
                <w:b w:val="0"/>
                <w:sz w:val="24"/>
                <w:u w:val="none"/>
              </w:rPr>
              <w:t xml:space="preserve"> personai pārdošanas/atpirkšanas līguma veidā.</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centrālās bankas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 centrālajām bankām noslēgtu pārskatu sniedzošās iestādes līgumu par aktīvu pārdošanu ar atpirkšanu uzskaites vērtība, ciktāl šie darījumi apgrūtina aktīvus.</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Nodrošināti noguldījumi, kas nav līgumi par aktīvu pārdošanu ar atpirkšanu</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nodrošinātu noguldījumu, kas nav līgumi par aktīvu pārdošanu ar atpirkšanu, uzskaites vērtība, ciktāl šie noguldījumi apgrūtina konkrētās iestādes aktīvus.</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centrālās bankas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Nodrošinātu noguldījumu, kas nav ar centrālajām bankām noslēgti pārskatu sniedzošās iestādes līgumi par aktīvu pārdošanu ar atpirkšanu, uzskaites vērtība, ciktāl šie noguldījumi apgrūtina konkrētās iestādes aktīvus.</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Emitētie parāda vērtspapīri</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emitētu parāda vērtspapīru uzskaites vērtība, ciktāl šie emitētie vērtspapīri apgrūtina konkrētās iestādes aktīvus.</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Jebkuras emisijas saglabātajai daļai piemēro īpašu A daļas 15. punkta vi) apakšpunktā paredzēto režīmu, lai šajā kategorijā uzrādītu tikai to parāda vērtspapīru procentuālo daļu, kuri nav izvietoti grupas sabiedrībās.</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emitētās segtās obligācijas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segto obligāciju uzskaites vērtība, kuru aktīvus ir iniciējusi pārskatu sniedzošā iestāde, ciktāl šie emitētie vērtspapīri apgrūtina pašas iestādes aktīvus.</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No kā.: emitētās </w:t>
            </w:r>
            <w:proofErr w:type="spellStart"/>
            <w:r>
              <w:rPr>
                <w:rStyle w:val="InstructionsTabelleberschrift"/>
                <w:rFonts w:ascii="Times New Roman" w:hAnsi="Times New Roman"/>
                <w:sz w:val="24"/>
              </w:rPr>
              <w:t>vērtspapīrošanas</w:t>
            </w:r>
            <w:proofErr w:type="spellEnd"/>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 xml:space="preserve">Pārskatu sniedzošās iestādes emitētu </w:t>
            </w:r>
            <w:proofErr w:type="spellStart"/>
            <w:r>
              <w:rPr>
                <w:rStyle w:val="InstructionsTabelleberschrift"/>
                <w:rFonts w:ascii="Times New Roman" w:hAnsi="Times New Roman"/>
                <w:b w:val="0"/>
                <w:sz w:val="24"/>
                <w:u w:val="none"/>
              </w:rPr>
              <w:t>vērtspapīrošanu</w:t>
            </w:r>
            <w:proofErr w:type="spellEnd"/>
            <w:r>
              <w:rPr>
                <w:rStyle w:val="InstructionsTabelleberschrift"/>
                <w:rFonts w:ascii="Times New Roman" w:hAnsi="Times New Roman"/>
                <w:b w:val="0"/>
                <w:sz w:val="24"/>
                <w:u w:val="none"/>
              </w:rPr>
              <w:t xml:space="preserve"> uzskaites vērtība, ciktāl šie emitētie vērtspapīri apgrūtina pašas iestādes aktīvus.</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apgrūtinājuma avoti</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darījumu, kas nav finanšu saistības, summa, ciktāl šie darījumi apgrūtina pašas iestādes aktīvus.</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Saņemto aizdevuma saistību nomināls</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saņemto aizdevuma saistību nominālā summa, ciktāl šīs saņemtās saistības apgrūtina pašas iestādes aktīvus.</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Saņemto finanšu garantiju nomināls</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Pārskatu sniedzošās iestādes saņemto finanšu garantiju nominālā summa, ciktāl šīs saņemtās saistības apgrūtina pašas iestādes aktīvus.</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Bezskaidras naudas nodrošinājuma aizņemto vērtspapīru patiesā vērtība</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bezskaidras naudas nodrošinājuma aizņemto vērtspapīru patiesā vērtība, ciktāl šie darījumi apgrūtina pašas iestādes aktīvus.</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darījumu, kas nav finanšu saistības un uz kuriem neattiecas 0130. līdz 0150. rindā minētie posteņi, summa, ciktāl šie darījumi apgrūtina pašas iestādes aktīvus.</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APGRŪTINĀJUMA AVOTI KOPĀ</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Visu pārskatu sniedzošās iestādes nodrošināto darījumu summa, ciktāl šie darījumi apgrūtina pašas iestādes aktīvus.</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866034"/>
      <w:r>
        <w:rPr>
          <w:rFonts w:ascii="Times New Roman" w:hAnsi="Times New Roman"/>
          <w:sz w:val="24"/>
          <w:u w:val="none"/>
        </w:rPr>
        <w:t>Norādījumi par konkrētām slejām</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Sakrītošās saistības, iespējamās saistības vai aizdotie vērtspapīri</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Sakrītošo saistību, iespējamo saistību (saņemtās aizdevumu saistības un saņemtās finanšu garantijas) un ar bezskaidru naudu nodrošinātu aizdoto vērtspapīru summa, ciktāl šie darījumi apgrūtina pašas iestādes aktīvus.</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saistības uzrāda to uzskaites vērtībā; iespējamās saistības uzrāda to nominālvērtībā; un ar bezskaidru naudu nodrošinātus vērtspapīrus uzrāda to patiesajā vērtībā.</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no citām grupas sabiedrībām</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Sakrītošo saistību, iespējamo saistību (saņemtās aizdevumu saistības un saņemtās finanšu garantijas) un ar bezskaidru naudu nodrošinātu aizdoto vērtspapīru summa, ciktāl darījuma partneris ir jebkura cita sabiedrība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 un šādi darījumi apgrūtina pašas iestādes aktīvus.</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Norādes attiecībā uz summu veidiem piemērojamiem noteikumiem sk. 0010. slejā.</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Aktīvi, saņemtais nodrošinājums un emitēti pašu vērtspapīri, kas nav segtās obligācijas un apgrūtinātas </w:t>
            </w:r>
            <w:proofErr w:type="spellStart"/>
            <w:r>
              <w:rPr>
                <w:rStyle w:val="InstructionsTabelleberschrift"/>
                <w:rFonts w:ascii="Times New Roman" w:hAnsi="Times New Roman"/>
                <w:sz w:val="24"/>
              </w:rPr>
              <w:t>vērtspapīrošanas</w:t>
            </w:r>
            <w:proofErr w:type="spellEnd"/>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Aktīvu, saņemtā nodrošinājuma un emitēto pašu vērtspapīru summa, izņemot segtās obligācijas un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kas ir apgrūtinātas rindā norādīto dažāda veida darījumu rezultātā.</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Lai nodrošinātu saskaņotību ar AE-ASS un AE-COL veidnēs minētajiem kritērijiem, pārskatu sniedzošās iestādes bilancē iekļautos aktīvus uzrāda to uzskaites vērtībā, bet atkārtoti izmantotu saņemto nodrošinājumu un apgrūtinātus emitētos pašu vērtspapīrus, kas nav segtās obligācijas un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uzrāda to patiesajā vērtībā.</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No kā.: atkārtoti izmantots saņemtais nodrošinājums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Tāda saņemtā nodrošinājuma patiesā vērtība, kurš ir atkārtoti izmantots/apgrūtināts rindā uzrādīto dažāda veida darījumu rezultātā.</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No kā: apgrūtinātie pašu parāda vērtspapīri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Tādu emitētu pašu vērtspapīru patiesā vērtība, kuri nav segtās obligācijas un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un kuri ir apgrūtināti rindās uzrādīto dažāda veida darījumu rezultātā.</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8866035"/>
      <w:r>
        <w:rPr>
          <w:rFonts w:ascii="Times New Roman" w:hAnsi="Times New Roman"/>
          <w:b/>
          <w:sz w:val="24"/>
          <w:u w:val="none"/>
        </w:rPr>
        <w:t>B daļa. Dati par termiņu</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866036"/>
      <w:r>
        <w:rPr>
          <w:rFonts w:ascii="Times New Roman" w:hAnsi="Times New Roman"/>
          <w:sz w:val="24"/>
          <w:u w:val="none"/>
        </w:rPr>
        <w:t>Vispārīgas piezīmes</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B daļā iekļautajā veidnē atspoguļots vispārējs pārskats par apgrūtināto aktīvu un atkārtoti izmantotā saņemtā nodrošinājuma summu, kas atbilst intervāliem, kuri noteikti attiecībā uz sakrītošu saistību atlikušo termiņu.</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8866037"/>
      <w:r>
        <w:rPr>
          <w:rFonts w:ascii="Times New Roman" w:hAnsi="Times New Roman"/>
          <w:sz w:val="24"/>
          <w:u w:val="none"/>
        </w:rPr>
        <w:t>Veidne: AE-MAT. Dati par termiņu</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866038"/>
      <w:r>
        <w:rPr>
          <w:rFonts w:ascii="Times New Roman" w:hAnsi="Times New Roman"/>
          <w:sz w:val="24"/>
          <w:u w:val="none"/>
        </w:rPr>
        <w:t>Norādes par konkrētām rindām</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aktīvi</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veidnē apgrūtinātie aktīvi ietver visu turpmāk minēto:</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aktīvus (sk. norādes par AE-ASS veidnes 0010. rindu), kurus uzrāda to uzskaites vērtībā;</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emitētus pašu parāda vērtspapīrus, kuri nav segtās obligācijas vai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(sk. norādes par AE-COL veidnes 240. rindu) un kurus uzrāda to patiesajā vērtībā.</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Šīs summas sadala pa atlikušajiem termiņa periodiem, kuri norādīti slejās pēc to apgrūtinājuma avota (sakrītošās saistības, iespējamās saistības vai aizdoto vērtspapīru darījumi) atlikušā termiņa.</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Atkārtoti izmantots saņemtais nodrošinājums (saņemošā pozīcija)</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 norādes par AE-COL veidnes 130. rindu un AE-SOU veidnes 0040. sleju.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summas patiesajā vērtībā un sadala pa atlikušajiem termiņa periodiem, kuri norādīti slejās pēc tā darījuma atlikušā termiņa, ar kuru iestāde saņēma nodrošinājumu un kurš tiek izmantots atkārtoti (saņemošā pozīcija).</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Atkārtoti izmantots saņemtais nodrošinājums (atkārtotas izmantošanas pozīcija)</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 norādes par AE-COL veidnes 130. rindu un AE-SOU veidnes 0040. sleju.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summas to patiesajā vērtībā un sadala pa atlikušajiem termiņa periodiem, kuri norādīti slejās pēc to apgrūtinājuma avota (atkārtotas izmantošanas pozīcija) atlikušā termiņa: sakrītošās saistības, iespējamās saistības vai aizdotie vērtspapīri.</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866039"/>
      <w:r>
        <w:rPr>
          <w:rFonts w:ascii="Times New Roman" w:hAnsi="Times New Roman"/>
          <w:sz w:val="24"/>
          <w:u w:val="none"/>
        </w:rPr>
        <w:t>Norādes par konkrētām slejām</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Nenoteikts termiņš</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Pēc pieprasījuma (bez konkrēta termiņa)</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Diennakts</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1 diena vai īsāks</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diena&lt;=1 nedēļa</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dienu, bet īsāks par vai vienāds ar 1 nedēļu</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nedēļa&lt;=2 nedēļas</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nedēļu, bet īsāks par vai vienāds ar 2 nedēļām</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nedēļa &lt;=1 mēnesis</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2 nedēļām, bet īsāks par vai vienāds ar 1 mēnesi</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mēnesis &lt;= 3 mēneši</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mēnesi, bet īsāks par vai vienāds ar 3 mēnešiem</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mēneši &lt;=6 mēneši</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3 mēnešiem, bet īsāks par vai vienāds ar 6 mēnešiem</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mēneši &lt;= 1 gads</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6 mēnešiem, bet īsāks par vai vienāds ar 1 gadu</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gads &lt;= 2 gadi</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gadu, bet īsāks par vai vienāds ar 2 gadiem</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gadi &lt;= 3 gadi</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2 gadiem, bet īsāks par vai vienāds ar 3 gadiem</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gadi &lt;=5 gadi</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3 gadiem, bet īsāks par vai vienāds ar 5 gadiem</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gadi &lt;=10 gadi</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5 gadiem, bet īsāks par vai vienāds ar 10 gadiem</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gadi</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10 gadiem</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8866040"/>
      <w:r>
        <w:rPr>
          <w:rFonts w:ascii="Times New Roman" w:hAnsi="Times New Roman"/>
          <w:b/>
          <w:sz w:val="24"/>
          <w:u w:val="none"/>
        </w:rPr>
        <w:t>C daļa. Iespējamais apgrūtinājums</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866041"/>
      <w:r>
        <w:rPr>
          <w:rFonts w:ascii="Times New Roman" w:hAnsi="Times New Roman"/>
          <w:sz w:val="24"/>
          <w:u w:val="none"/>
        </w:rPr>
        <w:t>Vispārīgas piezīmes</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Iestādes šajā veidnē uzrāda aktīvu apgrūtinājuma līmeni, kas rada vairākus stresa scenārijus.</w:t>
      </w:r>
    </w:p>
    <w:p w14:paraId="3FD4CD31" w14:textId="22F9A8A4" w:rsidR="00941FAE" w:rsidRPr="00857276" w:rsidRDefault="00941FAE" w:rsidP="00941FAE">
      <w:pPr>
        <w:pStyle w:val="InstructionsText2"/>
        <w:shd w:val="clear" w:color="auto" w:fill="FFFFFF"/>
        <w:spacing w:after="120"/>
        <w:rPr>
          <w:sz w:val="24"/>
        </w:rPr>
      </w:pPr>
      <w:r>
        <w:rPr>
          <w:sz w:val="24"/>
        </w:rPr>
        <w:t>Iespējamais apgrūtinājums attiecas uz tiem papildu aktīviem, kurus var būt nepieciešams apgrūtināt, ja pārskatu sniedzošajai iestādei rodas nelabvēlīgi apstākļi, kurus izraisījis ārējs notikums un kurus pārskatu sniedzošā iestāde nevar kontrolēt (tostarp, kredītreitinga pazemināšana, apgrūtināto aktīvu patiesās vērtības samazinājums vai vispārējs uzticēšanās zudums). Šādos gadījumos pārskatu sniedzošajai iestādei attiecībā uz jau veiktiem darījumiem būs jāapgrūtina papildu aktīvi. No apgrūtināto aktīvu papildu apmēra atskaita tādu iestādes nodrošinājuma darījumu ietekmi, kas veikti, lai novērstu iepriekš minētajos stresa scenārijos izklāstītos notikumus.</w:t>
      </w:r>
    </w:p>
    <w:p w14:paraId="61D0A026" w14:textId="22751820" w:rsidR="00941FAE" w:rsidRPr="00857276" w:rsidRDefault="00941FAE" w:rsidP="00941FAE">
      <w:pPr>
        <w:pStyle w:val="InstructionsText2"/>
        <w:shd w:val="clear" w:color="auto" w:fill="FFFFFF"/>
        <w:spacing w:after="120"/>
        <w:rPr>
          <w:sz w:val="24"/>
        </w:rPr>
      </w:pPr>
      <w:r>
        <w:rPr>
          <w:sz w:val="24"/>
        </w:rPr>
        <w:lastRenderedPageBreak/>
        <w:t>Šajā veidnē iekļauti šādi divi scenāriji attiecībā uz uzrādāmo iespējamo apgrūtinājumu, kas sīkāk izklāstīti 4.1.1. un 4.1.2. iedaļā. Norādāmajā informācijā ietver iestādes pamatotas aplēses, kas balstās uz labāko pieejamo informāciju.</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Apgrūtināto aktīvu patiesās vērtības samazinājums par 30 %. Šis scenārijs aptver tikai aktīvu pamatā esošās patiesās vērtības izmaiņas, bet ne jebkuras citas izmaiņas, kas var ietekmēt to bilances vērtību, piemēram, guvumi un zaudējumi no ārvalstu valūtas maiņas vai iespējamas vērtības samazināšanās. Pārskatu sniedzošā iestāde var būt spiesta paredzēt lielāku nodrošinājumu, lai saglabātu nemainīgu nodrošinājuma vērtību.</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Amortizācija 10 % apmērā ikvienā valūtā, kurā iestādei ir kopējās saistības 5 % vai vairāk procentu apmērā no iestādes kopējām saistībām.</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Šos scenārijus uzrāda neatkarīgi vienu no otra, un būtiskas valūtas amortizāciju arī uzrāda neatkarīgi no citu būtisku valūtu amortizācijas. Tādējādi iestādes neņem vērā korelācijas starp minētajiem scenārijiem.</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8866042"/>
      <w:r>
        <w:rPr>
          <w:rFonts w:ascii="Times New Roman" w:hAnsi="Times New Roman"/>
          <w:sz w:val="24"/>
          <w:u w:val="none"/>
        </w:rPr>
        <w:t>A scenārijs. Apgrūtināto aktīvu samazinājums par 30 %</w:t>
      </w:r>
      <w:bookmarkEnd w:id="79"/>
    </w:p>
    <w:p w14:paraId="3065C7EF" w14:textId="5BB6B2F3" w:rsidR="00941FAE" w:rsidRPr="00857276" w:rsidRDefault="00941FAE" w:rsidP="00941FAE">
      <w:pPr>
        <w:pStyle w:val="InstructionsText2"/>
        <w:spacing w:after="120"/>
        <w:rPr>
          <w:sz w:val="24"/>
        </w:rPr>
      </w:pPr>
      <w:r>
        <w:rPr>
          <w:sz w:val="24"/>
        </w:rPr>
        <w:t xml:space="preserve">Tiek pieņemts, ka visu apgrūtināto aktīvu vērtība samazinās par 30 %. Saistībā ar vajadzību pēc papildu nodrošinājuma, kas izriet no šāda samazinājuma, ņem vērā esošos </w:t>
      </w:r>
      <w:proofErr w:type="spellStart"/>
      <w:r>
        <w:rPr>
          <w:sz w:val="24"/>
        </w:rPr>
        <w:t>virsnodrošinājuma</w:t>
      </w:r>
      <w:proofErr w:type="spellEnd"/>
      <w:r>
        <w:rPr>
          <w:sz w:val="24"/>
        </w:rPr>
        <w:t xml:space="preserve"> apmērus, lai tiktu saglabāts tikai minimālais nodrošinājuma līmenis. Saistībā ar vajadzību pēc papildu nodrošinājuma ņem arī vērā prasības, kas noteiktas skartajos līgumos un vienošanās, tostarp </w:t>
      </w:r>
      <w:proofErr w:type="spellStart"/>
      <w:r>
        <w:rPr>
          <w:sz w:val="24"/>
        </w:rPr>
        <w:t>izraisītājmehānismus</w:t>
      </w:r>
      <w:proofErr w:type="spellEnd"/>
      <w:r>
        <w:rPr>
          <w:sz w:val="24"/>
        </w:rPr>
        <w:t>, ja sasniegts noteikts slieksnis.</w:t>
      </w:r>
    </w:p>
    <w:p w14:paraId="4BB3DCA3" w14:textId="77777777" w:rsidR="00941FAE" w:rsidRPr="00857276" w:rsidRDefault="00941FAE" w:rsidP="00941FAE">
      <w:pPr>
        <w:pStyle w:val="InstructionsText2"/>
        <w:spacing w:after="120"/>
        <w:rPr>
          <w:sz w:val="24"/>
        </w:rPr>
      </w:pPr>
      <w:r>
        <w:rPr>
          <w:sz w:val="24"/>
        </w:rPr>
        <w:t xml:space="preserve">Iekļauj tikai tos līgumus un vienošanās, kuros noteikts juridisks pienākums izveidot papildu nodrošinājumu. Tas ietver segto obligāciju emisijas, ja pastāv juridiska prasība saglabāt </w:t>
      </w:r>
      <w:proofErr w:type="spellStart"/>
      <w:r>
        <w:rPr>
          <w:sz w:val="24"/>
        </w:rPr>
        <w:t>virsnodrošinājuma</w:t>
      </w:r>
      <w:proofErr w:type="spellEnd"/>
      <w:r>
        <w:rPr>
          <w:sz w:val="24"/>
        </w:rPr>
        <w:t xml:space="preserve"> minimālo līmeni, bet nepastāv prasība saglabāt esošos segtās obligācijas reitinga līmeņus.</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8866043"/>
      <w:r>
        <w:rPr>
          <w:rFonts w:ascii="Times New Roman" w:hAnsi="Times New Roman"/>
          <w:sz w:val="24"/>
          <w:u w:val="none"/>
        </w:rPr>
        <w:t>B scenārijs. Amortizācija 10 % apmērā būtiskajās valūtās</w:t>
      </w:r>
      <w:bookmarkEnd w:id="80"/>
    </w:p>
    <w:p w14:paraId="5E76C9DE" w14:textId="5D7CDB33" w:rsidR="00941FAE" w:rsidRPr="00857276" w:rsidRDefault="00941FAE" w:rsidP="00941FAE">
      <w:pPr>
        <w:pStyle w:val="InstructionsText2"/>
        <w:spacing w:after="120"/>
        <w:rPr>
          <w:sz w:val="24"/>
        </w:rPr>
      </w:pPr>
      <w:r>
        <w:rPr>
          <w:sz w:val="24"/>
        </w:rPr>
        <w:t>Valūta ir būtiska valūta, ja pārskatu sniedzošajai iestādei kopējās saistības šajā valūtā ir 5 % vai vairāk procentu apmērā no iestādes kopējām saistībām.</w:t>
      </w:r>
    </w:p>
    <w:p w14:paraId="0E2B3433" w14:textId="6DEB281A" w:rsidR="00941FAE" w:rsidRPr="00857276" w:rsidRDefault="00941FAE" w:rsidP="00941FAE">
      <w:pPr>
        <w:pStyle w:val="InstructionsText2"/>
        <w:spacing w:after="120"/>
        <w:rPr>
          <w:sz w:val="24"/>
        </w:rPr>
      </w:pPr>
      <w:r>
        <w:rPr>
          <w:sz w:val="24"/>
        </w:rPr>
        <w:t xml:space="preserve">10 % amortizācijas aprēķinā ņem vērā gan aktīvu, gan saistību izmaiņas, t. i., pievērš uzmanību aktīvu un saistību neatbilstībām. Piemēram, uz aktīviem ASV dolāros balstīti </w:t>
      </w:r>
      <w:proofErr w:type="spellStart"/>
      <w:r>
        <w:rPr>
          <w:sz w:val="24"/>
        </w:rPr>
        <w:t>repo</w:t>
      </w:r>
      <w:proofErr w:type="spellEnd"/>
      <w:r>
        <w:rPr>
          <w:sz w:val="24"/>
        </w:rPr>
        <w:t xml:space="preserve"> darījumi ASV dolāros nerada papildu apgrūtinājumu, bet uz aktīviem EUR balstīti </w:t>
      </w:r>
      <w:proofErr w:type="spellStart"/>
      <w:r>
        <w:rPr>
          <w:sz w:val="24"/>
        </w:rPr>
        <w:t>repo</w:t>
      </w:r>
      <w:proofErr w:type="spellEnd"/>
      <w:r>
        <w:rPr>
          <w:sz w:val="24"/>
        </w:rPr>
        <w:t xml:space="preserve"> darījumi ASV dolāros rada papildu apgrūtinājumu.</w:t>
      </w:r>
    </w:p>
    <w:p w14:paraId="2A7E473E" w14:textId="77777777" w:rsidR="00941FAE" w:rsidRPr="00857276" w:rsidRDefault="00941FAE" w:rsidP="00941FAE">
      <w:pPr>
        <w:pStyle w:val="InstructionsText2"/>
        <w:spacing w:after="120"/>
        <w:rPr>
          <w:sz w:val="24"/>
        </w:rPr>
      </w:pPr>
      <w:r>
        <w:rPr>
          <w:sz w:val="24"/>
        </w:rPr>
        <w:t>Šajā aprēķinā iekļauj visus darījumus, kuros iesaistītas dažādas valūtas.</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8866044"/>
      <w:r>
        <w:rPr>
          <w:rFonts w:ascii="Times New Roman" w:hAnsi="Times New Roman"/>
          <w:sz w:val="24"/>
          <w:u w:val="none"/>
        </w:rPr>
        <w:t>Veidne: AE-CONT. Iespējamais apgrūtinājums</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8866045"/>
      <w:r>
        <w:rPr>
          <w:rFonts w:ascii="Times New Roman" w:hAnsi="Times New Roman"/>
          <w:sz w:val="24"/>
          <w:u w:val="none"/>
        </w:rPr>
        <w:t>Norādes par konkrētām rindām</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Sk. norādes par AE-SOU veidnē iekļautajām specifiskām rindām 2.4.2. iedaļā. AE-CONT veidnē iekļauto rindu saturs neatšķiras no AE-SOU veidnes.</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866046"/>
      <w:r>
        <w:rPr>
          <w:rFonts w:ascii="Times New Roman" w:hAnsi="Times New Roman"/>
          <w:sz w:val="24"/>
          <w:u w:val="none"/>
        </w:rPr>
        <w:lastRenderedPageBreak/>
        <w:t>Norādes par konkrētām slejām</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Sakrītošās saistības, iespējamās saistības vai aizdotie vērtspapīri</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Tādas pašas norādes un dati kā AE-SOU veidnes 0010. slejā; Sakrītošo saistību, iespējamo saistību (saņemtās aizdevumu saistības un saņemtās finanšu garantijas) un ar bezskaidru naudu nodrošinātu aizdoto vērtspapīru summa, ciktāl šie darījumi apgrūtina pašas iestādes aktīvus.</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Atbilstoši tam, kā veidnē minēts attiecībā uz katru rindu, iestādes uzrāda finanšu saistības to uzskaites vērtībā, iespējamās saistības – to nominālvērtībā, bet ar bezskaidru naudu nodrošinātus aizdotos vērtspapīrus – to patiesajā vērtībā.</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Apgrūtināto aktīvo papildu summa</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aktīvu papildu summa, kuri varētu kļūt apgrūtināti saistībā ar juridisku, regulatīvu vai līgumisku noteikumu, ko varētu izmantot A scenārija gadījumā.</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Saskaņā ar A daļā iekļautajām norādēm iestādes uzrāda šīs summas to uzskaites vērtībā, ja attiecīgā summa ir saistīta ar pārskatu sniedzošās iestādes aktīviem, vai to patiesajā vērtībā, ja tā saistīta ar saņemto nodrošinājumu. Summas, kas pārsniedz iestādes neapgrūtinātos aktīvus un nodrošinājumu, uzrāda patiesajā vērtībā.</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Apgrūtināto aktīvo papildu summa. Būtiska valūta Nr.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aktīvu papildu summa, kuri varētu kļūt apgrūtināti saistībā ar juridisku, regulatīvu vai līgumisku noteikumu, ko saskaņā ar B scenāriju varētu izmantot, ja tiktu amortizēta būtiska valūta 1.</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Noteikumus par summu veidiem sk. 0020. rindā.</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Apgrūtināto aktīvo papildu summa. Būtiska valūta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aktīvu papildu summa, kuri varētu kļūt apgrūtināti saistībā ar juridisku, regulatīvu vai līgumisku noteikumu, ko saskaņā ar B scenāriju varētu izmantot, ja tiktu amortizēta būtiska valūta 2.</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Noteikumus par summu veidiem sk. 0020. rindā.</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8866047"/>
      <w:r>
        <w:rPr>
          <w:rFonts w:ascii="Times New Roman" w:hAnsi="Times New Roman"/>
          <w:b/>
          <w:sz w:val="24"/>
          <w:u w:val="none"/>
        </w:rPr>
        <w:t>D daļa. Segtās obligācijas</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866048"/>
      <w:r>
        <w:rPr>
          <w:rFonts w:ascii="Times New Roman" w:hAnsi="Times New Roman"/>
          <w:sz w:val="24"/>
          <w:u w:val="none"/>
        </w:rPr>
        <w:t>Vispārīgas piezīmes</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Šajā veidnē uzrāda informāciju par visām PVKIU atbilstīgām segtajām obligācijām, kuras emitējusi pārskatu sniedzošā iestāde. PVKIU atbilstīgās segtās obligācijas ir obligācijas, kas minētas Direktīvas 2009/65/EK 52. panta 4. punkta pirmajā daļā. Tās ir pārskatu sniedzošās iestādes emitētas segtās obligācijas, ja uz pārskatu sniedzošo iestādi saistībā ar attiecīgo segto obligāciju saskaņā ar likumu attiecas īpaša valsts uzraudzība, kas paredzēta obligāciju turētāju aizsardzībai, un ja attiecībā uz šādu segto obligāciju ir vajadzīgs, lai no šo obligāciju emisijas iegūtās summas saskaņā ar likumu būtu ieguldītas aktīvos, kuri visā obligāciju derīguma laikā var segt no šīm obligācijām izrietošus prasījumus un kuri emitenta neveiksmes gadījumā pirmkārt izmantojami, lai kompensētu pamatsummu un izmaksātu uzkrātos procentus.</w:t>
      </w:r>
    </w:p>
    <w:p w14:paraId="140F1257" w14:textId="77777777" w:rsidR="00941FAE" w:rsidRPr="00857276" w:rsidRDefault="00941FAE" w:rsidP="00941FAE">
      <w:pPr>
        <w:pStyle w:val="InstructionsText2"/>
        <w:shd w:val="clear" w:color="auto" w:fill="FFFFFF"/>
        <w:spacing w:after="120"/>
        <w:rPr>
          <w:sz w:val="24"/>
        </w:rPr>
      </w:pPr>
      <w:r>
        <w:rPr>
          <w:sz w:val="24"/>
        </w:rPr>
        <w:lastRenderedPageBreak/>
        <w:t>AE-CB veidnēs neuzrāda pārskatu sniedzošās iestādes (vai tās vārdā) emitētas segtās obligācijas, kuras nav PVKIU atbilstīgas segtās obligācijas.</w:t>
      </w:r>
    </w:p>
    <w:p w14:paraId="213F4CC7" w14:textId="77777777" w:rsidR="00941FAE" w:rsidRPr="00857276" w:rsidRDefault="00941FAE" w:rsidP="00941FAE">
      <w:pPr>
        <w:pStyle w:val="InstructionsText2"/>
        <w:shd w:val="clear" w:color="auto" w:fill="FFFFFF"/>
        <w:spacing w:after="120"/>
        <w:rPr>
          <w:sz w:val="24"/>
        </w:rPr>
      </w:pPr>
      <w:r>
        <w:rPr>
          <w:sz w:val="24"/>
        </w:rPr>
        <w:t>Pārskatu sniegšanas pamatā ir likumā noteikts segto obligāciju režīms, t. i., tiesiskais regulējums, ko piemēro segto obligāciju programmai.</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8866049"/>
      <w:r>
        <w:rPr>
          <w:rFonts w:ascii="Times New Roman" w:hAnsi="Times New Roman"/>
          <w:sz w:val="24"/>
          <w:u w:val="none"/>
        </w:rPr>
        <w:t>Veidne: AE-CB. Segto obligāciju emisija</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348096589"/>
      <w:bookmarkStart w:id="92" w:name="_Toc348097349"/>
      <w:bookmarkStart w:id="93" w:name="_Toc348101370"/>
      <w:bookmarkStart w:id="94" w:name="_Toc188866050"/>
      <w:r>
        <w:rPr>
          <w:rFonts w:ascii="Times New Roman" w:hAnsi="Times New Roman"/>
          <w:sz w:val="24"/>
          <w:u w:val="none"/>
        </w:rPr>
        <w:t>Norādes par z-asi</w:t>
      </w:r>
      <w:bookmarkEnd w:id="94"/>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 ass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portfeļa identifikators (atvērts)</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Seguma portfeļa identifikatoru veido seguma portfeli emitējušās sabiedrības nosaukums vai skaidrs saīsinājums un seguma portfeļa apzīmējums, kam individuāli piemēro attiecīgos segto obligāciju aizsardzības pasākumus.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8866051"/>
      <w:r>
        <w:rPr>
          <w:rFonts w:ascii="Times New Roman" w:hAnsi="Times New Roman"/>
          <w:sz w:val="24"/>
          <w:u w:val="none"/>
        </w:rPr>
        <w:t>Norādes par konkrētām rindām</w:t>
      </w:r>
      <w:bookmarkEnd w:id="91"/>
      <w:bookmarkEnd w:id="92"/>
      <w:bookmarkEnd w:id="93"/>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Nominālā summa</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Nominālā summa ir prasījumu attiecībā uz pamatsummu kopējais apmērs, ko nosaka atbilstīgi attiecīgā ar likumu noteiktā segto obligāciju režīma noteikumiem, kuri ir piemērojami pietiekama seguma noteikšanai.</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Pašreizējā vērtība (mijmaiņas darījums) / tirgus vērtība</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Pašreizējā vērtība (mijmaiņas darījums) ir prasījumu attiecībā uz pamatsummas un procentu maksājumiem summa, diskontēta ar valūtai specifisku </w:t>
            </w:r>
            <w:proofErr w:type="spellStart"/>
            <w:r>
              <w:rPr>
                <w:rFonts w:ascii="Times New Roman" w:hAnsi="Times New Roman"/>
                <w:sz w:val="24"/>
              </w:rPr>
              <w:t>bezriska</w:t>
            </w:r>
            <w:proofErr w:type="spellEnd"/>
            <w:r>
              <w:rPr>
                <w:rFonts w:ascii="Times New Roman" w:hAnsi="Times New Roman"/>
                <w:sz w:val="24"/>
              </w:rPr>
              <w:t xml:space="preserve"> ienesīguma līkni, ko nosaka atbilstīgi attiecīgā ar likumu noteiktā segto obligāciju režīma noteikumiem, kurus piemēro pietiekama seguma noteikšanai.</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Attiecībā uz seguma portfeļa atvasinātajām pozīcijām 0080. un 0210. slejā uzrāda tirgus vērtību.</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Aktīva specifiskā vērtība</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Aktīva specifiskā vērtība ir seguma portfeļa aktīvu ekonomiskā vērtība, ko var attēlot kā patieso vērtību saskaņā ar 13. SFPS kā likvīdos tirgos veikto darījumu novērojamu tirgus vērtību vai kā pašreizējo vērtību, kas varētu diskontēt aktīva nākotnes naudas plūsmas ar aktīva specifisko procentu likmes līkni.</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Uzskaites vērtība</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Segto obligāciju saistību vai seguma portfeļa aktīva uzskaites vērtība ir segto obligāciju emitenta uzskaites vērtība.</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866052"/>
      <w:r>
        <w:rPr>
          <w:rFonts w:ascii="Times New Roman" w:hAnsi="Times New Roman"/>
          <w:sz w:val="24"/>
          <w:u w:val="none"/>
        </w:rPr>
        <w:t>Norādes par konkrētām slejām</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Atbilstība Regulas (ES) Nr. 575/2013 129. pantam? [JĀ/NĒ]</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 seguma pūlam varētu piemērot Regulas (ES) Nr. 575/2013 129. panta 4. un 5. punktā izklāstīto preferenciālo režīmu, iestādes norāda, vai seguma pūls atbilst prasībām, kas izklāstītas minētās regulas 129. pantā.</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Ja JĀ, norādiet seguma pūla primāro aktīvu kategoriju</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 seguma pūlam var piemērot Regulas (ES) Nr. 575/2013 129. panta 4. un 5. punktā izklāstīto preferenciālo režīmu (atbilde JĀ 0011. slejā), tad šajā šūnā norāda seguma pūla primāro aktīvu kategoriju. Šajā nolūkā izmanto regulas 129. panta 1. punktā paredzēto klasifikāciju un attiecīgi norāda kodus “a”, “b”, “c”, “d”, “e”, “f” un “g”. Kodu “h” izmanto, ja seguma pūla primārā aktīvu kategorija neietilpst nevienā no iepriekšējām kategorijām.</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Segto obligāciju saistības</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Segto obligāciju saistības ir emitējošās sabiedrības saistības, kas radušās, emitējot segtās obligācijas, un ietver visas pozīcijas (kā tās definētas atbilstīgi attiecīgajam ar likumu noteiktajam segto obligāciju režīmam), kurām piemēro atbilstīgus segto obligāciju aizsardzības pasākumus (tas var ietvert, piemēram, apritē esošos vērtspapīrus, kā arī tādas segto obligāciju emitenta darījumu partneru pozīciju atvasināto instrumentu pozīcijas ar (no segto obligāciju emitenta viedokļa) negatīvu tirgus vērtību, kuras attiecina uz seguma pūlu un kuras atbilstīgi attiecīgajam ar likumu noteiktajam segto obligāciju režīmam uzskata par segto obligāciju saistībām).</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Pārskata datums</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Segto obligāciju saistību summas (izņemot seguma pūla atvasinātās pozīcijas) atbilstoši dažādiem nākotnes datumu intervāliem.</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mēneši</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Datums “+ 6 mēneši” ir konkrēts brīdis laikā 6 mēnešus pēc pārskata atsauces datuma. Summas tiek nodrošinātas, pieņemot, ka attiecībā uz segto obligāciju saistībām nav notikušas izmaiņas salīdzinājumā ar pārskata atsauces datumu, izņemot attiecībā uz amortizāciju. Fiksēta maksājuma grafika neesamības gadījumā summām, kuras apmaksājamas nākotnē, paredzamais termiņš nosakāms konsekventi.</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mēneši – + 10 gadi</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kuras attiecas uz “+ 6 mēneši” (0030. sleja), ir spēkā attiecīgajam brīdim laikā no pārskata atsauces datuma.</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portfeļa atvasinātās pozīcijas ar neto negatīvu tirgus vērtību</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Seguma portfeļa atvasināto pozīciju neto negatīva tirgus vērtība, kam no segto obligāciju emitenta viedokļa ir neto negatīva tirgus vērtība.</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Seguma portfeļa atvasinātās pozīcijas ir tādas neto atvasinātās pozīcijas, kuras atbilstīgi attiecīgajam ar likumu noteiktajam segto obligāciju režīmam ir iekļautas seguma portfelī un kurām piemēro atbilstīgus segto obligāciju aizsardzības pasākumus tādā veidā, ka ir vajadzīgs, lai šādas atvasinātās pozīcijas (ar negatīvu tirgus vērtību) segtu atbilstoši seguma portfeļa aktīvi.</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Uzrāda tikai neto negatīvo tirgus vērtību par pārskata atsauces datumu.</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Segtās obligācijas ārējais kredītreitings</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Iestādes sniedz informāciju par pārskata sniegšanas datumā esošo attiecīgās segtās obligācijas ārējo kredītreitingu.</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Ja pārskata sniegšanas datumā vismaz viena kredītreitingu aģentūra ir izsniegusi kredītreitingu, iestādes norāda konkrētās kredītreitingu aģentūras nosaukumu. Ja pārskata sniegšanas datumā vairāk nekā trīs kredītreitingu aģentūras ir izsniegušas kredītreitingus, izvēlas tās trīs kredītreitingu aģentūras, kurām ir sniegta informācija, pamatojoties uz šo aģentūru attiecīgo tirgus daļu pārsvaru.</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Kredītreitings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Kredītreitingu aģentūras izsniegtais kredītreitings, kas uzrādīts 0090. slejā attiecībā uz segto obligāciju pārskata atsauces datumā.</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Ja viena un tā pati kredītreitingu aģentūra ir izsniegusi gan ilgtermiņa, gan īstermiņa kredītreitingu, tad uzrāda ilgtermiņa kredītreitingu. Kredītreitingā, kuru uzrāda, ietver jebkuras izmaiņas.</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2 un kredītreitingu aģentūra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kas attiecas uz kredītreitingu aģentūru 1 (0090. sleja), ir spēkā citām kredītreitingu aģentūrām, kuras attiecībā uz segto obligāciju ir izsniegušas kredītreitingus pārskata atsauces datumā.</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Kredītreitings 2 un kredītreitings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kas attiecas uz kredītreitingu 1 (0100. sleja), ir attiecināmas uz citiem kredītreitingiem, kurus kredītreitingu aģentūra 2 un 3 attiecībā uz segto obligāciju izsniegusi pārskata atsauces datumā.</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portfelis</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Seguma portfelī iekļautas visas pozīcijas, tostarp tādas seguma portfeļa atvasinātās pozīcijas ar (no segto obligāciju emitenta viedokļa) neto pozitīvu tirgus vērtību, kurām piemēro attiecīgos segto obligāciju aizsardzības pasākumus.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Pārskata datums</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Aktīvu summa seguma portfelī, izņemot tā atvasinātās pozīcijas.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Šajā summā ietvertas </w:t>
            </w:r>
            <w:proofErr w:type="spellStart"/>
            <w:r>
              <w:rPr>
                <w:rStyle w:val="InstructionsTabelleberschrift"/>
                <w:rFonts w:ascii="Times New Roman" w:hAnsi="Times New Roman"/>
                <w:b w:val="0"/>
                <w:sz w:val="24"/>
                <w:u w:val="none"/>
              </w:rPr>
              <w:t>virsnodrošinājuma</w:t>
            </w:r>
            <w:proofErr w:type="spellEnd"/>
            <w:r>
              <w:rPr>
                <w:rStyle w:val="InstructionsTabelleberschrift"/>
                <w:rFonts w:ascii="Times New Roman" w:hAnsi="Times New Roman"/>
                <w:b w:val="0"/>
                <w:sz w:val="24"/>
                <w:u w:val="none"/>
              </w:rPr>
              <w:t xml:space="preserve"> minimuma prasības un jebkāds papildu </w:t>
            </w:r>
            <w:proofErr w:type="spellStart"/>
            <w:r>
              <w:rPr>
                <w:rStyle w:val="InstructionsTabelleberschrift"/>
                <w:rFonts w:ascii="Times New Roman" w:hAnsi="Times New Roman"/>
                <w:b w:val="0"/>
                <w:sz w:val="24"/>
                <w:u w:val="none"/>
              </w:rPr>
              <w:t>virsnodrošinājums</w:t>
            </w:r>
            <w:proofErr w:type="spellEnd"/>
            <w:r>
              <w:rPr>
                <w:rStyle w:val="InstructionsTabelleberschrift"/>
                <w:rFonts w:ascii="Times New Roman" w:hAnsi="Times New Roman"/>
                <w:b w:val="0"/>
                <w:sz w:val="24"/>
                <w:u w:val="none"/>
              </w:rPr>
              <w:t>, kas pārsniedz minimumu ciktāl jāpiemēro attiecīgie segto obligāciju aizsardzības pasākumi.</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mēneši</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Datums “+ 6 mēneši” ir konkrēts brīdis laikā 6 mēnešus pēc pārskata atsauces datuma. Iestādes uzrāda summas, pieņemot, ka attiecībā uz seguma portfeli nav notikušas izmaiņas salīdzinājumā ar pārskata sniegšanas datumu, izņemot attiecībā uz amortizāciju. Fiksēta maksājuma grafika neesamības gadījumā summām, kuras apmaksājamas nākotnē, paredzamais termiņš nosakāms konsekventi.</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mēneši – + 10 gadi</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kuras attiecas uz “+ 6 mēneši” (0160. sleja), ir spēkā attiecīgajam brīdim laikā no pārskata atsauces datuma.</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portfeļa atvasinātās pozīcijas ar neto pozitīvu tirgus vērtību</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Seguma portfeļa atvasināto pozīciju neto pozitīva tirgus vērtība, kam no segto obligāciju emitenta viedokļa ir neto pozitīva tirgus vērtība.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Seguma portfeļa atvasinātās pozīcijas ir tādas neto atvasinātās pozīcijas, kuras atbilstīgi attiecīgajam ar likumu noteiktajam segto obligāciju režīmam ir iekļautas seguma portfelī un kurām piemēro atbilstīgus segto obligāciju aizsardzības pasākumus tādā veidā, ka atvasinātās pozīcijas ar pozitīvu tirgus vērtību nebūtu daļa no segto obligāciju emitenta kopējās mantas maksātnespējas procesā.</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Uzrāda tikai neto pozitīvo tirgus vērtību par pārskata atsauces datumu.</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pūla summas, kas pārsniedz minimuma prasības attiecībā uz segumu</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Seguma portfeļa summas, tostarp tādas nodrošinājuma portfeļa atvasinātās pozīcijas ar neto pozitīvu tirgus vērtību, kas pārsniedz minimuma prasības attiecībā uz segumu (</w:t>
            </w:r>
            <w:proofErr w:type="spellStart"/>
            <w:r>
              <w:rPr>
                <w:rStyle w:val="InstructionsTabelleberschrift"/>
                <w:rFonts w:ascii="Times New Roman" w:hAnsi="Times New Roman"/>
                <w:b w:val="0"/>
                <w:sz w:val="24"/>
                <w:u w:val="none"/>
              </w:rPr>
              <w:t>virsnodrošinājums</w:t>
            </w:r>
            <w:proofErr w:type="spellEnd"/>
            <w:r>
              <w:rPr>
                <w:rStyle w:val="InstructionsTabelleberschrift"/>
                <w:rFonts w:ascii="Times New Roman" w:hAnsi="Times New Roman"/>
                <w:b w:val="0"/>
                <w:sz w:val="24"/>
                <w:u w:val="none"/>
              </w:rPr>
              <w: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Atbilstīgi attiecīgajam segto obligāciju ar likumu noteiktajam režīmam</w:t>
            </w:r>
          </w:p>
          <w:p w14:paraId="3751586D" w14:textId="77777777" w:rsidR="00941FAE" w:rsidRPr="00857276" w:rsidRDefault="00941FAE" w:rsidP="005150E8">
            <w:pPr>
              <w:spacing w:before="0"/>
              <w:rPr>
                <w:rFonts w:ascii="Times New Roman" w:hAnsi="Times New Roman"/>
                <w:sz w:val="24"/>
              </w:rPr>
            </w:pPr>
            <w:proofErr w:type="spellStart"/>
            <w:r>
              <w:rPr>
                <w:rStyle w:val="InstructionsTabelleberschrift"/>
                <w:rFonts w:ascii="Times New Roman" w:hAnsi="Times New Roman"/>
                <w:b w:val="0"/>
                <w:sz w:val="24"/>
                <w:u w:val="none"/>
              </w:rPr>
              <w:t>Virsnodrošinājuma</w:t>
            </w:r>
            <w:proofErr w:type="spellEnd"/>
            <w:r>
              <w:rPr>
                <w:rStyle w:val="InstructionsTabelleberschrift"/>
                <w:rFonts w:ascii="Times New Roman" w:hAnsi="Times New Roman"/>
                <w:b w:val="0"/>
                <w:sz w:val="24"/>
                <w:u w:val="none"/>
              </w:rPr>
              <w:t xml:space="preserve"> summas salīdzinājumā ar minimuma segumu, kas nepieciešams atbilstīgi attiecīgajam ar likumu noteiktajam segto obligāciju režīmam.</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Saskaņā ar kredītreitingu aģentūru metodiku, lai saglabātu segtās obligācijas pašreizējo ārējo kredītreitingu</w:t>
            </w:r>
          </w:p>
          <w:p w14:paraId="3DAFA623" w14:textId="77777777" w:rsidR="00941FAE" w:rsidRPr="00857276" w:rsidRDefault="00941FAE" w:rsidP="005150E8">
            <w:pPr>
              <w:spacing w:before="0"/>
              <w:rPr>
                <w:rFonts w:ascii="Times New Roman" w:hAnsi="Times New Roman"/>
                <w:sz w:val="24"/>
              </w:rPr>
            </w:pPr>
            <w:proofErr w:type="spellStart"/>
            <w:r>
              <w:rPr>
                <w:rStyle w:val="InstructionsTabelleberschrift"/>
                <w:rFonts w:ascii="Times New Roman" w:hAnsi="Times New Roman"/>
                <w:b w:val="0"/>
                <w:sz w:val="24"/>
                <w:u w:val="none"/>
              </w:rPr>
              <w:t>Virsnodrošinājuma</w:t>
            </w:r>
            <w:proofErr w:type="spellEnd"/>
            <w:r>
              <w:rPr>
                <w:rStyle w:val="InstructionsTabelleberschrift"/>
                <w:rFonts w:ascii="Times New Roman" w:hAnsi="Times New Roman"/>
                <w:b w:val="0"/>
                <w:sz w:val="24"/>
                <w:u w:val="none"/>
              </w:rPr>
              <w:t xml:space="preserve"> summas salīdzinājumā ar līmeni, kas atbilstīgi segto obligāciju emitentam pieejamai informācijai par attiecīgo kredītreitingu aģentūras metodiku būtu obligāts, lai saglabātu pašreizējo kredītreitingu, kuru izsniegusi attiecīgā kredītreitingu aģentūra.</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1</w:t>
            </w:r>
          </w:p>
          <w:p w14:paraId="679960F6" w14:textId="15DFF640" w:rsidR="00941FAE" w:rsidRPr="00857276" w:rsidRDefault="00941FAE" w:rsidP="005150E8">
            <w:pPr>
              <w:spacing w:before="0"/>
              <w:rPr>
                <w:rFonts w:ascii="Times New Roman" w:hAnsi="Times New Roman"/>
                <w:sz w:val="24"/>
              </w:rPr>
            </w:pPr>
            <w:proofErr w:type="spellStart"/>
            <w:r>
              <w:rPr>
                <w:rStyle w:val="InstructionsTabelleberschrift"/>
                <w:rFonts w:ascii="Times New Roman" w:hAnsi="Times New Roman"/>
                <w:b w:val="0"/>
                <w:sz w:val="24"/>
                <w:u w:val="none"/>
              </w:rPr>
              <w:t>Virsnodrošinājuma</w:t>
            </w:r>
            <w:proofErr w:type="spellEnd"/>
            <w:r>
              <w:rPr>
                <w:rStyle w:val="InstructionsTabelleberschrift"/>
                <w:rFonts w:ascii="Times New Roman" w:hAnsi="Times New Roman"/>
                <w:b w:val="0"/>
                <w:sz w:val="24"/>
                <w:u w:val="none"/>
              </w:rPr>
              <w:t xml:space="preserve"> summas salīdzinājumā ar līmeni, kas atbilstīgi segto obligāciju emitentam pieejamai informācijai par kredītreitingu aģentūras 1 (0090. sleja) metodiku būtu obligāts, lai saglabātu kredītreitingu 1 (0100. sleja).</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2 un kredītreitingu aģentūra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Norādes attiecībā uz kredītreitingu aģentūru 1 (0230. sleja) ir piemērojamas arī kredītreitingu aģentūrai 2 (0110. sleja) un kredītreitingu aģentūrai 3 (0130. sleja).</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866053"/>
      <w:bookmarkEnd w:id="100"/>
      <w:bookmarkEnd w:id="101"/>
      <w:bookmarkEnd w:id="102"/>
      <w:bookmarkEnd w:id="103"/>
      <w:bookmarkEnd w:id="104"/>
      <w:bookmarkEnd w:id="105"/>
      <w:r>
        <w:rPr>
          <w:rFonts w:ascii="Times New Roman" w:hAnsi="Times New Roman"/>
          <w:b/>
          <w:sz w:val="24"/>
          <w:u w:val="none"/>
        </w:rPr>
        <w:t>E daļa Izvērsti dati.</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866054"/>
      <w:r>
        <w:rPr>
          <w:rFonts w:ascii="Times New Roman" w:hAnsi="Times New Roman"/>
          <w:sz w:val="24"/>
          <w:u w:val="none"/>
        </w:rPr>
        <w:t>Vispārīgas piezīmes</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E daļā ir tādi pati struktūra kā A daļas veidnēs attiecībā uz pārskatu par apgrūtinājumiem – ar dažādām veidnēm pārskatu sniedzošās iestādes aktīvu apgrūtinājuma un saņemtā nodrošinājuma uzrādīšanai: attiecīgi AE-ADV1 un AE-ADV2. Līdz ar to sakrītošās saistības atbilst saistībām, kuras ir nodrošinātas ar apgrūtinātajiem aktīviem, un “viens pret vienu” attiecībai nav jāpastāv.</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8866055"/>
      <w:r>
        <w:rPr>
          <w:rFonts w:ascii="Times New Roman" w:hAnsi="Times New Roman"/>
          <w:sz w:val="24"/>
          <w:u w:val="none"/>
        </w:rPr>
        <w:t>Veidne: AE-ADV1. Izvērsta veidne par pārskatu sniedzošās iestādes aktīviem</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866056"/>
      <w:r>
        <w:rPr>
          <w:rFonts w:ascii="Times New Roman" w:hAnsi="Times New Roman"/>
          <w:sz w:val="24"/>
          <w:u w:val="none"/>
        </w:rPr>
        <w:t>Norādes par konkrētām rindām</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Centrālās bankas finansējums (visu veidu, tostarp, </w:t>
            </w:r>
            <w:proofErr w:type="spellStart"/>
            <w:r>
              <w:rPr>
                <w:rStyle w:val="InstructionsTabelleberschrift"/>
                <w:rFonts w:ascii="Times New Roman" w:hAnsi="Times New Roman"/>
                <w:sz w:val="24"/>
              </w:rPr>
              <w:t>repo</w:t>
            </w:r>
            <w:proofErr w:type="spellEnd"/>
            <w:r>
              <w:rPr>
                <w:rStyle w:val="InstructionsTabelleberschrift"/>
                <w:rFonts w:ascii="Times New Roman" w:hAnsi="Times New Roman"/>
                <w:sz w:val="24"/>
              </w:rPr>
              <w:t xml:space="preserve"> darījumi)</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Pārskatu sniedzošās iestādes visu veidu saistības, kurās darījuma partneris ir centrālā banka.</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Aktīvi, kuri ir </w:t>
            </w:r>
            <w:proofErr w:type="spellStart"/>
            <w:r>
              <w:rPr>
                <w:rStyle w:val="InstructionsTabelleberschrift"/>
                <w:rFonts w:ascii="Times New Roman" w:hAnsi="Times New Roman"/>
                <w:b w:val="0"/>
                <w:sz w:val="24"/>
                <w:u w:val="none"/>
              </w:rPr>
              <w:t>priekšpozicionēti</w:t>
            </w:r>
            <w:proofErr w:type="spellEnd"/>
            <w:r>
              <w:rPr>
                <w:rStyle w:val="InstructionsTabelleberschrift"/>
                <w:rFonts w:ascii="Times New Roman" w:hAnsi="Times New Roman"/>
                <w:b w:val="0"/>
                <w:sz w:val="24"/>
                <w:u w:val="none"/>
              </w:rPr>
              <w:t xml:space="preserve"> centrālajās bankās, nav apgrūtināti aktīvi, ja vien centrālā banka bez iepriekšēja apstiprinājuma neatļauj jebkuru izvietoto aktīvu izņemšanu. Neizmantoto finanšu garantiju neizmantoto daļu, t. i., summu, kas pārsniedz centrālās bankas noteikto minimumu, sadala proporcionāli starp centrālajā bankā izvietotajiem aktīviem.</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Biržā tirgoti atvasinātie instrumenti</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pārskatu sniedzošās iestādes nodrošinātu atvasināto instrumentu uzskaites vērtība, kas ir finanšu saistības, ciktāl šie atvasinātie instrumenti tiek kotēti vai tirgoti atzītā vai norīkotā ieguldījumu biržā un apgrūtina konkrētās iestādes aktīvus.</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proofErr w:type="spellStart"/>
            <w:r>
              <w:rPr>
                <w:rStyle w:val="InstructionsTabelleberschrift"/>
                <w:rFonts w:ascii="Times New Roman" w:hAnsi="Times New Roman"/>
                <w:sz w:val="24"/>
              </w:rPr>
              <w:t>Ārpusbiržas</w:t>
            </w:r>
            <w:proofErr w:type="spellEnd"/>
            <w:r>
              <w:rPr>
                <w:rStyle w:val="InstructionsTabelleberschrift"/>
                <w:rFonts w:ascii="Times New Roman" w:hAnsi="Times New Roman"/>
                <w:sz w:val="24"/>
              </w:rPr>
              <w:t xml:space="preserve"> atvasinātie instrumenti</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tādu nodrošinātu atvasināto instrumentu uzskaites vērtība, kas ir finanšu saistības, ciktāl šie atvasinātie instrumenti tiek tirgoti ārpus biržas un apgrūtina konkrētās iestādes aktīvus; Tāda pati norāde AE-SOU veidnes 030. rindā.</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Līgumi par aktīvu pārdošanu ar atpirkšanu</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Tādu pārskatu sniedzošās iestādes līgumu par aktīvu pārdošanu ar atpirkšanu uzskaites vērtība, kuros darījuma puse nav centrālā banka, ciktāl šie darījumi apgrūtina konkrētās iestādes aktīvus.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Attiecībā uz trīspusējiem līgumiem par aktīvu pārdošanu ar atpirkšanu īsteno tādu pašu pieeju kā attiecībā uz līgumiem par aktīvu pārdošanu ar atpirkšanu, ciktāl šie darījumi apgrūtina konkrētās iestādes aktīvus.</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Nodrošināti noguldījumi, kas nav līgumi par aktīvu pārdošanu ar atpirkšanu</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nodrošināto noguldījumu uzskaites vērtība, izņemot pārskatu sniedzošās iestādes līgumus par aktīvu pārdošanu ar atpirkšanu, kuros darījuma puse nav centrālā banka, ciktāl šie darījumi apgrūtina konkrētās iestādes aktīvus.</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 segto obligāciju vērtspapīri</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0100. rindā.</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Emitētās </w:t>
            </w:r>
            <w:proofErr w:type="spellStart"/>
            <w:r>
              <w:rPr>
                <w:rStyle w:val="InstructionsTabelleberschrift"/>
                <w:rFonts w:ascii="Times New Roman" w:hAnsi="Times New Roman"/>
                <w:sz w:val="24"/>
              </w:rPr>
              <w:t>vērtspapīrošanas</w:t>
            </w:r>
            <w:proofErr w:type="spellEnd"/>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0110. rindā.</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Emitēti parāda vērtspapīri, kas nav segtās obligācijas un </w:t>
            </w:r>
            <w:proofErr w:type="spellStart"/>
            <w:r>
              <w:rPr>
                <w:rStyle w:val="InstructionsTabelleberschrift"/>
                <w:rFonts w:ascii="Times New Roman" w:hAnsi="Times New Roman"/>
                <w:sz w:val="24"/>
              </w:rPr>
              <w:t>vērtspapīrošanas</w:t>
            </w:r>
            <w:proofErr w:type="spellEnd"/>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Pārskatu sniedzošās iestādes emitētu parāda vērtspapīru, kuri nav segtās obligācijas un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uzskaites vērtība, ciktāl šie emitētie vērtspapīri apgrūtina konkrētās iestādes aktīvus.</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Gadījumā, kad pārskatu sniedzošā iestāde ir saglabājusi dažus no emitētajiem parāda vērtspapīriem – vai nu no emisijas dienas vai atpirkšanas rezultātā vēlāk – šādus saglabātus vērtspapīrus šajā postenī neuzrāda. Turklāt tiem piešķirto nodrošinājumu šajā veidnē klasificē kā neapgrūtinātu nodrošinājumu.</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apgrūtinājuma avoti</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0120. rindā.</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aktīvi kopā</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Attiecībā uz katru aktīvu veidu, kas norādīts AE-ADV1 veidnes rindās, to aktīvu uzskaites vērtība, kurus tur pārskatu sniedzošā iestāde un kuri ir apgrūtināti.</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atbilstīgi darījumiem ar centrālo banku</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Attiecībā uz katru aktīvu veidu, kas norādīts AE-ADV1 veidnes rindās, to apgrūtināto aktīvu bilances vērtība, kurus tur pārskatu sniedzošā iestāde un kuri ir atbilstīgi darījumiem ar tām centrālajām bankām, kas ir pieejamas pārskatu sniedzošajai iestādei.</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Neapgrūtinātie aktīvi kopā</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Attiecībā uz katru aktīvu veidu, kas norādīts AE-ADV1 veidnes rindās, to aktīvu bilances vērtība, kurus tur pārskatu sniedzošā iestāde un kuri nav apgrūtināti.</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Uzskaites vērtība ir summa, ko bilancē uzrāda aktīva pusē.</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atbilstīgi darījumiem ar centrālo banku</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Attiecībā uz katru aktīvu veidu, kas norādīts AE-ADV1 veidnes rindās, to neapgrūtināto aktīvu uzskaites vērtība, kurus tur pārskatu sniedzošā iestāde un kuri ir atbilstīgi darījumiem ar tām centrālajām bankām, kas ir pieejamas pārskatu sniedzošajai iestādei.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Tās pārskatu sniedzošās iestādes, kuras nevar droši noteikt aktīva atbilstību darījumiem ar centrālo banku, piemēram, tādu jurisdikciju gadījumā, kas darbojas bez skaidras definīcijas attiecībā uz to, kādi aktīvi ir atbilstīgi centrālās bankas </w:t>
            </w:r>
            <w:proofErr w:type="spellStart"/>
            <w:r>
              <w:rPr>
                <w:rFonts w:ascii="Times New Roman" w:hAnsi="Times New Roman"/>
                <w:sz w:val="24"/>
              </w:rPr>
              <w:t>repo</w:t>
            </w:r>
            <w:proofErr w:type="spellEnd"/>
            <w:r>
              <w:rPr>
                <w:rFonts w:ascii="Times New Roman" w:hAnsi="Times New Roman"/>
                <w:sz w:val="24"/>
              </w:rPr>
              <w:t xml:space="preserve"> darījumiem, vai kurām nav pieejams nepārtraukti funkcionējošs centrālās bankas </w:t>
            </w:r>
            <w:proofErr w:type="spellStart"/>
            <w:r>
              <w:rPr>
                <w:rFonts w:ascii="Times New Roman" w:hAnsi="Times New Roman"/>
                <w:sz w:val="24"/>
              </w:rPr>
              <w:t>repo</w:t>
            </w:r>
            <w:proofErr w:type="spellEnd"/>
            <w:r>
              <w:rPr>
                <w:rFonts w:ascii="Times New Roman" w:hAnsi="Times New Roman"/>
                <w:sz w:val="24"/>
              </w:rPr>
              <w:t xml:space="preserve"> darījumu tirgus, var neuzrādīt attiecīgā aktīva vērtību, t. i., atstāt paredzēto lauku neaizpildītu.</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 neapgrūtinātie aktīvi</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Attiecībā uz katru aktīvu veidu, kas norādīts AE-ADV1 veidnes rindās, to aktīvu bilances vērtība, kurus tur pārskatu sniedzošā iestāde.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866057"/>
      <w:r>
        <w:rPr>
          <w:rFonts w:ascii="Times New Roman" w:hAnsi="Times New Roman"/>
          <w:sz w:val="24"/>
          <w:u w:val="none"/>
        </w:rPr>
        <w:t>Norādes par konkrētām slejām</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0020. rindu.</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Pašu kapitāla instrumenti</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Sk. norādes par AE-ASS veidnes 0030. rindu.</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Kopā</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0040. rindu.</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No kā.: segtās obligācijas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aprakstu par AE-ASS veidnes 0050. rindu.</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No kā.: citu grupas sabiedrību emitēti</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Segtās obligācijas, kuras emitējusi sabiedrība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 kā aprakstīts norādēs par AE-ASS veidnes 0050. rindu.</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vērtspapīrošanas</w:t>
            </w:r>
            <w:proofErr w:type="spellEnd"/>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0060. rindu.</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citu grupas sabiedrību emitēti</w:t>
            </w:r>
          </w:p>
          <w:p w14:paraId="3310AEEF" w14:textId="43C93B3E" w:rsidR="00941FAE" w:rsidRPr="00857276" w:rsidRDefault="00941FAE" w:rsidP="005150E8">
            <w:pPr>
              <w:spacing w:before="0"/>
              <w:rPr>
                <w:rStyle w:val="InstructionsTabelleberschrift"/>
                <w:rFonts w:ascii="Times New Roman" w:hAnsi="Times New Roman"/>
                <w:sz w:val="24"/>
              </w:rPr>
            </w:pP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kuras emitējusi sabiedrība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 kā aprakstīts norādēs par AE-ASS veidnes 0060. rindu.</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vispārējo valdību emitēti</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0070. rindu.</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finanšu sabiedrību emitēti</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0080. rindu.</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nefinanšu</w:t>
            </w:r>
            <w:proofErr w:type="spellEnd"/>
            <w:r>
              <w:rPr>
                <w:rStyle w:val="InstructionsTabelleberschrift"/>
                <w:rFonts w:ascii="Times New Roman" w:hAnsi="Times New Roman"/>
                <w:sz w:val="24"/>
              </w:rPr>
              <w:t xml:space="preserve"> sabiedrību emitēti</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0090. rindu.</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Centrālās bankas un vispārējās valdības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centrālajai bankai vai vispārējai valdībai.</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Finanšu sabiedrības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finanšu sabiedrībām.</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proofErr w:type="spellStart"/>
            <w:r>
              <w:rPr>
                <w:rStyle w:val="InstructionsTabelleberschrift"/>
                <w:rFonts w:ascii="Times New Roman" w:hAnsi="Times New Roman"/>
                <w:sz w:val="24"/>
              </w:rPr>
              <w:t>Nefinanšu</w:t>
            </w:r>
            <w:proofErr w:type="spellEnd"/>
            <w:r>
              <w:rPr>
                <w:rStyle w:val="InstructionsTabelleberschrift"/>
                <w:rFonts w:ascii="Times New Roman" w:hAnsi="Times New Roman"/>
                <w:sz w:val="24"/>
              </w:rPr>
              <w:t xml:space="preserve"> sabiedrības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Aizdevumi un avansi, kas nav aizdevumi pēc pieprasījuma </w:t>
            </w:r>
            <w:proofErr w:type="spellStart"/>
            <w:r>
              <w:rPr>
                <w:rStyle w:val="InstructionsTabelleberschrift"/>
                <w:rFonts w:ascii="Times New Roman" w:hAnsi="Times New Roman"/>
                <w:b w:val="0"/>
                <w:sz w:val="24"/>
                <w:u w:val="none"/>
              </w:rPr>
              <w:t>nefinanšu</w:t>
            </w:r>
            <w:proofErr w:type="spellEnd"/>
            <w:r>
              <w:rPr>
                <w:rStyle w:val="InstructionsTabelleberschrift"/>
                <w:rFonts w:ascii="Times New Roman" w:hAnsi="Times New Roman"/>
                <w:b w:val="0"/>
                <w:sz w:val="24"/>
                <w:u w:val="none"/>
              </w:rPr>
              <w:t xml:space="preserve"> sabiedrībām.</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aizdevumi, kas nodrošināti ar nekustamo īpašumu</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Aizdevumi un avansi, kas nav aizdevumi pēc pieprasījuma, kas ir garantēti ar aizdevumu, kas nodrošināti ar nekustamo īpašumu un kas piešķirti </w:t>
            </w:r>
            <w:proofErr w:type="spellStart"/>
            <w:r>
              <w:rPr>
                <w:rStyle w:val="InstructionsTabelleberschrift"/>
                <w:rFonts w:ascii="Times New Roman" w:hAnsi="Times New Roman"/>
                <w:b w:val="0"/>
                <w:sz w:val="24"/>
                <w:u w:val="none"/>
              </w:rPr>
              <w:t>nefinanšu</w:t>
            </w:r>
            <w:proofErr w:type="spellEnd"/>
            <w:r>
              <w:rPr>
                <w:rStyle w:val="InstructionsTabelleberschrift"/>
                <w:rFonts w:ascii="Times New Roman" w:hAnsi="Times New Roman"/>
                <w:b w:val="0"/>
                <w:sz w:val="24"/>
                <w:u w:val="none"/>
              </w:rPr>
              <w:t xml:space="preserve"> sabiedrībām.</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Mājsaimniecības</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mājsaimniecībām piešķirti aizdevumi pēc pieprasījuma.</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aizdevumi, kas nodrošināti ar nekustamo īpašumu</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kuri garantēti ar aizdevumu, kas nodrošināti ar nekustamo īpašumu un kas piešķirti mājsaimniecībām.</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aktīvi</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120. rindu.</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010. rindu.</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8866058"/>
      <w:r>
        <w:rPr>
          <w:rFonts w:ascii="Times New Roman" w:hAnsi="Times New Roman"/>
          <w:sz w:val="24"/>
          <w:u w:val="none"/>
        </w:rPr>
        <w:t>Veidne: AE-ADV2. Izvērsta veidne par pārskatu sniedzošās iestādes saņemto nodrošinājumu</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866059"/>
      <w:r>
        <w:rPr>
          <w:rFonts w:ascii="Times New Roman" w:hAnsi="Times New Roman"/>
          <w:sz w:val="24"/>
          <w:u w:val="none"/>
        </w:rPr>
        <w:t>Norādes par konkrētām rindām</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Sk. 6.2.1. iedaļu, jo norādes abās veidnēs ir vienādas.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866060"/>
      <w:r>
        <w:rPr>
          <w:rFonts w:ascii="Times New Roman" w:hAnsi="Times New Roman"/>
          <w:sz w:val="24"/>
          <w:u w:val="none"/>
        </w:rPr>
        <w:t>Norādes par konkrētām slejām</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Aizdevumi pēc pieprasījuma</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0140. rindu.</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Pašu kapitāla instrumenti</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0150. rindu.</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0160. rindu.</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segtās obligācijas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AE-COL veidnes 0170. rindā.</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citu grupas sabiedrību emitēti</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Tāds pārskatu sniedzošās iestādes saņemtais nodrošinājums, kas ir segtās obligācijas, kuras emitējusi jebkura sabiedrība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vērtspapīrošanas</w:t>
            </w:r>
            <w:proofErr w:type="spellEnd"/>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0180. rindu.</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citu grupas sabiedrību emitēti</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Tāds pārskatu sniedzošās iestādes saņemtais nodrošinājums, kas ir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xml:space="preserve">, kuras ir emitējusi jebkura sabiedrība </w:t>
            </w:r>
            <w:proofErr w:type="spellStart"/>
            <w:r>
              <w:rPr>
                <w:rStyle w:val="InstructionsTabelleberschrift"/>
                <w:rFonts w:ascii="Times New Roman" w:hAnsi="Times New Roman"/>
                <w:b w:val="0"/>
                <w:sz w:val="24"/>
                <w:u w:val="none"/>
              </w:rPr>
              <w:t>prudenciālās</w:t>
            </w:r>
            <w:proofErr w:type="spellEnd"/>
            <w:r>
              <w:rPr>
                <w:rStyle w:val="InstructionsTabelleberschrift"/>
                <w:rFonts w:ascii="Times New Roman" w:hAnsi="Times New Roman"/>
                <w:b w:val="0"/>
                <w:sz w:val="24"/>
                <w:u w:val="none"/>
              </w:rPr>
              <w:t xml:space="preserve"> konsolidācijas tvērumā.</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vispārējo valdību emitēti</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0190. rindu.</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finanšu sabiedrību emitēti</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0200. rindu.</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w:t>
            </w:r>
            <w:proofErr w:type="spellStart"/>
            <w:r>
              <w:rPr>
                <w:rStyle w:val="InstructionsTabelleberschrift"/>
                <w:rFonts w:ascii="Times New Roman" w:hAnsi="Times New Roman"/>
                <w:sz w:val="24"/>
              </w:rPr>
              <w:t>nefinanšu</w:t>
            </w:r>
            <w:proofErr w:type="spellEnd"/>
            <w:r>
              <w:rPr>
                <w:rStyle w:val="InstructionsTabelleberschrift"/>
                <w:rFonts w:ascii="Times New Roman" w:hAnsi="Times New Roman"/>
                <w:sz w:val="24"/>
              </w:rPr>
              <w:t xml:space="preserve"> sabiedrību emitēti</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0210. rindu.</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Centrālās bankas un vispārējās valdības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Tāds pārskatu sniedzošās iestādes saņemtais nodrošinājums, kas ir aizdevumi un avansi, bet nav aizdevumi pēc pieprasījuma centrālajai bankai vai vispārējai valdībai.</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Finanšu sabiedrības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aizdevumi pēc pieprasījuma finanšu sabiedrībām.</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proofErr w:type="spellStart"/>
            <w:r>
              <w:rPr>
                <w:rStyle w:val="InstructionsTabelleberschrift"/>
                <w:rFonts w:ascii="Times New Roman" w:hAnsi="Times New Roman"/>
                <w:sz w:val="24"/>
              </w:rPr>
              <w:t>Nefinanšu</w:t>
            </w:r>
            <w:proofErr w:type="spellEnd"/>
            <w:r>
              <w:rPr>
                <w:rStyle w:val="InstructionsTabelleberschrift"/>
                <w:rFonts w:ascii="Times New Roman" w:hAnsi="Times New Roman"/>
                <w:sz w:val="24"/>
              </w:rPr>
              <w:t xml:space="preserve"> sabiedrības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Tāds pārskatu sniedzošās iestādes saņemtais nodrošinājums, kas ir aizdevumi un avansi, bet nav aizdevumi pēc pieprasījuma </w:t>
            </w:r>
            <w:proofErr w:type="spellStart"/>
            <w:r>
              <w:rPr>
                <w:rStyle w:val="InstructionsTabelleberschrift"/>
                <w:rFonts w:ascii="Times New Roman" w:hAnsi="Times New Roman"/>
                <w:b w:val="0"/>
                <w:sz w:val="24"/>
                <w:u w:val="none"/>
              </w:rPr>
              <w:t>nefinanšu</w:t>
            </w:r>
            <w:proofErr w:type="spellEnd"/>
            <w:r>
              <w:rPr>
                <w:rStyle w:val="InstructionsTabelleberschrift"/>
                <w:rFonts w:ascii="Times New Roman" w:hAnsi="Times New Roman"/>
                <w:b w:val="0"/>
                <w:sz w:val="24"/>
                <w:u w:val="none"/>
              </w:rPr>
              <w:t xml:space="preserve"> sabiedrībām.</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 kā.: aizdevumi, kas nodrošināti ar nekustamo īpašumu</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Tāds pārskatu sniedzošās iestādes saņemtais nodrošinājums, kas ir aizdevumi un avansi, kuri nodrošināti ar nekustamo īpašumu, kas piešķirts </w:t>
            </w:r>
            <w:proofErr w:type="spellStart"/>
            <w:r>
              <w:rPr>
                <w:rStyle w:val="InstructionsTabelleberschrift"/>
                <w:rFonts w:ascii="Times New Roman" w:hAnsi="Times New Roman"/>
                <w:b w:val="0"/>
                <w:sz w:val="24"/>
                <w:u w:val="none"/>
              </w:rPr>
              <w:t>nefinanšu</w:t>
            </w:r>
            <w:proofErr w:type="spellEnd"/>
            <w:r>
              <w:rPr>
                <w:rStyle w:val="InstructionsTabelleberschrift"/>
                <w:rFonts w:ascii="Times New Roman" w:hAnsi="Times New Roman"/>
                <w:b w:val="0"/>
                <w:sz w:val="24"/>
                <w:u w:val="none"/>
              </w:rPr>
              <w:t xml:space="preserve"> sabiedrībām, izņemot aizdevumus pēc pieprasījuma.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Mājsaimniecības</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mājsaimniecībām piešķirti aizdevumi pēc pieprasījuma.</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No kā.: aizdevumi, kas nodrošināti ar nekustamo īpašumu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aizdevumi pēc pieprasījuma, kuri garantēti ar aizdevumu, kas nodrošināti ar nekustamo īpašumu un kas piešķirti mājsaimniecībām.</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Citi aktīvi</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0230. rindu.</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Emitēti pašu parāda vērtspapīri, kuri nav pašu segtās obligācijas vai </w:t>
            </w:r>
            <w:proofErr w:type="spellStart"/>
            <w:r>
              <w:rPr>
                <w:rStyle w:val="InstructionsTabelleberschrift"/>
                <w:rFonts w:ascii="Times New Roman" w:hAnsi="Times New Roman"/>
                <w:sz w:val="24"/>
              </w:rPr>
              <w:t>vērtspapīrošanas</w:t>
            </w:r>
            <w:proofErr w:type="spellEnd"/>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0240 rindu.</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0130. un 0140. rindu.”</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8D9A5" w14:textId="77777777" w:rsidR="00F42803" w:rsidRDefault="00F42803" w:rsidP="00941FAE">
      <w:pPr>
        <w:spacing w:before="0" w:after="0"/>
      </w:pPr>
      <w:r>
        <w:separator/>
      </w:r>
    </w:p>
  </w:endnote>
  <w:endnote w:type="continuationSeparator" w:id="0">
    <w:p w14:paraId="1CA1CD5C" w14:textId="77777777" w:rsidR="00F42803" w:rsidRDefault="00F42803"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w:t>
    </w:r>
    <w:r w:rsidR="003B2B42">
      <w:t>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F0283" w14:textId="77777777" w:rsidR="00F42803" w:rsidRDefault="00F42803" w:rsidP="00941FAE">
      <w:pPr>
        <w:spacing w:before="0" w:after="0"/>
      </w:pPr>
      <w:r>
        <w:separator/>
      </w:r>
    </w:p>
  </w:footnote>
  <w:footnote w:type="continuationSeparator" w:id="0">
    <w:p w14:paraId="39B00E2C" w14:textId="77777777" w:rsidR="00F42803" w:rsidRDefault="00F42803"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Eiropas Centrālās bankas Regula (ES) 2021/379 (2021. gada 22. janvāris) par kredītiestāžu un monetāro finanšu iestāžu sektora bilances posteņiem (pārstrādāta redakcija) (ECB/2021/2) (OV L 73, 3.3.2021., 16.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I oficiālai lietošanai"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0357500">
    <w:abstractNumId w:val="18"/>
  </w:num>
  <w:num w:numId="2" w16cid:durableId="2083485494">
    <w:abstractNumId w:val="8"/>
  </w:num>
  <w:num w:numId="3" w16cid:durableId="1493250445">
    <w:abstractNumId w:val="17"/>
  </w:num>
  <w:num w:numId="4" w16cid:durableId="509568400">
    <w:abstractNumId w:val="23"/>
  </w:num>
  <w:num w:numId="5" w16cid:durableId="1779521576">
    <w:abstractNumId w:val="2"/>
  </w:num>
  <w:num w:numId="6" w16cid:durableId="907765782">
    <w:abstractNumId w:val="1"/>
  </w:num>
  <w:num w:numId="7" w16cid:durableId="90856056">
    <w:abstractNumId w:val="15"/>
  </w:num>
  <w:num w:numId="8" w16cid:durableId="987635088">
    <w:abstractNumId w:val="11"/>
  </w:num>
  <w:num w:numId="9" w16cid:durableId="601258533">
    <w:abstractNumId w:val="6"/>
  </w:num>
  <w:num w:numId="10" w16cid:durableId="446434899">
    <w:abstractNumId w:val="9"/>
  </w:num>
  <w:num w:numId="11" w16cid:durableId="241836225">
    <w:abstractNumId w:val="0"/>
  </w:num>
  <w:num w:numId="12" w16cid:durableId="1228224239">
    <w:abstractNumId w:val="21"/>
  </w:num>
  <w:num w:numId="13" w16cid:durableId="1441991943">
    <w:abstractNumId w:val="8"/>
    <w:lvlOverride w:ilvl="0">
      <w:startOverride w:val="12"/>
    </w:lvlOverride>
  </w:num>
  <w:num w:numId="14" w16cid:durableId="1457483029">
    <w:abstractNumId w:val="4"/>
  </w:num>
  <w:num w:numId="15" w16cid:durableId="3843317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2926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1362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18870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5314174">
    <w:abstractNumId w:val="12"/>
  </w:num>
  <w:num w:numId="20" w16cid:durableId="339508029">
    <w:abstractNumId w:val="5"/>
  </w:num>
  <w:num w:numId="21" w16cid:durableId="976187058">
    <w:abstractNumId w:val="14"/>
  </w:num>
  <w:num w:numId="22" w16cid:durableId="421222153">
    <w:abstractNumId w:val="20"/>
  </w:num>
  <w:num w:numId="23" w16cid:durableId="2124106309">
    <w:abstractNumId w:val="10"/>
  </w:num>
  <w:num w:numId="24" w16cid:durableId="375544683">
    <w:abstractNumId w:val="19"/>
  </w:num>
  <w:num w:numId="25" w16cid:durableId="1554850567">
    <w:abstractNumId w:val="3"/>
  </w:num>
  <w:num w:numId="26" w16cid:durableId="1379620309">
    <w:abstractNumId w:val="7"/>
  </w:num>
  <w:num w:numId="27" w16cid:durableId="130709999">
    <w:abstractNumId w:val="13"/>
  </w:num>
  <w:num w:numId="28" w16cid:durableId="295264425">
    <w:abstractNumId w:val="22"/>
  </w:num>
  <w:num w:numId="29" w16cid:durableId="849296073">
    <w:abstractNumId w:val="16"/>
  </w:num>
  <w:num w:numId="30" w16cid:durableId="261112214">
    <w:abstractNumId w:val="8"/>
  </w:num>
  <w:num w:numId="31" w16cid:durableId="13748408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0DDB"/>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E4D9C"/>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42803"/>
    <w:rsid w:val="00F729D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lv-LV"/>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90AD327E-B76A-464B-90B2-9CF802EECB73}"/>
</file>

<file path=customXml/itemProps3.xml><?xml version="1.0" encoding="utf-8"?>
<ds:datastoreItem xmlns:ds="http://schemas.openxmlformats.org/officeDocument/2006/customXml" ds:itemID="{6571E54A-E550-4E4D-B297-3A4524B3622F}"/>
</file>

<file path=customXml/itemProps4.xml><?xml version="1.0" encoding="utf-8"?>
<ds:datastoreItem xmlns:ds="http://schemas.openxmlformats.org/officeDocument/2006/customXml" ds:itemID="{0804F15F-2A0A-43B2-B6ED-DFB3B91EE12A}"/>
</file>

<file path=docProps/app.xml><?xml version="1.0" encoding="utf-8"?>
<Properties xmlns="http://schemas.openxmlformats.org/officeDocument/2006/extended-properties" xmlns:vt="http://schemas.openxmlformats.org/officeDocument/2006/docPropsVTypes">
  <Template>Normal</Template>
  <TotalTime>1</TotalTime>
  <Pages>34</Pages>
  <Words>10831</Words>
  <Characters>71599</Characters>
  <Application>Microsoft Office Word</Application>
  <DocSecurity>0</DocSecurity>
  <Lines>1627</Lines>
  <Paragraphs>1030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REPELE Ilze (DGT)</dc:creator>
  <cp:keywords/>
  <dc:description/>
  <cp:lastModifiedBy>REPELE Ilze (DGT)</cp:lastModifiedBy>
  <cp:revision>2</cp:revision>
  <dcterms:created xsi:type="dcterms:W3CDTF">2025-01-27T09:27:00Z</dcterms:created>
  <dcterms:modified xsi:type="dcterms:W3CDTF">2025-01-27T09:27:00Z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2025-01-27T09:27:57Z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6213a208-1f59-4592-ac48-7170d0f9e14e</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