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AB900" w14:textId="77777777" w:rsidR="001C3967" w:rsidRDefault="001C3967" w:rsidP="001C3967">
      <w:pPr>
        <w:jc w:val="center"/>
        <w:rPr>
          <w:sz w:val="24"/>
          <w:szCs w:val="22"/>
          <w:rFonts w:ascii="Times New Roman" w:hAnsi="Times New Roman"/>
        </w:rPr>
      </w:pPr>
      <w:r>
        <w:rPr>
          <w:sz w:val="24"/>
          <w:rFonts w:ascii="Times New Roman" w:hAnsi="Times New Roman"/>
        </w:rPr>
        <w:t xml:space="preserve">FR</w:t>
      </w:r>
    </w:p>
    <w:p w14:paraId="2097FAFC" w14:textId="77777777" w:rsidR="001C3967" w:rsidRDefault="001C3967" w:rsidP="001C3967">
      <w:pPr>
        <w:rPr>
          <w:rFonts w:asciiTheme="minorHAnsi" w:hAnsiTheme="minorHAnsi"/>
          <w:sz w:val="22"/>
        </w:rPr>
      </w:pPr>
    </w:p>
    <w:p w14:paraId="1A446CB5" w14:textId="77777777" w:rsidR="0086495E" w:rsidRPr="00037E7B" w:rsidRDefault="0086495E" w:rsidP="0086495E">
      <w:pPr>
        <w:jc w:val="center"/>
        <w:rPr>
          <w:sz w:val="24"/>
          <w:rFonts w:ascii="Times New Roman" w:hAnsi="Times New Roman"/>
        </w:rPr>
      </w:pPr>
      <w:r>
        <w:rPr>
          <w:sz w:val="24"/>
          <w:rFonts w:ascii="Times New Roman" w:hAnsi="Times New Roman"/>
        </w:rPr>
        <w:t xml:space="preserve">ANNEXE II</w:t>
      </w:r>
    </w:p>
    <w:p w14:paraId="4E0B1D04" w14:textId="77777777" w:rsidR="0086495E" w:rsidRPr="00037E7B" w:rsidRDefault="0086495E" w:rsidP="0086495E">
      <w:pPr>
        <w:jc w:val="center"/>
        <w:rPr>
          <w:sz w:val="24"/>
          <w:rFonts w:ascii="Times New Roman" w:hAnsi="Times New Roman"/>
        </w:rPr>
      </w:pPr>
      <w:r>
        <w:rPr>
          <w:sz w:val="24"/>
          <w:rFonts w:ascii="Times New Roman" w:hAnsi="Times New Roman"/>
        </w:rPr>
        <w:t xml:space="preserve">«ANNEXE II</w:t>
      </w:r>
    </w:p>
    <w:p w14:paraId="1B650450" w14:textId="77777777" w:rsidR="0086495E" w:rsidRPr="00037E7B" w:rsidRDefault="0086495E" w:rsidP="0086495E">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6B9B322A" w14:textId="77777777" w:rsidR="00E26A90" w:rsidRDefault="00E26A90"/>
    <w:p w14:paraId="19ADD1FC" w14:textId="77777777" w:rsidR="00B35565" w:rsidRDefault="00B35565" w:rsidP="00B35565">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RELATIVES AUX MODÈLES</w:t>
      </w:r>
    </w:p>
    <w:p w14:paraId="3C5D79AD" w14:textId="77777777" w:rsidR="00B35565" w:rsidRDefault="00B35565" w:rsidP="00B35565">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911C679" w14:textId="77777777" w:rsidR="00B35565" w:rsidRPr="00736637" w:rsidRDefault="00B35565" w:rsidP="00B35565">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sz w:val="24"/>
          <w:u w:val="none"/>
          <w:rFonts w:ascii="Times New Roman" w:hAnsi="Times New Roman" w:cs="Times New Roman"/>
        </w:rPr>
      </w:pPr>
      <w:r>
        <w:rPr>
          <w:sz w:val="24"/>
          <w:u w:val="none"/>
          <w:rFonts w:ascii="Times New Roman" w:hAnsi="Times New Roman"/>
        </w:rPr>
        <w:t xml:space="preserve">3.5a.</w:t>
      </w:r>
      <w:r>
        <w:rPr>
          <w:sz w:val="24"/>
          <w:u w:val="none"/>
          <w:rFonts w:ascii="Times New Roman" w:hAnsi="Times New Roman"/>
        </w:rPr>
        <w:t xml:space="preserve"> </w:t>
      </w:r>
      <w:r>
        <w:rPr>
          <w:sz w:val="24"/>
          <w:u w:val="none"/>
          <w:rFonts w:ascii="Times New Roman" w:hAnsi="Times New Roman"/>
        </w:rPr>
        <w:t xml:space="preserve">C 10.00 - Risques de crédit et de crédit de contrepartie et positions de négociation non dénouées:</w:t>
      </w:r>
      <w:r>
        <w:rPr>
          <w:sz w:val="24"/>
          <w:u w:val="none"/>
          <w:rFonts w:ascii="Times New Roman" w:hAnsi="Times New Roman"/>
        </w:rPr>
        <w:t xml:space="preserve"> </w:t>
      </w:r>
      <w:r>
        <w:rPr>
          <w:sz w:val="24"/>
          <w:u w:val="none"/>
          <w:rFonts w:ascii="Times New Roman" w:hAnsi="Times New Roman"/>
        </w:rPr>
        <w:t xml:space="preserve">Expositions selon NI soumises au plancher de fonds propres</w:t>
      </w:r>
    </w:p>
    <w:p w14:paraId="0F58EFDD" w14:textId="01613982" w:rsidR="009658DD" w:rsidRPr="004637BB" w:rsidRDefault="009658DD" w:rsidP="00031259">
      <w:pPr>
        <w:pStyle w:val="Instructionsberschrift2"/>
        <w:numPr>
          <w:ilvl w:val="0"/>
          <w:numId w:val="0"/>
        </w:numPr>
        <w:ind w:left="360"/>
        <w:rPr>
          <w:sz w:val="24"/>
          <w:rFonts w:ascii="Times New Roman" w:hAnsi="Times New Roman" w:cs="Times New Roman"/>
        </w:rPr>
      </w:pPr>
      <w:bookmarkStart w:id="0" w:name="_Toc151714425"/>
      <w:r>
        <w:rPr>
          <w:sz w:val="24"/>
          <w:u w:val="none"/>
          <w:rFonts w:ascii="Times New Roman" w:hAnsi="Times New Roman"/>
        </w:rPr>
        <w:t xml:space="preserve">3.5a.1.</w:t>
      </w:r>
      <w:r>
        <w:rPr>
          <w:sz w:val="24"/>
          <w:u w:val="none"/>
          <w:rFonts w:ascii="Times New Roman" w:hAnsi="Times New Roman"/>
        </w:rPr>
        <w:t xml:space="preserve"> </w:t>
      </w:r>
      <w:r>
        <w:rPr>
          <w:sz w:val="24"/>
          <w:rFonts w:ascii="Times New Roman" w:hAnsi="Times New Roman"/>
        </w:rPr>
        <w:t xml:space="preserve">Remarques générales</w:t>
      </w:r>
      <w:bookmarkEnd w:id="0"/>
    </w:p>
    <w:p w14:paraId="61F697DF" w14:textId="7433E710" w:rsidR="009658DD" w:rsidRDefault="007F005E" w:rsidP="009658DD">
      <w:pPr>
        <w:pStyle w:val="InstructionsText2"/>
        <w:numPr>
          <w:ilvl w:val="0"/>
          <w:numId w:val="0"/>
        </w:numPr>
        <w:ind w:left="1353"/>
        <w:rPr>
          <w:noProof/>
        </w:rPr>
      </w:pPr>
      <w:r>
        <w:t xml:space="preserve">91b.</w:t>
      </w:r>
      <w:r>
        <w:t xml:space="preserve"> </w:t>
      </w:r>
      <w:r>
        <w:t xml:space="preserve">Les établissements qui appliquent l’approche NI déclarent, sous C 10.00, les expositions selon NI ventilées par catégorie d’exposition au risque en approche SA et les informations sur le calcul du montant total d’exposition au risque en approche standard pour ces expositions.</w:t>
      </w:r>
      <w:r>
        <w:t xml:space="preserve"> </w:t>
      </w:r>
      <w:r>
        <w:t xml:space="preserve">Les informations sur l’incidence des dispositions transitoires relatives au plancher de fonds propres pour ces expositions sont déclarées dans les colonnes 0100 à 0120.</w:t>
      </w:r>
    </w:p>
    <w:p w14:paraId="757B818D" w14:textId="3ED1BD9A" w:rsidR="00031259" w:rsidRPr="00B64C8A" w:rsidRDefault="00031259" w:rsidP="00031259">
      <w:pPr>
        <w:pStyle w:val="InstructionsText2"/>
        <w:numPr>
          <w:ilvl w:val="0"/>
          <w:numId w:val="0"/>
        </w:numPr>
        <w:ind w:left="1353"/>
        <w:rPr>
          <w:noProof/>
        </w:rPr>
      </w:pPr>
      <w:r>
        <w:t xml:space="preserve">91c.</w:t>
      </w:r>
      <w:r>
        <w:t xml:space="preserve"> </w:t>
      </w:r>
      <w:r>
        <w:t xml:space="preserve">Les établissements qui appliquent la méthode du modèle interne (IMM) prévue au chapitre 6, section 6, du règlement (UE) nº 575/2013 pour calculer les montants d’exposition des expositions soumises à l’approche standard utilisent la ligne 0270 de ce modèle.</w:t>
      </w:r>
    </w:p>
    <w:p w14:paraId="4C2D34C1" w14:textId="18F2C523" w:rsidR="009658DD" w:rsidRDefault="009658DD" w:rsidP="009658DD">
      <w:pPr>
        <w:pStyle w:val="Instructionsberschrift2"/>
        <w:numPr>
          <w:ilvl w:val="0"/>
          <w:numId w:val="0"/>
        </w:numPr>
        <w:ind w:left="360"/>
        <w:rPr>
          <w:sz w:val="24"/>
          <w:rFonts w:ascii="Times New Roman" w:hAnsi="Times New Roman" w:cs="Times New Roman"/>
        </w:rPr>
      </w:pPr>
      <w:bookmarkStart w:id="1" w:name="_Toc151714426"/>
      <w:r>
        <w:rPr>
          <w:sz w:val="24"/>
          <w:u w:val="none"/>
          <w:rFonts w:ascii="Times New Roman" w:hAnsi="Times New Roman"/>
        </w:rPr>
        <w:t xml:space="preserve">3.5a.2.</w:t>
      </w:r>
      <w:r>
        <w:rPr>
          <w:sz w:val="24"/>
          <w:u w:val="none"/>
          <w:rFonts w:ascii="Times New Roman" w:hAnsi="Times New Roman"/>
        </w:rPr>
        <w:t xml:space="preserve"> </w:t>
      </w:r>
      <w:r>
        <w:rPr>
          <w:sz w:val="24"/>
          <w:rFonts w:ascii="Times New Roman" w:hAnsi="Times New Roman"/>
        </w:rPr>
        <w:t xml:space="preserve">Instructions concernant certaines positions</w:t>
      </w:r>
      <w:bookmarkEnd w:id="1"/>
    </w:p>
    <w:tbl>
      <w:tblPr>
        <w:tblW w:w="9634" w:type="dxa"/>
        <w:tblLook w:val="01E0" w:firstRow="1" w:lastRow="1" w:firstColumn="1" w:lastColumn="1" w:noHBand="0" w:noVBand="0"/>
      </w:tblPr>
      <w:tblGrid>
        <w:gridCol w:w="1129"/>
        <w:gridCol w:w="8"/>
        <w:gridCol w:w="8497"/>
      </w:tblGrid>
      <w:tr w:rsidR="009658DD" w:rsidRPr="002A677E"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Colonnes</w:t>
            </w:r>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497" w:type="dxa"/>
          </w:tcPr>
          <w:p w14:paraId="0A86BDA1" w14:textId="77777777" w:rsidR="009658DD" w:rsidRPr="00BF08E5" w:rsidRDefault="009658DD" w:rsidP="00822842">
            <w:pPr>
              <w:pStyle w:val="InstructionsText"/>
              <w:rPr>
                <w:rStyle w:val="InstructionsTabelleberschrift"/>
              </w:rPr>
            </w:pPr>
            <w:r>
              <w:rPr>
                <w:rStyle w:val="InstructionsTabelleberschrift"/>
              </w:rPr>
              <w:t xml:space="preserve">EXPOSITION INITIALE AVANT APPLICATION DES FACTEURS DE CONVERSION</w:t>
            </w:r>
          </w:p>
          <w:p w14:paraId="6E2574B8" w14:textId="6450DDAF" w:rsidR="009658DD" w:rsidRPr="00BF08E5" w:rsidRDefault="009658DD" w:rsidP="00822842">
            <w:pPr>
              <w:spacing w:beforeLines="60" w:before="144" w:afterLines="60" w:after="144"/>
              <w:rPr>
                <w:rStyle w:val="InstructionsTabelleText"/>
                <w:sz w:val="24"/>
                <w:rFonts w:ascii="Times New Roman" w:hAnsi="Times New Roman"/>
              </w:rPr>
            </w:pPr>
            <w:r>
              <w:rPr>
                <w:sz w:val="24"/>
                <w:rFonts w:ascii="Times New Roman" w:hAnsi="Times New Roman"/>
              </w:rPr>
              <w:t xml:space="preserve">Voir instructions pour le modèle C 07.00, colonne 0010.</w:t>
            </w:r>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497" w:type="dxa"/>
          </w:tcPr>
          <w:p w14:paraId="6F542E1E"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CORRECTIONS DE VALEUR ET PROVISIONS ASSOCIÉES À L’EXPOSITION INITIALE</w:t>
            </w:r>
          </w:p>
          <w:p w14:paraId="0B7A2AC4"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Voir instructions pour le modèle C 07.00, colonne 0030.</w:t>
            </w:r>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 dont:</w:t>
            </w:r>
          </w:p>
        </w:tc>
        <w:tc>
          <w:tcPr>
            <w:tcW w:w="8497" w:type="dxa"/>
          </w:tcPr>
          <w:p w14:paraId="2C9DC305"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 NETTE DES CORRECTIONS DE VALEUR ET DES PROVISIONS</w:t>
            </w:r>
          </w:p>
          <w:p w14:paraId="6DAAFC5A"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Somme des colonnes 0010 et 0020.</w:t>
            </w:r>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8497" w:type="dxa"/>
          </w:tcPr>
          <w:p w14:paraId="07B9E69A"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VALEUR EXPOSÉE AU RISQUE</w:t>
            </w:r>
          </w:p>
          <w:p w14:paraId="31C89221" w14:textId="597B888A" w:rsidR="009658DD" w:rsidRPr="00BF08E5" w:rsidRDefault="009658DD" w:rsidP="00822842">
            <w:pPr>
              <w:spacing w:beforeLines="60" w:before="144" w:afterLines="60" w:after="144"/>
              <w:rPr>
                <w:rStyle w:val="InstructionsTabelleText"/>
                <w:sz w:val="24"/>
                <w:rFonts w:ascii="Times New Roman" w:hAnsi="Times New Roman"/>
              </w:rPr>
            </w:pPr>
            <w:r>
              <w:t xml:space="preserve">Voir instructions pour le modèle C 07.00, colonne 0200.</w:t>
            </w: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497" w:type="dxa"/>
          </w:tcPr>
          <w:p w14:paraId="448E18E1" w14:textId="5C7DB538" w:rsidR="009658DD" w:rsidRPr="000059B8" w:rsidRDefault="009658DD" w:rsidP="00822842">
            <w:pPr>
              <w:rPr>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w:t>
            </w:r>
          </w:p>
          <w:p w14:paraId="080A825F" w14:textId="219531D5" w:rsidR="009658DD" w:rsidRPr="00BF08E5" w:rsidRDefault="009658DD" w:rsidP="0082284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Voir instructions pour le modèle C 07.00, colonne 0210.</w:t>
            </w: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0060-0080</w:t>
            </w:r>
          </w:p>
        </w:tc>
        <w:tc>
          <w:tcPr>
            <w:tcW w:w="8497" w:type="dxa"/>
          </w:tcPr>
          <w:p w14:paraId="75A5626D"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PLANCHER DE FONDS PROPRES</w:t>
            </w:r>
          </w:p>
          <w:p w14:paraId="64BDF185" w14:textId="77777777" w:rsidR="009658DD" w:rsidRPr="00BF08E5" w:rsidRDefault="009658DD" w:rsidP="00822842">
            <w:pPr>
              <w:spacing w:beforeLines="60" w:before="144" w:afterLines="60" w:after="144"/>
              <w:rPr>
                <w:rStyle w:val="InstructionsTabelleText"/>
                <w:sz w:val="24"/>
                <w:rFonts w:ascii="Times New Roman" w:hAnsi="Times New Roman"/>
              </w:rPr>
            </w:pPr>
            <w:r>
              <w:rPr>
                <w:sz w:val="24"/>
                <w:rFonts w:ascii="Times New Roman" w:hAnsi="Times New Roman"/>
              </w:rPr>
              <w:t xml:space="preserve">Article 92, paragraphe 3, et article 92, paragraphe 5, du règlement (UE) nº 575/2013.</w:t>
            </w:r>
            <w:r>
              <w:rPr>
                <w:sz w:val="24"/>
                <w:rFonts w:ascii="Times New Roman" w:hAnsi="Times New Roman"/>
              </w:rPr>
              <w:t xml:space="preserve"> </w:t>
            </w:r>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497" w:type="dxa"/>
          </w:tcPr>
          <w:p w14:paraId="1B9A1B0D"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S-TREA</w:t>
            </w:r>
          </w:p>
          <w:p w14:paraId="020C8A08"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Le montant total d’exposition au risque en approches standard (S-TREA) calculé conformément à l’article 92, paragraphe 5, du règlement (UE) nº 575/2013.</w:t>
            </w:r>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497" w:type="dxa"/>
          </w:tcPr>
          <w:p w14:paraId="2DE38CF8"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w:t>
            </w:r>
          </w:p>
          <w:p w14:paraId="0DA3DB37"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Le S-TREA pour risque de crédit de contrepartie calculé conformément aux méthodes prévues à la troisième partie, titre II, chapitre 6, du règlement (UE) nº 575/2013.</w:t>
            </w:r>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497" w:type="dxa"/>
          </w:tcPr>
          <w:p w14:paraId="1788967F"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AVEC ÉVALUATION DE CRÉDIT ÉTABLIE PAR UN OEEC DÉSIGNÉ</w:t>
            </w:r>
          </w:p>
          <w:p w14:paraId="6E024992"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Article 112, points a) à d), f), g), l), n), o) et q), du règlement (UE) nº 575/2013</w:t>
            </w:r>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0090 - 0110</w:t>
            </w:r>
          </w:p>
        </w:tc>
        <w:tc>
          <w:tcPr>
            <w:tcW w:w="8497" w:type="dxa"/>
          </w:tcPr>
          <w:p w14:paraId="50239EBA" w14:textId="73A58BEC"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POUR MÉMOIRE:</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RWEA LIÉ À L’IMPACT DE L’APPLICATION DE CERTAINES DISPOSITIONS TRANSITOIRES</w:t>
            </w:r>
          </w:p>
          <w:p w14:paraId="018D1E5D"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Article 92, paragraphe 3 et article 465 du règlement (UE) nº 575/2013.</w:t>
            </w:r>
            <w:r>
              <w:rPr>
                <w:sz w:val="24"/>
                <w:rFonts w:ascii="Times New Roman" w:hAnsi="Times New Roman"/>
              </w:rPr>
              <w:t xml:space="preserve"> </w:t>
            </w:r>
            <w:r>
              <w:rPr>
                <w:sz w:val="24"/>
                <w:rFonts w:ascii="Times New Roman" w:hAnsi="Times New Roman"/>
              </w:rPr>
              <w:t xml:space="preserve">Indiquer la différence entre le montant de RWEA sans application des dispositions transitoires et le montant de RWEA avec application des dispositions transitoires.</w:t>
            </w:r>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497" w:type="dxa"/>
          </w:tcPr>
          <w:p w14:paraId="3FD78950"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UNE HYPOTHÈQUE SUR UN BIEN IMMOBILIER RÉSIDENTIEL JUSQU’À 55 % DE LA VALEUR DU BIEN</w:t>
            </w:r>
          </w:p>
          <w:p w14:paraId="4ABBA767"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Article 465, paragraphe 5, point a), du règlement (UE) nº 575/2013.</w:t>
            </w:r>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8497" w:type="dxa"/>
          </w:tcPr>
          <w:p w14:paraId="226E0B2F"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UNE HYPOTHÈQUE SUR UN BIEN IMMOBILIER RÉSIDENTIEL ENTRE 55 % ET 80 % DE LA VALEUR DU BIEN</w:t>
            </w:r>
          </w:p>
          <w:p w14:paraId="72AFD287"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Article 465, paragraphe 5, point b), du règlement (UE) nº 575/2013.</w:t>
            </w:r>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0110</w:t>
            </w:r>
          </w:p>
        </w:tc>
        <w:tc>
          <w:tcPr>
            <w:tcW w:w="8497" w:type="dxa"/>
          </w:tcPr>
          <w:p w14:paraId="52668FDF" w14:textId="77777777" w:rsidR="009658DD" w:rsidRPr="00BF08E5" w:rsidRDefault="009658DD"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SUR DES ENTREPRISES NON NOTÉES AVEC UNE ESTIMATION DE PD</w:t>
            </w:r>
          </w:p>
          <w:p w14:paraId="43AA2D10" w14:textId="77777777" w:rsidR="009658DD" w:rsidRPr="00BF08E5" w:rsidDel="007E4D58" w:rsidRDefault="009658DD" w:rsidP="0082284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Article 465, paragraphe 3, du règlement (UE) nº 575/2013.</w:t>
            </w:r>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BF08E5" w:rsidRDefault="00F42716"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8497" w:type="dxa"/>
          </w:tcPr>
          <w:p w14:paraId="76C04A50" w14:textId="3AA704BF" w:rsidR="00F42716" w:rsidRDefault="00031259"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IRB SOUMISES AU RISQUE DE CRÉDIT DE CONTREPARTIE SELON L’IMM</w:t>
            </w:r>
          </w:p>
          <w:p w14:paraId="44DDA90D" w14:textId="11F3D5C3" w:rsidR="00F42716" w:rsidRPr="00F42716" w:rsidRDefault="00F42716" w:rsidP="0082284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rFonts w:ascii="Times New Roman" w:hAnsi="Times New Roman"/>
              </w:rPr>
              <w:t xml:space="preserve">Article 465, paragraphe 4, du</w:t>
            </w:r>
            <w:r>
              <w:rPr>
                <w:sz w:val="24"/>
                <w:rFonts w:ascii="Times New Roman" w:hAnsi="Times New Roman"/>
              </w:rPr>
              <w:t xml:space="preserve"> règlement (UE) nº 575/2013.</w:t>
            </w:r>
          </w:p>
        </w:tc>
      </w:tr>
      <w:tr w:rsidR="009658DD" w:rsidRPr="000059B8"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BF08E5" w:rsidRDefault="009658DD" w:rsidP="00822842">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Lignes</w:t>
            </w:r>
          </w:p>
        </w:tc>
      </w:tr>
      <w:tr w:rsidR="009658DD" w:rsidRPr="000059B8"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TOTAL DES EXPOSITIONS</w:t>
            </w:r>
          </w:p>
          <w:p w14:paraId="12F57A9B" w14:textId="77777777" w:rsidR="009658DD" w:rsidRPr="00BF08E5" w:rsidRDefault="009658DD" w:rsidP="00822842">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Article 92, paragraphe 3, et articles 95, 96 et 98 du règlement (UE) nº 575/2013.</w:t>
            </w:r>
          </w:p>
        </w:tc>
      </w:tr>
      <w:tr w:rsidR="009658DD" w:rsidRPr="000059B8"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Exigences prudentielles plus strictes supplémentaires en vertu de l’article 124 du règlement (UE) nº 575/2013</w:t>
            </w:r>
          </w:p>
          <w:p w14:paraId="1B71DEF4"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sz w:val="24"/>
                <w:rFonts w:ascii="Times New Roman" w:hAnsi="Times New Roman"/>
              </w:rPr>
              <w:t xml:space="preserve">Les établissements déclarent les montants d’exposition au risque supplémentaires nécessaires pour se conformer aux exigences prudentielles plus strictes qui leur ont été communiquées après consultation de l’ABE, conformément à l’article 124, paragraphes 2 et 5, du règlement (UE) nº 575/2013.</w:t>
            </w:r>
          </w:p>
        </w:tc>
      </w:tr>
      <w:tr w:rsidR="009658DD" w:rsidRPr="000059B8"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Catégories d’exposition au risque en approche SA, à l’exclusion des positions de titrisation</w:t>
            </w:r>
          </w:p>
          <w:p w14:paraId="77EE2E97"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sz w:val="24"/>
                <w:rStyle w:val="FormatvorlageInstructionsTabelleText"/>
                <w:rFonts w:ascii="Times New Roman" w:hAnsi="Times New Roman"/>
              </w:rPr>
              <w:t xml:space="preserve">Modèle CR SA, sur le plan de l’exposition totale.</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Les catégories d’expositions selon l’approche standard sont celles</w:t>
            </w:r>
            <w:r>
              <w:rPr>
                <w:sz w:val="24"/>
                <w:rFonts w:ascii="Times New Roman" w:hAnsi="Times New Roman"/>
              </w:rPr>
              <w:t xml:space="preserve"> </w:t>
            </w:r>
            <w:r>
              <w:rPr>
                <w:sz w:val="24"/>
                <w:rStyle w:val="InstructionsTabelleberschrift"/>
                <w:rFonts w:ascii="Times New Roman" w:hAnsi="Times New Roman"/>
              </w:rPr>
              <w:t xml:space="preserve">reprises</w:t>
            </w:r>
            <w:r>
              <w:rPr>
                <w:sz w:val="24"/>
                <w:rStyle w:val="FormatvorlageInstructionsTabelleText"/>
                <w:rFonts w:ascii="Times New Roman" w:hAnsi="Times New Roman"/>
              </w:rPr>
              <w:t xml:space="preserve"> à l’article 112 règlement (UE) nº 575/2013, hormis les positions de titrisation.</w:t>
            </w:r>
          </w:p>
        </w:tc>
      </w:tr>
      <w:tr w:rsidR="009658DD" w:rsidRPr="000059B8"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Administrations centrales ou banques centrales</w:t>
            </w:r>
          </w:p>
          <w:p w14:paraId="07B1B11E"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Administrations régionales ou locales</w:t>
            </w:r>
          </w:p>
          <w:p w14:paraId="4FD1E923"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Entités du secteur public</w:t>
            </w:r>
            <w:r>
              <w:rPr>
                <w:rStyle w:val="InstructionsTabelleberschrift"/>
                <w:sz w:val="24"/>
                <w:rFonts w:ascii="Times New Roman" w:hAnsi="Times New Roman"/>
              </w:rPr>
              <w:t xml:space="preserve"> </w:t>
            </w:r>
          </w:p>
          <w:p w14:paraId="1CAF5DD4"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 Autres</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Banques multilatérales de développement</w:t>
            </w:r>
          </w:p>
          <w:p w14:paraId="4C779872"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Organisations internationales</w:t>
            </w:r>
          </w:p>
          <w:p w14:paraId="0A6B8FF7"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Établissements</w:t>
            </w:r>
          </w:p>
          <w:p w14:paraId="41CD1CBD"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Entreprises – Autres</w:t>
            </w:r>
          </w:p>
          <w:p w14:paraId="7F09FF3D"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F42716" w:rsidRPr="000059B8"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sur des entreprises non notées avec une estimation de PD</w:t>
            </w:r>
          </w:p>
          <w:p w14:paraId="3C17B48F" w14:textId="60283FFA" w:rsidR="00F42716" w:rsidRPr="00F42716" w:rsidRDefault="00F42716" w:rsidP="00822842">
            <w:pPr>
              <w:keepNext/>
              <w:spacing w:beforeLines="60" w:before="144" w:afterLines="60" w:after="144"/>
              <w:rPr>
                <w:rStyle w:val="InstructionsTabelleberschrift"/>
                <w:b w:val="0"/>
                <w:bCs w:val="0"/>
                <w:sz w:val="24"/>
                <w:u w:val="none"/>
                <w:rFonts w:ascii="Times New Roman" w:hAnsi="Times New Roman"/>
              </w:rPr>
            </w:pPr>
            <w:r>
              <w:rPr>
                <w:sz w:val="24"/>
                <w:b w:val="0"/>
                <w:rStyle w:val="InstructionsTabelleberschrift"/>
                <w:rFonts w:ascii="Times New Roman" w:hAnsi="Times New Roman"/>
              </w:rPr>
              <w:t xml:space="preserve">Article 465, paragraphe 3, du</w:t>
            </w:r>
            <w:r>
              <w:rPr>
                <w:sz w:val="24"/>
                <w:rFonts w:ascii="Times New Roman" w:hAnsi="Times New Roman"/>
              </w:rPr>
              <w:t xml:space="preserve"> règlement (UE) nº 575/2013.</w:t>
            </w:r>
          </w:p>
        </w:tc>
      </w:tr>
      <w:tr w:rsidR="009658DD" w:rsidRPr="000059B8"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w:t>
            </w:r>
            <w:r>
              <w:rPr>
                <w:rStyle w:val="InstructionsTabelleText"/>
              </w:rPr>
              <w:t xml:space="preserve">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77777777" w:rsidR="009658DD" w:rsidRPr="00F42716"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Créances achetées</w:t>
            </w:r>
          </w:p>
          <w:p w14:paraId="6CA59863" w14:textId="77777777" w:rsidR="009658DD" w:rsidRPr="004F4F7B" w:rsidRDefault="009658DD" w:rsidP="00822842">
            <w:pPr>
              <w:keepNext/>
              <w:spacing w:beforeLines="60" w:before="144" w:afterLines="60" w:after="144"/>
              <w:rPr>
                <w:rStyle w:val="InstructionsTabelleberschrift"/>
                <w:b w:val="0"/>
                <w:bCs w:val="0"/>
                <w:sz w:val="24"/>
                <w:rFonts w:ascii="Times New Roman" w:hAnsi="Times New Roman"/>
              </w:rPr>
            </w:pPr>
            <w:r>
              <w:rPr>
                <w:sz w:val="24"/>
                <w:rStyle w:val="InstructionsTabelleberschrift"/>
                <w:b w:val="0"/>
                <w:rFonts w:ascii="Times New Roman" w:hAnsi="Times New Roman"/>
              </w:rPr>
              <w:t xml:space="preserve">Expositions classées, en vertu de l’approche NI, dans la catégorie d’exposition “Créances achetées”, conformément à l’article 147, paragraphe 2, point c), iii)</w:t>
            </w:r>
            <w:r>
              <w:rPr>
                <w:sz w:val="24"/>
                <w:rFonts w:ascii="Times New Roman" w:hAnsi="Times New Roman"/>
              </w:rPr>
              <w:t xml:space="preserve">, du règlement (UE) nº 575/2013.</w:t>
            </w:r>
          </w:p>
        </w:tc>
      </w:tr>
      <w:tr w:rsidR="009658DD" w:rsidRPr="000059B8"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Entreprises – Financements spécialisés</w:t>
            </w:r>
          </w:p>
          <w:p w14:paraId="1A6312AB"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Clientèle de détail</w:t>
            </w:r>
          </w:p>
          <w:p w14:paraId="46E09BC6"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77777777" w:rsidR="009658DD" w:rsidRPr="00F42716"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renouvelables éligibles</w:t>
            </w:r>
          </w:p>
          <w:p w14:paraId="6784663B" w14:textId="77777777" w:rsidR="009658DD" w:rsidRPr="00682248" w:rsidRDefault="009658DD" w:rsidP="00822842">
            <w:pPr>
              <w:keepNext/>
              <w:spacing w:beforeLines="60" w:before="144" w:afterLines="60" w:after="144"/>
              <w:rPr>
                <w:rStyle w:val="InstructionsTabelleberschrift"/>
                <w:b w:val="0"/>
                <w:bCs w:val="0"/>
                <w:sz w:val="24"/>
                <w:rFonts w:ascii="Times New Roman" w:hAnsi="Times New Roman"/>
              </w:rPr>
            </w:pPr>
            <w:r>
              <w:rPr>
                <w:sz w:val="24"/>
                <w:rStyle w:val="InstructionsTabelleberschrift"/>
                <w:b w:val="0"/>
                <w:u w:val="none"/>
                <w:rFonts w:ascii="Times New Roman" w:hAnsi="Times New Roman"/>
              </w:rPr>
              <w:t xml:space="preserve">Expositions classées, en vertu de l’approche NI, dans la catégorie d’exposition “Créances achetées”, conformément à l’article 147, paragraphe 2, point d), i)</w:t>
            </w:r>
            <w:r>
              <w:rPr>
                <w:sz w:val="24"/>
                <w:rFonts w:ascii="Times New Roman" w:hAnsi="Times New Roman"/>
              </w:rPr>
              <w:t xml:space="preserve">, du règlement (UE) nº 575/2013.</w:t>
            </w:r>
          </w:p>
        </w:tc>
      </w:tr>
      <w:tr w:rsidR="009658DD" w:rsidRPr="000059B8"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77777777" w:rsidR="009658DD" w:rsidRPr="000234CA"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Créances achetées</w:t>
            </w:r>
          </w:p>
          <w:p w14:paraId="7A29F356" w14:textId="77777777" w:rsidR="009658DD" w:rsidRPr="00682248" w:rsidRDefault="009658DD" w:rsidP="00822842">
            <w:pPr>
              <w:keepNext/>
              <w:spacing w:beforeLines="60" w:before="144" w:afterLines="60" w:after="144"/>
              <w:rPr>
                <w:rStyle w:val="InstructionsTabelleberschrift"/>
                <w:b w:val="0"/>
                <w:bCs w:val="0"/>
                <w:sz w:val="24"/>
                <w:rFonts w:ascii="Times New Roman" w:hAnsi="Times New Roman"/>
              </w:rPr>
            </w:pPr>
            <w:r>
              <w:rPr>
                <w:sz w:val="24"/>
                <w:rStyle w:val="InstructionsTabelleberschrift"/>
                <w:b w:val="0"/>
                <w:u w:val="none"/>
                <w:rFonts w:ascii="Times New Roman" w:hAnsi="Times New Roman"/>
              </w:rPr>
              <w:t xml:space="preserve">Expositions classées, en vertu de l’approche NI, dans la catégorie d’exposition “Créances achetées”, conformément à l’article 147, paragraphe 2, point d), iii)</w:t>
            </w:r>
            <w:r>
              <w:rPr>
                <w:sz w:val="24"/>
                <w:rFonts w:ascii="Times New Roman" w:hAnsi="Times New Roman"/>
              </w:rPr>
              <w:t xml:space="preserve">, du règlement (UE) nº 575/2013.</w:t>
            </w:r>
          </w:p>
        </w:tc>
      </w:tr>
      <w:tr w:rsidR="009658DD" w:rsidRPr="000059B8"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Garanties par une hypothèque sur un bien immobilier et expositions ADC</w:t>
            </w:r>
            <w:r>
              <w:rPr>
                <w:rStyle w:val="InstructionsTabelleberschrift"/>
                <w:sz w:val="24"/>
                <w:rFonts w:ascii="Times New Roman" w:hAnsi="Times New Roman"/>
              </w:rPr>
              <w:t xml:space="preserve"> </w:t>
            </w:r>
          </w:p>
          <w:p w14:paraId="6A976302"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F42716" w:rsidRPr="000059B8"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Default="00F42716"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une hypothèque sur un bien immobilier résidentiel jusqu’à 55 % de la valeur du bien</w:t>
            </w:r>
          </w:p>
          <w:p w14:paraId="044648D8" w14:textId="29763600" w:rsidR="00F42716" w:rsidRPr="000234CA" w:rsidRDefault="000234CA" w:rsidP="00822842">
            <w:pPr>
              <w:keepNext/>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Article 465, paragraphe 5, point a), du règlement (UE) nº 575/2013.</w:t>
            </w:r>
          </w:p>
        </w:tc>
      </w:tr>
      <w:tr w:rsidR="00F42716" w:rsidRPr="000059B8"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0152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77777777" w:rsidR="00F42716" w:rsidRDefault="00F42716"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une hypothèque sur un bien immobilier résidentiel entre 55 % et 80 % de la valeur du bien</w:t>
            </w:r>
          </w:p>
          <w:p w14:paraId="1F2DFE4A" w14:textId="4701280A" w:rsidR="00F42716" w:rsidRPr="000234CA" w:rsidRDefault="000234CA" w:rsidP="00822842">
            <w:pPr>
              <w:keepNext/>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Article 465, paragraphe 5, point b), du règlement (UE) nº 575/2013.</w:t>
            </w:r>
          </w:p>
        </w:tc>
      </w:tr>
      <w:tr w:rsidR="001E0830" w:rsidRPr="002A677E"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7AC36BD9"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non IPRE (garanties)</w:t>
            </w:r>
          </w:p>
          <w:p w14:paraId="1336D8BC"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53899B6B"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non IPRE (non garanties)</w:t>
            </w:r>
          </w:p>
          <w:p w14:paraId="10BC6690"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592C798F"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Autres – non IPRE</w:t>
            </w:r>
          </w:p>
          <w:p w14:paraId="6EFCB6F5"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3893B044"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résidentiels – IPRE</w:t>
            </w:r>
          </w:p>
          <w:p w14:paraId="42EC2934"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056628F0"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Autres – IPRE</w:t>
            </w:r>
          </w:p>
          <w:p w14:paraId="0DC38004"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5FB1939F"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non IPRE (garanties)</w:t>
            </w:r>
          </w:p>
          <w:p w14:paraId="16490978" w14:textId="77777777" w:rsidR="001E0830" w:rsidRPr="009161EF" w:rsidRDefault="001E0830" w:rsidP="001E0830">
            <w:pPr>
              <w:keepNext/>
              <w:spacing w:beforeLines="60" w:before="144" w:afterLines="60" w:after="144"/>
              <w:rPr>
                <w:rStyle w:val="InstructionsTabelleberschrift"/>
                <w:sz w:val="24"/>
                <w:rFonts w:ascii="Times New Roman" w:hAnsi="Times New Roman"/>
              </w:rPr>
            </w:pPr>
            <w:r>
              <w:rPr>
                <w:rStyle w:val="FormatvorlageInstructionsTabelleText"/>
                <w:b/>
                <w:sz w:val="24"/>
                <w:u w:val="single"/>
                <w:rFonts w:ascii="Times New Roman" w:hAnsi="Times New Roman"/>
              </w:rPr>
              <w:t xml:space="preserve">Voir modèle CR SA.</w:t>
            </w:r>
          </w:p>
        </w:tc>
      </w:tr>
      <w:tr w:rsidR="001E0830" w:rsidRPr="002A677E"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0159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5093A28B"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non IPRE (non garanties)</w:t>
            </w:r>
          </w:p>
          <w:p w14:paraId="5F988EFF"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49D1BAFB"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Autres - non IPRE</w:t>
            </w:r>
          </w:p>
          <w:p w14:paraId="23004142"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13A3918A"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IPRE</w:t>
            </w:r>
          </w:p>
          <w:p w14:paraId="4BEE5500"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0162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6BC502FF"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garanties par des hypothèques sur des biens immobiliers commerciaux – Autres – IPRE</w:t>
            </w:r>
          </w:p>
          <w:p w14:paraId="4636ED44"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1E0830" w:rsidRPr="002A677E"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0163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69B293C6" w:rsidR="001E0830" w:rsidRPr="001E0830" w:rsidRDefault="001E0830" w:rsidP="001E0830">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Acquisition de terrains, promotion immobilière et construction (ADC)</w:t>
            </w:r>
          </w:p>
          <w:p w14:paraId="6F33B2A8" w14:textId="77777777" w:rsidR="001E0830" w:rsidRPr="001E0830" w:rsidRDefault="001E0830" w:rsidP="001E0830">
            <w:pPr>
              <w:keepNext/>
              <w:spacing w:beforeLines="60" w:before="144" w:afterLines="60" w:after="144"/>
              <w:rPr>
                <w:rStyle w:val="InstructionsTabelleberschrift"/>
                <w:bCs w:val="0"/>
                <w:sz w:val="24"/>
                <w:u w:val="none"/>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0</w:t>
            </w:r>
            <w:r>
              <w:rPr>
                <w:sz w:val="24"/>
                <w:rStyle w:val="FormatvorlageInstructionsTabelleText"/>
                <w:rFonts w:ascii="Times New Roman" w:hAnsi="Times New Roman"/>
              </w:rPr>
              <w:t xml:space="preserve">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77777777" w:rsidR="009658DD" w:rsidRPr="000234CA"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Considérées comme garanties par des biens immobiliers résidentiels en approche NI</w:t>
            </w:r>
          </w:p>
          <w:p w14:paraId="6209048C" w14:textId="77777777" w:rsidR="009658DD" w:rsidRPr="000234CA" w:rsidRDefault="009658DD" w:rsidP="00822842">
            <w:pPr>
              <w:keepNext/>
              <w:spacing w:beforeLines="60" w:before="144" w:afterLines="60" w:after="144"/>
              <w:rPr>
                <w:rStyle w:val="InstructionsTabelleberschrift"/>
                <w:b w:val="0"/>
                <w:bCs w:val="0"/>
                <w:sz w:val="24"/>
                <w:rFonts w:ascii="Times New Roman" w:hAnsi="Times New Roman"/>
              </w:rPr>
            </w:pPr>
            <w:r>
              <w:rPr>
                <w:sz w:val="24"/>
                <w:rStyle w:val="InstructionsTabelleberschrift"/>
                <w:b w:val="0"/>
                <w:rFonts w:ascii="Times New Roman" w:hAnsi="Times New Roman"/>
              </w:rPr>
              <w:t xml:space="preserve">Expositions classées, en vertu de l’approche NI, dans la catégorie d’exposition “Créances achetées”, conformément à l’article 147, paragraphe 2, point d), ii)</w:t>
            </w:r>
            <w:r>
              <w:rPr>
                <w:sz w:val="24"/>
                <w:rFonts w:ascii="Times New Roman" w:hAnsi="Times New Roman"/>
              </w:rPr>
              <w:t xml:space="preserve">, du règlement (UE) nº 575/2013.</w:t>
            </w:r>
          </w:p>
        </w:tc>
      </w:tr>
      <w:tr w:rsidR="009658DD" w:rsidRPr="000059B8"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en défaut</w:t>
            </w:r>
            <w:r>
              <w:rPr>
                <w:rStyle w:val="InstructionsTabelleberschrift"/>
                <w:sz w:val="24"/>
                <w:rFonts w:ascii="Times New Roman" w:hAnsi="Times New Roman"/>
              </w:rPr>
              <w:t xml:space="preserve"> </w:t>
            </w:r>
          </w:p>
          <w:p w14:paraId="74934330"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0190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sur créances subordonnées</w:t>
            </w:r>
          </w:p>
          <w:p w14:paraId="4F12074B"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Obligations garanties</w:t>
            </w:r>
          </w:p>
          <w:p w14:paraId="16F94FDB"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Créances sur des établissements et des entreprises faisant l’objet d’une évaluation du crédit à court terme</w:t>
            </w:r>
            <w:r>
              <w:rPr>
                <w:rStyle w:val="InstructionsTabelleberschrift"/>
                <w:sz w:val="24"/>
                <w:rFonts w:ascii="Times New Roman" w:hAnsi="Times New Roman"/>
              </w:rPr>
              <w:t xml:space="preserve"> </w:t>
            </w:r>
          </w:p>
          <w:p w14:paraId="5CCE01A3"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Organismes de placement collectif (OPC)</w:t>
            </w:r>
          </w:p>
          <w:p w14:paraId="0AFC1081"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Actions</w:t>
            </w:r>
          </w:p>
          <w:p w14:paraId="6C586F40"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Autres éléments</w:t>
            </w:r>
          </w:p>
          <w:p w14:paraId="7EDA85D1"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FormatvorlageInstructionsTabelleText"/>
                <w:sz w:val="24"/>
                <w:rFonts w:ascii="Times New Roman" w:hAnsi="Times New Roman"/>
              </w:rPr>
              <w:t xml:space="preserve">Voir modèle CR SA.</w:t>
            </w:r>
          </w:p>
        </w:tc>
      </w:tr>
      <w:tr w:rsidR="009658DD" w:rsidRPr="000059B8"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w:t>
            </w:r>
            <w:r>
              <w:rPr>
                <w:rStyle w:val="InstructionsTabelleberschrift"/>
              </w:rPr>
              <w:t xml:space="preserve">OSTES POUR MÉMOIRE</w:t>
            </w:r>
          </w:p>
        </w:tc>
      </w:tr>
      <w:tr w:rsidR="009658DD" w:rsidRPr="000059B8"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w:t>
            </w:r>
            <w:r>
              <w:rPr>
                <w:rStyle w:val="InstructionsTabelleText"/>
              </w:rPr>
              <w:t xml:space="preserve">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Entreprises – approche NI simple</w:t>
            </w:r>
          </w:p>
          <w:p w14:paraId="58B2B8FF" w14:textId="77777777" w:rsidR="009658DD" w:rsidRPr="002706FA" w:rsidRDefault="009658DD" w:rsidP="00822842">
            <w:pPr>
              <w:keepNext/>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Expositions sur des entreprises traitées selon l’approche NI simple</w:t>
            </w:r>
          </w:p>
        </w:tc>
      </w:tr>
      <w:tr w:rsidR="009658DD" w:rsidRPr="000059B8"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w:t>
            </w:r>
            <w:r>
              <w:rPr>
                <w:rStyle w:val="InstructionsTabelleText"/>
              </w:rPr>
              <w:t xml:space="preserve">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Entreprises – NI avancée</w:t>
            </w:r>
          </w:p>
          <w:p w14:paraId="595A9482" w14:textId="77777777" w:rsidR="009658DD" w:rsidRPr="002706FA" w:rsidRDefault="009658DD" w:rsidP="00822842">
            <w:pPr>
              <w:keepNext/>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Expositions sur des entreprises traitées selon l’approche NI avancée</w:t>
            </w:r>
          </w:p>
        </w:tc>
      </w:tr>
      <w:tr w:rsidR="00031259" w:rsidRPr="000059B8"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Expositions en approche standard soumises au risque de crédit de contrepartie selon l’IMM</w:t>
            </w:r>
          </w:p>
          <w:p w14:paraId="2E869C45" w14:textId="77777777" w:rsidR="00031259" w:rsidRPr="00031259" w:rsidRDefault="00031259" w:rsidP="00035FAB">
            <w:pPr>
              <w:keepNext/>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Article 465, paragraphe 4, du</w:t>
            </w:r>
            <w:r>
              <w:rPr>
                <w:sz w:val="24"/>
                <w:rFonts w:ascii="Times New Roman" w:hAnsi="Times New Roman"/>
              </w:rPr>
              <w:t xml:space="preserve"> règlement (UE) nº 575/2013»</w:t>
            </w:r>
          </w:p>
        </w:tc>
      </w:tr>
    </w:tbl>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F005E"/>
    <w:rsid w:val="0086495E"/>
    <w:rsid w:val="00903A46"/>
    <w:rsid w:val="009658DD"/>
    <w:rsid w:val="00980154"/>
    <w:rsid w:val="00A17931"/>
    <w:rsid w:val="00A6002C"/>
    <w:rsid w:val="00B137CA"/>
    <w:rsid w:val="00B303D8"/>
    <w:rsid w:val="00B35565"/>
    <w:rsid w:val="00B71F25"/>
    <w:rsid w:val="00CB7E34"/>
    <w:rsid w:val="00E26A90"/>
    <w:rsid w:val="00E45F82"/>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val="fr-FR"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53EED4-B76C-408F-99F3-53F61FF856FB}"/>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