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DA</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BILAG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"BILAG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INSTRUKSER TIL INDBERETNING AF KAPITALGRUNDLAG OG KAPITALGRUNDLAGSKRAV</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DEL II: INSTRUKSER VEDRØRENDE SKEMAER</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Oversigt over kapitalgrundlag ("CA")</w:t>
      </w:r>
      <w:bookmarkEnd w:id="3"/>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Generelle bemærkninger</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CA-skemaerne indeholder oplysninger om søjle 1-tællere (kapitalgrundlag, kernekapital, egentlig kernekapital), nævner (kapitalgrundlagskrav) og anvendelsen af overgangsbestemmelserne i forordning (EU) nr. 575/2013 og direktiv 2013/36/EU og omfatter fem skemaer: </w:t>
      </w:r>
    </w:p>
    <w:p w14:paraId="416DAF6C" w14:textId="77777777" w:rsidR="00CC7D2C" w:rsidRPr="002A677E" w:rsidRDefault="00CC7D2C" w:rsidP="00D1404A">
      <w:pPr>
        <w:pStyle w:val="InstructionsText2"/>
        <w:numPr>
          <w:ilvl w:val="0"/>
          <w:numId w:val="0"/>
        </w:numPr>
        <w:ind w:left="993"/>
      </w:pPr>
      <w:r>
        <w:t>a)</w:t>
      </w:r>
      <w:r>
        <w:tab/>
        <w:t>Skema CA1 indeholder beløbet for institutternes kapitalgrundlag opdelt i de poster, der er nødvendige for at nå frem til det pågældende beløb. Det beregnede kapitalgrundlag omfatter den aggregerede virkning af anvendelsen af overgangsbestemmelserne i forordning (EU) nr. 575/2013 og direktiv 2013/36/EU pr. kapitaltype.</w:t>
      </w:r>
    </w:p>
    <w:p w14:paraId="27EFA8F6" w14:textId="7AE1365E" w:rsidR="00CC7D2C" w:rsidRPr="002A677E" w:rsidRDefault="00CC7D2C" w:rsidP="00D1404A">
      <w:pPr>
        <w:pStyle w:val="InstructionsText2"/>
        <w:numPr>
          <w:ilvl w:val="0"/>
          <w:numId w:val="0"/>
        </w:numPr>
        <w:ind w:left="993"/>
      </w:pPr>
      <w:r>
        <w:t>b)</w:t>
      </w:r>
      <w:r>
        <w:tab/>
        <w:t>I skema CA2 summeres de samlede risikoeksponeringer (TREA) med og uden gulv og de standardiserede samlede risikoeksponeringer (S-TREA) som defineret i henholdsvis stk. 3, 4 og 5 i artikel 92 i forordning (EU) nr. 575/2013.</w:t>
      </w:r>
    </w:p>
    <w:p w14:paraId="3031C055" w14:textId="77777777" w:rsidR="00CC7D2C" w:rsidRPr="002A677E" w:rsidRDefault="00CC7D2C" w:rsidP="00D1404A">
      <w:pPr>
        <w:pStyle w:val="InstructionsText2"/>
        <w:numPr>
          <w:ilvl w:val="0"/>
          <w:numId w:val="0"/>
        </w:numPr>
        <w:ind w:left="993"/>
      </w:pPr>
      <w:r>
        <w:t>c)</w:t>
      </w:r>
      <w:r>
        <w:tab/>
        <w:t>Skema CA3 indeholder de procentdele, som forordning (EU) nr. 575/2013 angiver et minimumsniveau for, søjle 2-procentdele og andre relaterede data.</w:t>
      </w:r>
    </w:p>
    <w:p w14:paraId="7FAC43FB" w14:textId="77777777" w:rsidR="00CC7D2C" w:rsidRPr="002A677E" w:rsidRDefault="00CC7D2C" w:rsidP="00D1404A">
      <w:pPr>
        <w:pStyle w:val="InstructionsText2"/>
        <w:numPr>
          <w:ilvl w:val="0"/>
          <w:numId w:val="0"/>
        </w:numPr>
        <w:ind w:left="993"/>
      </w:pPr>
      <w:r>
        <w:t>d)</w:t>
      </w:r>
      <w:r>
        <w:tab/>
        <w:t xml:space="preserve">Skema CA4 indeholder memorandumposter, der bl.a. bruges til at beregne poster i CA1, og oplysninger vedrørende kapitalbuffere, jf. direktiv 2013/36/EU. </w:t>
      </w:r>
    </w:p>
    <w:p w14:paraId="0EB902DA" w14:textId="77777777" w:rsidR="00CC7D2C" w:rsidRPr="002A677E" w:rsidRDefault="00CC7D2C" w:rsidP="00D1404A">
      <w:pPr>
        <w:pStyle w:val="InstructionsText2"/>
        <w:numPr>
          <w:ilvl w:val="0"/>
          <w:numId w:val="0"/>
        </w:numPr>
        <w:ind w:left="993"/>
      </w:pPr>
      <w:r>
        <w:t>e)</w:t>
      </w:r>
      <w:r>
        <w:tab/>
        <w:t>Skema CA5 indeholder de data, der skal bruges til at beregne virkningen af anvendelsen af overgangsbestemmelserne i forordning (EU) nr. 575/2013 for kapitalgrundlaget. CA5 udgår, når disse overgangsbestemmelser udløber.</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Skemaerne skal anvendes af alle indberettende enheder, uanset hvilke regnskabsstandarder de følger, selv om nogle poster i tælleren er specifikke for enheder, der anvender IAS/IFRS-valideringsregler. Generelt er oplysningerne i nævneren kædet sammen med de endelige resultater, der indberettes i de tilsvarende skemaer til beregning af den samlede risikoeksponering.</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Det samlede kapitalgrundlag består af forskellige typer kapital: kernekapital (tier 1 capital — T1), som er summen af et instituts egentlige kernekapital (common equity tier 1 </w:t>
      </w:r>
      <w:r>
        <w:lastRenderedPageBreak/>
        <w:t xml:space="preserve">capital — CET1) og hybrid kernekapital (additional tier 1 capital — AT1) samt supplerende kapital (tier 2 capital — T2).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Anvendelsen af overgangsbestemmelserne i forordning (EU) nr. 575/2013 og direktiv 2013/36/EU behandles på følgende måde i CA-skemaer:</w:t>
      </w:r>
    </w:p>
    <w:p w14:paraId="14CA06BE" w14:textId="77777777" w:rsidR="00CC7D2C" w:rsidRPr="002A677E" w:rsidRDefault="00CC7D2C" w:rsidP="00D1404A">
      <w:pPr>
        <w:pStyle w:val="InstructionsText2"/>
        <w:numPr>
          <w:ilvl w:val="0"/>
          <w:numId w:val="0"/>
        </w:numPr>
        <w:ind w:left="993"/>
      </w:pPr>
      <w:r>
        <w:t>a)</w:t>
      </w:r>
      <w:r>
        <w:tab/>
        <w:t>Posterne i CA1 anføres generelt før indregning af overgangsjusteringer. Det betyder, at tal i CA1-poster beregnes i henhold til de endelige bestemmelser (dvs. som om der ikke var fastlagt overgangsbestemmelser), dog med undtagelse af poster, der opsummerer virkningen af disse overgangsbestemmelser. For hver kapitaltype (dvs. CET1, AT1 og T2) er der tre forskellige poster, hvori alle justeringer i medfør af disse overgangsbestemmelser er anført.</w:t>
      </w:r>
    </w:p>
    <w:p w14:paraId="2571599A" w14:textId="77777777" w:rsidR="00CC7D2C" w:rsidRPr="002A677E" w:rsidRDefault="00CC7D2C" w:rsidP="00D1404A">
      <w:pPr>
        <w:pStyle w:val="InstructionsText2"/>
        <w:numPr>
          <w:ilvl w:val="0"/>
          <w:numId w:val="0"/>
        </w:numPr>
        <w:ind w:left="993"/>
      </w:pPr>
      <w:r>
        <w:t>b)</w:t>
      </w:r>
      <w:r>
        <w:tab/>
        <w:t>Overgangsbestemmelser kan også påvirke underskydende hybrid kernekapital og supplerende kapital (dvs. overskuddet af fradrag i hybrid kernekapital og supplerende kapital, der er omhandlet i henholdsvis artikel 36, stk. 1, litra j), og artikel 56, litra e), i forordning (EU) nr. 575/2013, og de poster, der indeholder disse underskud, kan derfor indirekte afspejle virkningen af disse overgangsbestemmelser.</w:t>
      </w:r>
    </w:p>
    <w:p w14:paraId="088733BA" w14:textId="77777777" w:rsidR="00CC7D2C" w:rsidRPr="002A677E" w:rsidRDefault="00CC7D2C" w:rsidP="00D1404A">
      <w:pPr>
        <w:pStyle w:val="InstructionsText2"/>
        <w:numPr>
          <w:ilvl w:val="0"/>
          <w:numId w:val="0"/>
        </w:numPr>
        <w:ind w:left="993"/>
      </w:pPr>
      <w:r>
        <w:t>c)</w:t>
      </w:r>
      <w:r>
        <w:tab/>
        <w:t xml:space="preserve">Skema CA5 bruges kun til indberetning af virkningen som følge af anvendelsen af overgangsbestemmelserne i forordning (EU) nr. 575/2013 med en betydning for kapitalgrundlag.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Behandlingen af søjle II-kravene kan variere i EU (artikel 104a, stk. 1, i direktiv 2013/36/EU skal gennemføres i national lovgivning). Kun virkningen af søjle II-kravene på soliditetsgraden eller målprocenten skal angives ved indberetningen af solvens i henhold til forordning (EU) nr. 575/2013. </w:t>
      </w:r>
    </w:p>
    <w:p w14:paraId="10043DAC" w14:textId="77777777" w:rsidR="00CC7D2C" w:rsidRPr="002A677E" w:rsidRDefault="00CC7D2C" w:rsidP="00D1404A">
      <w:pPr>
        <w:pStyle w:val="InstructionsText2"/>
        <w:numPr>
          <w:ilvl w:val="0"/>
          <w:numId w:val="0"/>
        </w:numPr>
        <w:ind w:left="993"/>
      </w:pPr>
      <w:r>
        <w:t>a)</w:t>
      </w:r>
      <w:r>
        <w:tab/>
        <w:t>Skema CA1, CA2 og CA5 indeholder kun data om søjle I-forhold.</w:t>
      </w:r>
    </w:p>
    <w:p w14:paraId="0DBE98C6" w14:textId="77777777" w:rsidR="00CC7D2C" w:rsidRPr="002A677E" w:rsidRDefault="00CC7D2C" w:rsidP="00D1404A">
      <w:pPr>
        <w:pStyle w:val="InstructionsText2"/>
        <w:numPr>
          <w:ilvl w:val="0"/>
          <w:numId w:val="0"/>
        </w:numPr>
        <w:ind w:left="993"/>
      </w:pPr>
      <w:r>
        <w:t>b)</w:t>
      </w:r>
      <w:r>
        <w:tab/>
        <w:t>CA3-skemaet omhandler virkningen af yderligere søjle II-krav på soliditetsgraden på et samlet grundlag. Det fokuserer primært på selve målprocenterne. Det hænger ikke yderligere sammen med skema CA1, CA2 eller CA5.</w:t>
      </w:r>
    </w:p>
    <w:p w14:paraId="63F79AA0" w14:textId="77777777" w:rsidR="00CC7D2C" w:rsidRDefault="00CC7D2C" w:rsidP="00D1404A">
      <w:pPr>
        <w:pStyle w:val="InstructionsText2"/>
        <w:numPr>
          <w:ilvl w:val="0"/>
          <w:numId w:val="0"/>
        </w:numPr>
        <w:ind w:left="993"/>
      </w:pPr>
      <w:r>
        <w:t>c)</w:t>
      </w:r>
      <w:r>
        <w:tab/>
        <w:t>CA4-skemaet indeholder en celle, der omhandler krav om yderligere kapitalgrundlag vedrørende søjle II. Denne celle er ikke kædet sammen med kapitalprocenterne i CA3-skemaet via valideringsreglerne og afspejler artikel 104a, stk. 1, i direktiv 2013/36/EU, der udtrykkeligt nævner krav om yderligere kapitalgrundlag som et område for søjle II-afgørelser.</w:t>
      </w:r>
    </w:p>
    <w:p w14:paraId="2CF3DCE5" w14:textId="22DB17A6" w:rsidR="00CC7D2C" w:rsidRDefault="00CC7D2C" w:rsidP="00D1404A">
      <w:pPr>
        <w:pStyle w:val="InstructionsText2"/>
        <w:numPr>
          <w:ilvl w:val="0"/>
          <w:numId w:val="0"/>
        </w:numPr>
      </w:pPr>
      <w:r>
        <w:t xml:space="preserve">15a. Anvendelsen af kravene vedrørende outputgulv kan påvirke TREA og kapitalgrundlagskravene, idet beregningen heraf afhænger af TREA: kapitalprocenter, søjle 2-krav og kapitalbuffere. Hvis en kompetent myndighed har anvendt den undtagelse, der er fastsat i artikel 92, stk. 3, andet afsnit, i forordning (EU) nr. 575/2013, skal oplysninger om krav vedrørende outputgulvet indberettes i overensstemmelse hermed. </w:t>
      </w:r>
    </w:p>
    <w:p w14:paraId="226DFED5" w14:textId="77777777" w:rsidR="00CC7D2C" w:rsidRPr="005B630F" w:rsidRDefault="00CC7D2C" w:rsidP="00D1404A">
      <w:pPr>
        <w:pStyle w:val="InstructionsText2"/>
        <w:numPr>
          <w:ilvl w:val="0"/>
          <w:numId w:val="0"/>
        </w:numPr>
        <w:ind w:left="993"/>
      </w:pPr>
      <w:r>
        <w:t>a)</w:t>
      </w:r>
      <w:r>
        <w:tab/>
        <w:t>Skema CA2 indeholder de samlede risikoeksponeringer med og uden gulv samt de standardiserede risikoeksponeringer. TREA med gulv og standardiserede TREA afspejler virkningen af overgangsordninger for outputgulvet, jf. artikel 465 i forordning (EU) nr. 575/2013.</w:t>
      </w:r>
    </w:p>
    <w:p w14:paraId="70D5E959" w14:textId="77777777" w:rsidR="00CC7D2C" w:rsidRDefault="00CC7D2C" w:rsidP="00D1404A">
      <w:pPr>
        <w:pStyle w:val="InstructionsText2"/>
        <w:numPr>
          <w:ilvl w:val="0"/>
          <w:numId w:val="0"/>
        </w:numPr>
        <w:ind w:left="993"/>
      </w:pPr>
      <w:r>
        <w:lastRenderedPageBreak/>
        <w:t>b)</w:t>
      </w:r>
      <w:r>
        <w:tab/>
        <w:t>Skema CA3 indeholder kapitalprocenter med og uden gulv og det samlede SREP-kapitalkrav (TSCR) før og efter det loft, der er fastsat i artikel 104a i direktiv 2013/36/EU, og kapitalprocenter uden anvendelse af overgangsordninger for outputgulvet.</w:t>
      </w:r>
    </w:p>
    <w:p w14:paraId="5965EF78" w14:textId="77777777" w:rsidR="00CC7D2C" w:rsidRDefault="00CC7D2C" w:rsidP="00D1404A">
      <w:pPr>
        <w:pStyle w:val="InstructionsText2"/>
        <w:numPr>
          <w:ilvl w:val="0"/>
          <w:numId w:val="0"/>
        </w:numPr>
        <w:ind w:left="993"/>
      </w:pPr>
      <w:r>
        <w:t>15b. Skema CA4 indeholder værdierne for justering af gulv med og uden anvendelse af overgangsordninger for outputgulvet samt det pågældende outputgulv i procent i henhold til artikel 465, stk. 1, i forordning (EU) nr. 575/2013.</w:t>
      </w:r>
    </w:p>
    <w:p w14:paraId="36A0BD6A" w14:textId="5DE2A828" w:rsidR="00CC7D2C" w:rsidRDefault="00DA32D5" w:rsidP="00A85510">
      <w:pPr>
        <w:pStyle w:val="InstructionsText2"/>
        <w:numPr>
          <w:ilvl w:val="0"/>
          <w:numId w:val="0"/>
        </w:numPr>
        <w:rPr>
          <w:noProof/>
        </w:rPr>
      </w:pPr>
      <w:r>
        <w:t>15c.  Skema C 06.02 indeholder justeringen af gulv i TREA for enheder omfattet af konsolidering.</w:t>
      </w:r>
    </w:p>
    <w:p w14:paraId="4F8F57C9" w14:textId="572FD9C8" w:rsidR="00CC7D2C" w:rsidRPr="002A677E" w:rsidRDefault="00CC7D2C" w:rsidP="00A85510">
      <w:pPr>
        <w:pStyle w:val="InstructionsText2"/>
        <w:numPr>
          <w:ilvl w:val="0"/>
          <w:numId w:val="0"/>
        </w:numPr>
        <w:rPr>
          <w:noProof/>
        </w:rPr>
      </w:pPr>
      <w:r>
        <w:t xml:space="preserve">15d. Skema C 10.00, C 13.01, C 14.01 og C 34.02 indeholder oplysninger om de standardiserede eksponeringsværdier og standardiserede TREA beregnet i overensstemmelse med artikel 92, stk. 5, i forordning (EU) nr. 575/2013 og i relevante tilfælde indvirkningen af overgangsordninger på beregningen af S-TREA.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tab/>
        <w:t>C 01.00 – KAPITALGRUNDLAG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tab/>
        <w:t>Instrukser vedrørende specifikke positioner</w:t>
      </w:r>
      <w:bookmarkEnd w:id="14"/>
      <w:bookmarkEnd w:id="15"/>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Kapitalgrundlag</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t>Artikel 4, stk. 1, nr. 118), og artikel 72 i forordning (EU) nr.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 instituts kapitalgrundlag består af summen af dets kernekapital og supplerende kapital.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Kernekapital</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t>Artikel 25 i forordning (EU) nr.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Kernekapitalen er summen af egentlig kernekapital og hybrid kernekapital.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Egentlig kernekapital</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t>Artikel 50 i forordning (EU) nr.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Kapitalinstrumenter og overkurs ved emission, der er kvalificeret som egentlig kernekapital</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t>Artikel 26, stk. 1, litra a) og b), artikel 27-30, artikel 36, stk. 1, litra f), og artikel 42 i forordning (EU) nr.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Fuldt indbetalte kapitalinstrumenter</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t>Artikel 26, stk. 1, litra a), og artikel 27-31 i forordning (EU) nr.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lastRenderedPageBreak/>
              <w:t>Indberetningen skal indbefatte gensidige selskabers, andelsselskabers og lignende institutters kapitalinstrumenter (artikel 27 og 29 i forordning (EU) nr. 575/2013).</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i forbindelse med instrumenterne indberettes ikke.</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Kapitalinstrumenter, som offentlige myndigheder har tegnet i nødsituationer, indberettes, hvis samtlige betingelser i artikel 31 i forordning (EU) nr. 575/2013 er opfyldt.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Heraf: kapitalinstrumenter, som offentlige myndigheder har tegnet i nødsituationer</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t>Artikel 31 i forordning (EU) nr.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t>Kapitalinstrumenter, som offentlige myndigheder har tegnet i nødsituationer, medregnes i den egentlige kernekapital, hvis samtlige betingelser i artikel 31 i forordning (EU) nr. 575/2013 er opfyldt.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Memorandumpost: ikkekvalificerede kapitalinstrumenter</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t>Artikel 28, stk. 1, litra b), l) og m) i forordning (EU) nr.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Overkurs ved emission</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t>Artikel 4, stk. 1, nr. 124),og artikel 26, stk. 1, litra b), i forordning (EU) nr.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indberettes i denne post, skal være den andel, der vedrører de "fuldt betalte kapitalinstrumenter".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Egne egentlige kernekapitalinstrumenter</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Artikel 36, stk. 1, litra f), og artikel 42 i forordning (EU) nr.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egentlige kernekapital, som det indberettende institut eller den indberettende koncern besidder på indberetningsdatoen, og de beløb for egentlige kernekapitalinstrumenter, der skal fratrækkes i henhold til artikel 28, stk. 2, i Kommissionens delegerede forordning (EU) nr. 241/2014</w:t>
            </w:r>
            <w:r>
              <w:rPr>
                <w:rStyle w:val="FootnoteReference"/>
                <w:bCs/>
                <w:vertAlign w:val="superscript"/>
              </w:rPr>
              <w:footnoteReference w:id="1"/>
            </w:r>
            <w:r>
              <w:rPr>
                <w:rStyle w:val="FormatvorlageInstructionsTabelleText"/>
                <w:rFonts w:ascii="Times New Roman" w:hAnsi="Times New Roman"/>
                <w:sz w:val="24"/>
              </w:rPr>
              <w:t>. Med forbehold af undtagelser omhandlet i artikel 42 i forordning (EU) nr. 575/2013.</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Det indberettede beløb skal indbefatte overkurs ved emission i forbindelse med egne aktier.</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1.1.1.1.4 til 1.1.1.1.4.3 omfatter ikke faktiske forpligtelser eller eventualforpligtelser til at købe egne egentlige kernekapitalinstrumenter. Faktiske forpligtelser eller eventualforpligtelser til at købe egne egentlige kernekapitalinstrumenter indberettes særskilt i post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besiddelser af egentlige kernekapitalinstrumenter</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Artikel 36, stk. 1, litra f), og artikel 42 i forordning (EU) nr.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Egentlige kernekapitalinstrumenter, der er medtaget i 1.1.1.1, og som institutter i den konsoliderede koncern besidder, og de beløb for egentlige kernekapitalinstrumenter, der skal fratrækkes i henhold til artikel 28, stk. 2, i delegeret forordning (EU) nr. 241/2014.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Det indberettede beløb skal indbefatte besiddelser i handelsbeholdningen beregnet på grundlag af lange nettopositioner i overensstemmelse med artikel 42, litra a), i forordning (EU) nr. 575/2013.</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besiddelser af egentlige kernekapitalinstrumenter</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Artikel 4, stk. 1, nr. 114), artikel 36, stk. 1, litra f), og artikel 42 i forordning (EU) nr.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Syntetiske besiddelser af egentlige kernekapitalinstrumenter</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Artikel 4, stk. 1, nr. 126), artikel 36, stk. 1, litra f), og artikel 42 i forordning (EU) nr.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Faktiske forpligtelser eller eventualforpligtelser til at købe egne egentlige kernekapitalinstrumenter</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Artikel 36, stk. 1, litra f), og artikel 42 i forordning (EU) nr.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 henhold til artikel 36, stk. 1, litra f), i forordning (EU) nr. 575/2013 skal et instituts egne egentlige kernekapitalinstrumenter, som det er forpligtet til at købe i henhold til en faktisk forpligtelse eller eventualforpligtelse, trækkes fra.</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Overført resultat</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t>Artikel 26, stk. 1, litra c), og artikel 26, stk. 2, i forordning (EU) nr.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Overført resultat omfatter overført resultat for det foregående år samt kvalificerede foreløbige overskud og overskud ved årets udgang.</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Overført resultat for foregående år</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t>Artikel 4, stk. 1, nr. 123), og artikel 26, stk. 1, litra c), i forordning (EU) nr.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t>I artikel 4, stk. 1, nr. 123), i forordning (EU) nr. 575/2013 defineres overført resultat som fremført driftsresultat opgjort som det endelige overskud eller tab i henhold til de gældende regnskabsregler.</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Kvalificeret driftsresultat</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Artikel 4, stk. 1, nr. 121), artikel 26, stk. 2, og artikel 36, stk. 1, litra a), i forordning (EU) nr.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t>I henhold til artikel 26, stk. 2, i forordning (EU) nr. 575/2013 kan foreløbige overskud og overskud ved årets udgang medregnes med den kompetente myndigheds forudgående tilladelse, hvis visse betingelser opfyldes.</w:t>
            </w:r>
            <w:r>
              <w:rPr>
                <w:rStyle w:val="FormatvorlageInstructionsTabelleText"/>
                <w:rFonts w:ascii="Times New Roman" w:hAnsi="Times New Roman"/>
                <w:sz w:val="24"/>
              </w:rPr>
              <w:t xml:space="preserv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t>Omvendt skal tab trækkes fra den egentlige kernekapital i henhold til artikel 36, stk. 1, litra a), i forordning (EU) nr. 575/2013.</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Driftsresultat, der kan henføres til ejerne af moderselskabet</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Artikel 26, stk. 2, og artikel 36, stk. 1, litra a), i forordning (EU) nr.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overskud eller tab, der er indberettet i resultatopgørelsen.</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Ikkekvalificerede foreløbige overskud og overskud ved årets udgang</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Artikel 26, stk. 2, i forordning (EU) nr.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udfyldes ikke, hvis instituttet har indberettet tab for referenceperioden, eftersom tab skal fratrækkes den egentlige kernekapital.</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t>Hvis instituttet indberetter overskud, skal det indberettes, hvilken del der ikke er kvalificeret i henhold til artikel 26, stk. 2, i forordning (EU) nr. 575/2013 (dvs. ikke-reviderede overskud og forventede omkostninger eller udbytter).</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overskud skal det beløb, der fratrækkes, mindst være de foreløbige udbytter.</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Akkumuleret anden totalindkomst</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t>Artikel 4, stk. 1, nr. 100), og artikel 26, stk. 1, litra d), i forordning (EU) nr.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indberettede beløb skal være fratrukket enhver form for skat, der kan forudses på beregningstidspunktet, og før anvendelse af filtre. Det indberettede beløb fastsættes i henhold til artikel 13, stk. 4, i Kommissionens delegerede forordning (EU) nr. 241/2014.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Andre reserver</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Artikel 4, stk. 1, nr. 117), og artikel 26, stk. 1, litra e), i forordning (EU) nr.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t>Andre reserver defineres i forordning (EU) nr. 575/2013 som "reserver, jf. de gældende regnskabsregler, som skal oplyses i henhold til den gældende regnskabsstandard med fradrag af de beløb, der allerede indgår i akkumuleret anden totalindkomst eller overført resultat".</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Det indberettede beløb skal være fratrukket enhver form for skat, der kan forudses på beregningstidspunktet.</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Midler til dækning af generelle kreditinstitutrisici</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t>Artikel 4, stk. 1, nr. 112), og artikel 26, stk. 1, litra f), i forordning (EU) nr.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Midler til dækning af generelle kreditinstitutrisici defineres i artikel 38 i Rådets direktiv 86/635/EØF som "de beløb, kreditinstituttet beslutter at hensætte til dækning af sådanne risici, såfremt dette af forsigtighedshensyn er nødvendigt i forbindelse med de særlige risici ved bankmæssige forretninger".</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enhver form for skat, der kan forudses på beregningstidspunktet.</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Overgangsjusteringer som følge af kapitalinstrumenter, der udgør egentlig kernekapital i henhold til overgangsbestemmelser</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t>Artikel 483, stk. 1, 2 og 3, og artikel 484-487, i forordning (EU) nr.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egentlig kernekapital i henhold til overgangsbestemmelser. Det beløb, der indberettes, hentes direkte fra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Minoritetsinteresser, der indgår i den egentlige kernekapital</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t>Artikel 4, stk. 1, nr. 120), og artikel 84 i forordning (EU) nr.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beløbene for alle minoritetsinteresser, der indgår i den konsoliderede egentlige kernekapital.</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Overgangsjusteringer som følge af supplerende minoritetsinteresser</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t>Artikel 479 og 480 i forordning (EU) nr.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minoritetsinteresser som følge af overgangsbestemmelser. Denne post hentes direkte fra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Justeringer af egentlig kernekapital som følge af filtre</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t xml:space="preserve">Artikel 32-35 i forordning (EU) nr.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Stigninger i egenkapital som følge af securitiserede aktiver</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Artikel 32, stk. 1, i forordning (EU) nr.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er den stigning i instituttets egenkapital, der genereres af securitiserede aktiver, jf. den gældende regnskabsstandard.</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Denne post omfatter f.eks. fremtidig margenindkomst, som indbringer instituttet en gevinst ved salg, eller den nettogevinst, der opnås ved kapitalisering af fremtidig indkomst fra securitiserede aktiver, som </w:t>
            </w:r>
            <w:r>
              <w:rPr>
                <w:rStyle w:val="FormatvorlageInstructionsTabelleText"/>
                <w:rFonts w:ascii="Times New Roman" w:hAnsi="Times New Roman"/>
                <w:sz w:val="24"/>
              </w:rPr>
              <w:lastRenderedPageBreak/>
              <w:t>medfører en kreditforbedring af securitiseringspositionerne, hvis der er tale om eksponeringsleverende institutter.</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Cash flow hedge-reserve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Artikel 33, stk. 1, litra a), i forordning (EU) nr.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cash flow hedges resulterer i et tab (dvs. hvis de reducerer den regnskabsmæssige egenkapital) og omvendt. Fortegnet skal derfor være modsat det fortegn, der anvendes i regnskabsopgørelser.</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skal være fratrukket enhver form for skat, der forventes på beregningstidspunktet.</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Kumulative gevinster og tab som følge af ændringer i instituttets egen kreditrisiko i forbindelse med forpligtelser værdiansat til dagsværdi</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Artikel 33, stk. 1, litra b), i forordning (EU) nr.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(dvs. hvis det reducerer den regnskabsmæssige egenkapital) og omvendt. Fortegnet skal derfor være modsat det fortegn, der anvendes i regnskabsopgørelser.</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Ikke-revideret fortjeneste medtages ikke i denne post.</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Gevinster og tab værdiansat til dagsværdi, der skyldes instituttets egen kreditrisiko i forbindelse med afledte finansielle forpligtelser</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Artikel 33, stk. 1, litra c), og artikel 33, stk. 2, i forordning (EU) nr.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og omvendt. Fortegnet skal derfor være modsat det fortegn, der anvendes i regnskabsopgørelser.</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Ikke-revideret fortjeneste medtages ikke i denne post.</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Værdijusteringer som følge af kravene om forsigtighedsbaseret værdiansættelse</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t>Artikel 34 og 105 i forordning (EU) nr.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i dagsværdien af eksponeringer i eller uden for handelsbeholdningen som følge af de strengere standarder for forsigtighedsbaseret værdiansættelse, der er fastsat i artikel 105 i forordning (EU) nr.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Artikel 4, stk. 1, nr. 113), artikel 36, stk. 1, litra b), og artikel 37 i forordning (EU) nr.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der medregnes som immaterielle aktiver</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Artikel 4, stk. 1, nr. 113), og artikel 36, stk. 1, litra b), i forordning (EU) nr.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samme betydning som i den gældende regnskabsstandard.</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beløb, der er opført på balancen.</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der indgår i værdiansættelsen af instituttets væsentlige investeringer</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Artikel 37, litra b), og artikel 43 i forordning (EU) nr.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Udskudte skatteforpligtelser med tilknytning til goodwill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Artikel 37, litra a), i forordning (EU) nr.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goodwill blev forringet eller ophørte med at blive indregnet i henhold til den gældende regnskabsstandard.</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Regnskabsmæssig revaluering af datterselskabers goodwill som følge af konsolideringen af datterselskaber, der henføres til tredjeparter</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Artikel 37, litra c), i forordning (EU) nr.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goodwill som følge af konsolideringen af datterselskaber, der henføres til andre personer end de virksomheder, som indgår i konsolideringen efter bestemmelserne i første del, afsnit II, kapitel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Andre immaterielle aktiver</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t>Artikel 4, stk. 1, nr. 115), artikel 36, stk. 1, litra b), og artikel 37, litra a) og c), i forordning (EU) nr.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Andre immaterielle aktiver før fradrag af udskudte skatteforpligtelser</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Artikel 4, stk. 1, nr. 115), og artikel 36, stk. 1, litra b), i forordning (EU) nr.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værdien af immaterielle aktiver, der er opført på balancen i overensstemmelse med den gældende regnskabsstandard, eksklusive goodwill og værdien af forsigtigt værdiansatte softwareaktiver, som ikke fratrækkes egentlige kernekapitalposter i overensstemmelse med artikel 36, stk. 1, litra b), i forordning (EU) nr.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Heraf softwareaktiver, der medregnes som andre immaterielle aktiver før fradrag af udskudte skatteforpligtelser</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Artikel 4, stk. 1, nr. 115), og artikel 36, stk. 1, litra b), i forordning (EU) nr.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Værdien af softwareaktiver, der medregnes som immaterielle aktiver, og som fratrækkes egentlige kernekapitalposter i overensstemmelse med artikel 36, stk. 1, litra b), i forordning (EU) nr. 575/2013 og artikel 13a i delegeret forordning (EU) nr. 241/2014.</w:t>
            </w:r>
            <w:r>
              <w:t xml:space="preserve"> Den indberettede værdi skal ikke tage hensyn til virkningerne af anvendelsen af den behandling, der er fastsat i artikel 37, litra a), i forordning (EU) nr. 575/2013, med henvisning til de udskudte skatteforpligtelser, der er knyttet til disse softwareaktiver.</w:t>
            </w:r>
          </w:p>
          <w:p w14:paraId="39783C08" w14:textId="77777777" w:rsidR="00CC7D2C" w:rsidRPr="002A677E" w:rsidRDefault="00CC7D2C" w:rsidP="00320EFD">
            <w:pPr>
              <w:pStyle w:val="InstructionsText"/>
              <w:rPr>
                <w:rStyle w:val="InstructionsTabelleberschrift"/>
                <w:rFonts w:ascii="Times New Roman" w:hAnsi="Times New Roman"/>
                <w:sz w:val="24"/>
              </w:rPr>
            </w:pPr>
            <w:r>
              <w:t>Hvis et institut beslutter fuldt ud at fratrække sine softwareaktiver i overensstemmelse med artikel 3 i forordning (EU) nr. 575/2013 i stedet for at anvende behandlingen i artikel 13a i delegeret forordning (EU) nr. 241/2014, skal den værdi, der indberettes i denne række, svare til værdien af softwareaktiver, der medregnes som immaterielle aktiver i overensstemmelse med den gældende regnskabsstandard.</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Udskudte skatteforpligtelser med tilknytning til andre immaterielle aktiver</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Artikel 37, litra a), i forordning (EU) nr.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de immaterielle aktiver, bortset fra goodwill og forsigtigt værdiansatte softwareaktiver, der er undtaget fra fradrag i egentlige kernekapitalposter i overensstemmelse med artikel 13a i delegeret forordning (EU) nr. 241/2014, blev værdiforringet eller ophørte med at blive indregnet i henhold til den relevante regnskabsstandard.</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Udskudte skatteforpligtelser tilknyttet softwareaktiver, der medregnes som immaterielle aktiver</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Artikel 37, litra a), i forordning (EU) nr.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t>Andelen af udskudte skatteforpligtelser, der er tilknyttet værdien af softwareaktiver, der medregnes som immaterielle aktiver, og som fratrækkes egentlige kernekapitalposter i overensstemmelse med artikel 36, stk. 1, litra b), i forordning (EU) nr. 575/2013 og artikel 13a i delegeret forordning (EU) nr. 241/2014 eller artikel 3 i forordning (EU) nr. 575/2013.</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Regnskabsmæssig revaluering af datterselskabers andre immaterielle aktiver som følge af konsolideringen af datterselskaber, der henføres til tredjeparter</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Artikel 37, litra c), i forordning (EU) nr.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immaterielle aktiver, bortset fra goodwill, som følge af konsolideringen af datterselskaber, der henføres til andre personer end de virksomheder, som indgår i konsolideringen efter bestemmelserne i første del, afsnit II, kapitel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Udskudte skatteaktiver, som afhænger af fremtidig rentabilitet og ikke skyldes midlertidige forskelle fratrukket instituttets tilhørende udskudte skatteforpligtelser</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Artikel 36, stk. 1, litra c), og artikel 38 i forordning (EU) nr.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Underskud af kreditrisikojusteringer som følge af forventede tab opgjort efter IRB-metoden</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Artikel 36, stk. 1, litra d), og artikel 40, 158 og159 i forordning (EU) nr.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Det indberettede beløb reduceres ikke med en forøgelse af omfanget af udskudte skatteaktiver, der afhænger af fremtidig rentabilitet, eller anden yderligere skatteeffekt, som kunne opstå, hvis hensættelserne steg til samme niveau som de forventede tab (artikel 40 i forordning (EU) nr. 575/2013).</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Aktiver i ydelsesbaseret pensionskasse</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Artikel 4, stk. 1, nr. 109), artikel 36, stk. 1, litra e), og artikel 41 i forordning (EU) nr.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Aktiver i ydelsesbaseret pensionskasse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Artikel 4, stk. 1, nr. 109), og artikel 36, stk. 1, litra e), i forordning (EU) nr.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 i ydelsesbaseret pensionskasse defineres som "aktiver i en ydelsesbaseret pensionskasse eller -ordning opgjort efter fradrag af samme pensionskasses eller -ordnings forpligtelser".</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(hvis det er opført særskilt).</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Udskudte skatteforpligtelser med tilknytning til aktiver i ydelsesbaserede pensionskasser</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t>Artikel 4, stk. 1, nr. 108) og 109), og artikel 41, stk. 1, litra a), i forordning (EU) nr.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aktiverne i ydelsesbaserede pensionskasser blev forringet eller ophørte med at blive indregnet i henhold til de gældende regnskabsregler.</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Aktiver i ydelsesbaserede pensionskasser, som instituttet har uindskrænket ret til at anvende</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Artikel 4, stk. 1, nr. 109), og artikel 41, stk. 1, litra b), i forordning (EU) nr.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post udfyldes kun, hvis den kompetente myndighed på forhånd har godkendt en reduktion af det beløb for aktiver i ydelsesbaserede pensionskasser, der skal fratrækkes.</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Aktiverne i denne række tillægges en risikovægt i henhold til kreditrisikokravene.</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Krydsejerskab af egentlig kernekapital</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Artikel 4, stk. 1, nr. 122), artikel 36, stk. 1, litra g), og artikel 44 i forordning (EU) nr.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Besiddelser af egentlige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skal omfatte kernekapitalposter i forsikringsselskaber.</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Overskud af fradrag i hybride kernekapitalposter i forhold til den hybride kernekapital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Artikel 36, stk. 1, litra j), i forordning (EU) nr.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hentes direkte fra CA1-posten "Overskud af fradrag i hybride kernekapitalposter i forhold til den hybride kernekapital". Beløbet skal trækkes fra den egentlige kernekapital.</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Kvalificerede andele uden for den finansielle sektor, som alternativt kan tildeles en risikovægt på 1 250 %</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Artikel 4, stk. 1, nr. 36), artikel 36, stk. 1, litra k), nr. i), og artikel 89-91 i forordning (EU) nr.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Kvalificerede andele defineres som "direkte eller indirekte besiddelse af mindst 10 % af kapitalen eller stemmerettighederne i en virksomhed eller en besiddelse, som giver mulighed for at udøve betydelig indflydelse på driften af den pågældende virksomhed".</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I henhold til artikel 36, stk. 1, litra k), nr. i), i forordning (EU) nr. 575/2013 kan kvalificerede andele alternativt fratrækkes den egentlige kernekapital (ved hjælp af denne post) eller tildeles en risikovægt på 1 250 %.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Securitiseringspositioner, som alternativt kan tildeles en risikovægt på 1 250 %</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Artikel 244, stk. 1, litra b), artikel 245, stk. 1, litra b), og artikel 253, stk. 1, i forordning (EU) nr.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t>Securitiseringspositioner, som tildeles en risikovægt på 1 250 %, kan alternativt fratrækkes den egentlige kernekapital (artikel 36, stk. 1, litra k), nr. ii), i forordning (EU) nr. 575/2013), indberettes i denne post.</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Leveringsrisiko (free deliveries), som alternativt kan tildeles en risikovægt på 1 250 %</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Artikel 36, stk. 1, litra k), nr. iii), og artikel 379, stk. 3, i forordning (EU) nr.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Leveringsrisiko (free deliveries) tildeles en risikovægt på 1 250 % fra fem arbejdsdage efter den anden aftalte betaling/dellevering indtil transaktionens endelige afslutning i overensstemmelse med kapitalgrundlagskravene i relation til afviklingsrisiko.</w:t>
            </w:r>
            <w:r>
              <w:rPr>
                <w:rStyle w:val="FormatvorlageInstructionsTabelleText"/>
                <w:rFonts w:ascii="Times New Roman" w:hAnsi="Times New Roman"/>
                <w:sz w:val="24"/>
              </w:rPr>
              <w:t xml:space="preserve"> </w:t>
            </w:r>
            <w:r>
              <w:t xml:space="preserve">De kan alternativt fratrækkes den egentlige kernekapital (artikel 36, stk. 1, litra k), nr. iii), i </w:t>
            </w:r>
            <w:r>
              <w:lastRenderedPageBreak/>
              <w:t>forordning (EU) nr. 575/2013).</w:t>
            </w:r>
            <w:r>
              <w:rPr>
                <w:rStyle w:val="FormatvorlageInstructionsTabelleText"/>
                <w:rFonts w:ascii="Times New Roman" w:hAnsi="Times New Roman"/>
                <w:sz w:val="24"/>
              </w:rPr>
              <w:t xml:space="preserve"> I sidstnævnte tilfælde indberettes de i denne post.</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Positioner i en kurv, for hvilke et institut ikke kan fastsætte risikovægten efter IRB-metoden, og som alternativt kan tildeles en risikovægt på 1 250 %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Artikel 36, stk. 1, litra k), nr. iv), og artikel 153, stk. 8, i forordning (EU) nr.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Pr>
              <w:t xml:space="preserve">I henhold til artikel 36, stk. 1, litra k), nr. iv), i forordning (EU) nr. 575/2013 kan </w:t>
            </w:r>
            <w:r>
              <w:rPr>
                <w:rStyle w:val="InstructionsTabelleberschrift"/>
                <w:b w:val="0"/>
                <w:u w:val="none"/>
              </w:rPr>
              <w:t>positioner i en kurv, for hvilke et institut ikke kan fastsætte risikovægten efter IRB-metoden,</w:t>
            </w:r>
            <w:r>
              <w:rPr>
                <w:rStyle w:val="FormatvorlageInstructionsTabelleText"/>
              </w:rPr>
              <w:t xml:space="preserve"> alternativt fratrækkes den egentlige kernekapital (ved hjælp af denne post) eller tildeles en risikovægt på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Aktieeksponeringer efter en metode med interne modeller, som alternativt kan tildeles en risikovægt på 1 250 %</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Artikel 36, stk. 1, litra k), nr. v), og artikel 155, stk. 4, i forordning (EU) nr.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henhold til artikel 36, stk. 1, litra k), nr. v), i forordning (EU) nr. 575/2013 </w:t>
            </w:r>
            <w:r>
              <w:t xml:space="preserve"> </w:t>
            </w:r>
            <w:r>
              <w:rPr>
                <w:rStyle w:val="InstructionsTabelleberschrift"/>
                <w:b w:val="0"/>
                <w:u w:val="none"/>
              </w:rPr>
              <w:t>kan aktieeksponeringer efter en metode med interne modeller</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Egentlige kernekapitalinstrumenter i enheder i den finansielle sektor, hvori instituttet ikke har væsentlige investeringer</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t>Artikel 4, stk. 1, nr. 27), artikel 36, stk. 1, litra h), artikel 43-46, artikel 49, stk. 2 og 3, og artikel 79 i forordning (EU) nr.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egentlige kernekapital.</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2 og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Fradragsberettigede udskudte skatteaktiver, som afhænger af fremtidig rentabilitet og skyldes midlertidige forskelle</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 stk. 1, litra c) </w:t>
            </w:r>
            <w:r>
              <w:t>artikel 38 og artikel 48, stk. 1, litra a), i forordning (EU) nr.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Andel af udskudte skatteaktiver, som afhænger af fremtidig rentabilitet og skyldes midlertidige forskelle (fratrukket instituttets tilhørende udskudte skatteforpligtelser, der skyldes midlertidige forskelle, jf. artikel 38, stk. 5, litra b), i forordning (EU) nr. 575/2013), som skal fratrækkes, baseret på tærsklen på 10 % i artikel 48, stk. 1, litra a), i nævnte forordning.</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Egentlige kernekapitalinstrumenter i enheder i den finansielle sektor, hvori instituttet har væsentlige investeringer</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Artikel 4, stk. 1, nr. 27), artikel 36, stk. 1, litra i), artikel 43, 45 og 47, artikel 48, stk. 2, litra b), artikel 49, stk. 1, 2 og 3, og artikel 79 i forordning (EU) nr.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Instituttets besiddelser af egentlige kernekapitalinstrumenter i enheder i den finansielle sektor (som defineret i artikel 4, stk. 1, nr. 27), i forordning (EU) nr. 575/2013), hvori instituttet har væsentlige investeringer, der skal fratrækkes, baseret på tærsklen på 10 % i artikel 48, stk. 1, litra b), i nævnte forordning.</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t>Se alternativer til fradrag, når konsolidering finder anvendelse (artikel 49, stk. 1, 2 og 3, i forordning (EU) nr.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Beløb, der overstiger tærsklen på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Artikel 48, stk. 2, i forordning (EU) nr.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Andel af udskudte skatteaktiver, som afhænger af fremtidig rentabilitet og skyldes midlertidige forskelle, og instituttets direkte, indirekte og syntetiske besiddelser af egentlige kernekapitalinstrumenter i enheder i den finansielle sektor (som defineret i artikel 4, stk. 1, nr. 27), i forordning (EU) nr. 575/2013), hvori instituttet har væsentlige investeringer, der skal fratrækkes, baseret på tærsklen på 17,65 % i artikel 48, stk. 2, i nævnte forordning.</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Beløb, der overstiger tærsklen på 17,65 % vedrørende egentlige kernekapitalinstrumenter i enheder i den finansielle sektor, hvori instituttet har væsentlige investeringer</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Beløb, der overstiger tærsklen på 17,65 % vedrørende udskudte skatteaktiver hidrørende fra midlertidige forskelle</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Utilstrækkelig dækning af misligholdte eksponeringer</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Artikel 36, stk. 1, litra m), og artikel 47c i forordning (EU) nr.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Underskud ved minimumsværditilsagn</w:t>
            </w:r>
          </w:p>
          <w:p w14:paraId="5C5FE4E7" w14:textId="77777777" w:rsidR="00CC7D2C" w:rsidRPr="002A677E" w:rsidRDefault="00CC7D2C" w:rsidP="00320EFD">
            <w:pPr>
              <w:pStyle w:val="InstructionsText"/>
              <w:rPr>
                <w:rStyle w:val="InstructionsTabelleberschrift"/>
                <w:rFonts w:ascii="Times New Roman" w:hAnsi="Times New Roman"/>
                <w:sz w:val="24"/>
              </w:rPr>
            </w:pPr>
            <w:r>
              <w:t>Artikel 36, stk. 1, litra n), og artikel 132c, stk. 2, i forordning (EU) nr.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Andre former for skat, der kan forudses</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Artikel 36, stk. 1, litra l), i forordning (EU) nr.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Enhver form for skat på egentlige kernekapitalposter, som kan forudses på beregningstidspunktet, undtagen skat, som allerede er blevet taget i betragtning i de andre rækker, der afspejler kernekapitalposter, ved at reducere værdien af den pågældende kernekapitalpost.</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Andre overgangsjusteringer af den egentlige kernekapital</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t>Artikel 469-478 og artikel 481 i forordning (EU) nr.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fradrag som følge af overgangsbestemmelser. Det beløb, der indberettes, hentes direkte fra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Yderligere fradrag af egentlig kernekapital, jf. artikel 3 i forordning (EU) nr.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lastRenderedPageBreak/>
              <w:t>Artikel 3 i forordning (EU) nr.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Hvis et institut beslutter fuldt ud at fratrække sine softwareaktiver i overensstemmelse med artikel 3 i forordning (EU) nr. 575/2013 i stedet for at anvende behandlingen i artikel 13a i delegeret forordning (EU) nr. 241/2014, skal den supplerende fratrukne værdi ikke indberettes i denne række, men i række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Egentlig kernekapital — andre elementer eller fradrag</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egentlige kernekapital ikke kan tildeles en af rækkerne 020 til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forordning (EU) nr. 575/2013's rammer).</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HYBRID KERNEKAPITAL</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t>Artikel 61 i forordning (EU) nr.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Kapitalinstrumenter og overkurs ved emission, der er kvalificeret som hybrid kernekapital</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Artikel 51, litra a), artikel 52, 53 og 54, artikel 56, litra a), og artikel 57 i forordning (EU) nr.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Fuldt indbetalte, direkte udstedte kapitalinstrumenter</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Artikel 51, litra a), og artikel 52, 53 og 54 i forordning (EU) nr.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Memorandumpost: ikkekvalificerede kapitalinstrumenter</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Artikel 52, stk. 1, litra c), e) og f), i forordning (EU) nr.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Overkurs ved emission</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Artikel 51, litra b), i forordning (EU) nr.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har samme betydning som i den gældende regnskabsstandard.</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Egne hybride kernekapitalinstrumenter</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Artikel 52, stk. 1, litra b), artikel 56, litra a), og artikel 57 i forordning (EU) nr.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Egne hybride kernekapitalinstrumenter, som det indberettende institut eller den indberettende koncern besidder på indberetningsdatoen, og de beløb for hybride kernekapitalinstrumenter, der skal fratrækkes i henhold til artikel 28, stk. 2, i delegeret forordning (EU) nr. 241/2014. </w:t>
            </w:r>
            <w:r>
              <w:t>Med forbehold af undtagelser omhandlet i artikel 57 i forordning (EU) nr. 575/2013.</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1.1.2.1.4 til 1.1.2.1.4.3 omfatter ikke faktiske forpligtelser eller eventualforpligtelser til at købe egne hybride kernekapitalinstrumenter. Faktiske forpligtelser eller eventualforpligtelser til at købe egne hybride kernekapitalinstrumenter indberettes særskilt i post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besiddelser af hybride kernekapitalinstrumenter</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144), artikel 52, stk. 1, litra b), artikel 56, litra a), og artikel 57 i forordning (EU) nr.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Hybride kernekapitalinstrumenter, der er medtaget i 1.1.2.1.1, og som institutter i den konsoliderede koncern besidder, og de beløb for hybride kernekapitalinstrumenter, der skal fratrækkes i henhold til artikel 28, stk. 2, i delegeret forordning (EU) nr. 241/2014.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besiddelser af hybride kernekapitalinstrumenter</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Artikel 52, stk. 1, litra b), nr. ii), artikel 56, litra a), og artikel 57 i forordning (EU) nr.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Syntetiske besiddelser af hybride kernekapitalinstrumenter</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Artikel 4, stk. 1, nr. 126), artikel 52, stk. 1, litra b), artikel 56, litra a), og artikel 57 i forordning (EU) nr.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Faktiske forpligtelser eller eventualforpligtelser til at købe egne hybride kernekapitalinstrumenter</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Artikel 56, litra a), og artikel 57 i forordning (EU) nr.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t>I henhold til artikel 56, litra a), i forordning (EU) nr. 575/2013 skal et instituts egne hybride kernekapitalinstrumenter, som det kan være forpligtet til at købe i medfør af eksisterende kontraktlige forpligtelser, trækkes fra.</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Overgangsjusteringer som følge af kapitalinstrumenter, der udgør hybrid kernekapital i henhold til overgangsbestemmelser</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Artikel 483, stk. 4 og 5, og artikel 484-487, artikel 489 og 491 i forordning (EU) nr.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hybrid kernekapital i henhold til overgangsbestemmelser. Det beløb, der indberettes, hentes direkte fra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Instrumenter udstedt af datterselskaber, der indgår i den hybride kernekapital</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Artikel 83, 85 og 86 i forordning (EU) nr.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kernekapital, der indgår i den konsoliderede hybride kernekapital.</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t>Kvalificerende hybrid kernekapital udstedt af en enhed med særligt formål (SPE) (artikel 83 i forordning (EU) nr. 575/2013) medregnes.</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Overgangsjusteringer som følge af yderligere indregning af kapitalinstrumenter udstedt af datterselskaber i den hybride kernekapital</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t>Artikel 480 i forordning (EU) nr.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den kvalificerende kernekapital indregnet i den konsoliderede hybride kernekapital som følge af overgangsbestemmelser. Denne post hentes direkte fra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Krydsejerskab af hybrid kernekapital</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122), artikel 56, litra b), og artikel 58 i forordning (EU) nr.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Besiddelser af hybride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hybride kernekapitalposter i forsikringsselskaber.</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Hybride kernekapitalinstrumenter i enheder i den finansielle sektor, hvori instituttet ikke har væsentlige investeringer</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56, litra c), artikel 59, 60 og 79 i forordning (EU) nr.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hybride kernekapital.</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Hybride kernekapitalinstrumenter i enheder i den finansielle sektor, hvori instituttet har væsentlige investeringer</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Artikel 4, stk. 1, nr. 27), artikel 56, litra d), artikel 59 79 i forordning (EU) nr.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lastRenderedPageBreak/>
              <w:t>Instituttets besiddelser af hybride kapitalinstrumenter i enheder i den finansielle sektor (som defineret i artikel 4, stk. 1, nr. 27), i forordning (EU) nr. 575/2013), hvori instituttet har væsentlige investeringer, der skal fratrækkes.</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Overskud af fradrag i supplerende kapitalposter i forhold til den supplerende kapital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Artikel 56, litra e), i forordning (EU) nr.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hentes direkte fra CA1-posten "Overskud af fradrag i supplerende kapitalposter i forhold til den supplerende kapital (fratrækkes den hybride kernekapital)".</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Andre overgangsjusteringer af den hybride kernekapital</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474, 475, 478 og 481 i forordning (EU) nr.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Overskud af fradrag i hybride kernekapitalposter i forhold til den hybride kernekapital (fratrækkes den egentlige kernekapital)</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Artikel 36, stk. 1, litra j), i forordning (EU) nr.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Hybrid kernekapital kan ikke være negativ, men fradrag i hybrid kernekapital kan overstige den hybride kernekapital plus den tilknyttede del af overkursen ved emission. Når det sker, skal den hybride kernekapital være lig med nul, og fradragene i hybride kernekapitalposter, der overstiger den hybride kernekapital, skal fratrækkes den egentlige kernekapital.</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1.1.2.1 til 1.1.2.12 aldrig er lavere end nul. Hvis der indberettes et positivt tal i denne post, skal post 1.1.1.16 være det modsatte af det pågældende tal.</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Yderligere fradrag af hybrid kernekapital, jf. artikel 3 i forordning (EU) nr.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t>Artikel 3 i forordning (EU) nr.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Hybrid kernekapital — andre elementer eller fradrag</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hybride kernekapital ikke kan tildeles en af rækkerne 530 til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nævnte forordnings rammer).</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SUPPLERENDE KAPITAL</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t>Artikel 71 i forordning (EU) nr.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overkurs ved emission, der er kvalificeret som supplerende kernekapital</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Artikel 62, litra a), artikel 63-65, artikel 66, litra a), og artikel 67 i forordning (EU) nr.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Fuldt indbetalte, direkte udstedte kapitalinstrumenter</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Artikel 62, litra a), og artikel 63 og 65 i forordning (EU) nr.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det indberettede beløb medregnes ikke overkurs ved emission i forbindelse med instrumenterne.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Kapitalinstrumenterne kan bestå af egenkapital eller passiver, herunder efterstillede lån, der opfylder anerkendelseskriterierne.</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Memorandumpost: Ikkekvalificerede kapitalinstrumenter</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Artikel 63, litra c), e) og f), og artikel 64 i forordning (EU) nr.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Kapitalinstrumenterne kan bestå af egenkapital eller passiver, herunder efterstillede lån.</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Overkurs ved emission</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Artikel 62, litra b), og artikel 65 i forordning (EU) nr.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Egne supplerende kapitalinstrumenter</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63, litra b), nr. i), artikel 66, litra a), og artikel 67 i forordning (EU) nr.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Egne supplerende kernekapitalinstrumenter, som det indberettende institut eller den indberettende koncern besidder på indberetningsdatoen, og de beløb for supplerende kernekapitalinstrumenter, der skal fratrækkes i henhold til artikel 28, stk. 2, i delegeret forordning (EU) nr. 241/2014. </w:t>
            </w:r>
            <w:r>
              <w:t>Med forbehold af undtagelser omhandlet i artikel 67 i forordning (EU) nr. 575/2013.</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Post 1.2.1.4-1.2.1.4.3 omfatter ikke faktiske forpligtelser eller eventualforpligtelser til at købe egne hybride kernekapitalinstrumenter. </w:t>
            </w:r>
            <w:r>
              <w:rPr>
                <w:rStyle w:val="FormatvorlageInstructionsTabelleText"/>
                <w:rFonts w:ascii="Times New Roman" w:hAnsi="Times New Roman"/>
                <w:sz w:val="24"/>
              </w:rPr>
              <w:lastRenderedPageBreak/>
              <w:t>Faktiske forpligtelser eller eventualforpligtelser til at købe egne supplerende kapitalinstrumenter indberettes særskilt i post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besiddelser af supplerende kapitalinstrumenter</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Artikel 63, litra b), artikel 66, litra a), og artikel 67 i forordning (EU) nr.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Supplerende kernekapitalinstrumenter, der er medtaget i 1.2.1.1, og som institutter i den konsoliderede koncern besidder, og de beløb for supplerende kernekapitalinstrumenter, der skal fratrækkes i henhold til artikel 28, stk. 2, i delegeret forordning (EU) nr. 241/2014.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besiddelser af supplerende kapitalinstrumenter</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Artikel 4, stk. 1, nr. 114), artikel 63, litra b), artikel 66, litra a), og artikel 67 i forordning (EU) nr.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Syntetiske besiddelser af supplerende kapitalinstrumenter</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Artikel 4, stk. 1, nr. 126), artikel 63, litra b), artikel 66, litra a), og artikel 67 i forordning (EU) nr.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Faktiske forpligtelser eller eventualforpligtelser til at købe egne supplerende kapitalinstrumenter</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Artikel 66, litra a), og artikel 67 i forordning (EU) nr.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 henhold til artikel 66, litra a), i forordning (EU) nr. 575/2013 skal et instituts egne supplerende kernekapitalinstrumenter, som det kan være forpligtet til at købe i medfør af eksisterende kontraktlige forpligtelser, trækkes fra.</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Overgangsjusteringer som følge af kapitalinstrumenter, der udgør supplerende kernekapital i henhold til overgangsbestemmelser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Artikel 483, stk. 6 og 7, og artikel 484, 486, 488, 490 og 491 i forordning (EU) nr.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supplerende kapital i henhold til overgangsbestemmelser. Det beløb, der indberettes, hentes direkte fra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Instrumenter udstedt af datterselskaber, der indgår i den supplerende kapital</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Artikel 83, 87 og 88 i forordning (EU) nr.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kapitalgrundlag, der indgår i den konsoliderede supplerende kapital.</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Kvalificerende supplerende kernekapital udstedt af en enhed med særligt formål (SPE) (artikel 83 i forordning (EU) nr. 575/2013) medregnes.</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Overgangsjusteringer som følge af yderligere indregning af kapitalinstrumenter udstedt af datterselskaber i den supplerende kapital</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t>Artikel 480 i forordning (EU) nr.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det kvalificerende kapitalgrundlag indregnet i den konsoliderede supplerende kapital som følge af overgangsbestemmelser. Denne post hentes direkte fra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Overskud af hensættelser i forhold til kvalificerede forventede tab i henhold til IRB-metoden</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Artikel 62, litra d), i forordning (EU) nr.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IRB-metoden, indeholder denne post de positive beløb, der fås ved at sammenligne hensættelserne og de forventede tab, der er kvalificeret som supplerende kapital.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Generelle kreditrisikojusteringer i henhold til standardmetoden</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t>Artikel 62, litra c), i forordning (EU) nr.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standardmetoden, indeholder denne post de generelle kreditrisikojusteringer, der er kvalificeret som supplerende kapital.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Krydsejerskab af supplerende kapital</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Artikel 4, stk. 1, nr. 122), artikel 66, litra b), og artikel 68 i forordning (EU) nr.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Besiddelser af supplerende kernekapitalinstrumenter i enheder i den finansielle sektor (som defineret i artikel 4, stk. 1, nr. 27), i forordning (EU) nr. 575/2013), når disse enheder har en besiddelse i krydsejerskab, som efter de kompetente myndigheders opfattelse er blevet indgået for kunstigt at øge instituttets kapitalgrundlag.</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supplerende kapitalposter og resterende supplerende kapitalposter i forsikringsselskaber.</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Supplerende kapitalinstrumenter i enheder i den finansielle sektor, hvori instituttet ikke har væsentlige investeringer</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Artikel 4, stk. 1, nr. 27), artikel 66, litra c), artikel 68-70 og artikel 79 i forordning (EU) nr.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Instituttets besiddelser af instrumenter i enheder i den finansielle sektor (som defineret i artikel 4, stk. 1, nr. 27), i forordning (EU) nr. 575/2013), hvori instituttet ikke har væsentlige investeringer, der skal fratrækkes den supplerende kernekapital.</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Supplerende kapitalinstrumenter i enheder i den finansielle sektor, hvori instituttet har væsentlige investeringer</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Artikel 4, stk. 1, nr. 27), artikel 66, litra d), artikel 68, artikel 69 og artikel 79 i forordning (EU) nr.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Instituttets besiddelser af supplerende kapitalinstrumenter i enheder i den finansielle sektor (som defineret i artikel 4, stk. 1, nr. 27), i forordning (EU) nr. 575/2013), hvori instituttet har væsentlige investeringer, der skal fratrækkes.</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Fradrag i nedskrivningsrelevante passiver, som overstiger nedskrivningsrelevante passiver</w:t>
            </w:r>
          </w:p>
          <w:p w14:paraId="4449F407" w14:textId="77777777" w:rsidR="00CC7D2C" w:rsidRPr="002A677E" w:rsidRDefault="00CC7D2C" w:rsidP="00320EFD">
            <w:pPr>
              <w:pStyle w:val="InstructionsText"/>
              <w:rPr>
                <w:rStyle w:val="InstructionsTabelleberschrift"/>
                <w:rFonts w:ascii="Times New Roman" w:hAnsi="Times New Roman"/>
                <w:sz w:val="24"/>
              </w:rPr>
            </w:pPr>
            <w:r>
              <w:t>Artikel 66, litra e), i forordning (EU) nr.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Andre overgangsjusteringer af den supplerende kapital</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476, 477, 478 og 481 i forordning (EU) nr.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Overskud af fradrag i supplerende kapitalposter i forhold til den supplerende kapital (fratrækkes den hybride kernekapital)</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Artikel 56, litra e), i forordning (EU) nr.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Supplerende kapital kan ikke være negativ, men fradrag i supplerende kapital kan overstige den supplerende kapital plus den tilknyttede del af overkursen ved emission. Når det sker, skal den supplerende kapital være lig med nul, og overskuddet af fradrag i supplerende kapitalposter, skal fratrækkes den hybride kernekapital.</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1.2.1 til 1.2.13 aldrig er lavere end nul. Hvis der indberettes et positivt tal i denne post, skal post 1.1.2.8 være det modsatte af det pågældende tal.</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Yderligere fradrag af supplerende kernekapital, jf. artikel 3 i forordning (EU) nr.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t>Artikel 3 i forordning (EU) nr.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Supplerende kapital — andre elementer eller fradrag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sikrer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supplerende kapital ikke kan tildeles en af rækkerne 750 til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Denne række må ikke bruges til at medtage kapitalposter/-fradrag, som ikke er omfattet af forordning (EU) nr. 575/2013, i beregningen af soliditetsgraden (f.eks. nationale kapitalposter/-fradrag, som er uden for nævnte forordnings rammer).</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lastRenderedPageBreak/>
        <w:t>1.3.</w:t>
      </w:r>
      <w:r>
        <w:tab/>
        <w:t>C 02.00 – KAPITALGRUNDLAGSKRAV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tab/>
        <w:t>Instrukser vedrørende specifikke positioner</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Kolonner</w:t>
            </w:r>
          </w:p>
        </w:tc>
        <w:tc>
          <w:tcPr>
            <w:tcW w:w="7274" w:type="dxa"/>
            <w:shd w:val="clear" w:color="auto" w:fill="D9D9D9"/>
          </w:tcPr>
          <w:p w14:paraId="190CA9EE" w14:textId="77777777" w:rsidR="00CC7D2C" w:rsidRPr="002A677E" w:rsidRDefault="00CC7D2C" w:rsidP="00320EFD">
            <w:pPr>
              <w:pStyle w:val="InstructionsText"/>
            </w:pPr>
            <w:r>
              <w:t>Henvisninger til retsakter og instrukser</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SAMLET RISIKOEKSPONERING</w:t>
            </w:r>
          </w:p>
          <w:p w14:paraId="11658B1F" w14:textId="77777777" w:rsidR="00CC7D2C" w:rsidRPr="002A677E" w:rsidRDefault="00CC7D2C" w:rsidP="00320EFD">
            <w:pPr>
              <w:pStyle w:val="InstructionsText"/>
            </w:pPr>
            <w:r>
              <w:t>Artikel 92, stk. 3, og artikel 95, 96 og 98, i forordning (EU) nr.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OUTPUTGULV FOR S-TREA</w:t>
            </w:r>
          </w:p>
          <w:p w14:paraId="1D5124AF" w14:textId="2240D9CF" w:rsidR="00CC7D2C" w:rsidRDefault="00C32586" w:rsidP="00320EFD">
            <w:pPr>
              <w:pStyle w:val="InstructionsText"/>
            </w:pPr>
            <w:r>
              <w:t>Institutter, der er omfattet af outputgulvet i henhold til artikel 92, stk. 3, i forordning (EU) nr. 575/2013, skal indberette den standardiserede samlede risikoeksponering (S-TREA), der er beregnet i overensstemmelse med artikel 92, stk. 5. Denne kolonne finder kun anvendelse på institutter, der anvender interne modeller.</w:t>
            </w:r>
          </w:p>
          <w:p w14:paraId="4831FC09" w14:textId="08537DA3" w:rsidR="00585ABC" w:rsidRDefault="00585ABC" w:rsidP="00320EFD">
            <w:pPr>
              <w:pStyle w:val="InstructionsText"/>
            </w:pPr>
            <w:r>
              <w:t>I de rækker, hvor der er anvendt metoder med interne modeller til beregningen af RWEA, skal de standardiserede beløb for disse eksponeringer indberettes.</w:t>
            </w:r>
          </w:p>
          <w:p w14:paraId="708B2B94" w14:textId="2316755B" w:rsidR="00585ABC" w:rsidRPr="002A677E" w:rsidRDefault="00585ABC" w:rsidP="00320EFD">
            <w:pPr>
              <w:pStyle w:val="InstructionsText"/>
            </w:pPr>
            <w:r>
              <w:t>I de rækker, hvor der er anvendt standardmetoder til beregningen af RWEA, skal de beløb, der er indberettet i kolonne 0010, indberettes.</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Række</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Henvisninger til retsakter og instrukser</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SAMLET RISIKOEKSPONERING</w:t>
            </w:r>
          </w:p>
          <w:p w14:paraId="633B0735" w14:textId="77777777" w:rsidR="00CC7D2C" w:rsidRPr="002A677E" w:rsidRDefault="00CC7D2C" w:rsidP="00320EFD">
            <w:pPr>
              <w:pStyle w:val="InstructionsText"/>
            </w:pPr>
            <w:r>
              <w:t>Artikel 92, stk. 3, og artikel 95, 96 og 98, i forordning (EU) nr.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95, stk. 2, og artikel 98 i forordning (EU) nr. 575/2013</w:t>
            </w:r>
          </w:p>
          <w:p w14:paraId="7A0F1D20" w14:textId="77777777" w:rsidR="00CC7D2C" w:rsidRPr="002A677E" w:rsidRDefault="00CC7D2C" w:rsidP="00320EFD">
            <w:pPr>
              <w:pStyle w:val="InstructionsText"/>
            </w:pPr>
            <w:r>
              <w:t>For investeringsselskaber, der er omfattet af artikel 95, stk. 2, og artikel 98 i forordning (EU) nr.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96, stk. 2, og artikel 97 i forordning (EU) nr. 575/2013</w:t>
            </w:r>
          </w:p>
          <w:p w14:paraId="04608E0A" w14:textId="77777777" w:rsidR="00CC7D2C" w:rsidRPr="002A677E" w:rsidRDefault="00CC7D2C" w:rsidP="00320EFD">
            <w:pPr>
              <w:pStyle w:val="InstructionsText"/>
            </w:pPr>
            <w:r>
              <w:t>For investeringsselskaber, der er omfattet af artikel 96, stk. 2, og artikel 97 i forordning (EU) nr.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Justering af gulv</w:t>
            </w:r>
          </w:p>
          <w:p w14:paraId="1879A8CD" w14:textId="65429001" w:rsidR="00CC7D2C" w:rsidRPr="002A677E" w:rsidRDefault="00A8011A" w:rsidP="00320EFD">
            <w:pPr>
              <w:pStyle w:val="InstructionsText"/>
              <w:rPr>
                <w:rStyle w:val="InstructionsTabelleberschrift"/>
                <w:rFonts w:ascii="Times New Roman" w:hAnsi="Times New Roman"/>
                <w:sz w:val="24"/>
              </w:rPr>
            </w:pPr>
            <w:r>
              <w:t>Institutter, der er omfattet af outputgulvet i henhold til artikel 92, stk. 3, i forordning (EU) nr. 575/2013, skal indberette forskellen mellem den værdi, der er anført i række 0010, og den værdi, der er anført i række 0036. Værdien er enten positiv eller lig med nul.</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SAMLET RISIKOEKSPONERING FØR GULV</w:t>
            </w:r>
          </w:p>
          <w:p w14:paraId="7BCD0DA1" w14:textId="04714494" w:rsidR="00CC7D2C" w:rsidRPr="002A677E" w:rsidRDefault="00A8011A" w:rsidP="00320EFD">
            <w:pPr>
              <w:pStyle w:val="InstructionsText"/>
              <w:rPr>
                <w:rStyle w:val="InstructionsTabelleberschrift"/>
                <w:rFonts w:ascii="Times New Roman" w:hAnsi="Times New Roman"/>
                <w:sz w:val="24"/>
              </w:rPr>
            </w:pPr>
            <w:r>
              <w:t>Institutter, der er omfattet af outputgulvet i henhold til artikel 92, stk. 3, i forordning (EU) nr. 575/2013, skal indberette værdien for TREA uden gulv som defineret i artikel 92, stk. 4, i forordning (EU) nr.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RISIKOVÆGTEDE EKSPONERINGER FOR KREDITRISIKO, MODPARTSRISIKO, UDVANDINGSRISIKO OG LEVERINGSRISIKO (FREE DELIVERIES)</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Artikel 92, stk. 3, og artikel 92, stk. 4, litra a), i forordning (EU) nr.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Standardmetode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og SEC SA-skemaer på niveauet for samlede eksponeringer.</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Heraf: Yderligere strengere tilsynskrav på grundlag af artikel 124 i forordning (EU) nr.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høring af EBA, jf. artikel 124, stk. 8 til 13, i forordning (EU) nr.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Eksponeringsklasser i henhold til standardmetoden, eksklusive securitiseringspositioner</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SA-skema på niveauet for samlede eksponeringer. </w:t>
            </w:r>
            <w:r>
              <w:t>Eksponeringsklasserne i henhold til standardmetoden er de klasser, der er nævnt i artikel 112 i forordning (EU) nr. 575/2013, med undtagelse af securitiseringspositioner.</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Centralregeringer eller centralbanker</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CR SA-skemaet.</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eller lokale myndigheder</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Offentlige enheder</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udviklingsbanker</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CR SA-skemaet.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organisationer</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Institutter</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tab/>
            </w:r>
            <w:r>
              <w:rPr>
                <w:rStyle w:val="InstructionsTabelleberschrift"/>
                <w:rFonts w:ascii="Times New Roman" w:hAnsi="Times New Roman"/>
                <w:sz w:val="24"/>
              </w:rPr>
              <w:t>Selskaber — Andre</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tab/>
            </w:r>
            <w:r>
              <w:rPr>
                <w:rStyle w:val="InstructionsTabelleberschrift"/>
                <w:rFonts w:ascii="Times New Roman" w:hAnsi="Times New Roman"/>
                <w:sz w:val="24"/>
              </w:rPr>
              <w:t>Selskaber — Specialiseret långivning</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Detail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Sikret ved pant i fast ejendom og ADC-eksponeringer</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 Sikret ved pant i beboelsesejendomme – ikke-IPRE (sikret)</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 Sikret ved pant i beboelsesejendomme – ikke-IPRE (usikret)</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 Sikret ved pant i beboelsesejendomme – Andet – ikke-IPRE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 Sikret ved pant i beboelsesejendomme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 Sikret ved pant i beboelsesejendomme – Andet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 Sikret ved pant i erhvervsejendomme – ikke-IPRE (sikret)</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 Sikret ved pant i erhvervsejendomme – ikke-IPRE (usikret)</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 Sikret ved pant i erhvervsejendomme – Andet – ikke-IPRE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 Sikret ved pant i erhvervsejendomme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 Sikret ved pant i erhvervsejendomme – Andet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 Erhvervelse, udvikling og bebyggelse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Eksponeringer ved misligholdelse</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Eksponeringer mod efterstillet gæld</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SA-skemaet.</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Særligt dækkede obligationer og særligt dækkede realkreditobligationer</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Fordringer på institutter og selskaber med kortsigtet kreditvurdering</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Kollektive investeringsinstitutter (CIU'er)</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Egenkapital</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Andre poster</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CR SA-skemaet.</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Heraf: Softwareaktiver, der medregnes som immaterielle aktiver</w:t>
            </w:r>
          </w:p>
          <w:p w14:paraId="665DD53E" w14:textId="77777777" w:rsidR="00CC7D2C" w:rsidRPr="002A677E" w:rsidRDefault="00CC7D2C" w:rsidP="00320EFD">
            <w:pPr>
              <w:pStyle w:val="InstructionsText"/>
              <w:rPr>
                <w:rStyle w:val="InstructionsTabelleberschrift"/>
                <w:rFonts w:ascii="Times New Roman" w:hAnsi="Times New Roman"/>
                <w:sz w:val="24"/>
              </w:rPr>
            </w:pPr>
            <w:r>
              <w:t>Det risikovægtede eksponeringsbeløb vedrørende den del af softwareaktiverne, der medregnes som immaterielle aktiver, og som ikke fratrækkes de egentlige kernekapitalposter i overensstemmelse med artikel 36, stk. 1, litra b), i forordning (EU) nr. 575/2013, men risikovægtes i overensstemmelse med artikel 113, stk. 5, i nævnte forordning.</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Metoden med interne ratings (IRB-metoden)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på grundlag af artikel 164 i forordning (EU) nr.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at være blevet meddelt EBA, jf. artikel 164, stk. 5 og 7, i forordning (EU) nr.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på grundlag af artikel 124 i forordning (EU) nr.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fastsat af de kompetente myndigheder efter høring af EBA, jf. artikel 124, stk. 8 til 13, i forordning (EU) nr. 575/2013, og som vedrører grænser for markedsværdien af sikkerhedsstillelsen, jf. artikel 125, stk. 2, litra d), og artikel 126, stk. 2, litra d), i nævnte forordning.</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IRB-metoder, når hverken egne estimater over tab givet misligholdelse (LGD) eller konverteringsfaktorer anvendes</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eller konverteringsfaktorer ikke anvendes)</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Centralregeringer og centralbanker</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Regionale eller lokale myndigheder</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Offentlige enheder</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Institutter</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Selskaber — Specialiseret långivning</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Selskaber – Erhvervede fordringer</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Selskaber — Andre</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Memorandumpost: Selskaber — Store selskaber</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IRB-skemaet.</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Memorandumpost: Selskaber - SMV'er</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IRB-metoder, når egne estimater over tab givet misligholdelse (LGD) og/eller konverteringsfaktorer anvendes</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og/eller konverteringsfaktorer anvendes)</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Centralregeringer og centralbanker</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Regionale eller lokale myndigheder</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Offentlige enheder</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Selskaber — Specialiseret långivning</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Selskaber – Erhvervede fordringer</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Selskaber — Andre</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Memorandumpost: Selskaber — Store selskaber</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IRB-skemaet.</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Memorandumpost: Selskaber - SMV'er</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Se CR IRB-skemaet.</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Detail – Sikret ved beboelsesejendom</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Detail — Kvalificeret revolverende</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Detail – Erhvervede fordringer</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Detail – Andet</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Heraf: sikret ved erhvervsejendom</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Memorandumpost: Detail — Sikret ved pant i fast ejendom — SMV'er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Memorandumpost: Detail — Sikret ved pant i fast ejendom — ikke-SMV'er</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Memorandumpost: Detail — Andre SMV'er</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Memorandumpost: Detail — Andre ikke-SMV'er</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Egenkapital i henhold til IRB-metoden</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EQU IRB-skemaet.</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Kollektive investeringsinstitutter (CIU'er)</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Andre aktiver, der ikke er gældsforpligtelser</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Det beløb, der skal indberettes, er den risikovægtede eksponering beregnet i henhold til artikel 156 i forordning (EU) nr.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Heraf softwareaktiver, der medregnes som immaterielle aktiver</w:t>
            </w:r>
          </w:p>
          <w:p w14:paraId="725F0A16" w14:textId="77777777" w:rsidR="00CC7D2C" w:rsidRPr="002A677E" w:rsidRDefault="00CC7D2C" w:rsidP="00320EFD">
            <w:pPr>
              <w:pStyle w:val="InstructionsText"/>
              <w:rPr>
                <w:rStyle w:val="InstructionsTabelleberschrift"/>
                <w:rFonts w:ascii="Times New Roman" w:hAnsi="Times New Roman"/>
                <w:sz w:val="24"/>
              </w:rPr>
            </w:pPr>
            <w:r>
              <w:t>Det risikovægtede eksponeringsbeløb vedrørende den del af softwareaktiverne, der medregnes som immaterielle aktiver, og som ikke fratrækkes de egentlige kernekapitalposter i overensstemmelse med artikel 36, stk. 1, litra b), i forordning (EU) nr. 575/2013, men risikovægtes i overensstemmelse med artikel 156 i nævnte forordning.</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Risikoeksponeringsværdi for bidrag til en CCP's misligholdelsesfond</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Artikel 307, 308 og artikel 309 i forordning (EU) nr.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Securitiseringspositioner</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SEC-skemaet</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SAMLET RISIKOEKSPONERING FOR AFVIKLING/LEVERING</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Artikel 92, stk. 3, og artikel 92, stk. 4, litra ca), i forordning (EU) nr.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Afviklingsrisiko/leveringsrisiko uden for handelsbeholdningen</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Afviklingsrisiko/leveringsrisiko i handelsbeholdningen</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SAMLET RISIKOEKSPONERING FOR DEN FORRETNING, DER ER UNDERLAGT MARKEDSRISIKO</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4, litra b), nr. i), og litra c), stk. 5, litra b), stk. 7, litra b), i forordning (EU) nr.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Risikoeksponering for den forretning, der er underlagt markedsrisiko, beregnet af enheder, der udelukkende anvender den forenklede standardmetode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Handlede gældsinstrumenter</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TDI-skema på niveauet for samlet valuta.</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Egenkapital</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EQU-skema på niveauet for samlede nationale markeder.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Særlig metode til positionsrisiko i CIU'er</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Artikel 348, stk. 1, artikel 350, stk. 3, litra c), og artikel 364, stk. 2, litra a), i forordning (EU) nr. 575/2013</w:t>
            </w:r>
          </w:p>
          <w:p w14:paraId="0F8EF050"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Den samlede risikoeksponering for positioner i CIU'er, hvor kapitalkrav beregnes i overensstemmelse med artikel 348, stk. 1, i forordning (EU) nr. 575/2013 enten omgående eller som følge af det loft, der er fastsat i artikel 350, stk. 3, litra c), i nævne forordning. Forordning (EU) nr. 575/2013 tildeler ikke udtrykkeligt disse positioner til hverken renterisiko eller aktierisiko.</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Hvis den særlige metode i artikel 348, stk. 1, første punktum, i forordning (EU) nr. 575/2013 anvendes, udgør det beløb, der skal indberettes, 32 % af nettopositionen i den pågældende CIU-eksponering, ganget med 12,5.</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Fonts w:ascii="Times New Roman" w:hAnsi="Times New Roman"/>
                <w:sz w:val="24"/>
              </w:rPr>
              <w:t>Hvis den særlige metode i artikel 348, stk. 1, andet punktum, i forordning (EU) nr. 575/2013 anvendes, er det beløb, der skal indberettes, 32 % af nettopositionen i den pågældende CIU-eksponering eller forskellen mellem 40 % af denne nettoposition og de kapitalgrundlagskrav, der følger af valutarisikoen i forbindelse med den pågældende CIU-eksponering, hver ganget med 12,5, afhængigt af hvilket beløb, der er lavest.</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Memorandumpost: CIU'er, der kun investerer i handlede gældsinstrumenter</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Den samlede risikoeksponering for positioner i CIU'er, hvor CIU'en kun investerer i instrumenter, der er omfattet af renterisiko.</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CIU'er, der kun investerer i aktieinstrumenter eller blandede instrumenter</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Den samlede risikoeksponering for positioner i CIU'er, hvor CIU'en kun investerer i enten instrumenter omfattet af aktierisiko eller i blandede instrumenter, eller hvor CIU'ens bestanddele er ukendte.</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Valuta</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MKR SA FX-skemaet.</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Råvarer</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MKR SA COM-skemaet.</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Risikoeksponering for positionsrisiko, valutarisiko og råvarerisiko opgjort efter interne modeller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Se MKR IM-skemaet.</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Forklarende tekst til oplysning.</w:t>
                  </w:r>
                </w:p>
                <w:p w14:paraId="4B9D2A68" w14:textId="77777777" w:rsidR="00CC7D2C" w:rsidRDefault="00CC7D2C" w:rsidP="00822842">
                  <w:pPr>
                    <w:rPr>
                      <w:rStyle w:val="FormatvorlageInstructionsTabelleText"/>
                      <w:rFonts w:ascii="Times New Roman" w:hAnsi="Times New Roman"/>
                      <w:sz w:val="24"/>
                    </w:rPr>
                  </w:pPr>
                  <w:r>
                    <w:t>Denne række vil blive fjernet, når den pågældende metode med interne modeller ikke længere kan anvendes til beregning af kapitalgrundlagskrav vedrørende markedsrisiko.</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Risikoeksponering for balanceførte og ikkebalanceførte underlagt markedsrisiko for enheder, der udelukkende anvender den alternative standardmetode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Se MKR SA SUM-skemaet.</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Risikoeksponering for balanceførte og ikkebalanceførte poster underlagt markedsrisiko for enheder, der udelukkende anvender den alternative metode med interne modeller (AIMA) eller en kombination af AIMA og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Se MKR AIMA SUM-skemaet.</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RISIKOEKSPONERING FOR OMKLASSIFICERINGER TIL OG FRA HANDELSBEHOLDNINGEN</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Se MOV-skemaet.</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SAMLET RISIKOEKSPONERING FOR OPERATIONELLE RISICI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og artikel 92, stk. 4, litra e), i forordning (EU) nr. 575/2013</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For investeringsselskaber, der er omfattet af artikel 95, stk. 2, artikel 96, stk. 2, og artikel 98 i forordning (EU) nr. 575/2013, skal denne post være nul.</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YDERLIGERE RISIKOEKSPONERING SOM FØLGE AF FASTE OMKOSTNINGER</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Artikel 95, stk. 2), artikel 96, stk. 2, artikel 97 og artikel 98, stk. 1, litra a), i forordning (EU) nr. 575/2013</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Kun for investeringsselskaber, der er omfattet af artikel 95, stk. 2, artikel 96, stk. 2, og artikel 98 i forordning (EU) nr. 575/2013.</w:t>
            </w:r>
            <w:r>
              <w:rPr>
                <w:rStyle w:val="FormatvorlageInstructionsTabelleText"/>
                <w:rFonts w:ascii="Times New Roman" w:hAnsi="Times New Roman"/>
                <w:sz w:val="24"/>
              </w:rPr>
              <w:t xml:space="preserve"> </w:t>
            </w:r>
            <w:r>
              <w:rPr>
                <w:rFonts w:ascii="Times New Roman" w:hAnsi="Times New Roman"/>
                <w:sz w:val="24"/>
              </w:rPr>
              <w:t>Jf. også artikel 97 i forordning (EU) nr.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Investeringsselskaber, der er omfattet af artikel 96 i forordning (EU) nr. 575/2013, skal indberette det beløb, der er nævnt i artikel 97, ganget med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Investeringsselskaber, der er omfattet af artikel 95 i forordning (EU) nr. 575/2013, skal indberette følgende</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a), i forordning (EU) nr. 575/2013, er større end det beløb, der er nævnt i artikel 95, stk. 2, litra b), i nævnte forordning, skal det indberettede beløb være nul.</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Hvis det beløb, der er nævnt i artikel 95, stk. 2, litra b), i forordning (EU) nr. 575/2013, er større end det beløb, der er nævnt i artikel 95, stk. 2, litra a), i nævnte forordning, skal det indberettede beløb være det resultat, der fås ved at trække sidstnævnte beløb fra det førstnævnte.</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SAMLET RISIKOEKSPONERING FOR KREDITVÆRDIJUSTERING</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 stk. 4, litra d), i forordning (EU) nr.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CVA-skemaet.</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Standardmetode (SA)</w:t>
            </w:r>
          </w:p>
          <w:p w14:paraId="52EE3666" w14:textId="77777777" w:rsidR="00CC7D2C" w:rsidRPr="002A677E" w:rsidRDefault="00CC7D2C" w:rsidP="00320EFD">
            <w:pPr>
              <w:pStyle w:val="InstructionsText"/>
              <w:rPr>
                <w:rStyle w:val="InstructionsTabelleberschrift"/>
                <w:rFonts w:ascii="Times New Roman" w:hAnsi="Times New Roman"/>
                <w:sz w:val="24"/>
              </w:rPr>
            </w:pPr>
            <w:r>
              <w:t>Artikel 383 i forordning (EU) nr.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Komplet basismetode (F-BA)</w:t>
            </w:r>
          </w:p>
          <w:p w14:paraId="50E188A9" w14:textId="77777777" w:rsidR="00CC7D2C" w:rsidRPr="002A677E" w:rsidRDefault="00CC7D2C" w:rsidP="00320EFD">
            <w:pPr>
              <w:pStyle w:val="InstructionsText"/>
              <w:rPr>
                <w:rStyle w:val="InstructionsTabelleberschrift"/>
                <w:rFonts w:ascii="Times New Roman" w:hAnsi="Times New Roman"/>
                <w:sz w:val="24"/>
              </w:rPr>
            </w:pPr>
            <w:r>
              <w:t>Artikel 384, stk. 3), i forordning (EU) nr.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Reduceret basismetode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Artikel 384, stk. 2), i forordning (EU) nr.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Forenklet metode</w:t>
            </w:r>
          </w:p>
          <w:p w14:paraId="5D4966C6" w14:textId="77777777" w:rsidR="00CC7D2C" w:rsidRPr="002A677E" w:rsidRDefault="00CC7D2C" w:rsidP="00320EFD">
            <w:pPr>
              <w:pStyle w:val="InstructionsText"/>
              <w:rPr>
                <w:rStyle w:val="InstructionsTabelleberschrift"/>
                <w:rFonts w:ascii="Times New Roman" w:hAnsi="Times New Roman"/>
                <w:sz w:val="24"/>
              </w:rPr>
            </w:pPr>
            <w:r>
              <w:t>Artikel 385 i forordning (EU) nr.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Forenklet behandling for derivatpositioner i CIU'er</w:t>
            </w:r>
          </w:p>
          <w:p w14:paraId="745B756E" w14:textId="77777777" w:rsidR="00CC7D2C" w:rsidRPr="002A677E" w:rsidRDefault="00CC7D2C" w:rsidP="00320EFD">
            <w:pPr>
              <w:pStyle w:val="InstructionsText"/>
              <w:rPr>
                <w:rStyle w:val="InstructionsTabelleberschrift"/>
                <w:rFonts w:ascii="Times New Roman" w:hAnsi="Times New Roman"/>
                <w:sz w:val="24"/>
              </w:rPr>
            </w:pPr>
            <w:r>
              <w:t>Artikel 132a, stk. 3, artikel 152, stk. 3, og artikel 325j, stk. 1, i forordning (EU) nr.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SAMLET RISIKOEKSPONERING I FORBINDELSE MED STORE EKSPONERINGER I HANDELSBEHOLDNINGEN</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Artikel 92, stk. 4, litra b), nr. ii), og artikel 395-401 i forordning (EU) nr.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ANDRE RISIKOEKSPONERINGER</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3, 458 og 459 i forordning (EU) nr. 575/2013 og risikoeksponeringer, der ikke kan tildeles en af posterne fra 1.1 til 1.7.</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Institutterne skal indberette de beløb, der er nødvendige, for at overholde følgende:</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Strengere tilsynskrav, der pålægges af Kommissionen i henhold til artikel 458 og 459 i forordning (EU) nr.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Yderligere risikoeksponering, der følger af artikel 3 i forordning (EU) nr. 575/2013.</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Denne post er ikke kædet sammen med et detaljeret skema.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Heraf: Yderligere strengere tilsynskrav på grundlag af artikel 458 i forordning (EU) nr.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t>Artikel 458 i forordning (EU) nr.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krav vedrørende store eksponeringer</w:t>
            </w:r>
          </w:p>
          <w:p w14:paraId="242C94AC" w14:textId="77777777" w:rsidR="00CC7D2C" w:rsidRPr="002A677E" w:rsidRDefault="00CC7D2C" w:rsidP="00320EFD">
            <w:pPr>
              <w:pStyle w:val="InstructionsText"/>
              <w:rPr>
                <w:rStyle w:val="InstructionsTabelleberschrift"/>
                <w:rFonts w:ascii="Times New Roman" w:hAnsi="Times New Roman"/>
                <w:sz w:val="24"/>
              </w:rPr>
            </w:pPr>
            <w:r>
              <w:t>Artikel 458 i forordning (EU) nr.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modificerede risikovægte til håndtering af aktivbobler inden for beboelses- og erhvervsejendomssektoren</w:t>
            </w:r>
          </w:p>
          <w:p w14:paraId="6AE45898" w14:textId="77777777" w:rsidR="00CC7D2C" w:rsidRPr="002A677E" w:rsidRDefault="00CC7D2C" w:rsidP="00320EFD">
            <w:pPr>
              <w:pStyle w:val="InstructionsText"/>
              <w:rPr>
                <w:rStyle w:val="InstructionsTabelleberschrift"/>
                <w:rFonts w:ascii="Times New Roman" w:hAnsi="Times New Roman"/>
                <w:sz w:val="24"/>
              </w:rPr>
            </w:pPr>
            <w:r>
              <w:t>Artikel 458 i forordning (EU) nr.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eksponeringer inden for den finansielle sektor</w:t>
            </w:r>
          </w:p>
          <w:p w14:paraId="0AD2BF6F" w14:textId="77777777" w:rsidR="00CC7D2C" w:rsidRPr="002A677E" w:rsidRDefault="00CC7D2C" w:rsidP="00320EFD">
            <w:pPr>
              <w:pStyle w:val="InstructionsText"/>
              <w:rPr>
                <w:rStyle w:val="InstructionsTabelleberschrift"/>
                <w:rFonts w:ascii="Times New Roman" w:hAnsi="Times New Roman"/>
                <w:sz w:val="24"/>
              </w:rPr>
            </w:pPr>
            <w:r>
              <w:t>Artikel 458 i forordning (EU) nr.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Heraf: Yderligere strengere tilsynskrav på grundlag af artikel 459 i forordning (EU) nr.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t>Artikel 459 i forordning (EU) nr.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77777777" w:rsidR="005F24EB" w:rsidRPr="003D5537" w:rsidRDefault="005F24EB" w:rsidP="00320EFD">
            <w:pPr>
              <w:pStyle w:val="InstructionsText"/>
            </w:pPr>
            <w:r>
              <w:t>1.8.3a       Heraf: yderligere risikovægtede eksponeringer (RWEA) for markedsrisiko pålagt af tilsynsmyndigheden på grundlag af artikel 110 i direktiv 2013/36/EU</w:t>
            </w:r>
          </w:p>
          <w:p w14:paraId="6AA689E0" w14:textId="70B9ABFD" w:rsidR="005F24EB" w:rsidRPr="003D5537" w:rsidRDefault="003D5537" w:rsidP="00320EFD">
            <w:pPr>
              <w:pStyle w:val="InstructionsText"/>
              <w:rPr>
                <w:b/>
                <w:bCs/>
              </w:rPr>
            </w:pPr>
            <w:r>
              <w:t>Artikel 101 i direktiv 2013/36/EU og gennemførelsesbestemmelser til samme artikel.</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Heraf: Yderligere risikoeksponering, der følger af artikel 3 i forordning (EU) nr.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t>Artikel 3 i forordning (EU) nr.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yderligere risikoeksponering skal indberettes. </w:t>
            </w:r>
            <w:r>
              <w:t>Den skal kun omfatte den yderligere eksponering (hvis en eksponering på 100 f.eks. har en risikovægt på 20 %, og instituttet anvender en risikovægt på 50 % i medfør af artikel 3 i forordning (EU) nr. 575/2013, indberettes værdien 30).</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Heraf:  yderligere risikovægtede eksponeringer (RWEA) for markedsrisiko</w:t>
            </w:r>
          </w:p>
          <w:p w14:paraId="69E7A691" w14:textId="31285B3F" w:rsidR="003D5537" w:rsidRPr="002A677E" w:rsidRDefault="003D5537" w:rsidP="00320EFD">
            <w:pPr>
              <w:pStyle w:val="InstructionsText"/>
              <w:rPr>
                <w:rStyle w:val="InstructionsTabelleberschrift"/>
                <w:rFonts w:ascii="Times New Roman" w:hAnsi="Times New Roman"/>
                <w:sz w:val="24"/>
              </w:rPr>
            </w:pPr>
            <w:r>
              <w:t>Inklusive, men ikke begrænset til, tilfældet "risici uden for modellen" ("risks not in the model engine")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Heraf: risikoeksponering knyttet til kryptoaktiver i henhold til overgangsbestemmelserne i artikel 501d, stk. 2, i forordning (EU) nr.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 CRYPTO-skemaet.</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KAPITALPROCENTER OG KAPITALNIVEAUER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tab/>
        <w:t>Instrukser vedrørende specifikke positioner</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Rækker</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Egentlig kernekapitalprocent</w:t>
            </w:r>
          </w:p>
          <w:p w14:paraId="1A204CA3" w14:textId="77777777" w:rsidR="00CC7D2C" w:rsidRPr="002A677E" w:rsidRDefault="00CC7D2C" w:rsidP="00320EFD">
            <w:pPr>
              <w:pStyle w:val="InstructionsText"/>
            </w:pPr>
            <w:r>
              <w:t>Artikel 92, stk. 2, litra a), i forordning (EU) nr. 575/2013</w:t>
            </w:r>
          </w:p>
          <w:p w14:paraId="6428C1DC" w14:textId="77777777" w:rsidR="00CC7D2C" w:rsidRPr="002A677E" w:rsidRDefault="00CC7D2C" w:rsidP="00320EFD">
            <w:pPr>
              <w:pStyle w:val="InstructionsText"/>
            </w:pPr>
            <w:r>
              <w:t>Den egentlige kernekapitalprocent er instituttets egentlige kernekapital udtrykt som en procentdel af den samlede risikoeksponering.</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Overskud (+)/Underskud (-) af egentlig kernekapital</w:t>
            </w:r>
          </w:p>
          <w:p w14:paraId="197B9EAB" w14:textId="77777777" w:rsidR="00CC7D2C" w:rsidRPr="002A677E" w:rsidRDefault="00CC7D2C" w:rsidP="00320EFD">
            <w:pPr>
              <w:pStyle w:val="InstructionsText"/>
            </w:pPr>
            <w:r>
              <w:t>I denne post vises (i absolutte tal) beløbet for overskuddet eller underskuddet af egentlig kernekapital i forhold til kravet i artikel 92, stk. 1, litra a), i forordning (EU) nr. 575/2013 (4,5 %), dvs. uden hensyntagen til kapitalbuffere og overgangsbestemmelser vedrørende kapitalprocenten.</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Kernekapitalprocent</w:t>
            </w:r>
          </w:p>
          <w:p w14:paraId="58F5E60A" w14:textId="77777777" w:rsidR="00CC7D2C" w:rsidRPr="002A677E" w:rsidRDefault="00CC7D2C" w:rsidP="00320EFD">
            <w:pPr>
              <w:pStyle w:val="InstructionsText"/>
            </w:pPr>
            <w:r>
              <w:t>Artikel 92, stk. 2, litra b), i forordning (EU) nr. 575/2013</w:t>
            </w:r>
          </w:p>
          <w:p w14:paraId="6C86F22F" w14:textId="77777777" w:rsidR="00CC7D2C" w:rsidRPr="002A677E" w:rsidRDefault="00CC7D2C" w:rsidP="00320EFD">
            <w:pPr>
              <w:pStyle w:val="InstructionsText"/>
            </w:pPr>
            <w:r>
              <w:t>Kernekapitalprocenten er instituttets kernekapital udtrykt som en procentdel af den samlede risikoeksponering.</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Overskud (+)/Underskud (-) af kernekapital</w:t>
            </w:r>
          </w:p>
          <w:p w14:paraId="2757AF24" w14:textId="77777777" w:rsidR="00CC7D2C" w:rsidRPr="002A677E" w:rsidRDefault="00CC7D2C" w:rsidP="00320EFD">
            <w:pPr>
              <w:pStyle w:val="InstructionsText"/>
            </w:pPr>
            <w:r>
              <w:t>I denne post vises (i absolutte tal) beløbet for overskuddet eller underskuddet af supplerende kernekapital i forhold til kravet i artikel 92, stk. 1, litra b), i forordning (EU) nr. 575/2013 (6 %), dvs. uden hensyntagen til kapitalbuffere og overgangsbestemmelser vedrørende kapitalprocenten.</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Kapitalprocent i alt</w:t>
            </w:r>
          </w:p>
          <w:p w14:paraId="393A8CC4" w14:textId="77777777" w:rsidR="00CC7D2C" w:rsidRPr="002A677E" w:rsidRDefault="00CC7D2C" w:rsidP="00320EFD">
            <w:pPr>
              <w:pStyle w:val="InstructionsText"/>
            </w:pPr>
            <w:r>
              <w:t>Artikel 92, stk. 2, litra c), i forordning (EU) nr. 575/2013</w:t>
            </w:r>
          </w:p>
          <w:p w14:paraId="163717AB" w14:textId="77777777" w:rsidR="00CC7D2C" w:rsidRPr="002A677E" w:rsidRDefault="00CC7D2C" w:rsidP="00320EFD">
            <w:pPr>
              <w:pStyle w:val="InstructionsText"/>
            </w:pPr>
            <w:r>
              <w:t>Den samlede kapitalprocent er instituttets kapitalgrundlag udtrykt som en procentdel af den samlede risikoeksponering.</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Overskud (+)/Underskud (-) af kapitalgrundlag</w:t>
            </w:r>
          </w:p>
          <w:p w14:paraId="03A15BAC" w14:textId="77777777" w:rsidR="00CC7D2C" w:rsidRPr="002A677E" w:rsidRDefault="00CC7D2C" w:rsidP="00320EFD">
            <w:pPr>
              <w:pStyle w:val="InstructionsText"/>
            </w:pPr>
            <w:r>
              <w:t xml:space="preserve">I denne post vises (i absolutte tal) beløbet for overskuddet eller underskuddet af kapitalgrundlag i forhold til kravet i artikel 92, stk. 1, litra </w:t>
            </w:r>
            <w:r>
              <w:lastRenderedPageBreak/>
              <w:t>c), i forordning (EU) nr. 575/2013 (8 %), dvs. uden hensyntagen til kapitalbuffere og overgangsbestemmelser vedrørende kapitalprocenten.</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lastRenderedPageBreak/>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Egentlig kernekapitalprocent i betragtning af TREA uden gulv</w:t>
            </w:r>
          </w:p>
          <w:p w14:paraId="61978AA2" w14:textId="77777777" w:rsidR="00CC7D2C" w:rsidRPr="002A677E" w:rsidRDefault="00CC7D2C" w:rsidP="00320EFD">
            <w:pPr>
              <w:pStyle w:val="InstructionsText"/>
              <w:rPr>
                <w:rStyle w:val="InstructionsTabelleberschrift"/>
                <w:rFonts w:ascii="Times New Roman" w:hAnsi="Times New Roman"/>
                <w:sz w:val="24"/>
              </w:rPr>
            </w:pPr>
            <w:r>
              <w:t>Den egentlige kernekapitalprocent som defineret i artikel 92, stk. 2, litra a), i forordning (EU) nr. 575/2013, udtrykt som en procentdel af den samlede risikoeksponering beregnet i overensstemmelse med artikel 92, stk. 4, i forordning (EU) nr.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Kernekapitalprocent i betragtning af TREA uden gulv</w:t>
            </w:r>
          </w:p>
          <w:p w14:paraId="1EA9C1BE" w14:textId="1AA1CC61" w:rsidR="00CC7D2C" w:rsidRPr="002A677E" w:rsidRDefault="00CC7D2C" w:rsidP="00320EFD">
            <w:pPr>
              <w:pStyle w:val="InstructionsText"/>
              <w:rPr>
                <w:rStyle w:val="InstructionsTabelleberschrift"/>
                <w:rFonts w:ascii="Times New Roman" w:hAnsi="Times New Roman"/>
                <w:sz w:val="24"/>
              </w:rPr>
            </w:pPr>
            <w:r>
              <w:t>Kernekapitalprocenten som defineret i artikel 92, stk. 2, litra b), i forordning (EU) nr. 575/2013, udtrykt som en procentdel af den samlede risikoeksponering beregnet i overensstemmelse med artikel 92, stk. 4, i forordning (EU) nr.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Kapitalprocent i alt i betragtning af TREA uden gulv</w:t>
            </w:r>
          </w:p>
          <w:p w14:paraId="79DB9F56" w14:textId="77777777" w:rsidR="00CC7D2C" w:rsidRPr="002A677E" w:rsidRDefault="00CC7D2C" w:rsidP="00320EFD">
            <w:pPr>
              <w:pStyle w:val="InstructionsText"/>
              <w:rPr>
                <w:rStyle w:val="InstructionsTabelleberschrift"/>
                <w:rFonts w:ascii="Times New Roman" w:hAnsi="Times New Roman"/>
                <w:sz w:val="24"/>
              </w:rPr>
            </w:pPr>
            <w:r>
              <w:t>Den samlede kapitalprocent som defineret i artikel 92, stk. 2, litra c), i forordning (EU) nr. 575/2013, udtrykt som en procentdel af den samlede risikoeksponering beregnet i overensstemmelse med artikel 92, stk. 4, i forordning (EU) nr.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Samlet SREP-kapitalkrav (TSCR), i %</w:t>
            </w:r>
          </w:p>
          <w:p w14:paraId="422D18B0" w14:textId="77777777" w:rsidR="00CC7D2C" w:rsidRPr="002A677E" w:rsidRDefault="00CC7D2C" w:rsidP="00320EFD">
            <w:pPr>
              <w:pStyle w:val="InstructionsText"/>
            </w:pPr>
            <w:r>
              <w:t>Summen af i) og ii) som følger:</w:t>
            </w:r>
          </w:p>
          <w:p w14:paraId="5718EEA1" w14:textId="77777777" w:rsidR="00CC7D2C" w:rsidRPr="002A677E" w:rsidRDefault="00CC7D2C" w:rsidP="00320EFD">
            <w:pPr>
              <w:pStyle w:val="InstructionsText"/>
            </w:pPr>
            <w:r>
              <w:t xml:space="preserve">den samlede kapitalprocent (8 %), jf. artikel 92, stk. 1, litra c), i forordning (EU) nr. 575/2013 </w:t>
            </w:r>
          </w:p>
          <w:p w14:paraId="72877665" w14:textId="77777777" w:rsidR="00CC7D2C" w:rsidRPr="002A677E" w:rsidRDefault="00CC7D2C" w:rsidP="00320EFD">
            <w:pPr>
              <w:pStyle w:val="InstructionsText"/>
            </w:pPr>
            <w:r>
              <w:t>krav om yderligere kapitalgrundlag (søjle 2-krav — P2R) som omhandlet i artikel 104, stk. 1, litra a), i direktiv 2013/36/EU, der angives som en procent. De fastsættes i overensstemmelse med kriterierne i EBA's retningslinjer om fælles procedurer og metoder for tilsynskontrol- og vurderingsprocessen og tilsynsmæssig stresstestning (</w:t>
            </w:r>
            <w:r>
              <w:rPr>
                <w:i/>
              </w:rPr>
              <w:t>EBA Guidelines on common procedures and methodologies for the supervisory review and evaluation process and supervisory stress testing</w:t>
            </w:r>
            <w:r>
              <w:t xml:space="preserve"> — EBA SREP GL).</w:t>
            </w:r>
          </w:p>
          <w:p w14:paraId="51D5EDB6" w14:textId="77777777" w:rsidR="00CC7D2C" w:rsidRPr="002A677E" w:rsidRDefault="00CC7D2C" w:rsidP="00320EFD">
            <w:pPr>
              <w:pStyle w:val="InstructionsText"/>
            </w:pPr>
            <w:r>
              <w:t>Denne post afspejler det samlede SREP-kapitalkrav (TSCR), i procent, som den kompetente myndighed har meddelt instituttet. TSCR er defineret i afsnit 7.4 og 7.5 i EBA SREP GL.</w:t>
            </w:r>
          </w:p>
          <w:p w14:paraId="170D440C" w14:textId="77777777" w:rsidR="00CC7D2C" w:rsidRDefault="00CC7D2C" w:rsidP="00320EFD">
            <w:pPr>
              <w:pStyle w:val="InstructionsText"/>
            </w:pPr>
            <w:r>
              <w:t xml:space="preserve">Hvis den kompetente myndighed ikke har oplyst om nogen krav om yderligere kapitalgrundlag, er det kun nr. i), der skal indberettes. </w:t>
            </w:r>
          </w:p>
          <w:p w14:paraId="72F84D88" w14:textId="77777777" w:rsidR="00CC7D2C" w:rsidRDefault="00CC7D2C" w:rsidP="00320EFD">
            <w:pPr>
              <w:pStyle w:val="InstructionsText"/>
            </w:pPr>
            <w:r>
              <w:t>Hvis instituttet er bundet af outputgulvet, skal de indberettede data repræsentere det samlede TSCR, der er fastsat for opfyldelse af kravene på indberetningsdatoen under hensyntagen til bestemmelserne i artikel 104a, stk. 6, i direktiv 2013/36/EU.</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 form af egentlig kernekapital </w:t>
            </w:r>
          </w:p>
          <w:p w14:paraId="28F90F3C" w14:textId="77777777" w:rsidR="00CC7D2C" w:rsidRPr="002A677E" w:rsidRDefault="00CC7D2C" w:rsidP="00320EFD">
            <w:pPr>
              <w:pStyle w:val="InstructionsText"/>
            </w:pPr>
            <w:r>
              <w:t>Summen af i) og ii) som følger:</w:t>
            </w:r>
          </w:p>
          <w:p w14:paraId="75CA447D" w14:textId="77777777" w:rsidR="00CC7D2C" w:rsidRPr="002A677E" w:rsidRDefault="00CC7D2C" w:rsidP="006A55E8">
            <w:pPr>
              <w:pStyle w:val="InstructionsText"/>
              <w:numPr>
                <w:ilvl w:val="0"/>
                <w:numId w:val="20"/>
              </w:numPr>
            </w:pPr>
            <w:r>
              <w:lastRenderedPageBreak/>
              <w:t>den egentlige kernekapitalprocent (4,5 %), jf. artikel 92, stk. 1, litra a), i forordning (EU) nr. 575/2013</w:t>
            </w:r>
          </w:p>
          <w:p w14:paraId="6BB26B7D" w14:textId="77777777" w:rsidR="00CC7D2C" w:rsidRPr="002A677E" w:rsidRDefault="00CC7D2C" w:rsidP="006A55E8">
            <w:pPr>
              <w:pStyle w:val="InstructionsText"/>
              <w:numPr>
                <w:ilvl w:val="0"/>
                <w:numId w:val="20"/>
              </w:numPr>
              <w:rPr>
                <w:b/>
                <w:bCs/>
                <w:u w:val="single"/>
              </w:rPr>
            </w:pPr>
            <w:r>
              <w:t>den del af søjle 2-andelen, omhandlet i række 0130, nr. ii), som den kompetente myndighed kræver besiddes i form af egentlig kernekapital.</w:t>
            </w:r>
          </w:p>
          <w:p w14:paraId="36D292D2" w14:textId="77777777" w:rsidR="00CC7D2C" w:rsidRDefault="00CC7D2C" w:rsidP="00320EFD">
            <w:pPr>
              <w:pStyle w:val="InstructionsText"/>
              <w:rPr>
                <w:rStyle w:val="InstructionsTabelleberschrift"/>
                <w:rFonts w:ascii="Times New Roman" w:hAnsi="Times New Roman"/>
                <w:b w:val="0"/>
                <w:sz w:val="24"/>
              </w:rPr>
            </w:pPr>
            <w:r>
              <w:t>Hvis den kompetente myndighed ikke har oplyst om nogen krav om yderligere kapitalgrundlag, der skal holdes i form af egentlig kernekapital, er det kun nr. i), der skal indberettes.</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Hvis instituttet er bundet af outputgulvet, skal de indberettede data repræsentere det samlede TSCR, der er fastsat for opfyldelse af kravene på indberetningsdatoen under hensyntagen til bestemmelserne i artikel 104a, stk. 6, i direktiv 2013/36/EU.</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lastRenderedPageBreak/>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 form af kernekapital</w:t>
            </w:r>
          </w:p>
          <w:p w14:paraId="58AEED52" w14:textId="77777777" w:rsidR="00CC7D2C" w:rsidRPr="002A677E" w:rsidRDefault="00CC7D2C" w:rsidP="00320EFD">
            <w:pPr>
              <w:pStyle w:val="InstructionsText"/>
            </w:pPr>
            <w:r>
              <w:t>Summen af i) og ii) som følger:</w:t>
            </w:r>
          </w:p>
          <w:p w14:paraId="49D34E50" w14:textId="77777777" w:rsidR="00CC7D2C" w:rsidRPr="002A677E" w:rsidRDefault="00CC7D2C" w:rsidP="006A55E8">
            <w:pPr>
              <w:pStyle w:val="InstructionsText"/>
              <w:numPr>
                <w:ilvl w:val="0"/>
                <w:numId w:val="38"/>
              </w:numPr>
            </w:pPr>
            <w:r>
              <w:t>kernekapitalprocenten (6 %), jf. artikel 92, stk. 1, litra b), i forordning (EU) nr. 575/2013</w:t>
            </w:r>
          </w:p>
          <w:p w14:paraId="4A701FA4" w14:textId="77777777" w:rsidR="00CC7D2C" w:rsidRPr="002A677E" w:rsidRDefault="00CC7D2C" w:rsidP="006A55E8">
            <w:pPr>
              <w:pStyle w:val="InstructionsText"/>
              <w:numPr>
                <w:ilvl w:val="0"/>
                <w:numId w:val="38"/>
              </w:numPr>
              <w:rPr>
                <w:bCs/>
                <w:u w:val="single"/>
              </w:rPr>
            </w:pPr>
            <w:r>
              <w:t>den del af søjle 2-andelen, omhandlet i række 0130, nr. ii), som den kompetente myndighed kræver besiddes i form af kernekapital.</w:t>
            </w:r>
          </w:p>
          <w:p w14:paraId="4A7AA27B" w14:textId="77777777" w:rsidR="00CC7D2C" w:rsidRDefault="00CC7D2C" w:rsidP="00320EFD">
            <w:pPr>
              <w:pStyle w:val="InstructionsText"/>
            </w:pPr>
            <w:r>
              <w:t>Hvis den kompetente myndighed ikke har oplyst om nogen krav om yderligere kapitalgrundlag, der skal holdes i form af kernekapital, er det kun nr. i), der skal indberettes.</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Hvis instituttet er bundet af outputgulvet, skal de indberettede data repræsentere det samlede TSCR, der er fastsat for opfyldelse af kravene på indberetningsdatoen under hensyntagen til bestemmelserne i artikel 104a, stk. 6, i direktiv 2013/36/EU.</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Samlet SREP-kapitalkrav, i %, (TSCR), uden loft, jf. artikel 104a, stk. 6, litra a), i direktiv 2013/36/EU</w:t>
            </w:r>
          </w:p>
          <w:p w14:paraId="63F2FF34" w14:textId="7D1FAC05" w:rsidR="00CC7D2C" w:rsidRDefault="00CC7D2C" w:rsidP="00320EFD">
            <w:pPr>
              <w:pStyle w:val="InstructionsText"/>
            </w:pPr>
            <w:r>
              <w:t>Artikel 8, stk. 6, litra a), i direktiv 2013/36/EU.</w:t>
            </w:r>
          </w:p>
          <w:p w14:paraId="7C3569BE" w14:textId="77777777" w:rsidR="00CC7D2C" w:rsidRPr="002A677E" w:rsidRDefault="00CC7D2C" w:rsidP="00320EFD">
            <w:pPr>
              <w:pStyle w:val="InstructionsText"/>
              <w:rPr>
                <w:rStyle w:val="InstructionsTabelleberschrift"/>
                <w:rFonts w:ascii="Times New Roman" w:hAnsi="Times New Roman"/>
                <w:sz w:val="24"/>
              </w:rPr>
            </w:pPr>
            <w:r>
              <w:t>For så vidt angår institutter, der er bundet af outputgulvet, TSCR-procenten uden det midlertidige loft, der er fastsat i artikel 104a, stk. 6, litra b), i direktiv 2013/36/EU.</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i form af egentlig kernekapital</w:t>
            </w:r>
          </w:p>
          <w:p w14:paraId="15CE0D0B" w14:textId="43173606" w:rsidR="00CC7D2C" w:rsidRDefault="00CC7D2C" w:rsidP="00320EFD">
            <w:pPr>
              <w:pStyle w:val="InstructionsText"/>
            </w:pPr>
            <w:r>
              <w:t>Artikel 8, stk. 6, litra a), i direktiv 2013/36/EU.</w:t>
            </w:r>
          </w:p>
          <w:p w14:paraId="1CD71865" w14:textId="77777777" w:rsidR="00CC7D2C" w:rsidRPr="002A677E" w:rsidRDefault="00CC7D2C" w:rsidP="00320EFD">
            <w:pPr>
              <w:pStyle w:val="InstructionsText"/>
              <w:rPr>
                <w:rStyle w:val="InstructionsTabelleberschrift"/>
                <w:rFonts w:ascii="Times New Roman" w:hAnsi="Times New Roman"/>
                <w:sz w:val="24"/>
              </w:rPr>
            </w:pPr>
            <w:r>
              <w:t>For så vidt angår institutter, der er bundet af outputgulvet, TSCR-procenten uden det midlertidige loft, der er fastsat i artikel 104a, stk. 6, litra b), i direktiv 2013/36/EU.</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i form af kernekapital</w:t>
            </w:r>
          </w:p>
          <w:p w14:paraId="244808EF" w14:textId="6711A984" w:rsidR="00CC7D2C" w:rsidRDefault="00CC7D2C" w:rsidP="00320EFD">
            <w:pPr>
              <w:pStyle w:val="InstructionsText"/>
            </w:pPr>
            <w:r>
              <w:t>Artikel 8, stk. 6, litra a), i direktiv 2013/36/EU.</w:t>
            </w:r>
          </w:p>
          <w:p w14:paraId="7A8B6EB2" w14:textId="77777777" w:rsidR="00CC7D2C" w:rsidRPr="002A677E" w:rsidRDefault="00CC7D2C" w:rsidP="00320EFD">
            <w:pPr>
              <w:pStyle w:val="InstructionsText"/>
              <w:rPr>
                <w:rStyle w:val="InstructionsTabelleberschrift"/>
                <w:rFonts w:ascii="Times New Roman" w:hAnsi="Times New Roman"/>
                <w:sz w:val="24"/>
              </w:rPr>
            </w:pPr>
            <w:r>
              <w:t>For så vidt angår institutter, der er bundet af outputgulvet, TSCR-procenten uden det midlertidige loft, der er fastsat i artikel 104a, stk. 6, litra b), i direktiv 2013/36/EU.</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lastRenderedPageBreak/>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Sammenlagt kapitalkrav (OCR), i %</w:t>
            </w:r>
          </w:p>
          <w:p w14:paraId="5D827426" w14:textId="77777777" w:rsidR="00CC7D2C" w:rsidRPr="002A677E" w:rsidRDefault="00CC7D2C" w:rsidP="00320EFD">
            <w:pPr>
              <w:pStyle w:val="InstructionsText"/>
            </w:pPr>
            <w:r>
              <w:t>Summen af i) og ii) som følger:</w:t>
            </w:r>
          </w:p>
          <w:p w14:paraId="70AEC1C6" w14:textId="77777777" w:rsidR="00CC7D2C" w:rsidRPr="002A677E" w:rsidRDefault="00CC7D2C" w:rsidP="006A55E8">
            <w:pPr>
              <w:pStyle w:val="InstructionsText"/>
              <w:numPr>
                <w:ilvl w:val="0"/>
                <w:numId w:val="39"/>
              </w:numPr>
            </w:pPr>
            <w:r>
              <w:t>TSCR-andelen i række 0130</w:t>
            </w:r>
          </w:p>
          <w:p w14:paraId="7B4CBF50" w14:textId="77777777" w:rsidR="00CC7D2C" w:rsidRPr="002A677E" w:rsidRDefault="00CC7D2C" w:rsidP="006A55E8">
            <w:pPr>
              <w:pStyle w:val="InstructionsText"/>
              <w:numPr>
                <w:ilvl w:val="0"/>
                <w:numId w:val="39"/>
              </w:numPr>
            </w:pPr>
            <w:r>
              <w:t>hvis det er påkrævet iht. lovgivningen, det kombinerede bufferkrav, jf. artikel 128, nr. 6), i direktiv 2013/36/EU.</w:t>
            </w:r>
          </w:p>
          <w:p w14:paraId="4A545FF7" w14:textId="77777777" w:rsidR="00CC7D2C" w:rsidRPr="002A677E" w:rsidRDefault="00CC7D2C" w:rsidP="00320EFD">
            <w:pPr>
              <w:pStyle w:val="InstructionsText"/>
            </w:pPr>
            <w:r>
              <w:t>Denne post afspejler det sammenlagte kapitalkrav (OCR), i procent, som defineret i afsnit 7.5 i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Hvis intet bufferkrav finder anvendelse, indberettes kun nr.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 form af egentlig kernekapital </w:t>
            </w:r>
          </w:p>
          <w:p w14:paraId="3B6DAF93" w14:textId="77777777" w:rsidR="00CC7D2C" w:rsidRPr="002A677E" w:rsidRDefault="00CC7D2C" w:rsidP="00320EFD">
            <w:pPr>
              <w:pStyle w:val="InstructionsText"/>
            </w:pPr>
            <w:r>
              <w:t>Summen af i) og ii) som følger:</w:t>
            </w:r>
          </w:p>
          <w:p w14:paraId="79F55B10" w14:textId="77777777" w:rsidR="00CC7D2C" w:rsidRPr="002A677E" w:rsidRDefault="00CC7D2C" w:rsidP="006A55E8">
            <w:pPr>
              <w:pStyle w:val="InstructionsText"/>
              <w:numPr>
                <w:ilvl w:val="0"/>
                <w:numId w:val="40"/>
              </w:numPr>
            </w:pPr>
            <w:r>
              <w:t>TSCR-andelen i form af egentlig kernekapital, jf. række 0140</w:t>
            </w:r>
          </w:p>
          <w:p w14:paraId="54B36BA6" w14:textId="77777777" w:rsidR="00CC7D2C" w:rsidRPr="002A677E" w:rsidRDefault="00CC7D2C" w:rsidP="006A55E8">
            <w:pPr>
              <w:pStyle w:val="InstructionsText"/>
              <w:numPr>
                <w:ilvl w:val="0"/>
                <w:numId w:val="40"/>
              </w:numPr>
              <w:rPr>
                <w:bCs/>
                <w:u w:val="single"/>
              </w:rPr>
            </w:pPr>
            <w:r>
              <w:t>hvis det er påkrævet iht. lovgivningen, det kombinerede bufferkrav, jf. artikel 128, nr. 6), i direktiv 2013/36/EU.</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Hvis intet bufferkrav finder anvendelse, indberettes kun nr.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 form af kernekapital</w:t>
            </w:r>
          </w:p>
          <w:p w14:paraId="54EBB570" w14:textId="77777777" w:rsidR="00CC7D2C" w:rsidRPr="002A677E" w:rsidRDefault="00CC7D2C" w:rsidP="00320EFD">
            <w:pPr>
              <w:pStyle w:val="InstructionsText"/>
            </w:pPr>
            <w:r>
              <w:t>Summen af i) og ii) som følger:</w:t>
            </w:r>
          </w:p>
          <w:p w14:paraId="719C6493" w14:textId="77777777" w:rsidR="00CC7D2C" w:rsidRPr="002A677E" w:rsidRDefault="00CC7D2C" w:rsidP="006A55E8">
            <w:pPr>
              <w:pStyle w:val="InstructionsText"/>
              <w:numPr>
                <w:ilvl w:val="0"/>
                <w:numId w:val="41"/>
              </w:numPr>
            </w:pPr>
            <w:r>
              <w:t>TSCR-andelen i form af kernekernekapital, jf. række 0150</w:t>
            </w:r>
          </w:p>
          <w:p w14:paraId="17CB41E8" w14:textId="77777777" w:rsidR="00CC7D2C" w:rsidRPr="002A677E" w:rsidRDefault="00CC7D2C" w:rsidP="006A55E8">
            <w:pPr>
              <w:pStyle w:val="InstructionsText"/>
              <w:numPr>
                <w:ilvl w:val="0"/>
                <w:numId w:val="41"/>
              </w:numPr>
              <w:rPr>
                <w:bCs/>
                <w:u w:val="single"/>
              </w:rPr>
            </w:pPr>
            <w:r>
              <w:t>hvis det er påkrævet iht. lovgivningen, det kombinerede bufferkrav, jf. artikel 128, nr. 6), i direktiv 2013/36/EU.</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Hvis intet bufferkrav finder anvendelse, indberettes kun nr.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Sammenlagt kapitalkrav (OCR) og søjle 2-retningslinjer (P2G), i %</w:t>
            </w:r>
          </w:p>
          <w:p w14:paraId="35C8C660" w14:textId="77777777" w:rsidR="00CC7D2C" w:rsidRPr="002A677E" w:rsidRDefault="00CC7D2C" w:rsidP="00320EFD">
            <w:pPr>
              <w:pStyle w:val="InstructionsText"/>
            </w:pPr>
            <w:r>
              <w:t>Summen af i) og ii) som følger:</w:t>
            </w:r>
          </w:p>
          <w:p w14:paraId="726F15CE" w14:textId="77777777" w:rsidR="00CC7D2C" w:rsidRPr="002A677E" w:rsidRDefault="00CC7D2C" w:rsidP="006A55E8">
            <w:pPr>
              <w:pStyle w:val="InstructionsText"/>
              <w:numPr>
                <w:ilvl w:val="0"/>
                <w:numId w:val="42"/>
              </w:numPr>
            </w:pPr>
            <w:r>
              <w:t>OCR-andelen i række 160</w:t>
            </w:r>
          </w:p>
          <w:p w14:paraId="2AA4843C" w14:textId="77777777" w:rsidR="00CC7D2C" w:rsidRPr="002A677E" w:rsidRDefault="00CC7D2C" w:rsidP="006A55E8">
            <w:pPr>
              <w:pStyle w:val="InstructionsText"/>
              <w:numPr>
                <w:ilvl w:val="0"/>
                <w:numId w:val="42"/>
              </w:numPr>
              <w:rPr>
                <w:bCs/>
                <w:u w:val="single"/>
              </w:rPr>
            </w:pPr>
            <w:r>
              <w:t>hvor det er relevant, den vejledning om yderligere kapitalgrundlag, som den kompetente myndighed har givet meddelelse om (søjle 2-retningslinier — P2G) som omhandlet i artikel 104b, stk. 3, i direktiv 2013/36/EU, og som angives som en procent. Det defineres i henhold til afsnit 7.7.1 i EBA SREP GL. P2G medtages kun, hvis den kompetente myndighed har meddelt det til instituttet.</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Hvis den kompetente myndighed ikke har oplyst om nogen P2G, er det kun nr. i), der skal indberettes.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egentlig kernekapital </w:t>
            </w:r>
          </w:p>
          <w:p w14:paraId="13795065" w14:textId="77777777" w:rsidR="00CC7D2C" w:rsidRPr="002A677E" w:rsidRDefault="00CC7D2C" w:rsidP="00320EFD">
            <w:pPr>
              <w:pStyle w:val="InstructionsText"/>
            </w:pPr>
            <w:r>
              <w:t>Summen af i) og ii) som følger:</w:t>
            </w:r>
          </w:p>
          <w:p w14:paraId="300DF4C8" w14:textId="77777777" w:rsidR="00CC7D2C" w:rsidRPr="002A677E" w:rsidRDefault="00CC7D2C" w:rsidP="006A55E8">
            <w:pPr>
              <w:pStyle w:val="InstructionsText"/>
              <w:numPr>
                <w:ilvl w:val="0"/>
                <w:numId w:val="43"/>
              </w:numPr>
            </w:pPr>
            <w:r>
              <w:t>OCR-andelen i form af egentlig kernekapital, jf. række 0170</w:t>
            </w:r>
          </w:p>
          <w:p w14:paraId="22745814" w14:textId="77777777" w:rsidR="00CC7D2C" w:rsidRPr="002A677E" w:rsidRDefault="00CC7D2C" w:rsidP="006A55E8">
            <w:pPr>
              <w:pStyle w:val="InstructionsText"/>
              <w:numPr>
                <w:ilvl w:val="0"/>
                <w:numId w:val="43"/>
              </w:numPr>
              <w:rPr>
                <w:bCs/>
                <w:u w:val="single"/>
              </w:rPr>
            </w:pPr>
            <w:r>
              <w:t>hvis relevant, den del af P2G, omhandlet i række 0190, nr. ii), som den kompetente myndighed kræver besiddes i form af egentlig kernekapital. P2G medtages kun, hvis den kompetente myndighed har meddelt det til instituttet.</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lastRenderedPageBreak/>
              <w:t>Hvis den kompetente myndighed ikke har oplyst om nogen P2G, er det kun nr. i), der skal indberettes.</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lastRenderedPageBreak/>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kernekapital </w:t>
            </w:r>
          </w:p>
          <w:p w14:paraId="4156D090" w14:textId="77777777" w:rsidR="00CC7D2C" w:rsidRPr="002A677E" w:rsidRDefault="00CC7D2C" w:rsidP="00320EFD">
            <w:pPr>
              <w:pStyle w:val="InstructionsText"/>
            </w:pPr>
            <w:r>
              <w:t>Summen af i) og ii) som følger:</w:t>
            </w:r>
          </w:p>
          <w:p w14:paraId="3A8C0BF0" w14:textId="77777777" w:rsidR="00CC7D2C" w:rsidRPr="002A677E" w:rsidRDefault="00CC7D2C" w:rsidP="006A55E8">
            <w:pPr>
              <w:pStyle w:val="InstructionsText"/>
              <w:numPr>
                <w:ilvl w:val="0"/>
                <w:numId w:val="44"/>
              </w:numPr>
            </w:pPr>
            <w:r>
              <w:t>OCR-andelen i form af kernekernekapital, jf. række 0180</w:t>
            </w:r>
          </w:p>
          <w:p w14:paraId="29B2D80C" w14:textId="77777777" w:rsidR="00CC7D2C" w:rsidRPr="002A677E" w:rsidRDefault="00CC7D2C" w:rsidP="006A55E8">
            <w:pPr>
              <w:pStyle w:val="InstructionsText"/>
              <w:numPr>
                <w:ilvl w:val="0"/>
                <w:numId w:val="44"/>
              </w:numPr>
            </w:pPr>
            <w:r>
              <w:t>hvis relevant, den del af P2G, omhandlet i række 0190, nr. ii), som den kompetente myndighed kræver besiddes i form af egentlig kernekapital. P2G medtages kun, hvis den kompetente myndighed har meddelt det til instituttet.</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Hvis den kompetente myndighed ikke har oplyst om nogen P2G, er det kun nr. i), der skal indberettes.</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Overskud (+)/Underskud (-) af den egentlige kernekapital under hensyntagen til kravene i artikel 92 i forordning (EU) nr. 575/2013 og 104a i direktiv 2013/36/EU</w:t>
            </w:r>
          </w:p>
          <w:p w14:paraId="372BA67A" w14:textId="77777777" w:rsidR="00CC7D2C" w:rsidRPr="002A677E" w:rsidRDefault="00CC7D2C" w:rsidP="00320EFD">
            <w:pPr>
              <w:pStyle w:val="InstructionsText"/>
            </w:pPr>
            <w:r>
              <w:t>I denne post vises (i absolutte tal) beløbet for overskuddet eller underskuddet af egentlig kernekapital i forbindelse med kravene i artikel 92, stk. 1, litra a), i forordning (EU) nr. 575/2013 (4,5 %) og artikel 104a i direktiv 2013/36/EU — eksklusive yderligere kapitalgrundlag, der kræves for at imødegå risikoen for overdreven gearing i henhold til nævnte artikels stk. 3 — i det omfang kravet i nævnte direktivs artikel 104a skal opfyldes med egentlig kernekapital. Hvis et institut skal anvende sin egentlige kernekapital til at opfylde kravene i artikel 92, stk. 1, litra b) og/eller c), i forordning (EU) nr. 575/2013 og/eller artikel 104a i direktiv 2013/36/EU ud over det omfang, at sidstnævnte skal opfyldes med egentlig kernekapital, skal det indberettede overskud eller underskud tage hensyn hertil.</w:t>
            </w:r>
          </w:p>
          <w:p w14:paraId="209E5975" w14:textId="77777777" w:rsidR="00CC7D2C" w:rsidRPr="002A677E" w:rsidRDefault="00CC7D2C" w:rsidP="00320EFD">
            <w:pPr>
              <w:pStyle w:val="InstructionsText"/>
              <w:rPr>
                <w:rStyle w:val="InstructionsTabelleberschrift"/>
                <w:rFonts w:ascii="Times New Roman" w:hAnsi="Times New Roman"/>
                <w:sz w:val="24"/>
              </w:rPr>
            </w:pPr>
            <w:r>
              <w:t>Dette beløb afspejler den egentlige kernekapital, der er til rådighed til opfyldelse af det kombinerede bufferkrav og andre krav.</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Fuldt ladet egentlig kernekapitalprocent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Artikel 92, stk. 2, litra a), i forordning (EU) nr. 575/2013 uden anvendelse af artikel 465 i nævnte forordning.</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Fuldt ladet kernekapitalprocent </w:t>
            </w:r>
          </w:p>
          <w:p w14:paraId="39EB4D1F" w14:textId="77777777" w:rsidR="00CC7D2C" w:rsidRPr="009A3DD3" w:rsidRDefault="00CC7D2C" w:rsidP="00822842">
            <w:pPr>
              <w:rPr>
                <w:rFonts w:ascii="Times New Roman" w:hAnsi="Times New Roman"/>
                <w:sz w:val="24"/>
              </w:rPr>
            </w:pPr>
            <w:r>
              <w:rPr>
                <w:rFonts w:ascii="Times New Roman" w:hAnsi="Times New Roman"/>
                <w:sz w:val="24"/>
              </w:rPr>
              <w:t>Artikel 92, stk. 2, litra b), i forordning (EU) nr. 575/2013 uden anvendelse af artikel 465 i nævnte forordning.</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Fuldt ladet kapitalprocent i alt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Artikel 92, stk. 2, litra c), i forordning (EU) nr. 575/2013 uden anvendelse af artikel 465 i nævnte forordning.</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Egentlig kernekapitalprocent uden anvendelse af overgangsbestemmelserne for outputgulv for S-TREA (artikel 465, stk. 3, 4, 5 og 7, i forordning (EU) nr.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lastRenderedPageBreak/>
              <w:t>Artikel 92, stk. 2, litra a), i forordning (EU) nr. 575/2013 uden anvendelse af artikel 465, stk. 3, 4, 5 og 7, i nævnte forordning.</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lastRenderedPageBreak/>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Kernekapitalprocent uden anvendelse af overgangsbestemmelserne for outputgulv for S-TREA (artikel 465, stk. 3, 4, 5 og 7, i forordning (EU) nr.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Artikel 92, stk. 2, litra b), i forordning (EU) nr. 575/2013 uden anvendelse af artikel 465, stk. 3, 4, 5 og 7, i nævnte forordning.</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Kapitalprocent i alt uden anvendelse af overgangsbestemmelserne for outputgulv for S-TREA (artikel 465, stk. 3, 4, 5 og 7, i forordning (EU) nr.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Artikel 92, stk. 2, litra c), i forordning (EU) nr. 575/2013 uden anvendelse af artikel 465, stk. 3, 4, 5 og 7, i nævnte forordning.</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tab/>
        <w:t>C 04.00 — MEMORANDUMPOSTER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tab/>
        <w:t>Instrukser vedrørende specifikke positioner</w:t>
      </w:r>
      <w:bookmarkEnd w:id="41"/>
      <w:bookmarkEnd w:id="42"/>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7009"/>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Rækker</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Samlede udskudte skatteaktiver</w:t>
            </w:r>
          </w:p>
          <w:p w14:paraId="245EEDA1" w14:textId="77777777" w:rsidR="00CC7D2C" w:rsidRPr="002A677E" w:rsidRDefault="00CC7D2C" w:rsidP="00320EFD">
            <w:pPr>
              <w:pStyle w:val="InstructionsText"/>
            </w:pPr>
            <w:r>
              <w:t>Det indberettede beløb skal være det samme som det, der er opført på den seneste kontrollerede/reviderede balance.</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Udskudte skatteaktiver, som ikke afhænger af fremtidig rentabilitet</w:t>
            </w:r>
          </w:p>
          <w:p w14:paraId="119E6584" w14:textId="77777777" w:rsidR="00CC7D2C" w:rsidRPr="002A677E" w:rsidRDefault="00CC7D2C" w:rsidP="00320EFD">
            <w:pPr>
              <w:pStyle w:val="InstructionsText"/>
            </w:pPr>
            <w:r>
              <w:t>Artikel 39, stk. 2, i forordning (EU) nr. 575/2013</w:t>
            </w:r>
          </w:p>
          <w:p w14:paraId="04A932CD" w14:textId="77777777" w:rsidR="00CC7D2C" w:rsidRPr="002A677E" w:rsidRDefault="00CC7D2C" w:rsidP="00320EFD">
            <w:pPr>
              <w:pStyle w:val="InstructionsText"/>
            </w:pPr>
            <w:r>
              <w:t>Udskudte skatteaktiver, som er opstået før den 23. november 2016, og som ikke afhænger af fremtidig rentabilitet og derfor er genstand for risikovægtning.</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Udskudte skatteaktiver, som afhænger af fremtidig rentabilitet og ikke skyldes midlertidige forskelle</w:t>
            </w:r>
          </w:p>
          <w:p w14:paraId="477958DE" w14:textId="77777777" w:rsidR="00CC7D2C" w:rsidRPr="002A677E" w:rsidRDefault="00CC7D2C" w:rsidP="00320EFD">
            <w:pPr>
              <w:pStyle w:val="InstructionsText"/>
            </w:pPr>
            <w:r>
              <w:t>Artikel 36, stk. 1, litra c), og artikel 38 i forordning (EU) nr. 575/2013</w:t>
            </w:r>
          </w:p>
          <w:p w14:paraId="155315E4" w14:textId="77777777" w:rsidR="00CC7D2C" w:rsidRPr="002A677E" w:rsidRDefault="00CC7D2C" w:rsidP="00320EFD">
            <w:pPr>
              <w:pStyle w:val="InstructionsText"/>
            </w:pPr>
            <w:r>
              <w:t>Udskudte skatteaktiver, som afhænger af fremtidig rentabilitet, men ikke skyldes midlertidige forskelle, og dermed ikke er genstand for nogen tærskel (dvs. fratrækkes den egentlige kernekapital).</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Udskudte skatteaktiver, som afhænger af fremtidig rentabilitet og skyldes midlertidige forskelle</w:t>
            </w:r>
          </w:p>
          <w:p w14:paraId="084F3ACD" w14:textId="77777777" w:rsidR="00CC7D2C" w:rsidRPr="002A677E" w:rsidRDefault="00CC7D2C" w:rsidP="00320EFD">
            <w:pPr>
              <w:pStyle w:val="InstructionsText"/>
            </w:pPr>
            <w:r>
              <w:t>Artikel 36, stk. 1, litra c), artikel 38 og artikel 48, stk. 1, litra a), i forordning (EU) nr. 575/2013</w:t>
            </w:r>
          </w:p>
          <w:p w14:paraId="628F7B8D" w14:textId="77777777" w:rsidR="00CC7D2C" w:rsidRPr="002A677E" w:rsidRDefault="00CC7D2C" w:rsidP="00320EFD">
            <w:pPr>
              <w:pStyle w:val="InstructionsText"/>
            </w:pPr>
            <w:r>
              <w:t xml:space="preserve">Udskudte skatteaktiver, som afhænger af fremtidig rentabilitet og skyldes midlertidige forskelle, hvorfor deres fradrag i den egentlige </w:t>
            </w:r>
            <w:r>
              <w:lastRenderedPageBreak/>
              <w:t>kernekapital er underlagt tærsklerne på 10 % og 17,65 % i artikel 48 i forordning (EU) nr.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lastRenderedPageBreak/>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Samlede udskudte skatteforpligtelser</w:t>
            </w:r>
          </w:p>
          <w:p w14:paraId="7EEBFB46" w14:textId="77777777" w:rsidR="00CC7D2C" w:rsidRPr="002A677E" w:rsidRDefault="00CC7D2C" w:rsidP="00320EFD">
            <w:pPr>
              <w:pStyle w:val="InstructionsText"/>
            </w:pPr>
            <w:r>
              <w:t>Det indberettede beløb skal være det samme som det, der er opført på den seneste kontrollerede/reviderede balance.</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Udskudte skatteforpligtelser, der ikke kan fratrækkes udskudte skatteaktiver, der afhænger af fremtidig rentabilitet</w:t>
            </w:r>
          </w:p>
          <w:p w14:paraId="03F91C81" w14:textId="77777777" w:rsidR="00CC7D2C" w:rsidRPr="002A677E" w:rsidRDefault="00CC7D2C" w:rsidP="00320EFD">
            <w:pPr>
              <w:pStyle w:val="InstructionsText"/>
            </w:pPr>
            <w:r>
              <w:t>Artikel 38, 3 og 4, i forordning (EU) nr. 575/2013</w:t>
            </w:r>
          </w:p>
          <w:p w14:paraId="06C72D86" w14:textId="77777777" w:rsidR="00CC7D2C" w:rsidRPr="002A677E" w:rsidRDefault="00CC7D2C" w:rsidP="00320EFD">
            <w:pPr>
              <w:pStyle w:val="InstructionsText"/>
            </w:pPr>
            <w:r>
              <w:t>Udskudte skatteforpligtelser, for hvilke betingelserne i artikel 38, stk. 3 og 4, i forordning (EU) nr. 575/2013 ikke er opfyldt. Denne post skal derfor indeholde de udskudte skatteforpligtelser, der reducerer værdien af goodwill, andre immaterielle aktiver eller aktiver i ydelsesbaserede pensionskasser, som skal fratrækkes, der indberettes i henholdsvis CA1-post 1.1.1.10.3, 1.1.1.11.2 og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Udskudte skatteforpligtelser, der kan fratrækkes udskudte skatteaktiver, der afhænger af fremtidig rentabilitet</w:t>
            </w:r>
          </w:p>
          <w:p w14:paraId="52387C25" w14:textId="77777777" w:rsidR="00CC7D2C" w:rsidRPr="002A677E" w:rsidRDefault="00CC7D2C" w:rsidP="00320EFD">
            <w:pPr>
              <w:pStyle w:val="InstructionsText"/>
            </w:pPr>
            <w:r>
              <w:t>Artikel 38 i forordning (EU) nr.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Fradragsberettigede udskudte skatteforpligtelser tilknyttet udskudte skatteaktiver, som afhænger af fremtidig rentabilitet og ikke skyldes midlertidige forskelle</w:t>
            </w:r>
          </w:p>
          <w:p w14:paraId="57B5679C" w14:textId="77777777" w:rsidR="00CC7D2C" w:rsidRPr="002A677E" w:rsidRDefault="00CC7D2C" w:rsidP="00320EFD">
            <w:pPr>
              <w:pStyle w:val="InstructionsText"/>
            </w:pPr>
            <w:r>
              <w:t>Artikel 38, stk. 3, 4 og 5, i forordning (EU) nr. 575/2013</w:t>
            </w:r>
          </w:p>
          <w:p w14:paraId="6554BBC3" w14:textId="77777777" w:rsidR="00CC7D2C" w:rsidRPr="002A677E" w:rsidRDefault="00CC7D2C" w:rsidP="00320EFD">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forordning (EU) nr. 575/2013, og ikke er tildelt udskudte skatteaktiver, som afhænger af fremtidig rentabilitet og skyldes midlertidige forskelle, jf. artikel 38, stk. 5, i forordning (EU) nr.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Fradragsberettigede udskudte skatteforpligtelser tilknyttet udskudte skatteaktiver, som afhænger af fremtidig rentabilitet og skyldes midlertidige forskelle</w:t>
            </w:r>
          </w:p>
          <w:p w14:paraId="5386BFFB" w14:textId="77777777" w:rsidR="00CC7D2C" w:rsidRPr="002A677E" w:rsidRDefault="00CC7D2C" w:rsidP="00320EFD">
            <w:pPr>
              <w:pStyle w:val="InstructionsText"/>
            </w:pPr>
            <w:r>
              <w:t>Artikel 38, stk. 3, 4 og 5, i forordning (EU) nr. 575/2013</w:t>
            </w:r>
          </w:p>
          <w:p w14:paraId="737FD646" w14:textId="77777777" w:rsidR="00CC7D2C" w:rsidRPr="002A677E" w:rsidRDefault="00CC7D2C" w:rsidP="00320EFD">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forordning (EU) nr. 575/2013, og er tildelt udskudte skatteaktiver, som afhænger af fremtidig rentabilitet og skyldes midlertidige forskelle, jf. artikel 38, stk. 5, i forordning (EU) nr.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For meget betalt skat og tilbageførsel af skattemæssige underskud</w:t>
            </w:r>
          </w:p>
          <w:p w14:paraId="64C3A725" w14:textId="77777777" w:rsidR="00CC7D2C" w:rsidRPr="002A677E" w:rsidRDefault="00CC7D2C" w:rsidP="00320EFD">
            <w:pPr>
              <w:pStyle w:val="InstructionsText"/>
            </w:pPr>
            <w:r>
              <w:t>Artikel 39, stk. 1, i forordning (EU) nr.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Værdien af for meget betalt skat, tilbageførsel af skattemæssige underskud, der ikke fratrækkes kapitalgrundlaget i </w:t>
            </w:r>
            <w:r>
              <w:lastRenderedPageBreak/>
              <w:t>overensstemmelse med artikel 39, stk. 1, i forordning (EU) nr. 575/2013; den indberettede værdi skal være værdien før risikovægtning.</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lastRenderedPageBreak/>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Udskudte skatteaktiver tildelt en risikovægt på 250 %</w:t>
            </w:r>
          </w:p>
          <w:p w14:paraId="34D369D6" w14:textId="77777777" w:rsidR="00CC7D2C" w:rsidRPr="002A677E" w:rsidRDefault="00CC7D2C" w:rsidP="00320EFD">
            <w:pPr>
              <w:pStyle w:val="InstructionsText"/>
            </w:pPr>
            <w:r>
              <w:t>Artikel 48, stk. 4, i forordning (EU) nr.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48, stk. 1, i forordning (EU) nr. 575/2013, men som tildeles en risikovægt på 250 % i henhold til artikel 48, stk. 4, i nævnte forordning, idet der tages hensyn til virkningen af artikel 470 og artikel 478, stk. 2, i samme forordning. Den indberettede værdi skal være værdien af udskudte skatteaktiver før risikovægtning.</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Udskudte skatteaktiver tildelt en risikovægt på 0 %</w:t>
            </w:r>
          </w:p>
          <w:p w14:paraId="4E521C1C" w14:textId="77777777" w:rsidR="00CC7D2C" w:rsidRPr="002A677E" w:rsidRDefault="00CC7D2C" w:rsidP="00320EFD">
            <w:pPr>
              <w:pStyle w:val="InstructionsText"/>
            </w:pPr>
            <w:r>
              <w:t>Artikel 469, stk. 1, litra d), artikel 470, artikel 472, stk. 5, og artikel 478 i forordning (EU) nr.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469, stk. 1, litra d), artikel 470 og artikel 478, stk. 2, i forordning (EU) nr. 575/2013, men som tildeles en risikovægt på 0 % i henhold til artikel 472, stk. 5, i nævnte forordning. Den indberettede værdi skal være værdien af udskudte skatteaktiver før risikovægtning.</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Softwareaktiver, der medtages som immaterielle aktiver, der er fritaget for fradrag i den egentlige kernekapital</w:t>
            </w:r>
          </w:p>
          <w:p w14:paraId="5C8FA893" w14:textId="77777777" w:rsidR="00CC7D2C" w:rsidRPr="002A677E" w:rsidRDefault="00CC7D2C" w:rsidP="00320EFD">
            <w:pPr>
              <w:pStyle w:val="InstructionsText"/>
            </w:pPr>
            <w:r>
              <w:t>Artikel 36, stk. 1, litra b), i forordning (EU) nr.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Institutterne skal indberette værdien af de forsigtigt værdiansatte softwareaktiver, der er fritaget for fradraget i egentlige kernekapitalposter, jf. artikel 13a i delegeret forordning (EU) nr.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Hybride kernekapitalinstrumenter og overkurs ved emission i forbindelse hermed, der er klassificeret som egenkapital i henhold til gældende regnskabsstandarder</w:t>
            </w:r>
          </w:p>
          <w:p w14:paraId="461168E6" w14:textId="77777777" w:rsidR="00CC7D2C" w:rsidRPr="002A677E" w:rsidRDefault="00CC7D2C" w:rsidP="00320EFD">
            <w:pPr>
              <w:pStyle w:val="InstructionsText"/>
              <w:rPr>
                <w:rStyle w:val="InstructionsTabelleberschrift"/>
                <w:rFonts w:ascii="Times New Roman" w:hAnsi="Times New Roman"/>
                <w:sz w:val="24"/>
              </w:rPr>
            </w:pPr>
            <w:r>
              <w:t>Værdien af hybride instrumenter, herunder overkurs ved emission i forbindelse hermed, som er klassificeret som egenkapital i henhold til den gældende regnskabsstandard</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Hybride kernekapitalinstrumenter og overkurs ved emission i forbindelse hermed, der er klassificeret som forpligtelser i henhold til gældende regnskabsstandarder</w:t>
            </w:r>
          </w:p>
          <w:p w14:paraId="7B3EED9F" w14:textId="77777777" w:rsidR="00CC7D2C" w:rsidRPr="002A677E" w:rsidRDefault="00CC7D2C" w:rsidP="00320EFD">
            <w:pPr>
              <w:pStyle w:val="InstructionsText"/>
              <w:rPr>
                <w:rStyle w:val="InstructionsTabelleberschrift"/>
                <w:rFonts w:ascii="Times New Roman" w:hAnsi="Times New Roman"/>
                <w:sz w:val="24"/>
              </w:rPr>
            </w:pPr>
            <w:r>
              <w:t>Værdien af hybride instrumenter, herunder overkurs ved emission i forbindelse hermed, som er klassificeret som forpligtelser i henhold til den gældende regnskabsstandard</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 xml:space="preserve">Overskud (+) eller underskud (-) af kreditrisikojusteringer, yderligere værdijusteringer og andre reduktioner af </w:t>
            </w:r>
            <w:r>
              <w:rPr>
                <w:rStyle w:val="InstructionsTabelleberschrift"/>
                <w:rFonts w:ascii="Times New Roman" w:hAnsi="Times New Roman"/>
                <w:sz w:val="24"/>
              </w:rPr>
              <w:lastRenderedPageBreak/>
              <w:t>kapitalgrundlaget som følge af forventede tab til ikkemisligholdte eksponeringer opgjort efter IRB-metoden</w:t>
            </w:r>
          </w:p>
          <w:p w14:paraId="281DFA69" w14:textId="77777777" w:rsidR="00CC7D2C" w:rsidRPr="002A677E" w:rsidRDefault="00CC7D2C" w:rsidP="00320EFD">
            <w:pPr>
              <w:pStyle w:val="InstructionsText"/>
            </w:pPr>
            <w:r>
              <w:t>Artikel 36, stk. 1, litra d), artikel 62, litra d), artikel 158 og artikel 159 i forordning (EU) nr. 575/2013</w:t>
            </w:r>
          </w:p>
          <w:p w14:paraId="211C61EB" w14:textId="77777777" w:rsidR="00CC7D2C" w:rsidRPr="002A677E" w:rsidRDefault="00CC7D2C" w:rsidP="00320EFD">
            <w:pPr>
              <w:pStyle w:val="InstructionsText"/>
            </w:pPr>
            <w:r>
              <w:t>Denne post indberettes kun af institutter, der anvender IRB-metoden.</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lastRenderedPageBreak/>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Samlede kreditrisikojusteringer, yderligere værdijusteringer og andre reduktioner af kapitalgrundlaget, der kan medtages i beregningen af det forventede tab</w:t>
            </w:r>
          </w:p>
          <w:p w14:paraId="1AF7728C" w14:textId="77777777" w:rsidR="00CC7D2C" w:rsidRPr="002A677E" w:rsidRDefault="00CC7D2C" w:rsidP="00320EFD">
            <w:pPr>
              <w:pStyle w:val="InstructionsText"/>
            </w:pPr>
            <w:r>
              <w:t>Artikel 159 i forordning (EU) nr. 575/2013</w:t>
            </w:r>
          </w:p>
          <w:p w14:paraId="21F21DE2" w14:textId="77777777" w:rsidR="00CC7D2C" w:rsidRPr="002A677E" w:rsidRDefault="00CC7D2C" w:rsidP="00320EFD">
            <w:pPr>
              <w:pStyle w:val="InstructionsText"/>
            </w:pPr>
            <w:r>
              <w:t>Denne post indberettes kun af institutter, der anvender IRB-metoden.</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Generelle kreditrisikojusteringer</w:t>
            </w:r>
          </w:p>
          <w:p w14:paraId="6F03085D" w14:textId="77777777" w:rsidR="00CC7D2C" w:rsidRPr="002A677E" w:rsidRDefault="00CC7D2C" w:rsidP="00320EFD">
            <w:pPr>
              <w:pStyle w:val="InstructionsText"/>
            </w:pPr>
            <w:r>
              <w:t>Artikel 159 i forordning (EU) nr. 575/2013</w:t>
            </w:r>
          </w:p>
          <w:p w14:paraId="6264BB70" w14:textId="77777777" w:rsidR="00CC7D2C" w:rsidRPr="002A677E" w:rsidRDefault="00CC7D2C" w:rsidP="00320EFD">
            <w:pPr>
              <w:pStyle w:val="InstructionsText"/>
            </w:pPr>
            <w:r>
              <w:t>Denne post indberettes kun af institutter, der anvender IRB-metoden.</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Specifikke kreditrisikojusteringer</w:t>
            </w:r>
          </w:p>
          <w:p w14:paraId="66E78811" w14:textId="77777777" w:rsidR="00CC7D2C" w:rsidRPr="002A677E" w:rsidRDefault="00CC7D2C" w:rsidP="00320EFD">
            <w:pPr>
              <w:pStyle w:val="InstructionsText"/>
            </w:pPr>
            <w:r>
              <w:t>Artikel 159 i forordning (EU) nr. 575/2013</w:t>
            </w:r>
          </w:p>
          <w:p w14:paraId="5B5BE89D" w14:textId="77777777" w:rsidR="00CC7D2C" w:rsidRPr="002A677E" w:rsidRDefault="00CC7D2C" w:rsidP="00320EFD">
            <w:pPr>
              <w:pStyle w:val="InstructionsText"/>
            </w:pPr>
            <w:r>
              <w:t>Denne post indberettes kun af institutter, der anvender IRB-metoden.</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Yderligere værdijusteringer og andre reduktioner af kapitalgrundlaget</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Artikel 34, 110 og 159 i forordning (EU) nr.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Samlede kvalificerede forventede tab </w:t>
            </w:r>
          </w:p>
          <w:p w14:paraId="4A89299A" w14:textId="77777777" w:rsidR="00CC7D2C" w:rsidRPr="002A677E" w:rsidRDefault="00CC7D2C" w:rsidP="00320EFD">
            <w:pPr>
              <w:pStyle w:val="InstructionsText"/>
            </w:pPr>
            <w:r>
              <w:t>Artikel 158, stk. 5, 6 og 10, og artikel 159, i forordning (EU) nr. 575/2013</w:t>
            </w:r>
          </w:p>
          <w:p w14:paraId="0B0DDB08" w14:textId="77777777" w:rsidR="00CC7D2C" w:rsidRPr="002A677E" w:rsidRDefault="00CC7D2C" w:rsidP="00320EFD">
            <w:pPr>
              <w:pStyle w:val="InstructionsText"/>
            </w:pPr>
            <w:r>
              <w:t>Denne post indberettes kun af institutter, der anvender IRB-metoden. Kun det forventede tab tilhørende ikkemisligholdte eksponeringer indberettes.</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Overskud (+) eller underskud (-) af specifikke kreditrisikojusteringer som følge af forventede tab til misligholdte eksponeringer opgjort efter IRB-metoden</w:t>
            </w:r>
          </w:p>
          <w:p w14:paraId="2528CE63" w14:textId="77777777" w:rsidR="00CC7D2C" w:rsidRPr="002A677E" w:rsidRDefault="00CC7D2C" w:rsidP="00320EFD">
            <w:pPr>
              <w:pStyle w:val="InstructionsText"/>
            </w:pPr>
            <w:r>
              <w:t>Artikel 36, stk. 1, litra d), artikel 62, litra d), artikel 158 og artikel 159 i forordning (EU) nr.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Specifikke kreditrisikojusteringer og positioner, der behandles på samme måde</w:t>
            </w:r>
          </w:p>
          <w:p w14:paraId="1E7B4C7D" w14:textId="77777777" w:rsidR="00CC7D2C" w:rsidRPr="002A677E" w:rsidRDefault="00CC7D2C" w:rsidP="00320EFD">
            <w:pPr>
              <w:pStyle w:val="InstructionsText"/>
            </w:pPr>
            <w:r>
              <w:lastRenderedPageBreak/>
              <w:t>Artikel 159 i forordning (EU) nr.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lastRenderedPageBreak/>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Samlede kvalificerede forventede tab</w:t>
            </w:r>
          </w:p>
          <w:p w14:paraId="30E1E0B6" w14:textId="77777777" w:rsidR="00CC7D2C" w:rsidRPr="002A677E" w:rsidRDefault="00CC7D2C" w:rsidP="00320EFD">
            <w:pPr>
              <w:pStyle w:val="InstructionsText"/>
              <w:rPr>
                <w:rStyle w:val="InstructionsTabelleberschrift"/>
                <w:rFonts w:ascii="Times New Roman" w:hAnsi="Times New Roman"/>
                <w:sz w:val="24"/>
              </w:rPr>
            </w:pPr>
            <w:r>
              <w:t>Artikel 158, stk. 5, 6 og 10, og artikel 159, i forordning (EU) nr.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Denne post indberettes kun af institutter, der anvender IRB-metoden. Kun det forventede tab tilhørende misligholdte eksponeringer indberettes.</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Risikovægtede eksponeringer til beregning af loftet for overskuddet af hensættelser, der er kvalificeret som supplerende kapital</w:t>
            </w:r>
          </w:p>
          <w:p w14:paraId="563E7C9E" w14:textId="77777777" w:rsidR="00CC7D2C" w:rsidRPr="002A677E" w:rsidRDefault="00CC7D2C" w:rsidP="00320EFD">
            <w:pPr>
              <w:pStyle w:val="InstructionsText"/>
            </w:pPr>
            <w:r>
              <w:t>Artikel 62, litra d), i forordning (EU) nr. 575/2013</w:t>
            </w:r>
          </w:p>
          <w:p w14:paraId="363FA5D2" w14:textId="77777777" w:rsidR="00CC7D2C" w:rsidRPr="002A677E" w:rsidRDefault="00CC7D2C" w:rsidP="00320EFD">
            <w:pPr>
              <w:pStyle w:val="InstructionsText"/>
            </w:pPr>
            <w:r>
              <w:t xml:space="preserve">For institutter, der anvender IRB-metoden, er der fastsat et loft på 0,6 % af de risikovægtede eksponeringer beregnet i henhold til IRB-metoden for overskuddet af hensættelser, der er kvalificeret til indregning i den supplerende kapital, </w:t>
            </w:r>
            <w:r>
              <w:rPr>
                <w:rStyle w:val="FormatvorlageInstructionsTabelleText"/>
                <w:rFonts w:ascii="Times New Roman" w:hAnsi="Times New Roman"/>
                <w:sz w:val="24"/>
              </w:rPr>
              <w:t>jf.</w:t>
            </w:r>
            <w:r>
              <w:t xml:space="preserve"> artikel 62, litra d), i forordning (EU) nr. 575/2013.</w:t>
            </w:r>
          </w:p>
          <w:p w14:paraId="42C93CC2" w14:textId="77777777" w:rsidR="00CC7D2C" w:rsidRPr="002A677E" w:rsidRDefault="00CC7D2C" w:rsidP="00320EFD">
            <w:pPr>
              <w:pStyle w:val="InstructionsText"/>
            </w:pPr>
            <w:r>
              <w:t>Det beløb, der skal indberettes i denne post, er den risikovægtede eksponering (dvs. ikke ganget med 0,6 %), som er grundlaget for beregningen af loftet.</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Samlede bruttohensættelser, der er kvalificeret til indregning i den supplerende kapital</w:t>
            </w:r>
          </w:p>
          <w:p w14:paraId="79DEE159" w14:textId="77777777" w:rsidR="00CC7D2C" w:rsidRPr="002A677E" w:rsidRDefault="00CC7D2C" w:rsidP="00320EFD">
            <w:pPr>
              <w:pStyle w:val="InstructionsText"/>
            </w:pPr>
            <w:r>
              <w:t>Artikel 62, litra c), i forordning (EU) nr. 575/2013</w:t>
            </w:r>
          </w:p>
          <w:p w14:paraId="7677FF60" w14:textId="77777777" w:rsidR="00CC7D2C" w:rsidRPr="002A677E" w:rsidRDefault="00CC7D2C" w:rsidP="00320EFD">
            <w:pPr>
              <w:pStyle w:val="InstructionsText"/>
            </w:pPr>
            <w:r>
              <w:t>Denne post indeholder de generelle kreditrisikojusteringer, der er kvalificeret til indregning i den supplerende kapital, inden loftet.</w:t>
            </w:r>
          </w:p>
          <w:p w14:paraId="748D0361" w14:textId="77777777" w:rsidR="00CC7D2C" w:rsidRPr="002A677E" w:rsidRDefault="00CC7D2C" w:rsidP="00320EFD">
            <w:pPr>
              <w:pStyle w:val="InstructionsText"/>
            </w:pPr>
            <w:r>
              <w:t>Det indberettede beløb skal være før indregning af skatteeffekten.</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Risikovægtede eksponeringer til beregning af loftet for hensættelser, der er kvalificeret som supplerende kapital</w:t>
            </w:r>
          </w:p>
          <w:p w14:paraId="345CC1D6" w14:textId="77777777" w:rsidR="00CC7D2C" w:rsidRPr="002A677E" w:rsidRDefault="00CC7D2C" w:rsidP="00320EFD">
            <w:pPr>
              <w:pStyle w:val="InstructionsText"/>
            </w:pPr>
            <w:r>
              <w:t>Artikel 62, litra c), i forordning (EU) nr. 575/2013</w:t>
            </w:r>
          </w:p>
          <w:p w14:paraId="65850475" w14:textId="77777777" w:rsidR="00CC7D2C" w:rsidRPr="002A677E" w:rsidRDefault="00CC7D2C" w:rsidP="00320EFD">
            <w:pPr>
              <w:pStyle w:val="InstructionsText"/>
            </w:pPr>
            <w:r>
              <w:t>I henhold til artikel 62, litra c), i forordning (EU) nr. 575/2013 er der fastsat et loft for kreditrisikojusteringer, der er kvalificeret til indregning i den supplerende kapital, på 1,25 % af de risikovægtede eksponeringer.</w:t>
            </w:r>
          </w:p>
          <w:p w14:paraId="3B08F4EA" w14:textId="77777777" w:rsidR="00CC7D2C" w:rsidRPr="002A677E" w:rsidRDefault="00CC7D2C" w:rsidP="00320EFD">
            <w:pPr>
              <w:pStyle w:val="InstructionsText"/>
            </w:pPr>
            <w:r>
              <w:t>Det beløb, der skal indberettes i denne post, er den risikovægtede eksponering (dvs. ikke ganget med 1,25 %), som er grundlaget for beregningen af loftet.</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Tærskel for ikkefradragsberettigede besiddelser af instrumenter i enheder i den finansielle sektor, hvori instituttet ikke har væsentlige investeringer</w:t>
            </w:r>
          </w:p>
          <w:p w14:paraId="281FF318" w14:textId="77777777" w:rsidR="00CC7D2C" w:rsidRPr="002A677E" w:rsidRDefault="00CC7D2C" w:rsidP="00320EFD">
            <w:pPr>
              <w:pStyle w:val="InstructionsText"/>
            </w:pPr>
            <w:r>
              <w:t>Artikel 46, stk. 1, litra a), i forordning (EU) nr. 575/2013</w:t>
            </w:r>
          </w:p>
          <w:p w14:paraId="6CBDA660" w14:textId="77777777" w:rsidR="00CC7D2C" w:rsidRPr="002A677E" w:rsidRDefault="00CC7D2C" w:rsidP="00320EFD">
            <w:pPr>
              <w:pStyle w:val="InstructionsText"/>
            </w:pPr>
            <w:r>
              <w:lastRenderedPageBreak/>
              <w:t>Denne post indeholder den tærskel, op til hvilken besiddelser i en enhed i den finansielle sektor, hvori instituttet ikke har væsentlige investeringer, ikke fratrækkes. Beløbet beregnes ved at lægge alle de poster, som er grundlaget for tærsklen, sammen, og summen ganges derefter med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lastRenderedPageBreak/>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Tærskel på 10 % for egentlig kernekapital </w:t>
            </w:r>
          </w:p>
          <w:p w14:paraId="59F6CAC3" w14:textId="77777777" w:rsidR="00CC7D2C" w:rsidRPr="002A677E" w:rsidRDefault="00CC7D2C" w:rsidP="00320EFD">
            <w:pPr>
              <w:pStyle w:val="InstructionsText"/>
            </w:pPr>
            <w:r>
              <w:t>Artikel 48, stk. 1, litra a) og b), i forordning (EU) nr. 575/2013</w:t>
            </w:r>
          </w:p>
          <w:p w14:paraId="6BCD7ABF" w14:textId="77777777" w:rsidR="00CC7D2C" w:rsidRPr="002A677E" w:rsidRDefault="00CC7D2C" w:rsidP="00320EFD">
            <w:pPr>
              <w:pStyle w:val="InstructionsText"/>
            </w:pPr>
            <w:r>
              <w:t>Denne post indeholder tærsklen på 10 % for besiddelser af instrumenter i enheder i den finansielle sektor, hvori instituttet har væsentlige investeringer, og for udskudte skatteaktiver, som afhænger af fremtidig rentabilitet og skyldes midlertidige forskelle.</w:t>
            </w:r>
          </w:p>
          <w:p w14:paraId="44EADE68" w14:textId="77777777" w:rsidR="00CC7D2C" w:rsidRPr="002A677E" w:rsidRDefault="00CC7D2C" w:rsidP="00320EFD">
            <w:pPr>
              <w:pStyle w:val="InstructionsText"/>
            </w:pPr>
            <w:r>
              <w:t>Beløbet beregnes ved at lægge alle de poster, som er grundlaget for tærsklen, sammen, og summen ganges derefter med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Tærskel på 17,65 % for egentlig kernekapital </w:t>
            </w:r>
          </w:p>
          <w:p w14:paraId="742C492D" w14:textId="77777777" w:rsidR="00CC7D2C" w:rsidRPr="002A677E" w:rsidRDefault="00CC7D2C" w:rsidP="00320EFD">
            <w:pPr>
              <w:pStyle w:val="InstructionsText"/>
            </w:pPr>
            <w:r>
              <w:t>Artikel 48, stk. 1, i forordning (EU) nr. 575/2013</w:t>
            </w:r>
          </w:p>
          <w:p w14:paraId="62003D54" w14:textId="77777777" w:rsidR="00CC7D2C" w:rsidRPr="002A677E" w:rsidRDefault="00CC7D2C" w:rsidP="00320EFD">
            <w:pPr>
              <w:pStyle w:val="InstructionsText"/>
            </w:pPr>
            <w:r>
              <w:t>Denne post indeholder tærsklen på 17,65 % for besiddelser af instrumenter i enheder i den finansielle sektor, hvori instituttet har væsentlige investeringer, og for udskudte skatteaktiver, som afhænger af fremtidig rentabilitet og skyldes midlertidige forskelle, som skal anvendes efter tærsklen på 10 %.</w:t>
            </w:r>
          </w:p>
          <w:p w14:paraId="3E3DB4A1" w14:textId="77777777" w:rsidR="00CC7D2C" w:rsidRPr="002A677E" w:rsidRDefault="00CC7D2C" w:rsidP="00320EFD">
            <w:pPr>
              <w:pStyle w:val="InstructionsText"/>
            </w:pPr>
            <w:r>
              <w:t>Tærsklen beregnes således, at beløbet for de to poster, der indregnes, ikke overstiger 15 % af den endelige egentlige kernekapital, dvs. den egentlige kernekapital beregnet efter alle fradrag, men uden justeringer som følge af overgangsbestemmelser.</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Justeret kapitalgrundlag, for så vidt angår kvalificerede andele uden for den finansielle sektor</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Artikel 4, stk. 1, nr. 71), litra a), i forordning (EU) nr.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Besiddelser af egentlig kernekapital i enheder i den finansielle sektor, hvori instituttet ikke har væsentlige investeringer, fratrukket korte positioner</w:t>
            </w:r>
          </w:p>
          <w:p w14:paraId="05E6C89B" w14:textId="77777777" w:rsidR="00CC7D2C" w:rsidRPr="002A677E" w:rsidRDefault="00CC7D2C" w:rsidP="00320EFD">
            <w:pPr>
              <w:pStyle w:val="InstructionsText"/>
            </w:pPr>
            <w:r>
              <w:t>Artikel 44, 45, 46 og 49 i forordning (EU) nr.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besiddelser af egentlig kernekapital i enheder i den finansielle sektor, hvori instituttet ikke har væsentlige investeringer</w:t>
            </w:r>
          </w:p>
          <w:p w14:paraId="07F396F8" w14:textId="77777777" w:rsidR="00CC7D2C" w:rsidRPr="002A677E" w:rsidRDefault="00CC7D2C" w:rsidP="00320EFD">
            <w:pPr>
              <w:pStyle w:val="InstructionsText"/>
            </w:pPr>
            <w:r>
              <w:t>Artikel 44, 45, 46 og 49 i forordning (EU) nr.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bruttobesiddelser af egentlig kernekapital i enheder i den finansielle sektor, hvori instituttet ikke har væsentlige investeringer</w:t>
            </w:r>
          </w:p>
          <w:p w14:paraId="35734353" w14:textId="77777777" w:rsidR="00CC7D2C" w:rsidRPr="002A677E" w:rsidRDefault="00CC7D2C" w:rsidP="00320EFD">
            <w:pPr>
              <w:pStyle w:val="InstructionsText"/>
            </w:pPr>
            <w:r>
              <w:t>Artikel 44, 46 og artikel 49 i forordning (EU) nr. 575/2013</w:t>
            </w:r>
          </w:p>
          <w:p w14:paraId="21EA9B4D" w14:textId="77777777" w:rsidR="00CC7D2C" w:rsidRPr="002A677E" w:rsidRDefault="00CC7D2C" w:rsidP="00320EFD">
            <w:pPr>
              <w:pStyle w:val="InstructionsText"/>
            </w:pPr>
            <w:r>
              <w:t>Direkte besiddelser af egentlig kernekapital i enheder i den finansielle sektor, hvori instituttet ikke har væsentlige investeringer, undtagen:</w:t>
            </w:r>
          </w:p>
          <w:p w14:paraId="40548BC6" w14:textId="77777777" w:rsidR="00CC7D2C" w:rsidRPr="002A677E" w:rsidRDefault="00CC7D2C" w:rsidP="00320EFD">
            <w:pPr>
              <w:pStyle w:val="InstructionsText"/>
            </w:pPr>
            <w:r>
              <w:lastRenderedPageBreak/>
              <w:t>a)</w:t>
            </w:r>
            <w:r>
              <w:tab/>
              <w:t xml:space="preserve">emissionspositioner, der besiddes i højst fem arbejdsdage </w:t>
            </w:r>
          </w:p>
          <w:p w14:paraId="06830A9E" w14:textId="77777777" w:rsidR="00CC7D2C" w:rsidRPr="002A677E" w:rsidRDefault="00CC7D2C" w:rsidP="00320EFD">
            <w:pPr>
              <w:pStyle w:val="InstructionsText"/>
            </w:pPr>
            <w:r>
              <w:t>b)</w:t>
            </w:r>
            <w:r>
              <w:tab/>
              <w:t xml:space="preserve">beløb vedrørende investeringer, for hvilke alternativet i artikel 49 anvendes, og </w:t>
            </w:r>
          </w:p>
          <w:p w14:paraId="6C3B0126" w14:textId="77777777" w:rsidR="00CC7D2C" w:rsidRPr="002A677E" w:rsidRDefault="00CC7D2C" w:rsidP="00320EFD">
            <w:pPr>
              <w:pStyle w:val="InstructionsText"/>
            </w:pPr>
            <w:r>
              <w:t>c)</w:t>
            </w:r>
            <w:r>
              <w:tab/>
              <w:t>besiddelser, der behandles som besiddelser i krydsejerskab i henhold til artikel 36, stk. 1, litra g), i forordning (EU) nr.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Tilladt udligning af korte positioner i forhold til de direkte bruttobesiddelser anført ovenfor</w:t>
            </w:r>
          </w:p>
          <w:p w14:paraId="5C7CD820" w14:textId="77777777" w:rsidR="00CC7D2C" w:rsidRPr="002A677E" w:rsidRDefault="00CC7D2C" w:rsidP="00320EFD">
            <w:pPr>
              <w:pStyle w:val="InstructionsText"/>
            </w:pPr>
            <w:r>
              <w:t>Artikel 45 i forordning (EU) nr. 575/2013</w:t>
            </w:r>
          </w:p>
          <w:p w14:paraId="3C7C2B7A" w14:textId="77777777" w:rsidR="00CC7D2C" w:rsidRPr="002A677E" w:rsidRDefault="00CC7D2C" w:rsidP="00320EFD">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besiddelser af egentlig kernekapital i enheder i den finansielle sektor, hvori instituttet ikke har væsentlige investeringer</w:t>
            </w:r>
          </w:p>
          <w:p w14:paraId="5B60A6DB" w14:textId="77777777" w:rsidR="00CC7D2C" w:rsidRPr="002A677E" w:rsidRDefault="00CC7D2C" w:rsidP="00320EFD">
            <w:pPr>
              <w:pStyle w:val="InstructionsText"/>
            </w:pPr>
            <w:r>
              <w:t>Artikel 4, stk. 1, nr. 114), og artikel 44 og 45 i forordning (EU) nr.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bruttobesiddelser af egentlig kernekapital i enheder i den finansielle sektor, hvori instituttet ikke har væsentlige investeringer</w:t>
            </w:r>
          </w:p>
          <w:p w14:paraId="1712D6BE" w14:textId="77777777" w:rsidR="00CC7D2C" w:rsidRPr="002A677E" w:rsidRDefault="00CC7D2C" w:rsidP="00320EFD">
            <w:pPr>
              <w:pStyle w:val="InstructionsText"/>
            </w:pPr>
            <w:r>
              <w:t>Artikel 4, stk. 1, nr. 114), og artikel 44 og 45 i forordning (EU) nr. 575/2013</w:t>
            </w:r>
          </w:p>
          <w:p w14:paraId="48C4F8F6" w14:textId="77777777" w:rsidR="00CC7D2C" w:rsidRPr="002A677E" w:rsidRDefault="00CC7D2C" w:rsidP="00320EFD">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478FC936" w14:textId="77777777" w:rsidR="00CC7D2C" w:rsidRPr="002A677E" w:rsidRDefault="00CC7D2C" w:rsidP="00320EFD">
            <w:pPr>
              <w:pStyle w:val="InstructionsText"/>
            </w:pPr>
            <w:r>
              <w:t>Besiddelser, der behandles som besiddelser i krydsejerskab i henhold til artikel 36, stk. 1, litra g), i forordning (EU) nr. 575/2013, medregnes ikke.</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Tilladt udligning af korte positioner i forhold til de indirekte bruttobesiddelser anført ovenfor</w:t>
            </w:r>
          </w:p>
          <w:p w14:paraId="4FFA5E51" w14:textId="77777777" w:rsidR="00CC7D2C" w:rsidRPr="002A677E" w:rsidRDefault="00CC7D2C" w:rsidP="00320EFD">
            <w:pPr>
              <w:pStyle w:val="InstructionsText"/>
            </w:pPr>
            <w:r>
              <w:t>Artikel 4, stk. 1, nr. 114), og artikel 45 i forordning (EU) nr. 575/2013</w:t>
            </w:r>
          </w:p>
          <w:p w14:paraId="53013672" w14:textId="77777777" w:rsidR="00CC7D2C" w:rsidRPr="002A677E" w:rsidRDefault="00CC7D2C" w:rsidP="00320EFD">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Syntetiske besiddelser af egentlig kernekapital i enheder i den finansielle sektor, hvori instituttet ikke har væsentlige investeringer</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Artikel 4, stk. 1, nr. 126), og artikel 44 og 45, i forordning (EU) nr.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Syntetiske bruttobesiddelser af egentlig kernekapital i enheder i den finansielle sektor, hvori instituttet ikke har væsentlige investeringer</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Artikel 4, stk. 1, nr. 126), og artikel 44 og 45, i forordning (EU) nr.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Tilladt udligning af korte positioner i forhold til de syntetiske bruttobesiddelser anført ovenfor</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t>Artikel 4, stk. 1, nr. 126), og artikel 45 i forordning (EU) nr. 575/2013</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Besiddelser af hybrid kernekapital i enheder i den finansielle sektor, hvori instituttet ikke har væsentlige investeringer, fratrukket korte positioner</w:t>
            </w:r>
          </w:p>
          <w:p w14:paraId="2446C324" w14:textId="77777777" w:rsidR="00CC7D2C" w:rsidRPr="002A677E" w:rsidRDefault="00CC7D2C" w:rsidP="00320EFD">
            <w:pPr>
              <w:pStyle w:val="InstructionsText"/>
            </w:pPr>
            <w:r>
              <w:t>Artikel 58, 59 og artikel 60 i forordning (EU) nr.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besiddelser af hybrid kernekapital i enheder i den finansielle sektor, hvori instituttet ikke har væsentlige investeringer</w:t>
            </w:r>
          </w:p>
          <w:p w14:paraId="2BC29626" w14:textId="77777777" w:rsidR="00CC7D2C" w:rsidRPr="002A677E" w:rsidRDefault="00CC7D2C" w:rsidP="00320EFD">
            <w:pPr>
              <w:pStyle w:val="InstructionsText"/>
            </w:pPr>
            <w:r>
              <w:t>Artikel 58, 59 og artikel 60, stk. 2, i forordning (EU) nr.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bruttobesiddelser af hybrid kernekapital i enheder i den finansielle sektor, hvori instituttet ikke har væsentlige investeringer</w:t>
            </w:r>
          </w:p>
          <w:p w14:paraId="75E43435" w14:textId="77777777" w:rsidR="00CC7D2C" w:rsidRPr="002A677E" w:rsidRDefault="00CC7D2C" w:rsidP="00320EFD">
            <w:pPr>
              <w:pStyle w:val="InstructionsText"/>
            </w:pPr>
            <w:r>
              <w:t>Artikel 58 og artikel 60, stk. 2, i forordning (EU) nr. 575/2013</w:t>
            </w:r>
          </w:p>
          <w:p w14:paraId="4EB3C9FE" w14:textId="77777777" w:rsidR="00CC7D2C" w:rsidRPr="002A677E" w:rsidRDefault="00CC7D2C" w:rsidP="00320EFD">
            <w:pPr>
              <w:pStyle w:val="InstructionsText"/>
            </w:pPr>
            <w:r>
              <w:t>Direkte besiddelser af hybrid kernekapital i enheder i den finansielle sektor, hvori instituttet ikke har væsentlige investeringer, undtagen:</w:t>
            </w:r>
          </w:p>
          <w:p w14:paraId="6258EF1C" w14:textId="77777777" w:rsidR="00CC7D2C" w:rsidRPr="002A677E" w:rsidRDefault="00CC7D2C" w:rsidP="00320EFD">
            <w:pPr>
              <w:pStyle w:val="InstructionsText"/>
            </w:pPr>
            <w:r>
              <w:t>a)</w:t>
            </w:r>
            <w:r>
              <w:tab/>
              <w:t xml:space="preserve">emissionspositioner, der besiddes i højst fem arbejdsdage og </w:t>
            </w:r>
          </w:p>
          <w:p w14:paraId="08D9FD36" w14:textId="77777777" w:rsidR="00CC7D2C" w:rsidRPr="002A677E" w:rsidRDefault="00CC7D2C" w:rsidP="00320EFD">
            <w:pPr>
              <w:pStyle w:val="InstructionsText"/>
            </w:pPr>
            <w:r>
              <w:t>b)</w:t>
            </w:r>
            <w:r>
              <w:tab/>
              <w:t>besiddelser, der behandles som besiddelser i krydsejerskab i henhold til artikel 56, litra b), i forordning (EU) nr.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Tilladt udligning af korte positioner i forhold til de direkte bruttobesiddelser anført ovenfor</w:t>
            </w:r>
          </w:p>
          <w:p w14:paraId="1C009EDB" w14:textId="77777777" w:rsidR="00CC7D2C" w:rsidRPr="002A677E" w:rsidRDefault="00CC7D2C" w:rsidP="00320EFD">
            <w:pPr>
              <w:pStyle w:val="InstructionsText"/>
            </w:pPr>
            <w:r>
              <w:t>Artikel 59 i forordning (EU) nr. 575/2013</w:t>
            </w:r>
          </w:p>
          <w:p w14:paraId="5EDAF213" w14:textId="77777777" w:rsidR="00CC7D2C" w:rsidRPr="002A677E" w:rsidRDefault="00CC7D2C" w:rsidP="00320EFD">
            <w:pPr>
              <w:pStyle w:val="InstructionsText"/>
            </w:pPr>
            <w:r>
              <w:t xml:space="preserve">Artikel 59, litra a), i forordning (EU) nr. 575/2013 tillader udligning af korte positioner i den samme underliggende eksponering, hvis </w:t>
            </w:r>
            <w:r>
              <w:lastRenderedPageBreak/>
              <w:t>den korte positions forfaldstidspunkt er enten sammenfaldende med eller senere end forfaldstidspunktet for den lange position, eller den korte positions restløbetid er mindst et år.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lastRenderedPageBreak/>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besiddelser af hybrid kernekapital i enheder i den finansielle sektor, hvori instituttet ikke har væsentlige investeringer</w:t>
            </w:r>
          </w:p>
          <w:p w14:paraId="524DE4E1" w14:textId="77777777" w:rsidR="00CC7D2C" w:rsidRPr="002A677E" w:rsidRDefault="00CC7D2C" w:rsidP="00320EFD">
            <w:pPr>
              <w:pStyle w:val="InstructionsText"/>
            </w:pPr>
            <w:r>
              <w:t>Artikel 4, stk. 1, nr. 114), og artikel 58 og 59 i forordning (EU) nr.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bruttobesiddelser af hybrid kernekapital i enheder i den finansielle sektor, hvori instituttet ikke har væsentlige investeringer</w:t>
            </w:r>
          </w:p>
          <w:p w14:paraId="18873CD2" w14:textId="77777777" w:rsidR="00CC7D2C" w:rsidRPr="002A677E" w:rsidRDefault="00CC7D2C" w:rsidP="00320EFD">
            <w:pPr>
              <w:pStyle w:val="InstructionsText"/>
            </w:pPr>
            <w:r>
              <w:t>Artikel 4, stk. 1, nr. 114), og artikel 58 og 59 i forordning (EU) nr. 575/2013</w:t>
            </w:r>
          </w:p>
          <w:p w14:paraId="17350A93" w14:textId="77777777" w:rsidR="00CC7D2C" w:rsidRPr="002A677E" w:rsidRDefault="00CC7D2C" w:rsidP="00320EFD">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68E36B69" w14:textId="77777777" w:rsidR="00CC7D2C" w:rsidRPr="002A677E" w:rsidRDefault="00CC7D2C" w:rsidP="00320EFD">
            <w:pPr>
              <w:pStyle w:val="InstructionsText"/>
            </w:pPr>
            <w:r>
              <w:t>Besiddelser, der behandles som besiddelser i krydsejerskab i henhold til artikel 56, litra b), i forordning (EU) nr. 575/2013, medregnes ikke.</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Tilladt udligning af korte positioner i forhold til de indirekte bruttobesiddelser anført ovenfor</w:t>
            </w:r>
          </w:p>
          <w:p w14:paraId="66D7BED8" w14:textId="77777777" w:rsidR="00CC7D2C" w:rsidRPr="002A677E" w:rsidRDefault="00CC7D2C" w:rsidP="00320EFD">
            <w:pPr>
              <w:pStyle w:val="InstructionsText"/>
            </w:pPr>
            <w:r>
              <w:t>Artikel 4, stk. 1, nr. 114), og artikel 59 i forordning (EU) nr. 575/2013</w:t>
            </w:r>
          </w:p>
          <w:p w14:paraId="7DC14B0B" w14:textId="77777777" w:rsidR="00CC7D2C" w:rsidRPr="002A677E" w:rsidRDefault="00CC7D2C" w:rsidP="00320EFD">
            <w:pPr>
              <w:pStyle w:val="InstructionsText"/>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Syntetiske besiddelser af hybrid kernekapital i enheder i den finansielle sektor, hvori instituttet ikke har væsentlige investeringer</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Syntetiske bruttobesiddelser af hybrid kernekapital i enheder i den finansielle sektor, hvori instituttet ikke har væsentlige investeringer</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Tilladt udligning af korte positioner i forhold til de syntetiske bruttobesiddelser anført ovenfor</w:t>
            </w:r>
          </w:p>
          <w:p w14:paraId="072D1CD4" w14:textId="77777777" w:rsidR="00CC7D2C" w:rsidRPr="002A677E" w:rsidRDefault="00CC7D2C" w:rsidP="00320EFD">
            <w:pPr>
              <w:pStyle w:val="InstructionsText"/>
            </w:pPr>
            <w:r>
              <w:lastRenderedPageBreak/>
              <w:t>Artikel 4, stk. 1, nr. 126), og artikel 59 i forordning (EU) nr.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lastRenderedPageBreak/>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Besiddelser af supplerende kapital i enheder i den finansielle sektor, hvori instituttet ikke har væsentlige investeringer, fratrukket korte positioner</w:t>
            </w:r>
          </w:p>
          <w:p w14:paraId="7F7CE21E" w14:textId="77777777" w:rsidR="00CC7D2C" w:rsidRPr="002A677E" w:rsidRDefault="00CC7D2C" w:rsidP="00320EFD">
            <w:pPr>
              <w:pStyle w:val="InstructionsText"/>
            </w:pPr>
            <w:r>
              <w:t>Artikel 68, 69 og artikel 70 i forordning (EU) nr.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besiddelser af supplerende kapital i enheder i den finansielle sektor, hvori instituttet ikke har væsentlige investeringer</w:t>
            </w:r>
          </w:p>
          <w:p w14:paraId="27A664CA" w14:textId="77777777" w:rsidR="00CC7D2C" w:rsidRPr="002A677E" w:rsidRDefault="00CC7D2C" w:rsidP="00320EFD">
            <w:pPr>
              <w:pStyle w:val="InstructionsText"/>
            </w:pPr>
            <w:r>
              <w:t>Artikel 68 og 69 og artikel 70, stk. 2, i forordning (EU) nr.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bruttobesiddelser af supplerende kapital i enheder i den finansielle sektor, hvori instituttet ikke har væsentlige investeringer</w:t>
            </w:r>
          </w:p>
          <w:p w14:paraId="65520E33" w14:textId="77777777" w:rsidR="00CC7D2C" w:rsidRPr="002A677E" w:rsidRDefault="00CC7D2C" w:rsidP="00320EFD">
            <w:pPr>
              <w:pStyle w:val="InstructionsText"/>
            </w:pPr>
            <w:r>
              <w:t>Artikel 68 og artikel 70, stk. 2, i forordning (EU) nr. 575/2013</w:t>
            </w:r>
          </w:p>
          <w:p w14:paraId="17F7ABF9" w14:textId="77777777" w:rsidR="00CC7D2C" w:rsidRPr="002A677E" w:rsidRDefault="00CC7D2C" w:rsidP="00320EFD">
            <w:pPr>
              <w:pStyle w:val="InstructionsText"/>
            </w:pPr>
            <w:r>
              <w:t>Direkte besiddelser af supplerende kapital i enheder i den finansielle sektor, hvori instituttet ikke har væsentlige investeringer, undtagen:</w:t>
            </w:r>
          </w:p>
          <w:p w14:paraId="138D2316" w14:textId="77777777" w:rsidR="00CC7D2C" w:rsidRPr="002A677E" w:rsidRDefault="00CC7D2C" w:rsidP="00320EFD">
            <w:pPr>
              <w:pStyle w:val="InstructionsText"/>
            </w:pPr>
            <w:r>
              <w:t>a)</w:t>
            </w:r>
            <w:r>
              <w:tab/>
              <w:t xml:space="preserve">emissionspositioner, der besiddes i højst fem arbejdsdage og </w:t>
            </w:r>
          </w:p>
          <w:p w14:paraId="2887BC3D" w14:textId="77777777" w:rsidR="00CC7D2C" w:rsidRPr="002A677E" w:rsidRDefault="00CC7D2C" w:rsidP="00320EFD">
            <w:pPr>
              <w:pStyle w:val="InstructionsText"/>
            </w:pPr>
            <w:r>
              <w:t>b)</w:t>
            </w:r>
            <w:r>
              <w:tab/>
              <w:t>besiddelser, der behandles som besiddelser i krydsejerskab i henhold til artikel 66, litra b), i forordning (EU) nr.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Tilladt udligning af korte positioner i forhold til de direkte bruttobesiddelser anført ovenfor</w:t>
            </w:r>
          </w:p>
          <w:p w14:paraId="1AF115D3" w14:textId="77777777" w:rsidR="00CC7D2C" w:rsidRPr="002A677E" w:rsidRDefault="00CC7D2C" w:rsidP="00320EFD">
            <w:pPr>
              <w:pStyle w:val="InstructionsText"/>
            </w:pPr>
            <w:r>
              <w:t>Artikel 69 i forordning (EU) nr. 575/2013</w:t>
            </w:r>
          </w:p>
          <w:p w14:paraId="2DDF012E" w14:textId="77777777" w:rsidR="00CC7D2C" w:rsidRPr="002A677E" w:rsidRDefault="00CC7D2C" w:rsidP="00320EFD">
            <w:pPr>
              <w:pStyle w:val="InstructionsText"/>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besiddelser af supplerende kapital i enheder i den finansielle sektor, hvori instituttet ikke har væsentlige investeringer</w:t>
            </w:r>
          </w:p>
          <w:p w14:paraId="2E9A4143" w14:textId="77777777" w:rsidR="00CC7D2C" w:rsidRPr="002A677E" w:rsidRDefault="00CC7D2C" w:rsidP="00320EFD">
            <w:pPr>
              <w:pStyle w:val="InstructionsText"/>
            </w:pPr>
            <w:r>
              <w:t>Artikel 4, stk. 1, nr. 114), og artikel 68 og 69 i forordning (EU) nr.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bruttobesiddelser af supplerende kapital i enheder i den finansielle sektor, hvori instituttet ikke har væsentlige investeringer</w:t>
            </w:r>
          </w:p>
          <w:p w14:paraId="661ED498" w14:textId="77777777" w:rsidR="00CC7D2C" w:rsidRPr="002A677E" w:rsidRDefault="00CC7D2C" w:rsidP="00320EFD">
            <w:pPr>
              <w:pStyle w:val="InstructionsText"/>
            </w:pPr>
            <w:r>
              <w:lastRenderedPageBreak/>
              <w:t>Artikel 4, stk. 1, nr. 114), og artikel 68 og 69 i forordning (EU) nr. 575/2013</w:t>
            </w:r>
          </w:p>
          <w:p w14:paraId="47CEB0E6" w14:textId="77777777" w:rsidR="00CC7D2C" w:rsidRPr="002A677E" w:rsidRDefault="00CC7D2C" w:rsidP="00320EFD">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5F653926" w14:textId="77777777" w:rsidR="00CC7D2C" w:rsidRPr="002A677E" w:rsidRDefault="00CC7D2C" w:rsidP="00320EFD">
            <w:pPr>
              <w:pStyle w:val="InstructionsText"/>
            </w:pPr>
            <w:r>
              <w:t>Besiddelser, der behandles som besiddelser i krydsejerskab i henhold til artikel 66, litra b), i forordning (EU) nr. 575/2013, medregnes ikke.</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lastRenderedPageBreak/>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Tilladt udligning af korte positioner i forhold til de indirekte bruttobesiddelser anført ovenfor</w:t>
            </w:r>
          </w:p>
          <w:p w14:paraId="3D51CA91" w14:textId="77777777" w:rsidR="00CC7D2C" w:rsidRPr="002A677E" w:rsidRDefault="00CC7D2C" w:rsidP="00320EFD">
            <w:pPr>
              <w:pStyle w:val="InstructionsText"/>
            </w:pPr>
            <w:r>
              <w:t>Artikel 4, stk. 1, nr. 114), og artikel 69 i forordning (EU) nr. 575/2013</w:t>
            </w:r>
          </w:p>
          <w:p w14:paraId="05D4EBCE" w14:textId="77777777" w:rsidR="00CC7D2C" w:rsidRPr="002A677E" w:rsidRDefault="00CC7D2C" w:rsidP="00320EFD">
            <w:pPr>
              <w:pStyle w:val="InstructionsText"/>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Syntetiske besiddelser af supplerende kapital i enheder i den finansielle sektor, hvori instituttet ikke har væsentlige investeringer</w:t>
            </w:r>
          </w:p>
          <w:p w14:paraId="51085EB2" w14:textId="77777777" w:rsidR="00CC7D2C" w:rsidRPr="002A677E" w:rsidRDefault="00CC7D2C" w:rsidP="00320EFD">
            <w:pPr>
              <w:pStyle w:val="InstructionsText"/>
              <w:rPr>
                <w:rStyle w:val="InstructionsTabelleberschrift"/>
                <w:rFonts w:ascii="Times New Roman" w:hAnsi="Times New Roman"/>
                <w:sz w:val="24"/>
              </w:rPr>
            </w:pPr>
            <w:r>
              <w:t>Artikel 4, stk. 1, nr. 126), og artikel 68 og 69 i forordning (EU) nr.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Syntetiske bruttobesiddelser af supplerende kapital i enheder i den finansielle sektor, hvori instituttet ikke har væsentlige investeringer</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Tilladt udligning af korte positioner i forhold til de syntetiske bruttobesiddelser anført ovenfor</w:t>
            </w:r>
          </w:p>
          <w:p w14:paraId="3DB92575" w14:textId="77777777" w:rsidR="00CC7D2C" w:rsidRPr="002A677E" w:rsidRDefault="00CC7D2C" w:rsidP="00320EFD">
            <w:pPr>
              <w:pStyle w:val="InstructionsText"/>
            </w:pPr>
            <w:r>
              <w:t>Artikel 4, stk. 1, nr. 126), og artikel 69 i forordning (EU) nr.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Besiddelser af egentlig kernekapital i enheder i den finansielle sektor, hvori instituttet har væsentlige investeringer, fratrukket korte positioner</w:t>
            </w:r>
          </w:p>
          <w:p w14:paraId="7C875F9C" w14:textId="77777777" w:rsidR="00CC7D2C" w:rsidRPr="002A677E" w:rsidRDefault="00CC7D2C" w:rsidP="00320EFD">
            <w:pPr>
              <w:pStyle w:val="InstructionsText"/>
            </w:pPr>
            <w:r>
              <w:t>Artikel 44, 45, 47 og 49 i forordning (EU) nr.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lastRenderedPageBreak/>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besiddelser af egentlig kernekapital i enheder i den finansielle sektor, hvori instituttet har væsentlige investeringer</w:t>
            </w:r>
          </w:p>
          <w:p w14:paraId="741527BD" w14:textId="77777777" w:rsidR="00CC7D2C" w:rsidRPr="002A677E" w:rsidRDefault="00CC7D2C" w:rsidP="00320EFD">
            <w:pPr>
              <w:pStyle w:val="InstructionsText"/>
            </w:pPr>
            <w:r>
              <w:t>Artikel 44, 45, 47 og 49 i forordning (EU) nr.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bruttobesiddelser af egentlig kernekapital i enheder i den finansielle sektor, hvori instituttet har væsentlige investeringer</w:t>
            </w:r>
          </w:p>
          <w:p w14:paraId="036661F9" w14:textId="77777777" w:rsidR="00CC7D2C" w:rsidRPr="002A677E" w:rsidRDefault="00CC7D2C" w:rsidP="00320EFD">
            <w:pPr>
              <w:pStyle w:val="InstructionsText"/>
            </w:pPr>
            <w:r>
              <w:t>Artikel 44, 45, 47 og 49 i forordning (EU) nr. 575/2013</w:t>
            </w:r>
          </w:p>
          <w:p w14:paraId="09C948F4" w14:textId="77777777" w:rsidR="00CC7D2C" w:rsidRPr="002A677E" w:rsidRDefault="00CC7D2C" w:rsidP="00320EFD">
            <w:pPr>
              <w:pStyle w:val="InstructionsText"/>
            </w:pPr>
            <w:r>
              <w:t>Direkte besiddelser af egentlig kernekapital i enheder i den finansielle sektor, hvori instituttet har væsentlige investeringer, undtagen:</w:t>
            </w:r>
          </w:p>
          <w:p w14:paraId="0A0074A9" w14:textId="77777777" w:rsidR="00CC7D2C" w:rsidRPr="002A677E" w:rsidRDefault="00CC7D2C" w:rsidP="00320EFD">
            <w:pPr>
              <w:pStyle w:val="InstructionsText"/>
            </w:pPr>
            <w:r>
              <w:t>a)</w:t>
            </w:r>
            <w:r>
              <w:tab/>
              <w:t xml:space="preserve">emissionspositioner, der besiddes i højst fem arbejdsdage </w:t>
            </w:r>
          </w:p>
          <w:p w14:paraId="4E883DD4" w14:textId="77777777" w:rsidR="00CC7D2C" w:rsidRPr="002A677E" w:rsidRDefault="00CC7D2C" w:rsidP="00320EFD">
            <w:pPr>
              <w:pStyle w:val="InstructionsText"/>
            </w:pPr>
            <w:r>
              <w:t>b)</w:t>
            </w:r>
            <w:r>
              <w:tab/>
              <w:t xml:space="preserve">beløb vedrørende investeringer, for hvilke alternativet i artikel 49 anvendes, og </w:t>
            </w:r>
          </w:p>
          <w:p w14:paraId="5BB8BDF6" w14:textId="77777777" w:rsidR="00CC7D2C" w:rsidRPr="002A677E" w:rsidRDefault="00CC7D2C" w:rsidP="00320EFD">
            <w:pPr>
              <w:pStyle w:val="InstructionsText"/>
            </w:pPr>
            <w:r>
              <w:t>c)</w:t>
            </w:r>
            <w:r>
              <w:tab/>
              <w:t>besiddelser, der behandles som besiddelser i krydsejerskab i henhold til artikel 36, stk. 1, litra g), i forordning (EU) nr.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Tilladt udligning af korte positioner i forhold til de direkte bruttobesiddelser anført ovenfor</w:t>
            </w:r>
          </w:p>
          <w:p w14:paraId="608988C8" w14:textId="77777777" w:rsidR="00CC7D2C" w:rsidRPr="002A677E" w:rsidRDefault="00CC7D2C" w:rsidP="00320EFD">
            <w:pPr>
              <w:pStyle w:val="InstructionsText"/>
            </w:pPr>
            <w:r>
              <w:t>Artikel 45 i forordning (EU) nr. 575/2013</w:t>
            </w:r>
          </w:p>
          <w:p w14:paraId="17514F1A" w14:textId="77777777" w:rsidR="00CC7D2C" w:rsidRPr="002A677E" w:rsidRDefault="00CC7D2C" w:rsidP="00320EFD">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besiddelser af egentlig kernekapital i enheder i den finansielle sektor, hvori instituttet har væsentlige investeringer</w:t>
            </w:r>
          </w:p>
          <w:p w14:paraId="6E5583DA" w14:textId="77777777" w:rsidR="00CC7D2C" w:rsidRPr="002A677E" w:rsidRDefault="00CC7D2C" w:rsidP="00320EFD">
            <w:pPr>
              <w:pStyle w:val="InstructionsText"/>
            </w:pPr>
            <w:r>
              <w:t>Artikel 4, stk. 1, nr. 114), og artikel 44 og 45 i forordning (EU) nr.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bruttobesiddelser af egentlig kernekapital i enheder i den finansielle sektor, hvori instituttet har væsentlige investeringer</w:t>
            </w:r>
          </w:p>
          <w:p w14:paraId="794C9AFE" w14:textId="77777777" w:rsidR="00CC7D2C" w:rsidRPr="002A677E" w:rsidRDefault="00CC7D2C" w:rsidP="00320EFD">
            <w:pPr>
              <w:pStyle w:val="InstructionsText"/>
            </w:pPr>
            <w:r>
              <w:t>Artikel 4, stk. 1, nr. 114), og artikel 44 og 45 i forordning (EU) nr. 575/2013</w:t>
            </w:r>
          </w:p>
          <w:p w14:paraId="0AE2F25F" w14:textId="77777777" w:rsidR="00CC7D2C" w:rsidRPr="002A677E" w:rsidRDefault="00CC7D2C" w:rsidP="00320EFD">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3F78CFCC" w14:textId="77777777" w:rsidR="00CC7D2C" w:rsidRPr="002A677E" w:rsidRDefault="00CC7D2C" w:rsidP="00320EFD">
            <w:pPr>
              <w:pStyle w:val="InstructionsText"/>
            </w:pPr>
            <w:r>
              <w:lastRenderedPageBreak/>
              <w:t>Besiddelser, der behandles som besiddelser i krydsejerskab i henhold til artikel 36, stk. 1, litra g), i forordning (EU) nr. 575/2013, medregnes ikke.</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lastRenderedPageBreak/>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Tilladt udligning af korte positioner i forhold til de indirekte bruttobesiddelser anført ovenfor</w:t>
            </w:r>
          </w:p>
          <w:p w14:paraId="0260A712" w14:textId="77777777" w:rsidR="00CC7D2C" w:rsidRPr="002A677E" w:rsidRDefault="00CC7D2C" w:rsidP="00320EFD">
            <w:pPr>
              <w:pStyle w:val="InstructionsText"/>
            </w:pPr>
            <w:r>
              <w:t>Artikel 4, stk. 1, nr. 114), og artikel 45 i forordning (EU) nr. 575/2013</w:t>
            </w:r>
          </w:p>
          <w:p w14:paraId="50F604F3" w14:textId="77777777" w:rsidR="00CC7D2C" w:rsidRPr="002A677E" w:rsidRDefault="00CC7D2C" w:rsidP="00320EFD">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Syntetiske besiddelser af egentlig kernekapital i enheder i den finansielle sektor, hvori instituttet har væsentlige investeringer</w:t>
            </w:r>
          </w:p>
          <w:p w14:paraId="4FDA5923" w14:textId="77777777" w:rsidR="00CC7D2C" w:rsidRPr="002A677E" w:rsidRDefault="00CC7D2C" w:rsidP="00320EFD">
            <w:pPr>
              <w:pStyle w:val="InstructionsText"/>
            </w:pPr>
            <w:r>
              <w:t>Artikel 4, stk. 1, nr. 126), og artikel 44 og 45 i forordning (EU) nr.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Syntetiske bruttobesiddelser af egentlig kernekapital i enheder i den finansielle sektor, hvori instituttet har væsentlige investeringer</w:t>
            </w:r>
          </w:p>
          <w:p w14:paraId="324270A6" w14:textId="77777777" w:rsidR="00CC7D2C" w:rsidRPr="002A677E" w:rsidRDefault="00CC7D2C" w:rsidP="00320EFD">
            <w:pPr>
              <w:pStyle w:val="InstructionsText"/>
            </w:pPr>
            <w:r>
              <w:t>Artikel 4, stk. 1, nr. 126), og artikel 44 og 45 i forordning (EU) nr.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Tilladt udligning af korte positioner i forhold til de syntetiske bruttobesiddelser anført ovenfor</w:t>
            </w:r>
          </w:p>
          <w:p w14:paraId="514B205E" w14:textId="77777777" w:rsidR="00CC7D2C" w:rsidRPr="002A677E" w:rsidRDefault="00CC7D2C" w:rsidP="00320EFD">
            <w:pPr>
              <w:pStyle w:val="InstructionsText"/>
            </w:pPr>
            <w:r>
              <w:t>Artikel 4, stk. 1, nr. 126), og artikel 45 i forordning (EU) nr. 575/2013</w:t>
            </w:r>
          </w:p>
          <w:p w14:paraId="4A259B9A" w14:textId="77777777" w:rsidR="00CC7D2C" w:rsidRPr="002A677E" w:rsidRDefault="00CC7D2C" w:rsidP="00320EFD">
            <w:pPr>
              <w:pStyle w:val="InstructionsText"/>
            </w:pPr>
            <w:r>
              <w:t>Artikel 45,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egentlig kernekapital i enheder i den finansielle sektor, hvori instituttet har væsentlige investeringer, tildelt en risikovægt på 250 %</w:t>
            </w:r>
          </w:p>
          <w:p w14:paraId="7F700D84" w14:textId="77777777" w:rsidR="00CC7D2C" w:rsidRPr="002A677E" w:rsidRDefault="00CC7D2C" w:rsidP="00320EFD">
            <w:pPr>
              <w:pStyle w:val="InstructionsText"/>
            </w:pPr>
            <w:r>
              <w:t>Artikel 48, stk. 4, i forordning (EU) nr. 575/2013</w:t>
            </w:r>
          </w:p>
          <w:p w14:paraId="08C3709A" w14:textId="77777777" w:rsidR="00CC7D2C" w:rsidRPr="002A677E" w:rsidRDefault="00CC7D2C" w:rsidP="00320EFD">
            <w:pPr>
              <w:pStyle w:val="InstructionsText"/>
            </w:pPr>
            <w:r>
              <w:t>Værdien af betydelige investeringer i egentlig kernekapital i enheder i den finansielle sektor, som ikke fratrækkes i henhold til artikel 48, stk. 1, i forordning (EU) nr. 575/2013, men som tildeles en risikovægt på 250 % i henhold til artikel 48, stk. 4, i nævnte forordning.</w:t>
            </w:r>
          </w:p>
          <w:p w14:paraId="4CC369EF" w14:textId="77777777" w:rsidR="00CC7D2C" w:rsidRPr="002A677E" w:rsidRDefault="00CC7D2C" w:rsidP="00320EFD">
            <w:pPr>
              <w:pStyle w:val="InstructionsText"/>
              <w:rPr>
                <w:rStyle w:val="InstructionsTabelleberschrift"/>
                <w:rFonts w:ascii="Times New Roman" w:hAnsi="Times New Roman"/>
                <w:sz w:val="24"/>
              </w:rPr>
            </w:pPr>
            <w:r>
              <w:t>Den indberettede værdi skal være værdien af væsentlige investeringer før risikovægtning.</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lastRenderedPageBreak/>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Besiddelser af hybrid kernekapital i enheder i den finansielle sektor, hvori instituttet har væsentlige investeringer, fratrukket korte positioner</w:t>
            </w:r>
          </w:p>
          <w:p w14:paraId="0B60B353" w14:textId="77777777" w:rsidR="00CC7D2C" w:rsidRPr="002A677E" w:rsidRDefault="00CC7D2C" w:rsidP="00320EFD">
            <w:pPr>
              <w:pStyle w:val="InstructionsText"/>
            </w:pPr>
            <w:r>
              <w:t>Artikel 58 og 59 i forordning (EU) nr.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besiddelser af hybrid kernekapital i enheder i den finansielle sektor, hvori instituttet har væsentlige investeringer</w:t>
            </w:r>
          </w:p>
          <w:p w14:paraId="615CAEA4" w14:textId="77777777" w:rsidR="00CC7D2C" w:rsidRPr="002A677E" w:rsidRDefault="00CC7D2C" w:rsidP="00320EFD">
            <w:pPr>
              <w:pStyle w:val="InstructionsText"/>
            </w:pPr>
            <w:r>
              <w:t>Artikel 58 og 59 i forordning (EU) nr.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bruttobesiddelser af hybrid kernekapital i enheder i den finansielle sektor, hvori instituttet har væsentlige investeringer</w:t>
            </w:r>
          </w:p>
          <w:p w14:paraId="12F44F50" w14:textId="77777777" w:rsidR="00CC7D2C" w:rsidRPr="002A677E" w:rsidRDefault="00CC7D2C" w:rsidP="00320EFD">
            <w:pPr>
              <w:pStyle w:val="InstructionsText"/>
            </w:pPr>
            <w:r>
              <w:t>Artikel 58 i forordning (EU) nr. 575/2013</w:t>
            </w:r>
          </w:p>
          <w:p w14:paraId="41935DD8" w14:textId="77777777" w:rsidR="00CC7D2C" w:rsidRPr="002A677E" w:rsidRDefault="00CC7D2C" w:rsidP="00320EFD">
            <w:pPr>
              <w:pStyle w:val="InstructionsText"/>
            </w:pPr>
            <w:r>
              <w:t>Direkte besiddelser af hybrid kernekapital i enheder i den finansielle sektor, hvori instituttet har væsentlige investeringer, undtagen:</w:t>
            </w:r>
          </w:p>
          <w:p w14:paraId="4D8400A2" w14:textId="77777777" w:rsidR="00CC7D2C" w:rsidRPr="002A677E" w:rsidRDefault="00CC7D2C" w:rsidP="00320EFD">
            <w:pPr>
              <w:pStyle w:val="InstructionsText"/>
            </w:pPr>
            <w:r>
              <w:t>a)</w:t>
            </w:r>
            <w:r>
              <w:tab/>
              <w:t>emissionspositioner, der besiddes i højst fem arbejdsdage (artikel 56, litra d), i forordning (EU) nr. 575/2013), og</w:t>
            </w:r>
          </w:p>
          <w:p w14:paraId="5C192689" w14:textId="77777777" w:rsidR="00CC7D2C" w:rsidRPr="002A677E" w:rsidRDefault="00CC7D2C" w:rsidP="00320EFD">
            <w:pPr>
              <w:pStyle w:val="InstructionsText"/>
            </w:pPr>
            <w:r>
              <w:t>b)</w:t>
            </w:r>
            <w:r>
              <w:tab/>
              <w:t>besiddelser, der behandles som besiddelser i krydsejerskab i henhold til artikel 56, litra b), i forordning (EU) nr.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Tilladt udligning af korte positioner i forhold til de direkte bruttobesiddelser anført ovenfor</w:t>
            </w:r>
          </w:p>
          <w:p w14:paraId="78A0D4FB" w14:textId="77777777" w:rsidR="00CC7D2C" w:rsidRPr="002A677E" w:rsidRDefault="00CC7D2C" w:rsidP="00320EFD">
            <w:pPr>
              <w:pStyle w:val="InstructionsText"/>
            </w:pPr>
            <w:r>
              <w:t>Artikel 59 i forordning (EU) nr. 575/2013</w:t>
            </w:r>
          </w:p>
          <w:p w14:paraId="4D179792" w14:textId="77777777" w:rsidR="00CC7D2C" w:rsidRPr="002A677E" w:rsidRDefault="00CC7D2C" w:rsidP="00320EFD">
            <w:pPr>
              <w:pStyle w:val="InstructionsText"/>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besiddelser af hybrid kernekapital i enheder i den finansielle sektor, hvori instituttet har væsentlige investeringer</w:t>
            </w:r>
          </w:p>
          <w:p w14:paraId="541FB02F" w14:textId="77777777" w:rsidR="00CC7D2C" w:rsidRPr="002A677E" w:rsidRDefault="00CC7D2C" w:rsidP="00320EFD">
            <w:pPr>
              <w:pStyle w:val="InstructionsText"/>
            </w:pPr>
            <w:r>
              <w:t>Artikel 4, stk. 1, nr. 114), og artikel 58 og 59 i forordning (EU) nr.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bruttobesiddelser af hybrid kernekapital i enheder i den finansielle sektor, hvori instituttet har væsentlige investeringer</w:t>
            </w:r>
          </w:p>
          <w:p w14:paraId="7AF4342B" w14:textId="77777777" w:rsidR="00CC7D2C" w:rsidRPr="002A677E" w:rsidRDefault="00CC7D2C" w:rsidP="00320EFD">
            <w:pPr>
              <w:pStyle w:val="InstructionsText"/>
            </w:pPr>
            <w:r>
              <w:t>Artikel 4, stk. 1, nr. 114), og artikel 58 og 59 i forordning (EU) nr. 575/2013</w:t>
            </w:r>
          </w:p>
          <w:p w14:paraId="058247BE" w14:textId="77777777" w:rsidR="00CC7D2C" w:rsidRPr="002A677E" w:rsidRDefault="00CC7D2C" w:rsidP="00320EFD">
            <w:pPr>
              <w:pStyle w:val="InstructionsText"/>
            </w:pPr>
            <w:r>
              <w:t xml:space="preserve">Det beløb, der skal indberettes, er de indirekte besiddelser i handelsbeholdningen af kapitalinstrumenter i enheder i den finansielle sektor, der udgør besiddelser af indekspapirer. Det fås ved at beregne den underliggende eksponering mod </w:t>
            </w:r>
            <w:r>
              <w:lastRenderedPageBreak/>
              <w:t>kapitalinstrumenter i enheder i den finansielle sektor i indekspapirerne.</w:t>
            </w:r>
          </w:p>
          <w:p w14:paraId="7206E9B6" w14:textId="77777777" w:rsidR="00CC7D2C" w:rsidRPr="002A677E" w:rsidRDefault="00CC7D2C" w:rsidP="00320EFD">
            <w:pPr>
              <w:pStyle w:val="InstructionsText"/>
            </w:pPr>
            <w:r>
              <w:t>Besiddelser, der behandles som besiddelser i krydsejerskab i henhold til artikel 56, litra b), i forordning (EU) nr. 575/2013, medregnes ikke.</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lastRenderedPageBreak/>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Tilladt udligning af korte positioner i forhold til de indirekte bruttobesiddelser anført ovenfor</w:t>
            </w:r>
          </w:p>
          <w:p w14:paraId="4E8AE615" w14:textId="77777777" w:rsidR="00CC7D2C" w:rsidRPr="002A677E" w:rsidRDefault="00CC7D2C" w:rsidP="00320EFD">
            <w:pPr>
              <w:pStyle w:val="InstructionsText"/>
            </w:pPr>
            <w:r>
              <w:t>Artikel 4, stk. 1, nr. 114), og artikel 59 i forordning (EU) nr. 575/2013</w:t>
            </w:r>
          </w:p>
          <w:p w14:paraId="41A9A020" w14:textId="77777777" w:rsidR="00CC7D2C" w:rsidRPr="002A677E" w:rsidRDefault="00CC7D2C" w:rsidP="00320EFD">
            <w:pPr>
              <w:pStyle w:val="InstructionsText"/>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Syntetiske besiddelser af hybrid kernekapital i enheder i den finansielle sektor, hvori instituttet har væsentlige investeringer</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Syntetiske bruttobesiddelser af hybrid kernekapital i enheder i den finansielle sektor, hvori instituttet har væsentlige investeringer</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58 og 59 i forordning (EU) nr.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Tilladt udligning af korte positioner i forhold til de syntetiske bruttobesiddelser anført ovenfor</w:t>
            </w:r>
          </w:p>
          <w:p w14:paraId="0EC24D17" w14:textId="77777777" w:rsidR="00CC7D2C" w:rsidRPr="002A677E" w:rsidRDefault="00CC7D2C" w:rsidP="00320EFD">
            <w:pPr>
              <w:pStyle w:val="InstructionsText"/>
            </w:pPr>
            <w:r>
              <w:t>Artikel 4, stk. 1, nr. 126), og artikel 59 i forordning (EU) nr.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59,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Besiddelser af supplerende kapital i enheder i den finansielle sektor, hvori instituttet har væsentlige investeringer, fratrukket korte positioner</w:t>
            </w:r>
          </w:p>
          <w:p w14:paraId="2AB15F70" w14:textId="77777777" w:rsidR="00CC7D2C" w:rsidRPr="002A677E" w:rsidRDefault="00CC7D2C" w:rsidP="00320EFD">
            <w:pPr>
              <w:pStyle w:val="InstructionsText"/>
            </w:pPr>
            <w:r>
              <w:t>Artikel 68 og 69 i forordning (EU) nr.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besiddelser af supplerende kapital i enheder i den finansielle sektor, hvori instituttet har væsentlige investeringer</w:t>
            </w:r>
          </w:p>
          <w:p w14:paraId="6AED8073" w14:textId="77777777" w:rsidR="00CC7D2C" w:rsidRPr="002A677E" w:rsidRDefault="00CC7D2C" w:rsidP="00320EFD">
            <w:pPr>
              <w:pStyle w:val="InstructionsText"/>
            </w:pPr>
            <w:r>
              <w:t>Artikel 68 og 69 i forordning (EU) nr.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lastRenderedPageBreak/>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bruttobesiddelser af supplerende kapital i enheder i den finansielle sektor, hvori instituttet har væsentlige investeringer</w:t>
            </w:r>
          </w:p>
          <w:p w14:paraId="16D79134" w14:textId="77777777" w:rsidR="00CC7D2C" w:rsidRPr="002A677E" w:rsidRDefault="00CC7D2C" w:rsidP="00320EFD">
            <w:pPr>
              <w:pStyle w:val="InstructionsText"/>
            </w:pPr>
            <w:r>
              <w:t>Artikel 68 i forordning (EU) nr. 575/2013</w:t>
            </w:r>
          </w:p>
          <w:p w14:paraId="66EA3661" w14:textId="77777777" w:rsidR="00CC7D2C" w:rsidRPr="002A677E" w:rsidRDefault="00CC7D2C" w:rsidP="00320EFD">
            <w:pPr>
              <w:pStyle w:val="InstructionsText"/>
            </w:pPr>
            <w:r>
              <w:t>Direkte besiddelser af supplerende kapital i enheder i den finansielle sektor, hvori instituttet har væsentlige investeringer, undtagen:</w:t>
            </w:r>
          </w:p>
          <w:p w14:paraId="423513CF" w14:textId="77777777" w:rsidR="00CC7D2C" w:rsidRPr="002A677E" w:rsidRDefault="00CC7D2C" w:rsidP="00320EFD">
            <w:pPr>
              <w:pStyle w:val="InstructionsText"/>
            </w:pPr>
            <w:r>
              <w:t>a)</w:t>
            </w:r>
            <w:r>
              <w:tab/>
              <w:t xml:space="preserve">emissionspositioner, der besiddes i højst fem arbejdsdage (artikel 66, litra d), i forordning (EU) nr. 575/2013), og </w:t>
            </w:r>
          </w:p>
          <w:p w14:paraId="0945CD9C" w14:textId="77777777" w:rsidR="00CC7D2C" w:rsidRPr="002A677E" w:rsidRDefault="00CC7D2C" w:rsidP="00320EFD">
            <w:pPr>
              <w:pStyle w:val="InstructionsText"/>
            </w:pPr>
            <w:r>
              <w:t>b)</w:t>
            </w:r>
            <w:r>
              <w:tab/>
              <w:t>besiddelser, der behandles som besiddelser i krydsejerskab i henhold til artikel 66, litra b), i forordning (EU) nr.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Tilladt udligning af korte positioner i forhold til de direkte bruttobesiddelser anført ovenfor</w:t>
            </w:r>
          </w:p>
          <w:p w14:paraId="18ADFB22" w14:textId="77777777" w:rsidR="00CC7D2C" w:rsidRPr="002A677E" w:rsidRDefault="00CC7D2C" w:rsidP="00320EFD">
            <w:pPr>
              <w:pStyle w:val="InstructionsText"/>
            </w:pPr>
            <w:r>
              <w:t>Artikel 69 i forordning (EU) nr. 575/2013</w:t>
            </w:r>
          </w:p>
          <w:p w14:paraId="658809D0" w14:textId="77777777" w:rsidR="00CC7D2C" w:rsidRPr="002A677E" w:rsidRDefault="00CC7D2C" w:rsidP="00320EFD">
            <w:pPr>
              <w:pStyle w:val="InstructionsText"/>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besiddelser af supplerende kapital i enheder i den finansielle sektor, hvori instituttet har væsentlige investeringer</w:t>
            </w:r>
          </w:p>
          <w:p w14:paraId="0C6BA394" w14:textId="77777777" w:rsidR="00CC7D2C" w:rsidRPr="002A677E" w:rsidRDefault="00CC7D2C" w:rsidP="00320EFD">
            <w:pPr>
              <w:pStyle w:val="InstructionsText"/>
            </w:pPr>
            <w:r>
              <w:t>Artikel 4, stk. 1, nr. 114), og artikel 68 og 69 i forordning (EU) nr.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bruttobesiddelser af supplerende kapital i enheder i den finansielle sektor, hvori instituttet har væsentlige investeringer</w:t>
            </w:r>
          </w:p>
          <w:p w14:paraId="6C79EB51" w14:textId="77777777" w:rsidR="00CC7D2C" w:rsidRPr="002A677E" w:rsidRDefault="00CC7D2C" w:rsidP="00320EFD">
            <w:pPr>
              <w:pStyle w:val="InstructionsText"/>
            </w:pPr>
            <w:r>
              <w:t>Artikel 4, stk. 1, nr. 114), og artikel 68 og 69 i forordning (EU) nr. 575/2013</w:t>
            </w:r>
          </w:p>
          <w:p w14:paraId="1C456D47" w14:textId="77777777" w:rsidR="00CC7D2C" w:rsidRPr="002A677E" w:rsidRDefault="00CC7D2C" w:rsidP="00320EFD">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2E7DF12B" w14:textId="77777777" w:rsidR="00CC7D2C" w:rsidRPr="002A677E" w:rsidRDefault="00CC7D2C" w:rsidP="00320EFD">
            <w:pPr>
              <w:pStyle w:val="InstructionsText"/>
            </w:pPr>
            <w:r>
              <w:t>Besiddelser, der behandles som besiddelser i krydsejerskab i henhold til artikel 66, litra b), i forordning (EU) nr. 575/2013, medregnes ikke.</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Tilladt udligning af korte positioner i forhold til de indirekte bruttobesiddelser anført ovenfor</w:t>
            </w:r>
          </w:p>
          <w:p w14:paraId="337B5275" w14:textId="77777777" w:rsidR="00CC7D2C" w:rsidRPr="002A677E" w:rsidRDefault="00CC7D2C" w:rsidP="00320EFD">
            <w:pPr>
              <w:pStyle w:val="InstructionsText"/>
            </w:pPr>
            <w:r>
              <w:t>Artikel 4, stk. 1, nr. 114), og artikel 69 i forordning (EU) nr. 575/2013</w:t>
            </w:r>
          </w:p>
          <w:p w14:paraId="1D1733C3" w14:textId="77777777" w:rsidR="00CC7D2C" w:rsidRPr="002A677E" w:rsidRDefault="00CC7D2C" w:rsidP="00320EFD">
            <w:pPr>
              <w:pStyle w:val="InstructionsText"/>
            </w:pPr>
            <w:r>
              <w:lastRenderedPageBreak/>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lastRenderedPageBreak/>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Syntetiske besiddelser af supplerende kapital i enheder i den finansielle sektor, hvori instituttet har væsentlige investeringer</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Syntetiske bruttobesiddelser af supplerende kapital i enheder i den finansielle sektor, hvori instituttet har væsentlige investeringer</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4, stk. 1, nr. 126), og artikel 68 og 69 i forordning (EU) nr.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Tilladt udligning af korte positioner i forhold til de syntetiske bruttobesiddelser anført ovenfor</w:t>
            </w:r>
          </w:p>
          <w:p w14:paraId="4F4571E8" w14:textId="77777777" w:rsidR="00CC7D2C" w:rsidRPr="002A677E" w:rsidRDefault="00CC7D2C" w:rsidP="00320EFD">
            <w:pPr>
              <w:pStyle w:val="InstructionsText"/>
            </w:pPr>
            <w:r>
              <w:t>Artikel 4, stk. 1, nr. 126), og artikel 69 i forordning (EU) nr.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Artikel 69, litra a), i forordning (EU) nr. 575/2013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Risikovægtede eksponeringer for besiddelser af egentlig kernekapital i enheder i den finansielle sektor, som ikke fratrækkes instituttets egentlige kernekapital</w:t>
            </w:r>
          </w:p>
          <w:p w14:paraId="2A1347E7" w14:textId="77777777" w:rsidR="00CC7D2C" w:rsidRPr="002A677E" w:rsidRDefault="00CC7D2C" w:rsidP="00320EFD">
            <w:pPr>
              <w:pStyle w:val="InstructionsText"/>
            </w:pPr>
            <w:r>
              <w:t>Artikel 46, stk. 4, artikel 48, stk. 4, og artikel 49, stk. 4, i forordning (EU) nr.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Risikovægtede eksponeringer for besiddelser af hybrid kernekapital i enheder i den finansielle sektor, som ikke fratrækkes instituttets hybride kernekapital</w:t>
            </w:r>
          </w:p>
          <w:p w14:paraId="30C320BB" w14:textId="77777777" w:rsidR="00CC7D2C" w:rsidRPr="002A677E" w:rsidRDefault="00CC7D2C" w:rsidP="00320EFD">
            <w:pPr>
              <w:pStyle w:val="InstructionsText"/>
            </w:pPr>
            <w:r>
              <w:t>Artikel 60, stk. 4, i forordning (EU) nr.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Risikovægtede eksponeringer for besiddelser af supplerende kapital i enheder i den finansielle sektor, som ikke fratrækkes instituttets supplerende kapital</w:t>
            </w:r>
          </w:p>
          <w:p w14:paraId="78BD6DA2" w14:textId="77777777" w:rsidR="00CC7D2C" w:rsidRPr="002A677E" w:rsidRDefault="00CC7D2C" w:rsidP="00320EFD">
            <w:pPr>
              <w:pStyle w:val="InstructionsText"/>
            </w:pPr>
            <w:r>
              <w:t>Artikel 70, stk. 4, i forordning (EU) nr.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ikke har væsentlige investeringer</w:t>
            </w:r>
          </w:p>
          <w:p w14:paraId="2FF787C2" w14:textId="77777777" w:rsidR="00CC7D2C" w:rsidRPr="002A677E" w:rsidRDefault="00CC7D2C" w:rsidP="00320EFD">
            <w:pPr>
              <w:pStyle w:val="InstructionsText"/>
            </w:pPr>
            <w:r>
              <w:t>Artikel 79 i forordning (EU) nr. 575/2013</w:t>
            </w:r>
          </w:p>
          <w:p w14:paraId="461FF48B" w14:textId="77777777" w:rsidR="00CC7D2C" w:rsidRPr="002A677E" w:rsidRDefault="00CC7D2C" w:rsidP="00320EFD">
            <w:pPr>
              <w:pStyle w:val="InstructionsText"/>
            </w:pPr>
            <w:r>
              <w:lastRenderedPageBreak/>
              <w:t>En kompetent myndighed kan midlertidigt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52F554E2" w14:textId="77777777" w:rsidR="00CC7D2C" w:rsidRPr="002A677E" w:rsidRDefault="00CC7D2C" w:rsidP="00320EFD">
            <w:pPr>
              <w:pStyle w:val="InstructionsText"/>
            </w:pPr>
            <w:r>
              <w:t>Bemærk, at disse instrumenter også skal indberettes i post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lastRenderedPageBreak/>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har væsentlige investeringer</w:t>
            </w:r>
          </w:p>
          <w:p w14:paraId="75D9BB74" w14:textId="77777777" w:rsidR="00CC7D2C" w:rsidRPr="002A677E" w:rsidRDefault="00CC7D2C" w:rsidP="00320EFD">
            <w:pPr>
              <w:pStyle w:val="InstructionsText"/>
            </w:pPr>
            <w:r>
              <w:t>Artikel 79 i forordning (EU) nr. 575/2013</w:t>
            </w:r>
          </w:p>
          <w:p w14:paraId="3CF93984" w14:textId="77777777" w:rsidR="00CC7D2C" w:rsidRPr="002A677E" w:rsidRDefault="00CC7D2C" w:rsidP="00320EFD">
            <w:pPr>
              <w:pStyle w:val="InstructionsText"/>
            </w:pPr>
            <w:r>
              <w:t>En kompetent myndighed kan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402057D7" w14:textId="77777777" w:rsidR="00CC7D2C" w:rsidRPr="002A677E" w:rsidRDefault="00CC7D2C" w:rsidP="00320EFD">
            <w:pPr>
              <w:pStyle w:val="InstructionsText"/>
            </w:pPr>
            <w:r>
              <w:t>Bemærk, at disse instrumenter også skal indberettes i post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ikke har væsentlige investeringer</w:t>
            </w:r>
          </w:p>
          <w:p w14:paraId="21529E99" w14:textId="77777777" w:rsidR="00CC7D2C" w:rsidRPr="002A677E" w:rsidRDefault="00CC7D2C" w:rsidP="00320EFD">
            <w:pPr>
              <w:pStyle w:val="InstructionsText"/>
            </w:pPr>
            <w:r>
              <w:t>Artikel 79 i forordning (EU) nr. 575/2013</w:t>
            </w:r>
          </w:p>
          <w:p w14:paraId="799B0BA0" w14:textId="77777777" w:rsidR="00CC7D2C" w:rsidRPr="002A677E" w:rsidRDefault="00CC7D2C" w:rsidP="00320EFD">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4C19F43B" w14:textId="77777777" w:rsidR="00CC7D2C" w:rsidRPr="002A677E" w:rsidRDefault="00CC7D2C" w:rsidP="00320EFD">
            <w:pPr>
              <w:pStyle w:val="InstructionsText"/>
            </w:pPr>
            <w:r>
              <w:t>Bemærk, at disse instrumenter også skal indberettes i post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har væsentlige investeringer</w:t>
            </w:r>
          </w:p>
          <w:p w14:paraId="29ECC364" w14:textId="77777777" w:rsidR="00CC7D2C" w:rsidRPr="002A677E" w:rsidRDefault="00CC7D2C" w:rsidP="00320EFD">
            <w:pPr>
              <w:pStyle w:val="InstructionsText"/>
            </w:pPr>
            <w:r>
              <w:t>Artikel 79 i forordning (EU) nr. 575/2013</w:t>
            </w:r>
          </w:p>
          <w:p w14:paraId="7B10897F" w14:textId="77777777" w:rsidR="00CC7D2C" w:rsidRPr="002A677E" w:rsidRDefault="00CC7D2C" w:rsidP="00320EFD">
            <w:pPr>
              <w:pStyle w:val="InstructionsText"/>
            </w:pPr>
            <w:r>
              <w:t xml:space="preserve">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w:t>
            </w:r>
            <w:r>
              <w:lastRenderedPageBreak/>
              <w:t>bistandsoperation med henblik på at reorganisere og redde denne enhed.</w:t>
            </w:r>
          </w:p>
          <w:p w14:paraId="4477D9DA" w14:textId="77777777" w:rsidR="00CC7D2C" w:rsidRPr="002A677E" w:rsidRDefault="00CC7D2C" w:rsidP="00320EFD">
            <w:pPr>
              <w:pStyle w:val="InstructionsText"/>
            </w:pPr>
            <w:r>
              <w:t>Bemærk, at disse instrumenter også skal indberettes i post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lastRenderedPageBreak/>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ikke har væsentlige investeringer</w:t>
            </w:r>
          </w:p>
          <w:p w14:paraId="11A612C2" w14:textId="77777777" w:rsidR="00CC7D2C" w:rsidRPr="002A677E" w:rsidRDefault="00CC7D2C" w:rsidP="00320EFD">
            <w:pPr>
              <w:pStyle w:val="InstructionsText"/>
            </w:pPr>
            <w:r>
              <w:t>Artikel 79 i forordning (EU) nr. 575/2013</w:t>
            </w:r>
          </w:p>
          <w:p w14:paraId="2B2A46AA" w14:textId="77777777" w:rsidR="00CC7D2C" w:rsidRPr="002A677E" w:rsidRDefault="00CC7D2C" w:rsidP="00320EFD">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0FE5A55A" w14:textId="77777777" w:rsidR="00CC7D2C" w:rsidRPr="002A677E" w:rsidRDefault="00CC7D2C" w:rsidP="00320EFD">
            <w:pPr>
              <w:pStyle w:val="InstructionsText"/>
            </w:pPr>
            <w:r>
              <w:t>Bemærk, at disse instrumenter også skal indberettes i post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har væsentlige investeringer</w:t>
            </w:r>
          </w:p>
          <w:p w14:paraId="208EC193" w14:textId="77777777" w:rsidR="00CC7D2C" w:rsidRPr="002A677E" w:rsidRDefault="00CC7D2C" w:rsidP="00320EFD">
            <w:pPr>
              <w:pStyle w:val="InstructionsText"/>
            </w:pPr>
            <w:r>
              <w:t>Artikel 79 i forordning (EU) nr. 575/2013</w:t>
            </w:r>
          </w:p>
          <w:p w14:paraId="1FA4E3CB" w14:textId="77777777" w:rsidR="00CC7D2C" w:rsidRPr="002A677E" w:rsidRDefault="00CC7D2C" w:rsidP="00320EFD">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13C3AFDA" w14:textId="77777777" w:rsidR="00CC7D2C" w:rsidRPr="002A677E" w:rsidRDefault="00CC7D2C" w:rsidP="00320EFD">
            <w:pPr>
              <w:pStyle w:val="InstructionsText"/>
            </w:pPr>
            <w:r>
              <w:t>Bemærk, at disse instrumenter også skal indberettes i post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Kombineret bufferkrav</w:t>
            </w:r>
          </w:p>
          <w:p w14:paraId="0AF29A6F" w14:textId="77777777" w:rsidR="00CC7D2C" w:rsidRPr="002A677E" w:rsidRDefault="00CC7D2C" w:rsidP="00320EFD">
            <w:pPr>
              <w:pStyle w:val="InstructionsText"/>
            </w:pPr>
            <w:r>
              <w:t>Artikel 128, nr. 6), i direktiv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Kapitalbevaringsbuffer</w:t>
            </w:r>
          </w:p>
          <w:p w14:paraId="1304A556" w14:textId="77777777" w:rsidR="00CC7D2C" w:rsidRPr="002A677E" w:rsidRDefault="00CC7D2C" w:rsidP="00320EFD">
            <w:pPr>
              <w:pStyle w:val="InstructionsText"/>
            </w:pPr>
            <w:r>
              <w:t xml:space="preserve">Artikel 128, stk. 1, og artikel 129 i direktiv 2013/36/EU </w:t>
            </w:r>
          </w:p>
          <w:p w14:paraId="34478878" w14:textId="77777777" w:rsidR="00CC7D2C" w:rsidRPr="002A677E" w:rsidRDefault="00CC7D2C" w:rsidP="00320EFD">
            <w:pPr>
              <w:pStyle w:val="InstructionsText"/>
            </w:pPr>
            <w:r>
              <w:t>I henhold til artikel 129, stk. 1, i direktiv 2013/36/EU er kapitalbevaringsbufferen et beløb ud over den egentlige kernekapital. Eftersom satsen på 2,5 % for kapitalbevaringsbufferen er stabil, skal der indberettes et beløb i denne række.</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Bevaringsbuffer som følge af makroprudentiel eller systemisk risiko identificeret på medlemsstatsniveau </w:t>
            </w:r>
          </w:p>
          <w:p w14:paraId="6B9D8D9B" w14:textId="77777777" w:rsidR="00CC7D2C" w:rsidRPr="002A677E" w:rsidRDefault="00CC7D2C" w:rsidP="00320EFD">
            <w:pPr>
              <w:pStyle w:val="InstructionsText"/>
            </w:pPr>
            <w:r>
              <w:t>Artikel 458, stk. 2, litra d), nr. iv), i forordning (EU) nr. 575/2013</w:t>
            </w:r>
          </w:p>
          <w:p w14:paraId="164E576A" w14:textId="77777777" w:rsidR="00CC7D2C" w:rsidRPr="002A677E" w:rsidRDefault="00CC7D2C" w:rsidP="00320EFD">
            <w:pPr>
              <w:pStyle w:val="InstructionsText"/>
            </w:pPr>
            <w:r>
              <w:t>I denne række indberettes det beløb for bevaringsbufferen som følge af makroprudentiel eller systemisk risiko identificeret på medlemsstatsniveau, der ud over kapitalbevaringsbufferen kan kræves i henhold til artikel 458 i forordning (EU) nr. 575/2013.</w:t>
            </w:r>
          </w:p>
          <w:p w14:paraId="567C4AC2" w14:textId="77777777" w:rsidR="00CC7D2C" w:rsidRPr="002A677E" w:rsidRDefault="00CC7D2C" w:rsidP="00320EFD">
            <w:pPr>
              <w:pStyle w:val="InstructionsText"/>
            </w:pPr>
            <w:r>
              <w:lastRenderedPageBreak/>
              <w:t>Det indberettede beløb skal repræsentere det kapitalgrundlag, der er nødvendigt for at opfylde de respektive kapitalbufferkrav på indberetningsdatoen.</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Institutspecifik kontracyklisk kapitalbuffer </w:t>
            </w:r>
          </w:p>
          <w:p w14:paraId="5911F73C" w14:textId="77777777" w:rsidR="00CC7D2C" w:rsidRPr="002A677E" w:rsidRDefault="00CC7D2C" w:rsidP="00320EFD">
            <w:pPr>
              <w:pStyle w:val="InstructionsText"/>
            </w:pPr>
            <w:r>
              <w:t xml:space="preserve">Artikel 128, nr. 2), artikel 130 og 135-140 i direktiv 2013/36/EU </w:t>
            </w:r>
          </w:p>
          <w:p w14:paraId="2146B003" w14:textId="77777777" w:rsidR="00CC7D2C" w:rsidRPr="002A677E" w:rsidRDefault="00CC7D2C" w:rsidP="00320EFD">
            <w:pPr>
              <w:pStyle w:val="InstructionsText"/>
            </w:pPr>
            <w:r>
              <w:t>Det indberettede beløb skal repræsentere det kapitalgrundlag, der er nødvendigt for at opfylde de respektive kapitalbufferkrav på indberetningsdatoen.</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Systemisk risikobuffer </w:t>
            </w:r>
          </w:p>
          <w:p w14:paraId="441B636C" w14:textId="77777777" w:rsidR="00CC7D2C" w:rsidRPr="002A677E" w:rsidRDefault="00CC7D2C" w:rsidP="00320EFD">
            <w:pPr>
              <w:pStyle w:val="InstructionsText"/>
            </w:pPr>
            <w:r>
              <w:t xml:space="preserve">Artikel 128, nr. 5), artikel 133 og 134 i direktiv 2013/36/EU </w:t>
            </w:r>
          </w:p>
          <w:p w14:paraId="69C1F43C" w14:textId="77777777" w:rsidR="00CC7D2C" w:rsidRPr="002A677E" w:rsidRDefault="00CC7D2C" w:rsidP="00320EFD">
            <w:pPr>
              <w:pStyle w:val="InstructionsText"/>
            </w:pPr>
            <w:r>
              <w:t>Det indberettede beløb skal repræsentere det kapitalgrundlag, der er nødvendigt for at opfylde de respektive kapitalbufferkrav på indberetningsdatoen.</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Artikel 128, stk. 3, og artikel 131 i direktiv 2013/36/EU</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for andre systemisk vigtige institutter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t>Artikel 128, stk. 4, og artikel 131 i direktiv 2013/36/EU</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Kapitalgrundlagskrav i forbindelse med søjle II-justeringer</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Artikel 104a, stk. 1, i direktiv 2013/36/EU</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Hvis en kompetent myndighed beslutter, at et institut skal beregne krav om yderligere kapitalgrundlag som følge af søjle II-justeringer, skal beløbet for disse yderligere kapitalgrundlagskrav indberettes i denne række.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Artikel 12 og artikel 28-31 i direktiv 2013/36/EU og artikel 93 i forordning (EU) nr.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Kapitalgrundlag baseret på faste omkostninger</w:t>
            </w:r>
          </w:p>
          <w:p w14:paraId="0512C5F3" w14:textId="77777777" w:rsidR="00CC7D2C" w:rsidRDefault="00CC7D2C" w:rsidP="00320EFD">
            <w:pPr>
              <w:pStyle w:val="InstructionsText"/>
            </w:pPr>
            <w:r>
              <w:t>Artikel 95, stk. 2, litra b), artikel 96, stk. 2, litra b), artikel 97 og artikel 98, stk. 1, litra a), i forordning (EU) nr.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Det indberettede beløb er det kapitalgrundlagskrav, der følger af anvendelsen af ovennævnte artikler.</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Ikkeindenlandske oprindelige eksponeringer</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Information, der er nødvendig for at beregne tærsklen for indberetning af CR GB-skemaet, jf. denne </w:t>
            </w:r>
            <w:r>
              <w:lastRenderedPageBreak/>
              <w:t>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Uanset artikel 21, stk. 1, litra a), i denne gennemførelsesforordning skal denne række altid udfyldes.</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Oprindelige eksponeringer i alt</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t>Information, der er nødvendig for at beregne tærsklen for indberetning af CR GB-skemaet, jf. denne 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Uanset artikel 21, stk. 1, litra a), i denne gennemførelsesforordning skal denne række altid udfyldes.</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JUSTERING AF GULV INDEN ANVENDELSE AF OVERGANGSFORANSTALTNING MED ET LOFT</w:t>
            </w:r>
          </w:p>
          <w:p w14:paraId="0E5E8397" w14:textId="77777777" w:rsidR="00CC7D2C" w:rsidRPr="002A677E" w:rsidRDefault="00CC7D2C" w:rsidP="00320EFD">
            <w:pPr>
              <w:pStyle w:val="InstructionsText"/>
              <w:rPr>
                <w:rStyle w:val="InstructionsTabelleberschrift"/>
                <w:rFonts w:ascii="Times New Roman" w:hAnsi="Times New Roman"/>
                <w:sz w:val="24"/>
              </w:rPr>
            </w:pPr>
            <w:r>
              <w:t>For så vidt angår institutter, der er omfattet af outputgulvet i henhold til artikel 92, stk. 3, i forordning (EU) nr. 575/2013, justeringen af gulv uden anvendelse af den overgangsforanstaltning med et loft, som er fastsat i artikel 465, stk. 2, i forordning (EU) nr.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JUSTERING AF GULV EFTER ANVENDELSE AF OVERGANGSFORANSTALTNING MED ET LOFT</w:t>
            </w:r>
          </w:p>
          <w:p w14:paraId="373CB5D0" w14:textId="77777777" w:rsidR="00CC7D2C" w:rsidRDefault="00CC7D2C" w:rsidP="00320EFD">
            <w:pPr>
              <w:pStyle w:val="InstructionsText"/>
              <w:rPr>
                <w:rStyle w:val="InstructionsTabelleberschrift"/>
                <w:rFonts w:ascii="Times New Roman" w:hAnsi="Times New Roman"/>
                <w:sz w:val="24"/>
              </w:rPr>
            </w:pPr>
            <w:r>
              <w:t>For så vidt angår institutter, der er omfattet af outputgulvet i henhold til artikel 92, stk. 3, i forordning (EU) nr. 575/2013, justeringen af gulv efter anvendelse af den overgangsforanstaltning med et loft, som er fastsat i artikel 465, stk. 2, i forordning (EU) nr.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JUSTERING AF FULDT LADET GULV </w:t>
            </w:r>
          </w:p>
          <w:p w14:paraId="7B9000EF" w14:textId="77777777" w:rsidR="00CC7D2C" w:rsidRPr="002A677E" w:rsidRDefault="00CC7D2C" w:rsidP="00320EFD">
            <w:pPr>
              <w:pStyle w:val="InstructionsText"/>
              <w:rPr>
                <w:rStyle w:val="InstructionsTabelleberschrift"/>
                <w:rFonts w:ascii="Times New Roman" w:hAnsi="Times New Roman"/>
                <w:sz w:val="24"/>
              </w:rPr>
            </w:pPr>
            <w:r>
              <w:t>For så vidt angår institutter, der er omfattet af outputgulvet i henhold til artikel 92, stk. 3, i forordning (EU) nr. 575/2013, justeringen af gulv uden anvendelse af nogen overgangsordninger, jf. artikel 465 i forordning (EU) nr.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Anvendt outputgulv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Outputgulvet, udtrykt i procent, anvendt af banken i</w:t>
            </w:r>
          </w:p>
          <w:p w14:paraId="4826F3C6" w14:textId="77777777" w:rsidR="00CC7D2C" w:rsidRPr="002A677E" w:rsidRDefault="00CC7D2C" w:rsidP="00320EFD">
            <w:pPr>
              <w:pStyle w:val="InstructionsText"/>
              <w:rPr>
                <w:rStyle w:val="InstructionsTabelleberschrift"/>
                <w:rFonts w:ascii="Times New Roman" w:hAnsi="Times New Roman"/>
                <w:sz w:val="24"/>
              </w:rPr>
            </w:pPr>
            <w:r>
              <w:t>sin beregning af gulvjusteringsværdien: faktor "x" i henhold til artikel 92, stk. 3, og artikel 465, stk. 1, i forordning (EU) nr.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OVERGANGSBESTEMMELSER og INSTRUMENTER OMFATTER AF OVERGANGSBESTEMMELSER: INSTRUMENTER, DER IKKE UDGØR STATSSTØTTE (CA5)</w:t>
      </w:r>
      <w:bookmarkEnd w:id="46"/>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Generelle bemærkninger</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CA5 opsummerer beregningen af kapitalgrundlagsposter og fradrag, der er omfattet af overgangsbestemmelser fastsat i artikel 465-491, 494a og 494b i forordning (EU) nr. 575/2013.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CA5 er opbygget på følgende måde:</w:t>
      </w:r>
    </w:p>
    <w:p w14:paraId="1CFB5D30" w14:textId="77777777" w:rsidR="00CC7D2C" w:rsidRPr="002A677E" w:rsidRDefault="00CC7D2C" w:rsidP="00886567">
      <w:pPr>
        <w:pStyle w:val="InstructionsText2"/>
        <w:numPr>
          <w:ilvl w:val="0"/>
          <w:numId w:val="0"/>
        </w:numPr>
        <w:ind w:left="993"/>
      </w:pPr>
      <w:r>
        <w:t>a)</w:t>
      </w:r>
      <w:r>
        <w:tab/>
        <w:t>Skema CA5.1 opsummerer de samlede justeringer, der skal foretages i forskellige kapitalgrundlagselementer (indberettet i CA1 i henhold til de endelige bestemmelser) som følge af anvendelsen af overgangsbestemmelserne. Posterne i dette skema præsenteres som "justeringer" i de forskellige kapitalelementer i CA1 med henblik på at afspejle virkningerne af overgangsbestemmelserne i kapitalgrundlagselementerne.</w:t>
      </w:r>
    </w:p>
    <w:p w14:paraId="7232AD29" w14:textId="77777777" w:rsidR="00CC7D2C" w:rsidRPr="002A677E" w:rsidRDefault="00CC7D2C" w:rsidP="00886567">
      <w:pPr>
        <w:pStyle w:val="InstructionsText2"/>
        <w:numPr>
          <w:ilvl w:val="0"/>
          <w:numId w:val="0"/>
        </w:numPr>
        <w:ind w:left="993"/>
      </w:pPr>
      <w:r>
        <w:t>b)</w:t>
      </w:r>
      <w:r>
        <w:tab/>
        <w:t xml:space="preserve">Skema 5.2 indeholder yderligere oplysninger om beregningen af instrumenter, der er omfattet af overgangsbestemmelser, og som ikke udgør statsstøtte. </w:t>
      </w:r>
    </w:p>
    <w:bookmarkStart w:id="54" w:name="_Toc307386943"/>
    <w:p w14:paraId="1D29FCFA" w14:textId="77777777" w:rsidR="00CC7D2C" w:rsidRPr="002A677E" w:rsidRDefault="00CC7D2C" w:rsidP="00886567">
      <w:pPr>
        <w:pStyle w:val="InstructionsText2"/>
        <w:numPr>
          <w:ilvl w:val="0"/>
          <w:numId w:val="0"/>
        </w:numPr>
      </w:pPr>
      <w:r>
        <w:fldChar w:fldCharType="begin"/>
      </w:r>
      <w:r>
        <w:instrText xml:space="preserve"> seq paragraphs </w:instrText>
      </w:r>
      <w:r>
        <w:fldChar w:fldCharType="separate"/>
      </w:r>
      <w:r>
        <w:t>18</w:t>
      </w:r>
      <w:r>
        <w:fldChar w:fldCharType="end"/>
      </w:r>
      <w:r>
        <w:t>.</w:t>
      </w:r>
      <w:r>
        <w:tab/>
        <w:t>I de første fire kolonner skal institutter indberette justeringer af egentlig kernekapital, hybrid kernekapital og supplerende kapital samt det beløb, der skal behandles som risikovægtede aktiver. Institutterne skal også indberette den relevante procentdel i kolonne 0050 og det kvalificerede beløb uden indregning af overgangsbestemmelserne i kolonne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Institutterne skal kun indberette elementer i CA5 i den periode, hvor overgangsbestemmelserne i tiende del i forordning (EU) nr. 575/2013 finder anvendelse.</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Nogle af overgangsbestemmelserne kræver et fradrag i den egentlige kernekapital. I så fald anvendes restbeløbet af et eller flere fradrag på kernekapitalen. Hvis der ikke er tilstrækkelig hybrid kernekapital til at absorbere dette beløb, fratrækkes det overskydende beløb den egentlige kernekapital.</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OVERGANGSBESTEMMELSER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I CA5.1-skemaet skal institutter indberette de overgangsbestemmelser, der anvendes på kapitalgrundlagselementer i overensstemmelse med artikel 465 til 491, 494a og 494b i forordning (EU) nr. 575/2013, sammenlignet med anvendelsen af de endelige bestemmelser, der fremgår af anden del, afsnit II, i forordning (EU) nr. 575/2013.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Institutterne skal i række 0060 til 0065 indberette oplysninger om overgangsbestemmelserne for instrumenter omfattet af overgangsbestemmelser ("grandfathered" instrumenter). De tal, der skal indberettes i række 0060 i CA5.1, afspejler overgangsbestemmelserne i forordning (EU) nr. 575/2013 i den udgave, der var gældende indtil den 26. juni 2019, og kan udledes af de respektive afsnit i CA5.2. Række 0061-0065 omhandler virkningen af overgangsbestemmelserne i artikel 494a og 494b i forordning (EU) nr. 575/2013.</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 xml:space="preserve">Institutterne skal i række 0070 til 0092 indberette oplysninger om overgangsbestemmelserne for minoritetsinteresser og hybride kernekapitalsinstrumenter og </w:t>
      </w:r>
      <w:r>
        <w:lastRenderedPageBreak/>
        <w:t>supplerende kapitalinstrumenter udstedt af datterselskaber (i henhold til artikel 479 og 480 i forordning (EU) nr.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Fra og med række 0100 skal institutterne indberette oplysninger om virkningen af overgangsbestemmelserne for urealiserede gevinster og tab, fradrag, supplerende filtre og fradrag samt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Der kan være tilfælde, hvor fradrag i den egentlige kernekapital, hybride kernekapital eller supplerende kapital i medfør af overgangsbestemmelser overstiger et instituts egentlige kernekapital, hybride kernekapital eller supplerende kapital. Denne konsekvens — hvis den er resultatet af overgangsbestemmelser — påvises i de relevante celler i CA1-skemaet. Som følge deraf omfatter justeringerne i CA5-skemaernes kolonner ikke afsmittende virkninger, hvis tilstrækkelig kapital ikke er tilgængelig.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Instrukser vedrørende specifikke positioner</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Kolonner</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egentlig kernekapital</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hybrid kernekapital</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supplerende kapital</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risikovægtede aktiver</w:t>
            </w:r>
          </w:p>
          <w:p w14:paraId="2AB15337" w14:textId="77777777" w:rsidR="00CC7D2C" w:rsidRPr="002A677E" w:rsidRDefault="00CC7D2C" w:rsidP="00320EFD">
            <w:pPr>
              <w:pStyle w:val="InstructionsText"/>
              <w:rPr>
                <w:rStyle w:val="InstructionsTabelleText"/>
                <w:rFonts w:ascii="Times New Roman" w:hAnsi="Times New Roman"/>
                <w:sz w:val="24"/>
              </w:rPr>
            </w:pPr>
            <w:r>
              <w:t>Kolonne 0040 indeholder de relevante værdier og justerer den samlede risikoeksponering omhandlet i artikel 92, stk. 3, i forordning (EU) nr. 575/2013 som følge af overgangsbestemmelser.</w:t>
            </w:r>
            <w:r>
              <w:rPr>
                <w:rStyle w:val="InstructionsTabelleText"/>
                <w:rFonts w:ascii="Times New Roman" w:hAnsi="Times New Roman"/>
                <w:sz w:val="24"/>
              </w:rPr>
              <w:t xml:space="preserve"> </w:t>
            </w:r>
            <w:r>
              <w:t>De indberettede beløb skal tage højde for anvendelsen af bestemmelserne i tredje del, afsnit II, kapitel 2 eller 3, eller af tredje del, afsnit IV, i overensstemmelse med artikel 92, stk. 4, i forordning (EU) nr. 575/2013.</w:t>
            </w:r>
            <w:r>
              <w:rPr>
                <w:rStyle w:val="InstructionsTabelleText"/>
                <w:rFonts w:ascii="Times New Roman" w:hAnsi="Times New Roman"/>
                <w:sz w:val="24"/>
              </w:rPr>
              <w:t xml:space="preserve"> Dette betyder, at overgangsbeløb, der er omfattet af tredje del, afsnit II, kapitel 2 eller 3, skal indberettes som risikovægtede eksponeringer, mens overgangsbeløb, der er omfattet af bestemmelserne i tredje del, afsnit IV, skal repræsentere kapitalgrundlagskravene ganget med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Mens kolonne 0010 til 0030 har et direkte link til CA1-skemaet, er der ikke et direkte link mellem justeringerne af den samlede risikoeksponering og de relevante skemaer for kreditrisiko. Hvis der foretages justeringer som følge af overgangsbestemmelserne af den samlede risikoeksponering, indsættes disse justeringer direkte i CR SA, CR IRB, CR EQU IRB, MKR SA TDI, MKR SA EQU eller MKR IM. Disse virkninger indberettes endvidere i kolonne 0040 i CA5.1. Disse beløb er derfor kun memorandumposter.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Relevant procentdel</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Kvalificeret beløb uden overgangsbestemmelser</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Denne kolonne indeholder beløbet for hvert instrument inden anvendelsen af overgangsbestemmelser, dvs. det grundbeløb, der bruges ved beregning af justeringerne.</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lastRenderedPageBreak/>
              <w:t>Rækker</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Samlede justeringer</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Denne række afspejler den samlede virkning af overgangsjusteringerne af de forskellige kapitaltyper plus de risikovægtede beløb, der følger af disse justeringer.</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Instrumenter, der er omfattet af overgangsbestemmelser</w:t>
            </w:r>
          </w:p>
          <w:p w14:paraId="5D53743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Artikel 483-491 i forordning (EU) nr.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Denne række afspejler den samlede virkning af instrumenter, der er omfattet af overgangsbestemmelser for de forskellige kapitaltyper.</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Instrumenter, der ikke udgør statsstøtte</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De indberettede beløb hentes fra kolonne 060 i CA5.2-skemaet</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Instrumenter, der er udstedt gennem special purpose vehicles</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Artikel 494a i forordning (EU) nr.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Instrumenter, der er udstedt før den 27. juni 2019, og som ikke opfylder anerkendelseskriterierne for beføjelser til at nedskrive eller konvertere i henhold til artikel 59 i direktiv 2014/59/EU eller er omfattet af aftaler om modregning eller nettingaftaler</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Artikel 494b i forordning (EU) nr.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p), q) og r), i nævnte forordning eller artikel 63, litra n), o) og p), i nævnte forordning, alt efter hvad der er relevant.</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I tilfælde af supplerende kapitalinstrumenter, der er anerkendt i henhold til artikel 494b, stk. 2, i forordning (EU) nr. 575/2013, skal kravene med hensyn til amortisering i artikel 64 i nævnte forordning overholdes.</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Heraf: instrumenter uden retligt bindende eller kontraktligt ufravigelig nedskrivning eller konvertering ved udøvelsen af beføjelserne i artikel 59 i direktiv 2014/59/EU</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Artikel 494b, artikel 52, stk. 1, litra p), artikel 63, litra n), i forordning (EU) nr.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p), i nævnte forordning eller artikel 63, litra n), i nævnte forordning, alt efter hvad der er relevant.</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q) eller r), i forordning (EU) nr. 575/2013 eller i givet fald artikel 63, litra o) eller p), i nævnte forordning.</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Heraf: instrumenter, der er underlagt lovgivning i et tredjeland uden effektiv udøvelse og håndhævelse af beføjelserne i artikel 59 i direktiv 2014/59/EU</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lastRenderedPageBreak/>
              <w:t>Artikel 494b, artikel 52, stk. 1, litra q), artikel 63, litra o), i forordning (EU) nr.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q), i nævnte forordning eller artikel 63, litra o), i nævnte forordning, alt efter hvad der er relevant.</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p) eller r), i forordning (EU) nr. 575/2013 eller i givet fald artikel 63, litra n) eller p), i nævnte forordning.</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Heraf: instrumenter der er omfattet af aftaler om modregning eller nettingaftaler</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Artikel 494b, artikel 52, stk. 1, litra r), artikel 63, litra p), i forordning (EU) nr.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Institutterne skal indberette værdien af instrumenter, der er omfattet af artikel 494b i forordning (EU) nr. 575/2013, og som ikke opfylder et eller flere anerkendelseskriterier i artikel 52, stk. 1, litra r), i nævnte forordning eller artikel 63, litra p), i nævnte forordning, alt efter hvad der er relevant.</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Dette omfatter også instrumenter, der derudover ikke opfylder anerkendelseskriterierne i artikel 52, stk. 1, litra p) eller q), i forordning (EU) nr. 575/2013 eller i givet fald artikel 63, litra n) eller o), i nævnte forordning.</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Minoritetsinteresser og ækvivalenter</w:t>
            </w:r>
          </w:p>
          <w:p w14:paraId="43EE34B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Artikel 479 og 480 i forordning (EU) nr.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Denne række afspejler virkningerne af overgangsbestemmelser for minoritetsinteresser, der er kvalificeret som egentlig kernekapital, kvalificerende kernekapitalinstrumenter, der er kvalificeret som konsolideret hybrid kernekapital, og det kvalificerende kapitalgrundlag, der er kvalificeret som konsolideret supplerende kapital.</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poster, der ikke er kvalificeret som minoritetsinteresser</w:t>
            </w:r>
          </w:p>
          <w:p w14:paraId="0C0141BB" w14:textId="77777777" w:rsidR="00CC7D2C" w:rsidRPr="002A677E" w:rsidRDefault="00CC7D2C" w:rsidP="00320EFD">
            <w:pPr>
              <w:pStyle w:val="InstructionsText"/>
              <w:rPr>
                <w:rStyle w:val="InstructionsTabelleText"/>
                <w:rFonts w:ascii="Times New Roman" w:hAnsi="Times New Roman"/>
                <w:bCs/>
                <w:sz w:val="24"/>
              </w:rPr>
            </w:pPr>
            <w:r>
              <w:t>Artikel 479 i forordning (EU) nr.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Det beløb, der skal indberettes i kolonne 060 i denne række, er det beløb, der er kvalificeret som konsoliderede hensættelser i henhold til de tidligere regler.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Indregning af minoritetsinteresser i det konsoliderede kapitalgrundlag i henhold til overgangsbestemmelser</w:t>
            </w:r>
          </w:p>
          <w:p w14:paraId="3BF8A481" w14:textId="77777777" w:rsidR="00CC7D2C" w:rsidRPr="002A677E" w:rsidRDefault="00CC7D2C" w:rsidP="00320EFD">
            <w:pPr>
              <w:pStyle w:val="InstructionsText"/>
              <w:rPr>
                <w:rStyle w:val="InstructionsTabelleText"/>
                <w:rFonts w:ascii="Times New Roman" w:hAnsi="Times New Roman"/>
                <w:sz w:val="24"/>
              </w:rPr>
            </w:pPr>
            <w:r>
              <w:t>Artikel 84 og 480 i forordning (EU) nr.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beløb, der skal indberettes i kolonne 0060 i denne række, er det kvalificerede beløb uden overgangsbestemmelser.</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Indregning af kvalificerende hybrid kernekapital i det konsoliderede kapitalgrundlag i henhold til overgangsbestemmelser</w:t>
            </w:r>
          </w:p>
          <w:p w14:paraId="4A315E24" w14:textId="77777777" w:rsidR="00CC7D2C" w:rsidRPr="002A677E" w:rsidRDefault="00CC7D2C" w:rsidP="00320EFD">
            <w:pPr>
              <w:pStyle w:val="InstructionsText"/>
              <w:rPr>
                <w:rStyle w:val="InstructionsTabelleText"/>
                <w:rFonts w:ascii="Times New Roman" w:hAnsi="Times New Roman"/>
                <w:sz w:val="24"/>
              </w:rPr>
            </w:pPr>
            <w:r>
              <w:lastRenderedPageBreak/>
              <w:t>Artikel 85 og 480 i forordning (EU) nr.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Indregning af kvalificerende supplerende kapital i det konsoliderede kapitalgrundlag i henhold til overgangsbestemmelser</w:t>
            </w:r>
          </w:p>
          <w:p w14:paraId="16966D71" w14:textId="77777777" w:rsidR="00CC7D2C" w:rsidRPr="002A677E" w:rsidRDefault="00CC7D2C" w:rsidP="00320EFD">
            <w:pPr>
              <w:pStyle w:val="InstructionsText"/>
              <w:rPr>
                <w:rStyle w:val="InstructionsTabelleText"/>
                <w:rFonts w:ascii="Times New Roman" w:hAnsi="Times New Roman"/>
                <w:sz w:val="24"/>
              </w:rPr>
            </w:pPr>
            <w:r>
              <w:t>Artikel 87 og 480 i forordning (EU) nr.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Andre overgangsjusteringer</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Artikel 468-478 og artikel 481 i forordning (EU) nr.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overgangsjusteringerne af fradraget i de forskellige kapitaltyper, urealiserede gevinster og tab, supplerende filtre og fradrag plus de risikovægtede beløb, der følger af disse justeringer.</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Urealiserede gevinster og tab på visse gældseksponeringer over for centralregeringer, regionale regeringer, lokale myndigheder og offentlige enheder</w:t>
            </w:r>
          </w:p>
          <w:p w14:paraId="1495FA2D" w14:textId="77777777" w:rsidR="00CC7D2C" w:rsidRPr="002A677E" w:rsidRDefault="00CC7D2C" w:rsidP="00320EFD">
            <w:pPr>
              <w:pStyle w:val="InstructionsText"/>
              <w:rPr>
                <w:rStyle w:val="InstructionsTabelleberschrift"/>
                <w:rFonts w:ascii="Times New Roman" w:hAnsi="Times New Roman"/>
                <w:sz w:val="24"/>
              </w:rPr>
            </w:pPr>
            <w:r>
              <w:t>Artikel 468 i forordning (EU) nr.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Heraf: beløb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Beløbet A beregnet i overensstemmelse med den formel, der er omhandlet i artikel 468, stk. 1, i forordning (EU) nr.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Fradrag</w:t>
            </w:r>
          </w:p>
          <w:p w14:paraId="51CECA1B"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Artikel 36, stk. 1, og artikel 469-478 i forordning (EU) nr.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fradrag.</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Udskudte skatteaktiver, som afhænger af fremtidig rentabilitet og ikke skyldes midlertidige forskelle</w:t>
            </w:r>
          </w:p>
          <w:p w14:paraId="08D3639D" w14:textId="77777777" w:rsidR="00CC7D2C" w:rsidRPr="002A677E" w:rsidRDefault="00CC7D2C" w:rsidP="00320EFD">
            <w:pPr>
              <w:pStyle w:val="InstructionsText"/>
              <w:rPr>
                <w:rStyle w:val="InstructionsTabelleText"/>
                <w:rFonts w:ascii="Times New Roman" w:hAnsi="Times New Roman"/>
                <w:sz w:val="24"/>
              </w:rPr>
            </w:pPr>
            <w:r>
              <w:t>Artikel 36, stk. 1, litra c), artikel 469, stk. 1, artikel 472, stk. 5, og artikel 478 i forordning (EU) nr. 575/2013</w:t>
            </w:r>
          </w:p>
          <w:p w14:paraId="30A136AF" w14:textId="77777777" w:rsidR="00CC7D2C" w:rsidRPr="002A677E" w:rsidRDefault="00CC7D2C" w:rsidP="00320EFD">
            <w:pPr>
              <w:pStyle w:val="InstructionsText"/>
              <w:rPr>
                <w:rStyle w:val="InstructionsTabelleText"/>
                <w:rFonts w:ascii="Times New Roman" w:hAnsi="Times New Roman"/>
                <w:sz w:val="24"/>
              </w:rPr>
            </w:pPr>
            <w:r>
              <w:t>Når institutter fastsætter værdien af ovennævnte udskudte skatteaktiver, som skal fratrækkes, skal de anvende bestemmelserne i artikel 38 i forordning (EU) nr. 575/2013 vedrørende reduktion af udskudte skatteaktiver med udskudte skatteforpligtelser.</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kolonne 0060 i denne række indberettes: </w:t>
            </w:r>
            <w:r>
              <w:t>det samlede beløb i henhold til artikel 469, stk. 1, i forordning (EU) nr.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Udskudte skatteaktiver, som afhænger af fremtidig rentabilitet og skyldes midlertidige forskelle, og egentlige kernekapitalinstrumenter i enheder i den finansielle sektor, hvori instituttet har væsentlige investeringer</w:t>
            </w:r>
          </w:p>
          <w:p w14:paraId="308D07D4" w14:textId="77777777" w:rsidR="00CC7D2C" w:rsidRPr="002A677E" w:rsidRDefault="00CC7D2C" w:rsidP="00320EFD">
            <w:pPr>
              <w:pStyle w:val="InstructionsText"/>
              <w:rPr>
                <w:rStyle w:val="InstructionsTabelleText"/>
                <w:rFonts w:ascii="Times New Roman" w:hAnsi="Times New Roman"/>
                <w:sz w:val="24"/>
              </w:rPr>
            </w:pPr>
            <w:r>
              <w:t>Artikel 470, 2 og 3, i forordning (EU) nr.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I kolonne 0060 i denne række indberettes: </w:t>
            </w:r>
            <w:r>
              <w:t>Artikel 470, stk. 1, i forordning (EU) nr.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Udskudte skatteaktiver, som afhænger af fremtidig rentabilitet og skyldes midlertidige forskelle</w:t>
            </w:r>
          </w:p>
          <w:p w14:paraId="6C5EEFFD" w14:textId="77777777" w:rsidR="00CC7D2C" w:rsidRPr="002A677E" w:rsidRDefault="00CC7D2C" w:rsidP="00320EFD">
            <w:pPr>
              <w:pStyle w:val="InstructionsText"/>
              <w:rPr>
                <w:rStyle w:val="InstructionsTabelleText"/>
                <w:rFonts w:ascii="Times New Roman" w:hAnsi="Times New Roman"/>
                <w:bCs/>
                <w:sz w:val="24"/>
              </w:rPr>
            </w:pPr>
            <w:r>
              <w:t>Artikel 469, stk. 1, litra c), artikel 472, stk. 5, og artikel 478 i forordning (EU) nr.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Del af udskudte skatteaktiver, som afhænger af fremtidig rentabilitet og skyldes midlertidige forskelle, der overstiger tærsklen på 10 % i artikel 470, stk. 2, litra a), i forordning (EU) nr. 575/2013.</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Undtagelser fra fradrag af aktiebeholdninger i forsikringsselskaber fra egentlige kernekapitalposter</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t>Artikel 471 i forordning (EU) nr.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Supplerende filtre og fradrag</w:t>
            </w:r>
          </w:p>
          <w:p w14:paraId="4A80E244"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Artikel 481 i forordning (EU) nr.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filtre og fradrag.</w:t>
            </w:r>
          </w:p>
          <w:p w14:paraId="204FEDF5" w14:textId="77777777" w:rsidR="00CC7D2C" w:rsidRPr="002A677E" w:rsidRDefault="00CC7D2C" w:rsidP="00320EFD">
            <w:pPr>
              <w:pStyle w:val="InstructionsText"/>
              <w:rPr>
                <w:rStyle w:val="InstructionsTabelleText"/>
                <w:rFonts w:ascii="Times New Roman" w:hAnsi="Times New Roman"/>
                <w:sz w:val="24"/>
              </w:rPr>
            </w:pPr>
            <w:r>
              <w:t>Ifølge artikel 481 i forordning (EU) nr. 575/2013 skal institutter i post 1.3.3 indberette oplysninger vedrørende de filtre eller fradrag, der kræves i henhold til nationale gennemførelsesforanstaltninger til artikel 57 og 66 i direktiv 2006/48/EF og artikel 13 og 16 i direktiv 2006/49/EF, og som ikke kræves i henhold til anden del.</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tab/>
        <w:t>C 05.02 – INSTRUMENTER, DER ER OMFATTET AF OVERGANGSBESTEMMELSER: INSTRUMENTER, DER IKKE UDGØR STATSSTØTTE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Institutter skal indberette oplysninger om overgangsbestemmelser for "grandfathered" instrumenter, der ikke udgør statsstøtte (artikel 484-491 i forordning (EU) nr.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tab/>
        <w:t>Instrukser vedrørende specifikke positioner</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Kolonner</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Værdien af instrumenter plus tilknyttet overkurs ved emission</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484, stk. 3, 4 og 5, i forordning (EU) nr.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Instrumenter, der er kvalificeret til hver række, inkl. den tilknyttede del af overkursen ved emission.</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Basis for beregning af grænsen</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486, stk. 2, 3 og 4, i forordning (EU) nr.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Relevant procentdel</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486, stk. 5, i forordning (EU) nr.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Grænse</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486, stk. 2-5, i forordning (EU) nr.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Beløb, der overstiger grænserne for overgangsbestemmelser</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486, stk. 2-5, i forordning (EU) nr.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Beløb omfattet af overgangsbestemmelser i alt</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være lig med de beløb, der er indberettet i de respektive kolonner i række 060 i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Rækker</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Instrumenter, der er kvalificeret til artikel 57, litra a), i direktiv 2006/48/EF</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484, stk. 3, i forordning (EU) nr.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Instrumenter, der er kvalificeret til artikel 57, litra ca), og artikel 154, stk. 8 og 9, i direktiv 2006/48/EF, jf. dog grænsen i artikel 489 i forordning (EU) nr. 575/2013</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484, stk. 4, i forordning (EU) nr.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Instrumenter i alt uden førtidsindfrielsesmulighed og incitamenter til indfrielse</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Artikel 484, stk. 4, og artikel 489 i forordning (EU) nr.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Instrumenter, der er omfattet af overgangsbestemmelser, med førtidsindfrielsesmulighed og incitamenter til indfrielse</w:t>
            </w:r>
          </w:p>
          <w:p w14:paraId="31393B5C"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Artikel 489 i forordning (EU) nr.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Instrumenter med førtidsindfrielsesmulighed efter indberetningsdatoen, som opfylder betingelserne i artikel 52 i forordning (EU) nr. 575/2013 efter deres faktiske forfaldsdato</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489, stk. 3, og artikel 491, litra a), i forordning (EU) nr.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Instrumenter med førtidsindfrielsesmulighed efter indberetningsdatoen, som ikke opfylder betingelserne i artikel 52 i forordning (EU) nr. 575/2013 efter deres faktiske forfaldsdato</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489, stk. 5, og artikel 491, litra a), i forordning (EU) nr.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Instrumenter med førtidsindfrielsesmulighed til og med den 20. juli 2011, som ikke opfylder betingelserne i artikel 52 i forordning (EU) nr. 575/2013 efter deres faktiske forfaldsdato</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489, stk. 6, og artikel 491, litra c), i forordning (EU) nr.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Overskridelse af grænsen for egentlige kernekapitalinstrumenter, der er omfattet af overgangsbestemmelser</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487, stk. 1, i forordning (EU) nr.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egentlige kernekapitalinstrumenter, der er omfattet af overgangsbestemmelser, kan behandles som instrumenter, der kan omfattes af overgangsbestemmelser som hybride kernekapitalinstrumenter.</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der er kvalificeret til artikel 57, litra e), f), g) eller h), i direktiv 2006/48/EF, jf. dog grænsen i artikel 490 i forordning (EU) nr. 575/2013</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Artikel 484, stk. 5, i forordning (EU) nr.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Poster i alt uden incitamenter til indfrielse</w:t>
            </w:r>
          </w:p>
          <w:p w14:paraId="3A4F871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490 i forordning (EU) nr.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Poster, som er omfattet af overgangsbestemmelser, med incitamenter til indfrielse</w:t>
            </w:r>
          </w:p>
          <w:p w14:paraId="773B0F0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490 i forordning (EU) nr.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Poster med førtidsindfrielsesmulighed efter indberetningsdatoen, som opfylder betingelserne i artikel 63 i forordning (EU) nr. 575/2013 efter deres faktiske forfaldsdato</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490, stk. 3, og artikel 491, litra a), i forordning (EU) nr.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Poster med førtidsindfrielsesmulighed efter indberetningsdatoen, som ikke opfylder betingelserne i artikel 63 i forordning (EU) nr. 575/2013 efter deres faktiske forfaldsdato</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490, stk. 5, og artikel 491, litra a), i forordning (EU) nr.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Poster med førtidsindfrielsesmulighed til og med den 20. juli 2011, som ikke opfylder betingelserne i artikel 63 i forordning (EU) nr. 575/2013 efter deres faktiske forfaldsdato</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Artikel 490, stk. 6, og artikel 491, litra c), i forordning (EU) nr.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Overskridelse af grænsen for hybride kernekapitalinstrumenter, der er omfattet af overgangsbestemmelser</w:t>
            </w:r>
          </w:p>
          <w:p w14:paraId="5B5CC60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Artikel 487, stk. 2, i forordning (EU) nr.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hybride kernekapitalinstrumenter, der er omfattet af overgangsbestemmelser, kan behandles som instrumenter, der kan omfattes af overgangsbestemmelser som supplerende kapitalinstrumenter.</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Kommissionens delegerede forordning (EU) nr. 241/2014 af 7. januar 2014 om udbygning af Europa-Parlamentets og Rådets forordning (EU) nr. 575/2013, for så vidt angår reguleringsmæssige tekniske standarder for kapitalgrundlagskrav for institutter (EUT L 74 af 14.3.2014,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0C0F14"/>
    <w:multiLevelType w:val="hybridMultilevel"/>
    <w:tmpl w:val="F3884576"/>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7" w15:restartNumberingAfterBreak="0">
    <w:nsid w:val="199D5E4A"/>
    <w:multiLevelType w:val="hybridMultilevel"/>
    <w:tmpl w:val="C5E20262"/>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8" w15:restartNumberingAfterBreak="0">
    <w:nsid w:val="1AB96271"/>
    <w:multiLevelType w:val="hybridMultilevel"/>
    <w:tmpl w:val="E6781668"/>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F7D7F02"/>
    <w:multiLevelType w:val="multilevel"/>
    <w:tmpl w:val="0407001D"/>
    <w:numStyleLink w:val="Formatvorlage3"/>
  </w:abstractNum>
  <w:abstractNum w:abstractNumId="14" w15:restartNumberingAfterBreak="0">
    <w:nsid w:val="30206FC1"/>
    <w:multiLevelType w:val="hybridMultilevel"/>
    <w:tmpl w:val="65E2F5E8"/>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6" w15:restartNumberingAfterBreak="0">
    <w:nsid w:val="345433EA"/>
    <w:multiLevelType w:val="hybridMultilevel"/>
    <w:tmpl w:val="A3A0AB6C"/>
    <w:lvl w:ilvl="0" w:tplc="7FC89402">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290DB9"/>
    <w:multiLevelType w:val="hybridMultilevel"/>
    <w:tmpl w:val="8B640A88"/>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0E80A57"/>
    <w:multiLevelType w:val="hybridMultilevel"/>
    <w:tmpl w:val="439C1D72"/>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7"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6E5F78E4"/>
    <w:multiLevelType w:val="hybridMultilevel"/>
    <w:tmpl w:val="AB1825F4"/>
    <w:lvl w:ilvl="0" w:tplc="7FC8940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4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32"/>
  </w:num>
  <w:num w:numId="3" w16cid:durableId="286200695">
    <w:abstractNumId w:val="42"/>
  </w:num>
  <w:num w:numId="4" w16cid:durableId="487287975">
    <w:abstractNumId w:val="24"/>
  </w:num>
  <w:num w:numId="5" w16cid:durableId="1754350949">
    <w:abstractNumId w:val="35"/>
  </w:num>
  <w:num w:numId="6" w16cid:durableId="1507597667">
    <w:abstractNumId w:val="20"/>
  </w:num>
  <w:num w:numId="7" w16cid:durableId="139271283">
    <w:abstractNumId w:val="41"/>
  </w:num>
  <w:num w:numId="8" w16cid:durableId="763764270">
    <w:abstractNumId w:val="10"/>
  </w:num>
  <w:num w:numId="9" w16cid:durableId="1561986968">
    <w:abstractNumId w:val="33"/>
  </w:num>
  <w:num w:numId="10" w16cid:durableId="1349260748">
    <w:abstractNumId w:val="17"/>
  </w:num>
  <w:num w:numId="11" w16cid:durableId="1097991330">
    <w:abstractNumId w:val="26"/>
  </w:num>
  <w:num w:numId="12" w16cid:durableId="858469680">
    <w:abstractNumId w:val="11"/>
  </w:num>
  <w:num w:numId="13" w16cid:durableId="1485394352">
    <w:abstractNumId w:val="34"/>
  </w:num>
  <w:num w:numId="14" w16cid:durableId="881021889">
    <w:abstractNumId w:val="31"/>
  </w:num>
  <w:num w:numId="15" w16cid:durableId="1923681300">
    <w:abstractNumId w:val="15"/>
  </w:num>
  <w:num w:numId="16" w16cid:durableId="211188018">
    <w:abstractNumId w:val="25"/>
  </w:num>
  <w:num w:numId="17" w16cid:durableId="373817584">
    <w:abstractNumId w:val="13"/>
  </w:num>
  <w:num w:numId="18" w16cid:durableId="1615165847">
    <w:abstractNumId w:val="36"/>
  </w:num>
  <w:num w:numId="19" w16cid:durableId="429467310">
    <w:abstractNumId w:val="4"/>
  </w:num>
  <w:num w:numId="20" w16cid:durableId="1023021418">
    <w:abstractNumId w:val="16"/>
  </w:num>
  <w:num w:numId="21" w16cid:durableId="510485648">
    <w:abstractNumId w:val="23"/>
  </w:num>
  <w:num w:numId="22" w16cid:durableId="863594772">
    <w:abstractNumId w:val="30"/>
  </w:num>
  <w:num w:numId="23" w16cid:durableId="1184786628">
    <w:abstractNumId w:val="37"/>
  </w:num>
  <w:num w:numId="24" w16cid:durableId="156314703">
    <w:abstractNumId w:val="9"/>
  </w:num>
  <w:num w:numId="25" w16cid:durableId="1106079368">
    <w:abstractNumId w:val="21"/>
  </w:num>
  <w:num w:numId="26" w16cid:durableId="1353070508">
    <w:abstractNumId w:val="28"/>
  </w:num>
  <w:num w:numId="27" w16cid:durableId="70588701">
    <w:abstractNumId w:val="5"/>
  </w:num>
  <w:num w:numId="28" w16cid:durableId="1079792157">
    <w:abstractNumId w:val="22"/>
  </w:num>
  <w:num w:numId="29" w16cid:durableId="1333265662">
    <w:abstractNumId w:val="2"/>
  </w:num>
  <w:num w:numId="30" w16cid:durableId="737484550">
    <w:abstractNumId w:val="19"/>
  </w:num>
  <w:num w:numId="31" w16cid:durableId="309210531">
    <w:abstractNumId w:val="40"/>
  </w:num>
  <w:num w:numId="32" w16cid:durableId="166527561">
    <w:abstractNumId w:val="1"/>
  </w:num>
  <w:num w:numId="33" w16cid:durableId="1544101633">
    <w:abstractNumId w:val="38"/>
  </w:num>
  <w:num w:numId="34" w16cid:durableId="44380249">
    <w:abstractNumId w:val="27"/>
  </w:num>
  <w:num w:numId="35" w16cid:durableId="1838038624">
    <w:abstractNumId w:val="0"/>
  </w:num>
  <w:num w:numId="36" w16cid:durableId="1856265522">
    <w:abstractNumId w:val="12"/>
  </w:num>
  <w:num w:numId="37" w16cid:durableId="261912047">
    <w:abstractNumId w:val="15"/>
  </w:num>
  <w:num w:numId="38" w16cid:durableId="361712540">
    <w:abstractNumId w:val="7"/>
  </w:num>
  <w:num w:numId="39" w16cid:durableId="338434745">
    <w:abstractNumId w:val="39"/>
  </w:num>
  <w:num w:numId="40" w16cid:durableId="824400471">
    <w:abstractNumId w:val="6"/>
  </w:num>
  <w:num w:numId="41" w16cid:durableId="432013770">
    <w:abstractNumId w:val="18"/>
  </w:num>
  <w:num w:numId="42" w16cid:durableId="1395932551">
    <w:abstractNumId w:val="29"/>
  </w:num>
  <w:num w:numId="43" w16cid:durableId="490677858">
    <w:abstractNumId w:val="14"/>
  </w:num>
  <w:num w:numId="44" w16cid:durableId="1312321222">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A55E8"/>
    <w:rsid w:val="006C0BAF"/>
    <w:rsid w:val="00702E18"/>
    <w:rsid w:val="00756BE3"/>
    <w:rsid w:val="00766CB0"/>
    <w:rsid w:val="00767D3D"/>
    <w:rsid w:val="007F42A0"/>
    <w:rsid w:val="007F4B3F"/>
    <w:rsid w:val="00886567"/>
    <w:rsid w:val="008E55E3"/>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da-DK"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da-DK"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da-DK"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da-DK"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da-DK"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da-DK"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da-DK"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da-DK"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da-DK"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da-DK"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da-DK"/>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6506A2-350D-4F9D-A4F7-F78C2C3782FD}"/>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68</Pages>
  <Words>20993</Words>
  <Characters>124701</Characters>
  <Application>Microsoft Office Word</Application>
  <DocSecurity>0</DocSecurity>
  <Lines>3197</Lines>
  <Paragraphs>1917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2025-01-24T08:40:41Z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0539df48-4dde-4436-8260-7a47a1d38644</vt:lpwstr>
  </property>
  <property fmtid="{D5CDD505-2E9C-101B-9397-08002B2CF9AE}" pid="10" name="MSIP_Label_6bd9ddd1-4d20-43f6-abfa-fc3c07406f94_ContentBits">
    <vt:lpwstr>0</vt:lpwstr>
  </property>
</Properties>
</file>