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LV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 PIELIKUMS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“II PIELIKUMS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NORĀDES PĀRSKATU SNIEGŠANAI PAR PAŠU KAPITĀLU UN PAŠU KAPITĀLA PRASĪBĀM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 DAĻA.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NORĀDĪJUMI SAISTĪBĀ AR VEIDNI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 36.00. - RISKA DARĪJUMI AR KRIPTOAKTĪVIEM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10.1. Vispārīgas piezīmes</w:t>
      </w:r>
    </w:p>
    <w:p w14:paraId="6942FA35" w14:textId="77777777" w:rsidR="005F103E" w:rsidRDefault="005F103E" w:rsidP="00CF4FBC">
      <w:pPr>
        <w:pStyle w:val="InstructionsText2"/>
      </w:pPr>
      <w:r>
        <w:t xml:space="preserve">Šo veidni izmanto, lai sniegtu informāciju par riska darījumiem ar kriptoaktīviem, kā noteikts Regulas (ES) Nr. 575/2013 501.d panta 2. un 3. punktā.</w:t>
      </w:r>
    </w:p>
    <w:p w14:paraId="4985A436" w14:textId="77777777" w:rsidR="005F103E" w:rsidRDefault="005F103E" w:rsidP="005F103E">
      <w:pPr>
        <w:pStyle w:val="InstructionsText2"/>
      </w:pPr>
      <w:r>
        <w:t xml:space="preserve">Riska darījumus ar kriptoaktīviem uzrāda tikai šajā veidnē.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10.2. Norādes par konkrētām pozīcijām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Sleja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Atsauces uz tiesību aktiem un norādes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0010.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darījumu vērtība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Kriptoaktīvu riska darījumu vērtība dažādu veidu kriptoaktīviem, kas minēti </w:t>
            </w:r>
            <w:r>
              <w:t xml:space="preserve">Regulas (ES) Nr. 575/2013 501.d panta 2. punktā.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0020.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darījumu riska svērtās vērtības (</w:t>
            </w: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RWEA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Regulas (ES) Nr. 575/2013 501.d panta 2. punkts.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Dažādu veidu kriptoaktīvu riska darījumu riska svērtās vērtības, kas aprēķinātas saskaņā ar Regulas (ES) Nr. 575/2013 501.d panta 2. punktu.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Rinda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Atsauces uz tiesību aktiem un norādes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0010.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kopā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Kopējās vērtības, kas aprēķinātas kā 0020., 0030. un 0040. rindas summa.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Vērtība 0020. slejā ir vienāda ar kopējām riska darījumu vērtībām, kas uzrādītas C 02.00. veidnes (Pašu kapitāla prasības) 0780. rindā.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Kriptoaktīvu riska darījumi ar žetonizētiem tradicionālajiem aktīviem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t xml:space="preserve">Regulas (ES) Nr. 575/2013 501.d panta 2. punkta a) apakšpunkts.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0030.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ar aktīviem piesaistītiem žetoniem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Regulas (ES) Nr. 575/2013 501.d panta 2. punkta b) apakšpunkts.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0040.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ar citiem kriptoaktīviem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t xml:space="preserve">Regulas (ES) Nr. 575/2013 501.d panta 2. punkta c) apakšpunkts.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u w:val="none"/>
              </w:rPr>
              <w:t xml:space="preserve">Citi kriptoaktīvu riska darījumi, kas atšķiras no </w:t>
            </w:r>
            <w:r>
              <w:t xml:space="preserve">Regulas (ES) Nr. 575/2013 501.d panta 2. punkta a) un b) apakšpunkta</w:t>
            </w:r>
            <w:r>
              <w:rPr>
                <w:rStyle w:val="InstructionsTabelleberschrift"/>
              </w:rPr>
              <w:t xml:space="preserve"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Rinda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Izziņas postenis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0050.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ar citiem kriptoaktīviem, kas izteikti kā procentuālā daļa no iestādes pirmā līmeņa kapitāla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t xml:space="preserve">Regulas (ES) Nr. 575/2013 501.d panta 3. punkts.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I oficiālai lietošanai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I oficiālai lietošanai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I oficiālai lietošanai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lv-LV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lv-LV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lv-LV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lv-LV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lv-LV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lv-LV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lv-LV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lv-LV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lv-LV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lv-LV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lv-LV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lv-LV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lv-LV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lv-LV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lv-LV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lv-LV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lv-LV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lv-LV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lv-LV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lv-LV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lv-LV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lv-LV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lv-LV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lv-LV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lv-LV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lv-LV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lv-LV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lv-LV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lv-LV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lv-LV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lv-LV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lv-LV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lv-LV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lv-LV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lv-LV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lv-LV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lv-LV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lv-LV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lv-LV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v-LV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lv-LV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lv-LV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lv-LV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lv-LV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lv-LV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lv-LV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lv-LV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v-LV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v-LV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lv-LV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lv-LV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lv-LV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v-LV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lv-LV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lv-LV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lv-LV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lv-LV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952E01-EDCB-465B-9EF4-D5B15B54E00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