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NL</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BIJLAGE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“BIJLAGE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DEEL II: INSTRUCTIES MET BETREKKING TOT DE TEMPLATES</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Blootstellingen met betrekking tot algemene overheden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Pr>
          <w:rFonts w:ascii="Times New Roman" w:hAnsi="Times New Roman"/>
          <w:sz w:val="24"/>
          <w:u w:val="none"/>
        </w:rPr>
        <w:tab/>
      </w:r>
      <w:r>
        <w:rPr>
          <w:rFonts w:ascii="Times New Roman" w:hAnsi="Times New Roman"/>
          <w:sz w:val="24"/>
        </w:rPr>
        <w:t>Algemene opmerkingen</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191</w:t>
      </w:r>
      <w:r w:rsidRPr="005B57EC">
        <w:fldChar w:fldCharType="end"/>
      </w:r>
      <w:r>
        <w:t>.</w:t>
      </w:r>
      <w:r>
        <w:tab/>
        <w:t xml:space="preserve"> De informatie voor template C 33.00 bestrijkt alle blootstellingen met betrekking tot “Algemene overheden” in de zin van punt 42, punt b), van bijlage V bij deze uitvoeringsverordening.</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192</w:t>
      </w:r>
      <w:r w:rsidRPr="005B57EC">
        <w:fldChar w:fldCharType="end"/>
      </w:r>
      <w:r>
        <w:t>.</w:t>
      </w:r>
      <w:r>
        <w:tab/>
        <w:t xml:space="preserve"> Indien de blootstellingen met betrekking tot “Algemene overheden” onderworpen zijn aan eigenvermogensvereisten overeenkomstig deel drie, titel II, van Verordening (EU) nr. 575/2013, worden blootstellingen met betrekking tot “Algemene overheden” opgenomen in verschillende blootstellingscategorieën overeenkomstig de artikelen 112 en 147 van die verordening, zoals nader uitgewerkt in de instructies voor het invullen van de templates C 07.00, C 08.01 en C 08.02.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193</w:t>
      </w:r>
      <w:r w:rsidRPr="005B57EC">
        <w:fldChar w:fldCharType="end"/>
      </w:r>
      <w:r>
        <w:t>.</w:t>
      </w:r>
      <w:r>
        <w:tab/>
        <w:t xml:space="preserve"> Tabel 2 (Standaardbenadering) en tabel 3 (Interneratingbenadering), opgenomen in deel drie van bijlage V bij deze uitvoeringsverordening, worden in acht genomen wanneer in het kader van Verordening (EU) nr. 575/2013 voor het berekenen van vermogensvereisten gebruikte blootstellingscategorieën worden gemapt naar de tegenpartijsector “Algemene overheden”.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194</w:t>
      </w:r>
      <w:r w:rsidRPr="005B57EC">
        <w:fldChar w:fldCharType="end"/>
      </w:r>
      <w:r>
        <w:t xml:space="preserve">. Informatie wordt gerapporteerd voor de totale geaggregeerde blootstellingen (d.w.z. de som van alle landen waarin de bank blootstellingen aan overheden heeft) en voor elk land op grond van de vestigingsplaats van de tegenpartij op directeleningnemerbasis.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195</w:t>
      </w:r>
      <w:r w:rsidRPr="005B57EC">
        <w:fldChar w:fldCharType="end"/>
      </w:r>
      <w:r>
        <w:t>.</w:t>
      </w:r>
      <w:r>
        <w:tab/>
        <w:t xml:space="preserve"> De toewijzing van blootstellingen aan blootstellingsklassen of rechtsgebieden gebeurt zonder rekening te houden met kredietrisicolimiteringstechnieken en met name zonder rekening te houden met substitutie-effecten. Wel omvat de berekening van de blootstellingswaarden en risicogewogen posten voor elke blootstellingscategorie en elk rechtsgebied de impact van kredietrisicolimiteringstechnieken, daaronder begrepen substitutie-effecten.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196</w:t>
      </w:r>
      <w:r w:rsidRPr="005B57EC">
        <w:fldChar w:fldCharType="end"/>
      </w:r>
      <w:r>
        <w:t>.</w:t>
      </w:r>
      <w:r>
        <w:tab/>
        <w:t xml:space="preserve"> Voor het rapporteren van informatie over blootstellingen met betrekking tot “Algemene overheden” volgens rechtsgebied van de vestigingsplaats van de directe </w:t>
      </w:r>
      <w:r>
        <w:lastRenderedPageBreak/>
        <w:t>tegenpartij niet zijnde het nationale rechtsgebied van de rapporterende instelling gelden de drempels in artikel 6, lid 3, van deze uitvoeringsverordening.</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t>7.2.</w:t>
      </w:r>
      <w:r>
        <w:rPr>
          <w:rFonts w:ascii="Times New Roman" w:hAnsi="Times New Roman"/>
          <w:sz w:val="24"/>
          <w:u w:val="none"/>
        </w:rPr>
        <w:tab/>
      </w:r>
      <w:r>
        <w:rPr>
          <w:rFonts w:ascii="Times New Roman" w:hAnsi="Times New Roman"/>
          <w:sz w:val="24"/>
        </w:rPr>
        <w:t>Reikwijdte van de template betreffende blootstellingen met betrekking tot “Algemene overheden”</w:t>
      </w:r>
      <w:bookmarkEnd w:id="5"/>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197</w:t>
      </w:r>
      <w:r w:rsidRPr="005B57EC">
        <w:fldChar w:fldCharType="end"/>
      </w:r>
      <w:r>
        <w:t>.</w:t>
      </w:r>
      <w:r>
        <w:tab/>
        <w:t xml:space="preserve"> De GOV-template bestrijkt rechtstreekse blootstellingen met betrekking tot “Algemene overheden” in de vorm van posten binnen en posten buiten de balanstelling en derivaten in de niet-handels- en de handelsportefeuille. Daarnaast wordt ook een pro-memoriepost gevraagd over indirecte blootstellingen in de vorm van met betrekking tot blootstellingen aan algemene overheden verkochte kredietderivaten.</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198</w:t>
      </w:r>
      <w:r w:rsidRPr="005B57EC">
        <w:fldChar w:fldCharType="end"/>
      </w:r>
      <w:r>
        <w:t>.</w:t>
      </w:r>
      <w:r>
        <w:tab/>
        <w:t xml:space="preserve"> Een blootstelling is een directe blootstelling wanneer de directe tegenpartij een entiteit is die een “algemene overheid” is in de zin van punt 42, punt b), van bijlage V bij deze uitvoeringsverordening.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199</w:t>
      </w:r>
      <w:r w:rsidRPr="005B57EC">
        <w:fldChar w:fldCharType="end"/>
      </w:r>
      <w:r>
        <w:t>.</w:t>
      </w:r>
      <w:r>
        <w:tab/>
        <w:t xml:space="preserve"> De template is verdeeld in twee delen. Het eerste deel is gebaseerd op een uitsplitsing van blootstelling naar risico, regelgevingsbenadering en blootstellingscategorieën, terwijl het tweede deel is gebaseerd op een uitsplitsing naar resterende looptijd.</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Pr>
          <w:rFonts w:ascii="Times New Roman" w:hAnsi="Times New Roman"/>
          <w:sz w:val="24"/>
          <w:u w:val="none"/>
        </w:rPr>
        <w:tab/>
      </w:r>
      <w:r>
        <w:rPr>
          <w:rFonts w:ascii="Times New Roman" w:hAnsi="Times New Roman"/>
          <w:sz w:val="24"/>
        </w:rPr>
        <w:t>Instructies voor specifieke posities</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Kolommen</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Instructies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DIRECTE BLOOTSTELLINGEN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BLOOTSTELLINGEN BINNEN DE BALANSTELLING</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Totale brutoboekwaarde van niet-afgeleide financiële activa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Totaal van de brutoboekwaarde, zoals bepaald in overeenstemming met punt 34 van deel 1 van bijlage V bij deze uitvoeringsverordening, van niet-afgeleide financiële activa tegenover algemene overheden, voor alle boekhoudkundige portefeuilles overeenkomstig IFRS of op Richtlijn 86/635/EEG gebaseerde nationale GAAP zoals omschreven in de punten 15 tot en met 22 van deel 1 van bijlage V bij deze uitvoeringsverordening, en opgenomen in de kolommen 0030 tot en met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Prudente waardeaanpassingen verminderen de brutoboekwaarde van tegen reële waarde gemeten blootstellingen in de handels- en niet-handelsportefeuille niet.</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Totale boekwaarde van niet-afgeleide financiële activa (na aftrek van shortposities)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Totaal van de brutoboekwaarde, als bedoeld in punt 27 van deel 1 van bijlage V bij deze uitvoeringsverordening, van niet-afgeleide financiële activa tegenover algemene overheden, voor alle boekhoudkundige portefeuilles overeenkomstig IFRS of op Richtlijn 86/635/EEG van de Raad gebaseerde nationale GAAP zoals omschreven in de punten 15 tot en met 22 van deel 1 van bijlage V bij deze uitvoeringsverordening, en opgenomen in de kolommen 0030 tot en met 0120, na aftrek van shortposities.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Indien de instelling een shortpositie heeft ingenomen voor dezelfde resterende looptijd en voor dezelfde directe tegenpartij die in dezelfde valuta luidt, wordt de boekwaarde van de shortpositie gesaldeerd met de boekwaarde van de directe positie. Dat nettobedrag wordt geacht nul te zijn wanneer het een negatief bedrag betreft. Indien een instelling een shortpositie heeft zonder een matchende directe positie, wordt het bedrag van de shortpositie voor de toepassing van deze kolom geacht nul te zijn.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NIET-AFGELEIDE FINANCIËLE ACTIVA VOLGENS BOEKHOUDKUNDIGE PORTEFEUILLES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Totaal van de boekwaarde van niet-afgeleide financiële activa (zoals omschreven in de rij boven deze tabel) voor algemene overheden, uitgesplitst naar boekhoudkundige portefeuille op grond van het toepasselijke kader voor financiële verslaggeving.</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Financiële activa aangehouden voor handelsdoeleinden</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 bijlage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Financiële activa voor handelsdoeleinden</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Artikelen 32 en 33 van Richtlijn 86/635/EEG van de Raad; punt 16 van deel 1 van bijlage V bij deze uitvoeringsverordening; artikel 8, lid 1, punt a), van Richtlijn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Verplicht tegen reële waarde gewaardeerde financiële activa voor niet-handelsdoeleinden met verwerking van waardeveranderingen in winst of verlies</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7.8(a)(ii); 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Financiële activa die als gewaardeerd tegen reële waarde met verwerking van waardeveranderingen in winst of verlies zijn aangewezen</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7.8(a)(i); IFRS 9.4.1.5 en artikel 8, lid 1, punt a), en artikel 8, lid 6, van Richtlijn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waarde zijn gewaardeerd met verwerking van waardeveranderingen in winst of verlies</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Artikelen 36, lid 2, van Richtlijn 86/635/EEG van de Raad; artikel 8, lid 1, punt a), van Richtlijn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Tegen reële waarde gewaardeerde financiële activa met verwerking van waardeveranderingen in de overige onderdelen van het totaalresultaat</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7.8(d); 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tegen reële waarde zijn gewaardeerd met verwerking van waardeveranderingen in het eigen vermogen</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 8, lid 1, punt a), en artikel 8, lid 8, van Richtlijn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Financiële activa tegen geamortiseerde kostprijs</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IFRS 7.8(f); IFRS 9.4.1.2; punt 15 van deel 1 van bijlage V bij deze uitvoeringsverordening</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Niet-afgeleide financiële activa voor niet-handelsdoeleinden die op basis van een kostprijsmethode zijn gewaardeerd</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 35 van Richtlijn 86/635/EEG van de Raad; artikel 6, lid 1, punt i), en artikel 8, lid 2, van Richtlijn 2013/34/EU; deel 1, punt 16, van bijlage V bij deze uitvoeringsverordening</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Overige niet-afgeleide financiële activa voor niet-handelsdoeleinden</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 37 van Richtlijn 86/635/EEG van de Raad; artikel 12, lid 7, van Richtlijn 2013/34/EU; deel 1, punt 16, van bijlage V bij deze uitvoeringsverordening</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Alleen te rapporteren door instellingen die onder nationale algemeen aanvaarde boekhoudbeginselen (GAAP) vallen.</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Shortposities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Boekwaarde van shortposities, zoals omschreven in IFRS 9 BA.7, punt b), indien de directe tegenpartij een algemene overheid in de zin van de punten 155 tot en met 160 van deze bijlage is.</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Shortposities ontstaan indien de instelling effecten verkoopt die zijn verworven via een omgekeerde retrocessieovereenkomst of zijn geleend in een effectenuitleentransactie.</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 boekwaarde is de reële waarde van de shortposities.</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Shortposities worden gerapporteerd volgens resterend looptijdsegment, zoals vermeld in de rijen 0170 tot en met 0230, en volgens directe tegenpartij.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 in deze kolom gerapporteerde shortposities kunnen worden verrekend met in dezelfde valuta luidende posities met dezelfde resterende looptijd en directe tegenpartij als die welke in de kolommen 0030 tot en met 0120 worden gerapporteerd, om de nettopositie te verkrijgen die in kolom 0020 wordt gerapporteerd.</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Waarvan: Shortposities uit omgekeerde retrocessieovereenkomsten aangemerkt als aangehouden voor handelsdoeleinden of financiële activa voor handelsdoeleinden</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Boekwaarde van shortposities, zoals omschreven in IFRS 9 BA.7(b), die ontstaan wanneer de instelling de effecten verkoopt die bij omgekeerde retrocessieovereenkomsten zijn verworven, indien de directe tegenpartij van die effecten een algemene overheid is en die effecten zijn opgenomen in de boekhoudkundige portefeuilles “aangehouden voor handelsdoeleinden” of “financiële activa voor handelsdoeleinden” (kolommen 0030 en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Shortposities die ontstaan wanneer de verkochte effecten zijn geleend bij een effectenuitleentransactie, worden niet in deze kolom opgenomen.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Geaccumuleerde bijzondere waardevermindering</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Totale geaccumuleerde bijzondere waardevermindering met betrekking tot niet-afgeleide financiële activa gerapporteerd in de kolommen 0080 tot en met 0120 (de punten 70 en 71 van deel 2 van bijlage V bij deze uitvoeringsverordening).</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Geaccumuleerde bijzondere waardevermindering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Totale geaccumuleerde bijzondere waardevermindering met betrekking tot niet-afgeleide financiële activa gerapporteerd in de kolommen 0080 en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0050, 0060, 0070, 0080 en 0090 (punt 69 van deel 2 van bijlage V bij deze uitvoeringsverordening).</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Geaccumuleerde negatieve veranderingen van de reële waarde als gevolg van kredietrisico’s – waarvan: uit hoofde van verplicht tegen reële waarde gewaardeerde financiële activa voor niet-handelsdoeleinden met verwerking van waardeveranderingen in winst of verlies, financiële activa die als gewaardeerd tegen reële waarde met verwerking van waardeveranderingen in winst of verlies zijn aangewezen of uit hoofde van financiële activa voor niet-handelsdoeleinden die tegen reële waarde zijn gewaardeerd met verwerking van waardeveranderingen in winst of verlies</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0050, 0060 en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Geaccumuleerde negatieve veranderingen van de reële waarde als gevolg van kredietrisico’s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Totale geaccumuleerde negatieve veranderingen van de reële waarde als gevolg van kredietrisico in verband met posities gemeld in de kolommen 0080 en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Directe derivatenposities worden gerapporteerd in de kolommen 0200 tot en met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Zie voor de rapportage van aan kapitaalvereisten voor zowel aan tegenpartijkredietrisico als aan marktrisico onderhevige derivaten, de instructies voor de uitsplitsing in rijen.</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Alle afgeleide instrumenten met een algemene overheid als tegenpartij met een positieve reële waarde voor de instelling op de rapportagedatum, ongeacht of die instrumenten worden gebruikt bij een kwalificerende hedgerelatie, worden aangehouden voor handelsdoeleinden of worden in de handelsportefeuille opgenomen overeenkomstig IFRS en op Richtlijn 86/635/EEG van de Raad gebaseerde nationale GAAP.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economische hedging gebruikte derivaten worden hier gerapporteerd wanneer deze zijn opgenomen in de handelsportefeuille of de boekhoudkundige portefeuille “aangehouden voor handelsdoeleinden” (de punten 120, 124, 125 en de punten 137 tot en met 140 van deel 2 van bijlage V bij deze uitvoeringsverordening).</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Derivaten met een positieve reële waarde: Boekwaarde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Boekwaarde van de op de rapportagereferentiedatum administratief als financiële activa verwerkte derivaten.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Overeenkomstig op Richtlijn 86/635/EEG gebaseerde nationale GAAP omvatten de in deze kolommen te rapporteren derivaten de afgeleide instrumenten gewaardeerd tegen kostprijs of volgens de minimumwaarderingsregel (LOCOM) opgenomen in de handelsportefeuille of aangewezen als hedge-instrumenten.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Notionele waarde</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Overeenkomstig IFRS en op Richtlijn 86/635/EEG gebaseerde nationale GAAP, de notionele waarde, zoals omschreven in de punten 133 tot en met 135 van deel 2 van bijlage V bij deze uitvoeringsverordening, van alle op de rapportagereferentiedatum afgesloten en nog niet afgewikkelde derivatencontracten indien de tegenpartij een algemene overheid is in de zin van de punten 191 tot en met 196 van deze bijlage en de reële waarde van het derivaat op de referentiedatum positief is voor de instelling.</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Alle afgeleide instrumenten met een algemene overheid als tegenpartij met een voor de instelling op de rapportagereferentiedatum negatieve reële waarde, ongeacht of die instrumenten worden gebruikt bij een kwalificerende hedgerelatie dan wel worden aangehouden voor handelsdoeleinden of in de handelsportefeuille worden opgenomen overeenkomstig IFRS en op Richtlijn 86/635/EEG gebaseerde nationale GAAP.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economische hedging gebruikte derivaten worden hier gerapporteerd wanneer deze zijn opgenomen in de handelsportefeuille of de boekhoudkundige portefeuille “aangehouden voor handelsdoeleinden” (de punten 120, 124, 125 en de punten 137 tot en met 140 van deel 2 van bijlage V bij deze uitvoeringsverordening).</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Derivaten met een negatieve reële waarde: Boekwaarde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Boekwaarde van de derivaten administratief verwerkt als financiële verplichtingen op de rapportagereferentiedatum.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Overeenkomstig op Richtlijn 86/635/EEG gebaseerde nationale GAAP omvatten de in deze kolommen te rapporteren derivaten de afgeleide instrumenten gewaardeerd tegen kostprijs of volgens de minimumwaarderingsregel (LOCOM) opgenomen in de handelsportefeuille of aangewezen als hedge-instrumenten.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Derivaten met een negatieve reële waarde: Notionele waarde</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Overeenkomstig IFRS en op Richtlijn 86/635/EEG gebaseerde nationale GAAP, de notionele waarde, zoals omschreven in de punten 133 tot en met 135 van deel 2 van bijlage V bij deze uitvoeringsverordening, van alle op de referentiedatum afgesloten en nog niet afgewikkelde derivatencontracten indien de tegenpartij een algemene overheid is in de zin van de punten 191 tot en met 196 van deze bijlage en de reële waarde van het derivaat op de referentiedatum positief is voor de instelling.</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BLOOTSTELLINGEN BUITEN DE BALANSTELLING</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Nominale waarde</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Indien de directe tegenpartij van de post buiten de balanstelling een algemene overheid is in de zin van de punten 155 tot en met 160 van deze bijlage, het nominale bedrag van de toezeggingen en financiële garanties die overeenkomstig IFRS of op Richtlijn 86/635/EEG van de Raad gebaseerde nationale GAAP niet als een derivaat worden beschouwd (de punten 102 tot en met 119 van deel 2 van bijlage V bij deze uitvoeringsverordening).</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6716BA00"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Overeenkomstig de punten 43 en 44 van deel 2 van bijlage V bij deze uitvoeringsvero</w:t>
            </w:r>
            <w:r w:rsidR="004D36CF">
              <w:rPr>
                <w:rFonts w:ascii="Times New Roman" w:hAnsi="Times New Roman"/>
                <w:sz w:val="24"/>
              </w:rPr>
              <w:t>r</w:t>
            </w:r>
            <w:r>
              <w:rPr>
                <w:rFonts w:ascii="Times New Roman" w:hAnsi="Times New Roman"/>
                <w:sz w:val="24"/>
              </w:rPr>
              <w:t xml:space="preserve">dening is de algemene overheid de directe tegenpartij: a) bij een afgegeven financiële garantie, wanneer zij de directe tegenpartij van het gegarandeerde schuldinstrument is, en b) bij leningtoezeggingen en overige gedane toezeggingen wanneer zij de tegenpartij is waarvan het kredietrisico door de rapporterende instelling is overgenomen.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Voorzieningen</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Artikel 4, “Passiva”, punt 6, c), en “Posten buiten de balanstelling”, artikel 27, punt 11, artikel 28, punt 8, en artikel 33 van Richtlijn 86/635/EEG van de Raad; IFRS 9.4.2.1(c)(ii), (d)(ii), 9.5.5.20; IAS 37; IFRS 4, en deel 2.11 van bijlage V bij deze uitvoeringsverordening.</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Voorzieningen voor alle blootstellingen buiten de balanstelling, ongeacht hoe deze worden gemeten, behalve voor de blootstellingen tegen reële waarde gewaardeerd met verwerking van waardeveranderingen in winst of verlies in overeenstemming met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Overeenkomstig IFRS wordt de bijzondere waardevermindering van een leningtoezegging in kolom 150 gerapporteerd indien de instelling de verwachte kredietverliezen in verband met het opgenomen en niet-opgenomen bedrag van het schuldinstrument niet kan identificeren. Ingeval de gecombineerde verwachte kredietverliezen voor dat financiële instrument hoger uitvallen dan de brutoboekwaarde van de leningcomponent van het instrument, wordt het resterende saldo van de verwachte kredietverliezen in kolom 0250 als een voorziening gerapporteerd.</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Geaccumuleerde negatieve veranderingen van de reële waarde als gevolg van kredietrisico’s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posten buiten de balanstelling tegen reële waarde gewaardeerd met verwerking van waardeveranderingen in winst of verlies in overeenstemming met IFRS 9, de geaccumuleerde negatieve veranderingen van de reële waarde als gevolg van kredietrisico’s (punt 110 van deel 2 van bijlage V bij deze uitvoeringsverordening).</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Pro-memoriepost: met betrekking tot blootstellingen aan algemene overheden verkochte kredietderivaten</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Kredietderivaten die niet aan de definitie van financiële garanties in bijlage V, deel 2, punt 58, voldoen en die de rapporterende instelling heeft afgesloten met tegenpartijen niet zijnde algemene overheden en waarvan de referentieblootstelling een algemene overheid is, worden gerapporteerd.</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Deze kolommen worden niet gerapporteerd voor blootstellingen uitgesplitst naar risico, regelgevingsbenadering en blootstellingscategorieën (de rijen 0020 tot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 met een positieve reële waarde – Boekwaarde</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algemene overheden verkochte kredietderivaten die voor de instelling op de rapportagereferentiedatum een positieve reële waarde hebben, zonder rekening te houden met prudente waardeaanpassingen.</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derivaten onder IFRS is de in deze kolom te rapporteren waarde de boekwaarde van de derivaten die op de rapportagedatum financiële activa zijn.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derivaten onder op Richtlijn 86/635/EEG van de Raad gebaseerde nationale GAAP is de in deze kolom te rapporteren waarde de reële waarde van de derivaten met een positieve reële waarde op de rapportagereferentiedatum, ongeacht hoe deze administratief zijn verwerkt.</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Derivaten met een negatieve reële waarde – Boekwaarde</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 totale gerapporteerde boekwaarde van de met betrekking tot blootstellingen aan algemene overheden verkochte kredietderivaten die voor de instelling op de rapportagereferentiedatum een negatieve reële waarde hebben, zonder rekening te houden met prudente waardeaanpassingen.</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Voor derivaten onder IFRS is de in deze kolom te rapporteren waarde de boekwaarde van de derivaten die op de rapportagedatum financiële verplichtingen zijn.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Voor derivaten onder op Richtlijn 86/635/EEG van de Raad gebaseerde nationale GAAP is de in deze kolom te rapporteren waarde de reële waarde van de derivaten met een negatieve reële waarde op de rapportagereferentiedatum, ongeacht hoe deze administratief zijn verwerkt.</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Blootstellingswaarde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Blootstellingswaarde voor blootstellingen die aan het raamwerk kredietrisico zijn onderworpen.</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blootstellingen in het kader van de standaardbenadering (SA), Zie artikel 111 van Verordening (EU) nr. 575/2013. Voor blootstellingen in het kader van de interneratingbenadering (IRB), Voor blootstellingen volgens de interneratingbenadering, zie artikel 166 en artikel 230, lid 1, tweede zin, van Verordening (EU) nr.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Zie voor de rapportage van aan kapitaalvereisten voor zowel aan tegenpartijkredietrisico als aan marktrisico onderhevige derivaten, de instructies voor de uitsplitsing in rijen.</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De in de kolommen 0270 en 0280 gerapporteerde blootstellingen mogen niet in aanmerking worden genomen voor de toepassing van deze kolom, aangezien de waarde in deze kolom uitsluitend op directe blootstellingen is gebaseerd.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Risicogewogen posten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Risicogewogen posten voor blootstellingen die aan het raamwerk voor kredietrisico zijn onderworpen.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Voor blootstellingen in het kader van de standaardbenadering (SA), zie artikel 113, leden 1 tot en met 5, van Verordening (EU) nr. 575/2013. Voor blootstellingen in het kader van de interneratingbenadering (IRB), zie artikel 153, leden 1 en 3, van Verordening (EU) nr.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Zie, voor de rapportage van onder artikel 271 van Verordening (EU) nr. 575/2013 vallende directe blootstellingen die zijn onderworpen aan eigenvermogensvereisten voor zowel tegenpartijkredietrisico als marktrisico, de instructies voor uitsplitsing in rijen.</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De in de kolommen 0270 en 0280 gerapporteerde blootstellingen mogen niet in aanmerking worden genomen voor de toepassing van deze kolom, aangezien de waarde in deze kolom uitsluitend op directe blootstellingen is gebaseerd.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Rijen</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Instructies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UITSPLITSING VAN BLOOTSTELLINGEN NAAR REGELGEVINGSBENADERING</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Totale blootstellingen</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Totaal van de blootstellingen met betrekking tot algemene overheden in de zin van de punten 191 tot en met 196 van deze bijlage.</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Blootstelling volgens het kredietrisicoraamwerk</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Totaal van de in overeenstemming met deel drie, titel II, van Verordening (EU) nr. 575/2013 naar risico gewogen blootstellingen met betrekking tot algemene overheden. Blootstellingen die onder het raamwerk voor kredietrisico vallen, omvatten blootstellingen als gevolg van zowel de niet-handelsportefeuille als de handelsportefeuille die aan een kapitaalvereiste voor tegenpartijkredietrisico zijn onderworpen.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Onder artikel 271 van Verordening (EU) nr. 575/2013 vallende directe blootstellingen die zijn onderworpen aan eigenvermogensvereisten voor zowel tegenpartijkredietrisico als marktrisico, worden gerapporteerd in zowel de rijen voor kredietrisico (de rijen 0020 tot en met 0155) als de rij voor marktrisico (rij 0160): de blootstellingen als gevolg van tegenpartijkredietrisico worden gerapporteerd in de rijen voor kredietrisico, terwijl de blootstellingen als gevolg van marktrisico worden gerapporteerd in de rij voor marktrisico.</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Standaardbenadering</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naar risico moeten worden gewogen in overeenstemming met deel drie, titel II, hoofdstuk 2, van Verordening (EU) nr. 575/2013, met inbegrip van blootstellingen uit hoofde van de niet-handelsportefeuille, waarvoor de risicoweging in overeenstemming met dat hoofdstuk tegenpartijkredietrisico ondervangt.</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Centrale overheden</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centrale overheden zijn. Deze blootstellingen worden toegewezen aan de blootstellingscategorie “Centrale overheden of centrale banken” in overeenstemming met de artikelen 112 en 114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Regionale overheden of lokale autoriteiten</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38FA5309"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regionale of lokale overheden zijn. Deze blootstellingen worden toegewezen aan de blootstellingscategorie “Regionale</w:t>
            </w:r>
            <w:r w:rsidR="004D36CF">
              <w:rPr>
                <w:rFonts w:ascii="Times New Roman" w:hAnsi="Times New Roman"/>
                <w:sz w:val="24"/>
              </w:rPr>
              <w:t xml:space="preserve"> </w:t>
            </w:r>
            <w:r>
              <w:rPr>
                <w:rFonts w:ascii="Times New Roman" w:hAnsi="Times New Roman"/>
                <w:sz w:val="24"/>
              </w:rPr>
              <w:t>overheden of lokale autoriteiten ” in overeenstemming met de artikelen 112 en 115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Publiekrechtelijke lichamen</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publiekrechtelijke lichamen zijn. Deze blootstellingen worden toegewezen aan de blootstellingscategorie “Publiekrechtelijke lichamen” in overeenstemming met de artikelen 112 en 116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Internationale organisaties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internationale organisaties zijn. Deze blootstellingen worden toegewezen aan de blootstellingscategorie “Internationale organisaties” in overeenstemming met de artikelen 112 en 118 van Verordening (EU) nr. 575/2013, zoals nader ingevuld door de instructies voor template C 07.00,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Overige blootstellingen met betrekking tot algemene overheden in het kader van de standaardbenadering</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niet zijnde de overheden in de rijen 0040 tot en met 0070 hierboven, die overeenkomstig artikel 112 van Verordening (EU) nr. 575/2013 voor de berekening van de eigenvermogensvereisten worden toegewezen aan blootstellingscategorieën volgens de standaardbenadering.</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Interneratingbenadering</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naar risico moeten worden gewogen in overeenstemming met deel drie, titel II, hoofdstuk 3, van Verordening (EU) nr. 575/2013, met inbegrip van blootstellingen uit hoofde van de niet-handelsportefeuille, waarvoor de risicoweging in overeenstemming met dat hoofdstuk tegenpartijkredietrisico ondervangt.</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Centrale overheden</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centrale overheden zijn en die worden toegewezen aan de blootstellingscategorie “Centrale overheden en centrale banken” in overeenstemming met artikel 147, lid 3, punt a), van Verordening (EU) nr. 575/2013, zoals nader bepaald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Regionale regionale overheden of lokale autoriteiten [Centrale overheden en centrale banken]</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regionale overheden of lokale autoriteiten zijn en die worden toegewezen aan de blootstellingscategorie “Centrale overheden en centrale banken” in overeenstemming met artikel 147, lid 3 bis, van Verordening (EU) nr. 575/2013, zoals nader bepaald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Regionale overheden of lokale autoriteiten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regionale overheden of lokale autoriteiten zijn en die worden toegewezen aan de blootstellingscategorie “regionale overheden of lokale autoriteiten” in overeenstemming met artikel 147, lid 2, punt a bis), i), van Verordening (EU) nr. 575/2013, zoals nader bepaald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Publiekrechtelijke lichamen [Centrale overheden en centrale banken]</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publiekrechtelijke lichamen zijn in de zin van artikel 4, lid 8, van Verordening (EU) nr. 575/2013 en die worden toegewezen aan de blootstellingscategorie “Centrale overheden en centrale banken” in overeenstemming met artikel 147, lid 3 bis, van die verordening, zoals nader bepaald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Publiekrechtelijke lichamen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publiekrechtelijke lichamen in de zin van artikel 4, lid 8, van Verordening (EU) nr. 575/2013 en die worden toegewezen aan de blootstellingscategorie “publiekrechtelijke lichamen” in overeenstemming met artikel 147, lid 2, punt a bis), ii), van die verordening, zoals nader bepaald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Internationale organisaties [Centrale overheden en centrale banken]</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die internationale organisaties zijn en die worden toegewezen aan de blootstellingscategorie “Centrale overheden en centrale banken” in overeenstemming met artikel 147, lid 3, punt c), van Verordening (EU) nr. 575/2013, zoals nader ingevuld door de instructies voor de templates C 08.01 en C 08.02, met uitzondering van de specificaties voor de overheveling van blootstellingen met betrekking tot algemene overheden naar andere blootstellingscategorieën als gevolg van de toepassing van kredietrisicolimiteringstechnieken met substitutie-effecten op de blootstelling, die niet van toepassing zijn.</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Overige blootstellingen met betrekking tot algemene overheden in het kader van de interneratingbenadering</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niet zijnde de overheden in de rijen 0090 tot en met 0140 hierboven, die overeenkomstig artikel 147 van Verordening (EU) nr. 575/2013 voor de berekening van de eigenvermogensvereisten worden toegewezen aan blootstellingscategorieën volgens de interneratingbenadering.</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Blootstellingen onderworpen aan marktrisico</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Deze rij heeft betrekking op posities waarvoor een van de volgende eigenvermogensvereisten van deel drie, titel IV, van Verordening (EU) nr. 575/2013 wordt berekend:</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Eigenvermogensvereisten voor positierisico overeenkomstig artikel 326 van Verordening (EU) nr.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Eigenvermogensvereisten voor specifiek of algemeen risico overeenkomstig deel drie, titel IV, hoofdstuk 5, van die verordening.</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Eigenvermogensvereisten voor creditspreadrisico of wanbetalingsrisico overeenkomstig deel drie, titel IV, hoofdstuk 1 bis, van die verordening.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Eigenvermogensvereisten berekend overeenkomstig deel drie, titel IV, hoofdstuk 1 bis, van die verordening, als de positie onderhevig is aan risicofactoren uit de bredere risicofactorklasse creditspreadrisico of opgenomen is in het interne wanbetalingsrisicomodel van de instelling.</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Onder artikel 271 van Verordening (EU) nr. 575/2013 vallende directe blootstellingen die zijn onderworpen aan eigenvermogensvereisten voor zowel tegenpartijkredietrisico als marktrisico, worden gerapporteerd in zowel de rijen voor kredietrisico (de rijen 0020 tot en met 0155) als de rij voor marktrisico (rij 0160): de blootstelling als gevolg van tegenpartijkredietrisico wordt gerapporteerd in de rijen voor kredietrisico, terwijl de blootstelling als gevolg van marktrisico wordt gerapporteerd in de rij voor marktrisico.</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UITSPLITSING VAN BLOOTSTELLINGEN NAAR RESTERENDE LOOPTIJD</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De resterende looptijd wordt berekend in dagen tussen de contractuele vervaldatum en de rapportagereferentiedatum voor alle posities.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met betrekking tot algemene overheden worden uitgesplitst naar resterende looptijd en ingedeeld in de onderstaande segmenten:</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[ 0 - 3M ]</w:t>
            </w:r>
            <w:r>
              <w:rPr>
                <w:rFonts w:ascii="Times New Roman" w:hAnsi="Times New Roman"/>
                <w:sz w:val="24"/>
              </w:rPr>
              <w:t>: Minder dan 90 dagen;</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[ 3M - 1J ]</w:t>
            </w:r>
            <w:r>
              <w:rPr>
                <w:rFonts w:ascii="Times New Roman" w:hAnsi="Times New Roman"/>
                <w:sz w:val="24"/>
              </w:rPr>
              <w:t>: Gelijk aan of meer dan 90 dagen en minder dan 365 dagen;</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[ 1J – 2J ]</w:t>
            </w:r>
            <w:r>
              <w:rPr>
                <w:rFonts w:ascii="Times New Roman" w:hAnsi="Times New Roman"/>
                <w:sz w:val="24"/>
              </w:rPr>
              <w:t>: Gelijk aan of meer dan 365 dagen en minder dan 730 dagen;</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[ 2J – 3J ]</w:t>
            </w:r>
            <w:r>
              <w:rPr>
                <w:rFonts w:ascii="Times New Roman" w:hAnsi="Times New Roman"/>
                <w:sz w:val="24"/>
              </w:rPr>
              <w:t>: Gelijk aan of meer dan 730 dagen en minder dan 1 095 dagen;</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[ 3J – 5J ]</w:t>
            </w:r>
            <w:r>
              <w:rPr>
                <w:rFonts w:ascii="Times New Roman" w:hAnsi="Times New Roman"/>
                <w:sz w:val="24"/>
              </w:rPr>
              <w:t>: Gelijk aan of meer dan 1 095 dagen en minder dan 1 825 dagen;</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[ 5J – 10J ]</w:t>
            </w:r>
            <w:r>
              <w:rPr>
                <w:rFonts w:ascii="Times New Roman" w:hAnsi="Times New Roman"/>
                <w:sz w:val="24"/>
              </w:rPr>
              <w:t>: Gelijk aan of meer dan 1 825 dagen en minder dan 3 650 dagen;</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[ 10J – meer ]</w:t>
            </w:r>
            <w:r>
              <w:rPr>
                <w:rFonts w:ascii="Times New Roman" w:hAnsi="Times New Roman"/>
                <w:sz w:val="24"/>
              </w:rPr>
              <w:t>: Gelijk aan of meer dan 3 650 dagen.</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Indien de contractuele vervaldatum eerder is dan de rapportagereferentiedatum (d.w.z. het verschil tussen de rapportagereferentiedatum en de vervaldatum is een negatieve waarde), wordt de blootstelling in het segment [0 – 3M] ingedeeld.</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Blootstellingen zonder resterende looptijd worden aan een resterendelooptijdsegment toegewezen op basis van de opzegtermijn of andere contractuele aanwijzingen over de looptijd. Indien er geen vooraf bepaalde opzegtermijn is of er geen andere contractuele aanwijzingen over de looptijd bestaan, worden blootstellingen ingedeeld in het resterendelooptijdsegment [10J – meer].</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301206"/>
    <w:rsid w:val="003F09C9"/>
    <w:rsid w:val="004D36CF"/>
    <w:rsid w:val="004E7B6F"/>
    <w:rsid w:val="00631623"/>
    <w:rsid w:val="00701E4C"/>
    <w:rsid w:val="00816CE5"/>
    <w:rsid w:val="00855551"/>
    <w:rsid w:val="0094763C"/>
    <w:rsid w:val="00A6002C"/>
    <w:rsid w:val="00B71F25"/>
    <w:rsid w:val="00B94EEA"/>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nl-NL"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nl-NL"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nl-NL"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E57B021D-3B77-40E4-995D-2B3A54C9B5C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4767</Words>
  <Characters>30799</Characters>
  <Application>Microsoft Office Word</Application>
  <DocSecurity>0</DocSecurity>
  <Lines>751</Lines>
  <Paragraphs>275</Paragraphs>
  <ScaleCrop>false</ScaleCrop>
  <Company/>
  <LinksUpToDate>false</LinksUpToDate>
  <CharactersWithSpaces>35291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2025-01-24T10:01:27Z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64a540b2-80d1-425f-9e36-7864986d325a</vt:lpwstr>
  </property>
  <property fmtid="{D5CDD505-2E9C-101B-9397-08002B2CF9AE}" pid="9" name="MSIP_Label_6bd9ddd1-4d20-43f6-abfa-fc3c07406f94_ContentBits">
    <vt:lpwstr>0</vt:lpwstr>
  </property>
</Properties>
</file>