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SV</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BILAGA IV</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”BILAGA XVII</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INSTRUKTIONER FÖR RAPPORTERING OM INTECKNING AV TILLGÅNGAR</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Innehåll</w:t>
      </w:r>
    </w:p>
    <w:p w14:paraId="55845C98" w14:textId="634E9DED" w:rsidR="00396CF3" w:rsidRDefault="00941FAE">
      <w:pPr>
        <w:pStyle w:val="TOC2"/>
        <w:rPr>
          <w:rFonts w:asciiTheme="minorHAnsi" w:eastAsiaTheme="minorEastAsia" w:hAnsiTheme="minorHAnsi" w:cstheme="minorBidi"/>
          <w:b w:val="0"/>
          <w:smallCaps w:val="0"/>
          <w:kern w:val="2"/>
          <w:sz w:val="22"/>
          <w:lang w:val="en-IE" w:eastAsia="en-IE"/>
          <w14:ligatures w14:val="standardContextual"/>
        </w:rPr>
      </w:pPr>
      <w:r w:rsidRPr="00857276">
        <w:rPr>
          <w:rFonts w:ascii="Times New Roman" w:hAnsi="Times New Roman"/>
          <w:sz w:val="24"/>
        </w:rPr>
        <w:fldChar w:fldCharType="begin"/>
      </w:r>
      <w:r w:rsidRPr="00857276">
        <w:rPr>
          <w:rFonts w:ascii="Times New Roman" w:hAnsi="Times New Roman"/>
          <w:sz w:val="24"/>
        </w:rPr>
        <w:instrText xml:space="preserve"> TOC \o "1-3" \h \z \u </w:instrText>
      </w:r>
      <w:r w:rsidRPr="00857276">
        <w:rPr>
          <w:rFonts w:ascii="Times New Roman" w:hAnsi="Times New Roman"/>
          <w:sz w:val="24"/>
        </w:rPr>
        <w:fldChar w:fldCharType="separate"/>
      </w:r>
      <w:hyperlink w:anchor="_Toc187917684" w:history="1">
        <w:r w:rsidR="00396CF3" w:rsidRPr="00B92763">
          <w:rPr>
            <w:rStyle w:val="Hyperlink"/>
            <w:rFonts w:ascii="Times New Roman" w:hAnsi="Times New Roman"/>
          </w:rPr>
          <w:t>ALLMÄNNA INSTRUKTIONER</w:t>
        </w:r>
        <w:r w:rsidR="00396CF3">
          <w:rPr>
            <w:webHidden/>
          </w:rPr>
          <w:tab/>
        </w:r>
        <w:r w:rsidR="00396CF3">
          <w:rPr>
            <w:webHidden/>
          </w:rPr>
          <w:fldChar w:fldCharType="begin"/>
        </w:r>
        <w:r w:rsidR="00396CF3">
          <w:rPr>
            <w:webHidden/>
          </w:rPr>
          <w:instrText xml:space="preserve"> PAGEREF _Toc187917684 \h </w:instrText>
        </w:r>
        <w:r w:rsidR="00396CF3">
          <w:rPr>
            <w:webHidden/>
          </w:rPr>
        </w:r>
        <w:r w:rsidR="00396CF3">
          <w:rPr>
            <w:webHidden/>
          </w:rPr>
          <w:fldChar w:fldCharType="separate"/>
        </w:r>
        <w:r w:rsidR="00396CF3">
          <w:rPr>
            <w:webHidden/>
          </w:rPr>
          <w:t>3</w:t>
        </w:r>
        <w:r w:rsidR="00396CF3">
          <w:rPr>
            <w:webHidden/>
          </w:rPr>
          <w:fldChar w:fldCharType="end"/>
        </w:r>
      </w:hyperlink>
    </w:p>
    <w:p w14:paraId="51E10869" w14:textId="3923B10C"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685" w:history="1">
        <w:r w:rsidRPr="00B92763">
          <w:rPr>
            <w:rStyle w:val="Hyperlink"/>
            <w:rFonts w:ascii="Times New Roman" w:hAnsi="Times New Roman"/>
          </w:rPr>
          <w:t>1. STRUKTUR OCH PRAXIS</w:t>
        </w:r>
        <w:r>
          <w:rPr>
            <w:webHidden/>
          </w:rPr>
          <w:tab/>
        </w:r>
        <w:r>
          <w:rPr>
            <w:webHidden/>
          </w:rPr>
          <w:fldChar w:fldCharType="begin"/>
        </w:r>
        <w:r>
          <w:rPr>
            <w:webHidden/>
          </w:rPr>
          <w:instrText xml:space="preserve"> PAGEREF _Toc187917685 \h </w:instrText>
        </w:r>
        <w:r>
          <w:rPr>
            <w:webHidden/>
          </w:rPr>
        </w:r>
        <w:r>
          <w:rPr>
            <w:webHidden/>
          </w:rPr>
          <w:fldChar w:fldCharType="separate"/>
        </w:r>
        <w:r>
          <w:rPr>
            <w:webHidden/>
          </w:rPr>
          <w:t>3</w:t>
        </w:r>
        <w:r>
          <w:rPr>
            <w:webHidden/>
          </w:rPr>
          <w:fldChar w:fldCharType="end"/>
        </w:r>
      </w:hyperlink>
    </w:p>
    <w:p w14:paraId="410C9224" w14:textId="0210B28C"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686" w:history="1">
        <w:r w:rsidRPr="00B92763">
          <w:rPr>
            <w:rStyle w:val="Hyperlink"/>
            <w:rFonts w:ascii="Times New Roman" w:hAnsi="Times New Roman"/>
          </w:rPr>
          <w:t>1.1.</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Struktur</w:t>
        </w:r>
        <w:r>
          <w:rPr>
            <w:webHidden/>
          </w:rPr>
          <w:tab/>
        </w:r>
        <w:r>
          <w:rPr>
            <w:webHidden/>
          </w:rPr>
          <w:fldChar w:fldCharType="begin"/>
        </w:r>
        <w:r>
          <w:rPr>
            <w:webHidden/>
          </w:rPr>
          <w:instrText xml:space="preserve"> PAGEREF _Toc187917686 \h </w:instrText>
        </w:r>
        <w:r>
          <w:rPr>
            <w:webHidden/>
          </w:rPr>
        </w:r>
        <w:r>
          <w:rPr>
            <w:webHidden/>
          </w:rPr>
          <w:fldChar w:fldCharType="separate"/>
        </w:r>
        <w:r>
          <w:rPr>
            <w:webHidden/>
          </w:rPr>
          <w:t>3</w:t>
        </w:r>
        <w:r>
          <w:rPr>
            <w:webHidden/>
          </w:rPr>
          <w:fldChar w:fldCharType="end"/>
        </w:r>
      </w:hyperlink>
    </w:p>
    <w:p w14:paraId="1A4F3B6F" w14:textId="6EEA1A7A"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687" w:history="1">
        <w:r w:rsidRPr="00B92763">
          <w:rPr>
            <w:rStyle w:val="Hyperlink"/>
            <w:rFonts w:ascii="Times New Roman" w:hAnsi="Times New Roman"/>
          </w:rPr>
          <w:t>1.2.</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Redovisningsstandard</w:t>
        </w:r>
        <w:r>
          <w:rPr>
            <w:webHidden/>
          </w:rPr>
          <w:tab/>
        </w:r>
        <w:r>
          <w:rPr>
            <w:webHidden/>
          </w:rPr>
          <w:fldChar w:fldCharType="begin"/>
        </w:r>
        <w:r>
          <w:rPr>
            <w:webHidden/>
          </w:rPr>
          <w:instrText xml:space="preserve"> PAGEREF _Toc187917687 \h </w:instrText>
        </w:r>
        <w:r>
          <w:rPr>
            <w:webHidden/>
          </w:rPr>
        </w:r>
        <w:r>
          <w:rPr>
            <w:webHidden/>
          </w:rPr>
          <w:fldChar w:fldCharType="separate"/>
        </w:r>
        <w:r>
          <w:rPr>
            <w:webHidden/>
          </w:rPr>
          <w:t>3</w:t>
        </w:r>
        <w:r>
          <w:rPr>
            <w:webHidden/>
          </w:rPr>
          <w:fldChar w:fldCharType="end"/>
        </w:r>
      </w:hyperlink>
    </w:p>
    <w:p w14:paraId="6CA7C852" w14:textId="78C4D5A8"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688" w:history="1">
        <w:r w:rsidRPr="00B92763">
          <w:rPr>
            <w:rStyle w:val="Hyperlink"/>
            <w:rFonts w:ascii="Times New Roman" w:hAnsi="Times New Roman"/>
          </w:rPr>
          <w:t>1.3.</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Numrering</w:t>
        </w:r>
        <w:r>
          <w:rPr>
            <w:webHidden/>
          </w:rPr>
          <w:tab/>
        </w:r>
        <w:r>
          <w:rPr>
            <w:webHidden/>
          </w:rPr>
          <w:fldChar w:fldCharType="begin"/>
        </w:r>
        <w:r>
          <w:rPr>
            <w:webHidden/>
          </w:rPr>
          <w:instrText xml:space="preserve"> PAGEREF _Toc187917688 \h </w:instrText>
        </w:r>
        <w:r>
          <w:rPr>
            <w:webHidden/>
          </w:rPr>
        </w:r>
        <w:r>
          <w:rPr>
            <w:webHidden/>
          </w:rPr>
          <w:fldChar w:fldCharType="separate"/>
        </w:r>
        <w:r>
          <w:rPr>
            <w:webHidden/>
          </w:rPr>
          <w:t>3</w:t>
        </w:r>
        <w:r>
          <w:rPr>
            <w:webHidden/>
          </w:rPr>
          <w:fldChar w:fldCharType="end"/>
        </w:r>
      </w:hyperlink>
    </w:p>
    <w:p w14:paraId="7BBCD810" w14:textId="634896B3"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689" w:history="1">
        <w:r w:rsidRPr="00B92763">
          <w:rPr>
            <w:rStyle w:val="Hyperlink"/>
            <w:rFonts w:ascii="Times New Roman" w:hAnsi="Times New Roman"/>
          </w:rPr>
          <w:t>1.4.</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Tecken</w:t>
        </w:r>
        <w:r>
          <w:rPr>
            <w:webHidden/>
          </w:rPr>
          <w:tab/>
        </w:r>
        <w:r>
          <w:rPr>
            <w:webHidden/>
          </w:rPr>
          <w:fldChar w:fldCharType="begin"/>
        </w:r>
        <w:r>
          <w:rPr>
            <w:webHidden/>
          </w:rPr>
          <w:instrText xml:space="preserve"> PAGEREF _Toc187917689 \h </w:instrText>
        </w:r>
        <w:r>
          <w:rPr>
            <w:webHidden/>
          </w:rPr>
        </w:r>
        <w:r>
          <w:rPr>
            <w:webHidden/>
          </w:rPr>
          <w:fldChar w:fldCharType="separate"/>
        </w:r>
        <w:r>
          <w:rPr>
            <w:webHidden/>
          </w:rPr>
          <w:t>4</w:t>
        </w:r>
        <w:r>
          <w:rPr>
            <w:webHidden/>
          </w:rPr>
          <w:fldChar w:fldCharType="end"/>
        </w:r>
      </w:hyperlink>
    </w:p>
    <w:p w14:paraId="16B9DBC5" w14:textId="445C3287"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690" w:history="1">
        <w:r w:rsidRPr="00B92763">
          <w:rPr>
            <w:rStyle w:val="Hyperlink"/>
            <w:rFonts w:ascii="Times New Roman" w:hAnsi="Times New Roman"/>
          </w:rPr>
          <w:t>1.5.</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Tillämpningsnivå</w:t>
        </w:r>
        <w:r>
          <w:rPr>
            <w:webHidden/>
          </w:rPr>
          <w:tab/>
        </w:r>
        <w:r>
          <w:rPr>
            <w:webHidden/>
          </w:rPr>
          <w:fldChar w:fldCharType="begin"/>
        </w:r>
        <w:r>
          <w:rPr>
            <w:webHidden/>
          </w:rPr>
          <w:instrText xml:space="preserve"> PAGEREF _Toc187917690 \h </w:instrText>
        </w:r>
        <w:r>
          <w:rPr>
            <w:webHidden/>
          </w:rPr>
        </w:r>
        <w:r>
          <w:rPr>
            <w:webHidden/>
          </w:rPr>
          <w:fldChar w:fldCharType="separate"/>
        </w:r>
        <w:r>
          <w:rPr>
            <w:webHidden/>
          </w:rPr>
          <w:t>4</w:t>
        </w:r>
        <w:r>
          <w:rPr>
            <w:webHidden/>
          </w:rPr>
          <w:fldChar w:fldCharType="end"/>
        </w:r>
      </w:hyperlink>
    </w:p>
    <w:p w14:paraId="7330D514" w14:textId="7953B4DD"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691" w:history="1">
        <w:r w:rsidRPr="00B92763">
          <w:rPr>
            <w:rStyle w:val="Hyperlink"/>
            <w:rFonts w:ascii="Times New Roman" w:hAnsi="Times New Roman"/>
          </w:rPr>
          <w:t>1.6.</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Proportionalitet</w:t>
        </w:r>
        <w:r>
          <w:rPr>
            <w:webHidden/>
          </w:rPr>
          <w:tab/>
        </w:r>
        <w:r>
          <w:rPr>
            <w:webHidden/>
          </w:rPr>
          <w:fldChar w:fldCharType="begin"/>
        </w:r>
        <w:r>
          <w:rPr>
            <w:webHidden/>
          </w:rPr>
          <w:instrText xml:space="preserve"> PAGEREF _Toc187917691 \h </w:instrText>
        </w:r>
        <w:r>
          <w:rPr>
            <w:webHidden/>
          </w:rPr>
        </w:r>
        <w:r>
          <w:rPr>
            <w:webHidden/>
          </w:rPr>
          <w:fldChar w:fldCharType="separate"/>
        </w:r>
        <w:r>
          <w:rPr>
            <w:webHidden/>
          </w:rPr>
          <w:t>4</w:t>
        </w:r>
        <w:r>
          <w:rPr>
            <w:webHidden/>
          </w:rPr>
          <w:fldChar w:fldCharType="end"/>
        </w:r>
      </w:hyperlink>
    </w:p>
    <w:p w14:paraId="336B492B" w14:textId="7F92B591"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692" w:history="1">
        <w:r w:rsidRPr="00B92763">
          <w:rPr>
            <w:rStyle w:val="Hyperlink"/>
            <w:rFonts w:ascii="Times New Roman" w:hAnsi="Times New Roman"/>
          </w:rPr>
          <w:t>1.7.</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Definition av inteckning</w:t>
        </w:r>
        <w:r>
          <w:rPr>
            <w:webHidden/>
          </w:rPr>
          <w:tab/>
        </w:r>
        <w:r>
          <w:rPr>
            <w:webHidden/>
          </w:rPr>
          <w:fldChar w:fldCharType="begin"/>
        </w:r>
        <w:r>
          <w:rPr>
            <w:webHidden/>
          </w:rPr>
          <w:instrText xml:space="preserve"> PAGEREF _Toc187917692 \h </w:instrText>
        </w:r>
        <w:r>
          <w:rPr>
            <w:webHidden/>
          </w:rPr>
        </w:r>
        <w:r>
          <w:rPr>
            <w:webHidden/>
          </w:rPr>
          <w:fldChar w:fldCharType="separate"/>
        </w:r>
        <w:r>
          <w:rPr>
            <w:webHidden/>
          </w:rPr>
          <w:t>4</w:t>
        </w:r>
        <w:r>
          <w:rPr>
            <w:webHidden/>
          </w:rPr>
          <w:fldChar w:fldCharType="end"/>
        </w:r>
      </w:hyperlink>
    </w:p>
    <w:p w14:paraId="35E2B57D" w14:textId="59913ACE"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693" w:history="1">
        <w:r w:rsidRPr="00B92763">
          <w:rPr>
            <w:rStyle w:val="Hyperlink"/>
            <w:rFonts w:ascii="Times New Roman" w:hAnsi="Times New Roman"/>
          </w:rPr>
          <w:t>INSTRUKTIONER AVSEENDE MALLAR</w:t>
        </w:r>
        <w:r>
          <w:rPr>
            <w:webHidden/>
          </w:rPr>
          <w:tab/>
        </w:r>
        <w:r>
          <w:rPr>
            <w:webHidden/>
          </w:rPr>
          <w:fldChar w:fldCharType="begin"/>
        </w:r>
        <w:r>
          <w:rPr>
            <w:webHidden/>
          </w:rPr>
          <w:instrText xml:space="preserve"> PAGEREF _Toc187917693 \h </w:instrText>
        </w:r>
        <w:r>
          <w:rPr>
            <w:webHidden/>
          </w:rPr>
        </w:r>
        <w:r>
          <w:rPr>
            <w:webHidden/>
          </w:rPr>
          <w:fldChar w:fldCharType="separate"/>
        </w:r>
        <w:r>
          <w:rPr>
            <w:webHidden/>
          </w:rPr>
          <w:t>5</w:t>
        </w:r>
        <w:r>
          <w:rPr>
            <w:webHidden/>
          </w:rPr>
          <w:fldChar w:fldCharType="end"/>
        </w:r>
      </w:hyperlink>
    </w:p>
    <w:p w14:paraId="55593F18" w14:textId="09583DB9"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694" w:history="1">
        <w:r w:rsidRPr="00B92763">
          <w:rPr>
            <w:rStyle w:val="Hyperlink"/>
            <w:rFonts w:ascii="Times New Roman" w:hAnsi="Times New Roman"/>
          </w:rPr>
          <w:t>2.</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Del A: Översikt över inteckningar</w:t>
        </w:r>
        <w:r>
          <w:rPr>
            <w:webHidden/>
          </w:rPr>
          <w:tab/>
        </w:r>
        <w:r>
          <w:rPr>
            <w:webHidden/>
          </w:rPr>
          <w:fldChar w:fldCharType="begin"/>
        </w:r>
        <w:r>
          <w:rPr>
            <w:webHidden/>
          </w:rPr>
          <w:instrText xml:space="preserve"> PAGEREF _Toc187917694 \h </w:instrText>
        </w:r>
        <w:r>
          <w:rPr>
            <w:webHidden/>
          </w:rPr>
        </w:r>
        <w:r>
          <w:rPr>
            <w:webHidden/>
          </w:rPr>
          <w:fldChar w:fldCharType="separate"/>
        </w:r>
        <w:r>
          <w:rPr>
            <w:webHidden/>
          </w:rPr>
          <w:t>5</w:t>
        </w:r>
        <w:r>
          <w:rPr>
            <w:webHidden/>
          </w:rPr>
          <w:fldChar w:fldCharType="end"/>
        </w:r>
      </w:hyperlink>
    </w:p>
    <w:p w14:paraId="5BD66EE2" w14:textId="0CBDFF3E"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695" w:history="1">
        <w:r w:rsidRPr="00B92763">
          <w:rPr>
            <w:rStyle w:val="Hyperlink"/>
            <w:rFonts w:ascii="Times New Roman" w:hAnsi="Times New Roman"/>
          </w:rPr>
          <w:t>2.1.</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Mall: AE-ASS. Det rapporterande institutets tillgångar</w:t>
        </w:r>
        <w:r>
          <w:rPr>
            <w:webHidden/>
          </w:rPr>
          <w:tab/>
        </w:r>
        <w:r>
          <w:rPr>
            <w:webHidden/>
          </w:rPr>
          <w:fldChar w:fldCharType="begin"/>
        </w:r>
        <w:r>
          <w:rPr>
            <w:webHidden/>
          </w:rPr>
          <w:instrText xml:space="preserve"> PAGEREF _Toc187917695 \h </w:instrText>
        </w:r>
        <w:r>
          <w:rPr>
            <w:webHidden/>
          </w:rPr>
        </w:r>
        <w:r>
          <w:rPr>
            <w:webHidden/>
          </w:rPr>
          <w:fldChar w:fldCharType="separate"/>
        </w:r>
        <w:r>
          <w:rPr>
            <w:webHidden/>
          </w:rPr>
          <w:t>5</w:t>
        </w:r>
        <w:r>
          <w:rPr>
            <w:webHidden/>
          </w:rPr>
          <w:fldChar w:fldCharType="end"/>
        </w:r>
      </w:hyperlink>
    </w:p>
    <w:p w14:paraId="4C68B4E9" w14:textId="6BBFB985"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696" w:history="1">
        <w:r w:rsidRPr="00B92763">
          <w:rPr>
            <w:rStyle w:val="Hyperlink"/>
            <w:rFonts w:ascii="Times New Roman" w:hAnsi="Times New Roman"/>
          </w:rPr>
          <w:t>2.1.1.</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Allmänna kommentarer</w:t>
        </w:r>
        <w:r>
          <w:rPr>
            <w:webHidden/>
          </w:rPr>
          <w:tab/>
        </w:r>
        <w:r>
          <w:rPr>
            <w:webHidden/>
          </w:rPr>
          <w:fldChar w:fldCharType="begin"/>
        </w:r>
        <w:r>
          <w:rPr>
            <w:webHidden/>
          </w:rPr>
          <w:instrText xml:space="preserve"> PAGEREF _Toc187917696 \h </w:instrText>
        </w:r>
        <w:r>
          <w:rPr>
            <w:webHidden/>
          </w:rPr>
        </w:r>
        <w:r>
          <w:rPr>
            <w:webHidden/>
          </w:rPr>
          <w:fldChar w:fldCharType="separate"/>
        </w:r>
        <w:r>
          <w:rPr>
            <w:webHidden/>
          </w:rPr>
          <w:t>5</w:t>
        </w:r>
        <w:r>
          <w:rPr>
            <w:webHidden/>
          </w:rPr>
          <w:fldChar w:fldCharType="end"/>
        </w:r>
      </w:hyperlink>
    </w:p>
    <w:p w14:paraId="67F11C31" w14:textId="4DD40525"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697" w:history="1">
        <w:r w:rsidRPr="00B92763">
          <w:rPr>
            <w:rStyle w:val="Hyperlink"/>
            <w:rFonts w:ascii="Times New Roman" w:hAnsi="Times New Roman"/>
          </w:rPr>
          <w:t>2.1.2.</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Instruktioner för särskilda rader</w:t>
        </w:r>
        <w:r>
          <w:rPr>
            <w:webHidden/>
          </w:rPr>
          <w:tab/>
        </w:r>
        <w:r>
          <w:rPr>
            <w:webHidden/>
          </w:rPr>
          <w:fldChar w:fldCharType="begin"/>
        </w:r>
        <w:r>
          <w:rPr>
            <w:webHidden/>
          </w:rPr>
          <w:instrText xml:space="preserve"> PAGEREF _Toc187917697 \h </w:instrText>
        </w:r>
        <w:r>
          <w:rPr>
            <w:webHidden/>
          </w:rPr>
        </w:r>
        <w:r>
          <w:rPr>
            <w:webHidden/>
          </w:rPr>
          <w:fldChar w:fldCharType="separate"/>
        </w:r>
        <w:r>
          <w:rPr>
            <w:webHidden/>
          </w:rPr>
          <w:t>8</w:t>
        </w:r>
        <w:r>
          <w:rPr>
            <w:webHidden/>
          </w:rPr>
          <w:fldChar w:fldCharType="end"/>
        </w:r>
      </w:hyperlink>
    </w:p>
    <w:p w14:paraId="27D383EE" w14:textId="082B7AF2"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698" w:history="1">
        <w:r w:rsidRPr="00B92763">
          <w:rPr>
            <w:rStyle w:val="Hyperlink"/>
            <w:rFonts w:ascii="Times New Roman" w:hAnsi="Times New Roman"/>
          </w:rPr>
          <w:t>Instruktioner för särskilda kolumner</w:t>
        </w:r>
        <w:r>
          <w:rPr>
            <w:webHidden/>
          </w:rPr>
          <w:tab/>
        </w:r>
        <w:r>
          <w:rPr>
            <w:webHidden/>
          </w:rPr>
          <w:fldChar w:fldCharType="begin"/>
        </w:r>
        <w:r>
          <w:rPr>
            <w:webHidden/>
          </w:rPr>
          <w:instrText xml:space="preserve"> PAGEREF _Toc187917698 \h </w:instrText>
        </w:r>
        <w:r>
          <w:rPr>
            <w:webHidden/>
          </w:rPr>
        </w:r>
        <w:r>
          <w:rPr>
            <w:webHidden/>
          </w:rPr>
          <w:fldChar w:fldCharType="separate"/>
        </w:r>
        <w:r>
          <w:rPr>
            <w:webHidden/>
          </w:rPr>
          <w:t>10</w:t>
        </w:r>
        <w:r>
          <w:rPr>
            <w:webHidden/>
          </w:rPr>
          <w:fldChar w:fldCharType="end"/>
        </w:r>
      </w:hyperlink>
    </w:p>
    <w:p w14:paraId="78790C29" w14:textId="4302E0FF"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699" w:history="1">
        <w:r w:rsidRPr="00B92763">
          <w:rPr>
            <w:rStyle w:val="Hyperlink"/>
            <w:rFonts w:ascii="Times New Roman" w:hAnsi="Times New Roman"/>
          </w:rPr>
          <w:t>2.2.</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Mall: AE-COL. Säkerheter som erhållits av det rapporterande institutet</w:t>
        </w:r>
        <w:r>
          <w:rPr>
            <w:webHidden/>
          </w:rPr>
          <w:tab/>
        </w:r>
        <w:r>
          <w:rPr>
            <w:webHidden/>
          </w:rPr>
          <w:fldChar w:fldCharType="begin"/>
        </w:r>
        <w:r>
          <w:rPr>
            <w:webHidden/>
          </w:rPr>
          <w:instrText xml:space="preserve"> PAGEREF _Toc187917699 \h </w:instrText>
        </w:r>
        <w:r>
          <w:rPr>
            <w:webHidden/>
          </w:rPr>
        </w:r>
        <w:r>
          <w:rPr>
            <w:webHidden/>
          </w:rPr>
          <w:fldChar w:fldCharType="separate"/>
        </w:r>
        <w:r>
          <w:rPr>
            <w:webHidden/>
          </w:rPr>
          <w:t>13</w:t>
        </w:r>
        <w:r>
          <w:rPr>
            <w:webHidden/>
          </w:rPr>
          <w:fldChar w:fldCharType="end"/>
        </w:r>
      </w:hyperlink>
    </w:p>
    <w:p w14:paraId="56D484C4" w14:textId="1BF5FCA9"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00" w:history="1">
        <w:r w:rsidRPr="00B92763">
          <w:rPr>
            <w:rStyle w:val="Hyperlink"/>
            <w:rFonts w:ascii="Times New Roman" w:hAnsi="Times New Roman"/>
          </w:rPr>
          <w:t>2.2.1.</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Allmänna kommentarer</w:t>
        </w:r>
        <w:r>
          <w:rPr>
            <w:webHidden/>
          </w:rPr>
          <w:tab/>
        </w:r>
        <w:r>
          <w:rPr>
            <w:webHidden/>
          </w:rPr>
          <w:fldChar w:fldCharType="begin"/>
        </w:r>
        <w:r>
          <w:rPr>
            <w:webHidden/>
          </w:rPr>
          <w:instrText xml:space="preserve"> PAGEREF _Toc187917700 \h </w:instrText>
        </w:r>
        <w:r>
          <w:rPr>
            <w:webHidden/>
          </w:rPr>
        </w:r>
        <w:r>
          <w:rPr>
            <w:webHidden/>
          </w:rPr>
          <w:fldChar w:fldCharType="separate"/>
        </w:r>
        <w:r>
          <w:rPr>
            <w:webHidden/>
          </w:rPr>
          <w:t>13</w:t>
        </w:r>
        <w:r>
          <w:rPr>
            <w:webHidden/>
          </w:rPr>
          <w:fldChar w:fldCharType="end"/>
        </w:r>
      </w:hyperlink>
    </w:p>
    <w:p w14:paraId="31F6476B" w14:textId="3514A3D1"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01" w:history="1">
        <w:r w:rsidRPr="00B92763">
          <w:rPr>
            <w:rStyle w:val="Hyperlink"/>
            <w:rFonts w:ascii="Times New Roman" w:hAnsi="Times New Roman"/>
          </w:rPr>
          <w:t>2.2.2.</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Instruktioner för särskilda rader</w:t>
        </w:r>
        <w:r>
          <w:rPr>
            <w:webHidden/>
          </w:rPr>
          <w:tab/>
        </w:r>
        <w:r>
          <w:rPr>
            <w:webHidden/>
          </w:rPr>
          <w:fldChar w:fldCharType="begin"/>
        </w:r>
        <w:r>
          <w:rPr>
            <w:webHidden/>
          </w:rPr>
          <w:instrText xml:space="preserve"> PAGEREF _Toc187917701 \h </w:instrText>
        </w:r>
        <w:r>
          <w:rPr>
            <w:webHidden/>
          </w:rPr>
        </w:r>
        <w:r>
          <w:rPr>
            <w:webHidden/>
          </w:rPr>
          <w:fldChar w:fldCharType="separate"/>
        </w:r>
        <w:r>
          <w:rPr>
            <w:webHidden/>
          </w:rPr>
          <w:t>13</w:t>
        </w:r>
        <w:r>
          <w:rPr>
            <w:webHidden/>
          </w:rPr>
          <w:fldChar w:fldCharType="end"/>
        </w:r>
      </w:hyperlink>
    </w:p>
    <w:p w14:paraId="501EA325" w14:textId="46D3CE03"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02" w:history="1">
        <w:r w:rsidRPr="00B92763">
          <w:rPr>
            <w:rStyle w:val="Hyperlink"/>
            <w:rFonts w:ascii="Times New Roman" w:hAnsi="Times New Roman"/>
          </w:rPr>
          <w:t>2.2.3.</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Instruktioner för särskilda kolumner</w:t>
        </w:r>
        <w:r>
          <w:rPr>
            <w:webHidden/>
          </w:rPr>
          <w:tab/>
        </w:r>
        <w:r>
          <w:rPr>
            <w:webHidden/>
          </w:rPr>
          <w:fldChar w:fldCharType="begin"/>
        </w:r>
        <w:r>
          <w:rPr>
            <w:webHidden/>
          </w:rPr>
          <w:instrText xml:space="preserve"> PAGEREF _Toc187917702 \h </w:instrText>
        </w:r>
        <w:r>
          <w:rPr>
            <w:webHidden/>
          </w:rPr>
        </w:r>
        <w:r>
          <w:rPr>
            <w:webHidden/>
          </w:rPr>
          <w:fldChar w:fldCharType="separate"/>
        </w:r>
        <w:r>
          <w:rPr>
            <w:webHidden/>
          </w:rPr>
          <w:t>16</w:t>
        </w:r>
        <w:r>
          <w:rPr>
            <w:webHidden/>
          </w:rPr>
          <w:fldChar w:fldCharType="end"/>
        </w:r>
      </w:hyperlink>
    </w:p>
    <w:p w14:paraId="4265A306" w14:textId="6AC7105F"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03" w:history="1">
        <w:r w:rsidRPr="00B92763">
          <w:rPr>
            <w:rStyle w:val="Hyperlink"/>
            <w:rFonts w:ascii="Times New Roman" w:hAnsi="Times New Roman"/>
          </w:rPr>
          <w:t>2.3.</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Mall: AE-NPL. Emitterade egna säkerställda obligationer och värdepapperiseringar som ännu inte pantsatts</w:t>
        </w:r>
        <w:r>
          <w:rPr>
            <w:webHidden/>
          </w:rPr>
          <w:tab/>
        </w:r>
        <w:r>
          <w:rPr>
            <w:webHidden/>
          </w:rPr>
          <w:fldChar w:fldCharType="begin"/>
        </w:r>
        <w:r>
          <w:rPr>
            <w:webHidden/>
          </w:rPr>
          <w:instrText xml:space="preserve"> PAGEREF _Toc187917703 \h </w:instrText>
        </w:r>
        <w:r>
          <w:rPr>
            <w:webHidden/>
          </w:rPr>
        </w:r>
        <w:r>
          <w:rPr>
            <w:webHidden/>
          </w:rPr>
          <w:fldChar w:fldCharType="separate"/>
        </w:r>
        <w:r>
          <w:rPr>
            <w:webHidden/>
          </w:rPr>
          <w:t>18</w:t>
        </w:r>
        <w:r>
          <w:rPr>
            <w:webHidden/>
          </w:rPr>
          <w:fldChar w:fldCharType="end"/>
        </w:r>
      </w:hyperlink>
    </w:p>
    <w:p w14:paraId="502BFC30" w14:textId="6250D9A7"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04" w:history="1">
        <w:r w:rsidRPr="00B92763">
          <w:rPr>
            <w:rStyle w:val="Hyperlink"/>
            <w:rFonts w:ascii="Times New Roman" w:hAnsi="Times New Roman"/>
          </w:rPr>
          <w:t>2.3.1.</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Allmänna kommentarer</w:t>
        </w:r>
        <w:r>
          <w:rPr>
            <w:webHidden/>
          </w:rPr>
          <w:tab/>
        </w:r>
        <w:r>
          <w:rPr>
            <w:webHidden/>
          </w:rPr>
          <w:fldChar w:fldCharType="begin"/>
        </w:r>
        <w:r>
          <w:rPr>
            <w:webHidden/>
          </w:rPr>
          <w:instrText xml:space="preserve"> PAGEREF _Toc187917704 \h </w:instrText>
        </w:r>
        <w:r>
          <w:rPr>
            <w:webHidden/>
          </w:rPr>
        </w:r>
        <w:r>
          <w:rPr>
            <w:webHidden/>
          </w:rPr>
          <w:fldChar w:fldCharType="separate"/>
        </w:r>
        <w:r>
          <w:rPr>
            <w:webHidden/>
          </w:rPr>
          <w:t>18</w:t>
        </w:r>
        <w:r>
          <w:rPr>
            <w:webHidden/>
          </w:rPr>
          <w:fldChar w:fldCharType="end"/>
        </w:r>
      </w:hyperlink>
    </w:p>
    <w:p w14:paraId="4276A391" w14:textId="4399E386"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05" w:history="1">
        <w:r w:rsidRPr="00B92763">
          <w:rPr>
            <w:rStyle w:val="Hyperlink"/>
            <w:rFonts w:ascii="Times New Roman" w:hAnsi="Times New Roman"/>
          </w:rPr>
          <w:t>2.3.2.</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Instruktioner för särskilda rader</w:t>
        </w:r>
        <w:r>
          <w:rPr>
            <w:webHidden/>
          </w:rPr>
          <w:tab/>
        </w:r>
        <w:r>
          <w:rPr>
            <w:webHidden/>
          </w:rPr>
          <w:fldChar w:fldCharType="begin"/>
        </w:r>
        <w:r>
          <w:rPr>
            <w:webHidden/>
          </w:rPr>
          <w:instrText xml:space="preserve"> PAGEREF _Toc187917705 \h </w:instrText>
        </w:r>
        <w:r>
          <w:rPr>
            <w:webHidden/>
          </w:rPr>
        </w:r>
        <w:r>
          <w:rPr>
            <w:webHidden/>
          </w:rPr>
          <w:fldChar w:fldCharType="separate"/>
        </w:r>
        <w:r>
          <w:rPr>
            <w:webHidden/>
          </w:rPr>
          <w:t>18</w:t>
        </w:r>
        <w:r>
          <w:rPr>
            <w:webHidden/>
          </w:rPr>
          <w:fldChar w:fldCharType="end"/>
        </w:r>
      </w:hyperlink>
    </w:p>
    <w:p w14:paraId="5C6DBB41" w14:textId="389F9628"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06" w:history="1">
        <w:r w:rsidRPr="00B92763">
          <w:rPr>
            <w:rStyle w:val="Hyperlink"/>
            <w:rFonts w:ascii="Times New Roman" w:hAnsi="Times New Roman"/>
          </w:rPr>
          <w:t>2.3.3.</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Instruktioner för särskilda kolumner</w:t>
        </w:r>
        <w:r>
          <w:rPr>
            <w:webHidden/>
          </w:rPr>
          <w:tab/>
        </w:r>
        <w:r>
          <w:rPr>
            <w:webHidden/>
          </w:rPr>
          <w:fldChar w:fldCharType="begin"/>
        </w:r>
        <w:r>
          <w:rPr>
            <w:webHidden/>
          </w:rPr>
          <w:instrText xml:space="preserve"> PAGEREF _Toc187917706 \h </w:instrText>
        </w:r>
        <w:r>
          <w:rPr>
            <w:webHidden/>
          </w:rPr>
        </w:r>
        <w:r>
          <w:rPr>
            <w:webHidden/>
          </w:rPr>
          <w:fldChar w:fldCharType="separate"/>
        </w:r>
        <w:r>
          <w:rPr>
            <w:webHidden/>
          </w:rPr>
          <w:t>19</w:t>
        </w:r>
        <w:r>
          <w:rPr>
            <w:webHidden/>
          </w:rPr>
          <w:fldChar w:fldCharType="end"/>
        </w:r>
      </w:hyperlink>
    </w:p>
    <w:p w14:paraId="78B594AF" w14:textId="6930B60C"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07" w:history="1">
        <w:r w:rsidRPr="00B92763">
          <w:rPr>
            <w:rStyle w:val="Hyperlink"/>
            <w:rFonts w:ascii="Times New Roman" w:hAnsi="Times New Roman"/>
          </w:rPr>
          <w:t>2.4.</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Mall: AE-SOU. Inteckningskällor</w:t>
        </w:r>
        <w:r>
          <w:rPr>
            <w:webHidden/>
          </w:rPr>
          <w:tab/>
        </w:r>
        <w:r>
          <w:rPr>
            <w:webHidden/>
          </w:rPr>
          <w:fldChar w:fldCharType="begin"/>
        </w:r>
        <w:r>
          <w:rPr>
            <w:webHidden/>
          </w:rPr>
          <w:instrText xml:space="preserve"> PAGEREF _Toc187917707 \h </w:instrText>
        </w:r>
        <w:r>
          <w:rPr>
            <w:webHidden/>
          </w:rPr>
        </w:r>
        <w:r>
          <w:rPr>
            <w:webHidden/>
          </w:rPr>
          <w:fldChar w:fldCharType="separate"/>
        </w:r>
        <w:r>
          <w:rPr>
            <w:webHidden/>
          </w:rPr>
          <w:t>20</w:t>
        </w:r>
        <w:r>
          <w:rPr>
            <w:webHidden/>
          </w:rPr>
          <w:fldChar w:fldCharType="end"/>
        </w:r>
      </w:hyperlink>
    </w:p>
    <w:p w14:paraId="6916093D" w14:textId="5488F0BD"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08" w:history="1">
        <w:r w:rsidRPr="00B92763">
          <w:rPr>
            <w:rStyle w:val="Hyperlink"/>
            <w:rFonts w:ascii="Times New Roman" w:hAnsi="Times New Roman"/>
          </w:rPr>
          <w:t>2.4.1.</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Allmänna kommentarer</w:t>
        </w:r>
        <w:r>
          <w:rPr>
            <w:webHidden/>
          </w:rPr>
          <w:tab/>
        </w:r>
        <w:r>
          <w:rPr>
            <w:webHidden/>
          </w:rPr>
          <w:fldChar w:fldCharType="begin"/>
        </w:r>
        <w:r>
          <w:rPr>
            <w:webHidden/>
          </w:rPr>
          <w:instrText xml:space="preserve"> PAGEREF _Toc187917708 \h </w:instrText>
        </w:r>
        <w:r>
          <w:rPr>
            <w:webHidden/>
          </w:rPr>
        </w:r>
        <w:r>
          <w:rPr>
            <w:webHidden/>
          </w:rPr>
          <w:fldChar w:fldCharType="separate"/>
        </w:r>
        <w:r>
          <w:rPr>
            <w:webHidden/>
          </w:rPr>
          <w:t>20</w:t>
        </w:r>
        <w:r>
          <w:rPr>
            <w:webHidden/>
          </w:rPr>
          <w:fldChar w:fldCharType="end"/>
        </w:r>
      </w:hyperlink>
    </w:p>
    <w:p w14:paraId="0D6D592E" w14:textId="603ADE46"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09" w:history="1">
        <w:r w:rsidRPr="00B92763">
          <w:rPr>
            <w:rStyle w:val="Hyperlink"/>
            <w:rFonts w:ascii="Times New Roman" w:hAnsi="Times New Roman"/>
          </w:rPr>
          <w:t>2.4.2.</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Instruktioner för särskilda rader</w:t>
        </w:r>
        <w:r>
          <w:rPr>
            <w:webHidden/>
          </w:rPr>
          <w:tab/>
        </w:r>
        <w:r>
          <w:rPr>
            <w:webHidden/>
          </w:rPr>
          <w:fldChar w:fldCharType="begin"/>
        </w:r>
        <w:r>
          <w:rPr>
            <w:webHidden/>
          </w:rPr>
          <w:instrText xml:space="preserve"> PAGEREF _Toc187917709 \h </w:instrText>
        </w:r>
        <w:r>
          <w:rPr>
            <w:webHidden/>
          </w:rPr>
        </w:r>
        <w:r>
          <w:rPr>
            <w:webHidden/>
          </w:rPr>
          <w:fldChar w:fldCharType="separate"/>
        </w:r>
        <w:r>
          <w:rPr>
            <w:webHidden/>
          </w:rPr>
          <w:t>20</w:t>
        </w:r>
        <w:r>
          <w:rPr>
            <w:webHidden/>
          </w:rPr>
          <w:fldChar w:fldCharType="end"/>
        </w:r>
      </w:hyperlink>
    </w:p>
    <w:p w14:paraId="37030264" w14:textId="5364C08B"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10" w:history="1">
        <w:r w:rsidRPr="00B92763">
          <w:rPr>
            <w:rStyle w:val="Hyperlink"/>
            <w:rFonts w:ascii="Times New Roman" w:hAnsi="Times New Roman"/>
          </w:rPr>
          <w:t>2.4.3.</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Instruktioner för särskilda kolumner</w:t>
        </w:r>
        <w:r>
          <w:rPr>
            <w:webHidden/>
          </w:rPr>
          <w:tab/>
        </w:r>
        <w:r>
          <w:rPr>
            <w:webHidden/>
          </w:rPr>
          <w:fldChar w:fldCharType="begin"/>
        </w:r>
        <w:r>
          <w:rPr>
            <w:webHidden/>
          </w:rPr>
          <w:instrText xml:space="preserve"> PAGEREF _Toc187917710 \h </w:instrText>
        </w:r>
        <w:r>
          <w:rPr>
            <w:webHidden/>
          </w:rPr>
        </w:r>
        <w:r>
          <w:rPr>
            <w:webHidden/>
          </w:rPr>
          <w:fldChar w:fldCharType="separate"/>
        </w:r>
        <w:r>
          <w:rPr>
            <w:webHidden/>
          </w:rPr>
          <w:t>22</w:t>
        </w:r>
        <w:r>
          <w:rPr>
            <w:webHidden/>
          </w:rPr>
          <w:fldChar w:fldCharType="end"/>
        </w:r>
      </w:hyperlink>
    </w:p>
    <w:p w14:paraId="097F9784" w14:textId="638704C7"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11" w:history="1">
        <w:r w:rsidRPr="00B92763">
          <w:rPr>
            <w:rStyle w:val="Hyperlink"/>
            <w:rFonts w:ascii="Times New Roman" w:hAnsi="Times New Roman"/>
          </w:rPr>
          <w:t>3.</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Del B: Uppgifter om löptider</w:t>
        </w:r>
        <w:r>
          <w:rPr>
            <w:webHidden/>
          </w:rPr>
          <w:tab/>
        </w:r>
        <w:r>
          <w:rPr>
            <w:webHidden/>
          </w:rPr>
          <w:fldChar w:fldCharType="begin"/>
        </w:r>
        <w:r>
          <w:rPr>
            <w:webHidden/>
          </w:rPr>
          <w:instrText xml:space="preserve"> PAGEREF _Toc187917711 \h </w:instrText>
        </w:r>
        <w:r>
          <w:rPr>
            <w:webHidden/>
          </w:rPr>
        </w:r>
        <w:r>
          <w:rPr>
            <w:webHidden/>
          </w:rPr>
          <w:fldChar w:fldCharType="separate"/>
        </w:r>
        <w:r>
          <w:rPr>
            <w:webHidden/>
          </w:rPr>
          <w:t>23</w:t>
        </w:r>
        <w:r>
          <w:rPr>
            <w:webHidden/>
          </w:rPr>
          <w:fldChar w:fldCharType="end"/>
        </w:r>
      </w:hyperlink>
    </w:p>
    <w:p w14:paraId="7EE4469E" w14:textId="6324B669"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12" w:history="1">
        <w:r w:rsidRPr="00B92763">
          <w:rPr>
            <w:rStyle w:val="Hyperlink"/>
            <w:rFonts w:ascii="Times New Roman" w:hAnsi="Times New Roman"/>
          </w:rPr>
          <w:t>3.1.</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Allmänna kommentarer</w:t>
        </w:r>
        <w:r>
          <w:rPr>
            <w:webHidden/>
          </w:rPr>
          <w:tab/>
        </w:r>
        <w:r>
          <w:rPr>
            <w:webHidden/>
          </w:rPr>
          <w:fldChar w:fldCharType="begin"/>
        </w:r>
        <w:r>
          <w:rPr>
            <w:webHidden/>
          </w:rPr>
          <w:instrText xml:space="preserve"> PAGEREF _Toc187917712 \h </w:instrText>
        </w:r>
        <w:r>
          <w:rPr>
            <w:webHidden/>
          </w:rPr>
        </w:r>
        <w:r>
          <w:rPr>
            <w:webHidden/>
          </w:rPr>
          <w:fldChar w:fldCharType="separate"/>
        </w:r>
        <w:r>
          <w:rPr>
            <w:webHidden/>
          </w:rPr>
          <w:t>23</w:t>
        </w:r>
        <w:r>
          <w:rPr>
            <w:webHidden/>
          </w:rPr>
          <w:fldChar w:fldCharType="end"/>
        </w:r>
      </w:hyperlink>
    </w:p>
    <w:p w14:paraId="167606EC" w14:textId="47CB9CD7"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13" w:history="1">
        <w:r w:rsidRPr="00B92763">
          <w:rPr>
            <w:rStyle w:val="Hyperlink"/>
            <w:rFonts w:ascii="Times New Roman" w:hAnsi="Times New Roman"/>
          </w:rPr>
          <w:t>3.2.</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Mall: AE-MAT. Uppgifter om löptider</w:t>
        </w:r>
        <w:r>
          <w:rPr>
            <w:webHidden/>
          </w:rPr>
          <w:tab/>
        </w:r>
        <w:r>
          <w:rPr>
            <w:webHidden/>
          </w:rPr>
          <w:fldChar w:fldCharType="begin"/>
        </w:r>
        <w:r>
          <w:rPr>
            <w:webHidden/>
          </w:rPr>
          <w:instrText xml:space="preserve"> PAGEREF _Toc187917713 \h </w:instrText>
        </w:r>
        <w:r>
          <w:rPr>
            <w:webHidden/>
          </w:rPr>
        </w:r>
        <w:r>
          <w:rPr>
            <w:webHidden/>
          </w:rPr>
          <w:fldChar w:fldCharType="separate"/>
        </w:r>
        <w:r>
          <w:rPr>
            <w:webHidden/>
          </w:rPr>
          <w:t>23</w:t>
        </w:r>
        <w:r>
          <w:rPr>
            <w:webHidden/>
          </w:rPr>
          <w:fldChar w:fldCharType="end"/>
        </w:r>
      </w:hyperlink>
    </w:p>
    <w:p w14:paraId="48F45863" w14:textId="2661CE34"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14" w:history="1">
        <w:r w:rsidRPr="00B92763">
          <w:rPr>
            <w:rStyle w:val="Hyperlink"/>
            <w:rFonts w:ascii="Times New Roman" w:hAnsi="Times New Roman"/>
          </w:rPr>
          <w:t>3.2.1.</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Instruktioner för särskilda rader</w:t>
        </w:r>
        <w:r>
          <w:rPr>
            <w:webHidden/>
          </w:rPr>
          <w:tab/>
        </w:r>
        <w:r>
          <w:rPr>
            <w:webHidden/>
          </w:rPr>
          <w:fldChar w:fldCharType="begin"/>
        </w:r>
        <w:r>
          <w:rPr>
            <w:webHidden/>
          </w:rPr>
          <w:instrText xml:space="preserve"> PAGEREF _Toc187917714 \h </w:instrText>
        </w:r>
        <w:r>
          <w:rPr>
            <w:webHidden/>
          </w:rPr>
        </w:r>
        <w:r>
          <w:rPr>
            <w:webHidden/>
          </w:rPr>
          <w:fldChar w:fldCharType="separate"/>
        </w:r>
        <w:r>
          <w:rPr>
            <w:webHidden/>
          </w:rPr>
          <w:t>23</w:t>
        </w:r>
        <w:r>
          <w:rPr>
            <w:webHidden/>
          </w:rPr>
          <w:fldChar w:fldCharType="end"/>
        </w:r>
      </w:hyperlink>
    </w:p>
    <w:p w14:paraId="60EFA0D5" w14:textId="29489134"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15" w:history="1">
        <w:r w:rsidRPr="00B92763">
          <w:rPr>
            <w:rStyle w:val="Hyperlink"/>
            <w:rFonts w:ascii="Times New Roman" w:hAnsi="Times New Roman"/>
          </w:rPr>
          <w:t>3.2.2.</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Instruktioner för särskilda kolumner</w:t>
        </w:r>
        <w:r>
          <w:rPr>
            <w:webHidden/>
          </w:rPr>
          <w:tab/>
        </w:r>
        <w:r>
          <w:rPr>
            <w:webHidden/>
          </w:rPr>
          <w:fldChar w:fldCharType="begin"/>
        </w:r>
        <w:r>
          <w:rPr>
            <w:webHidden/>
          </w:rPr>
          <w:instrText xml:space="preserve"> PAGEREF _Toc187917715 \h </w:instrText>
        </w:r>
        <w:r>
          <w:rPr>
            <w:webHidden/>
          </w:rPr>
        </w:r>
        <w:r>
          <w:rPr>
            <w:webHidden/>
          </w:rPr>
          <w:fldChar w:fldCharType="separate"/>
        </w:r>
        <w:r>
          <w:rPr>
            <w:webHidden/>
          </w:rPr>
          <w:t>24</w:t>
        </w:r>
        <w:r>
          <w:rPr>
            <w:webHidden/>
          </w:rPr>
          <w:fldChar w:fldCharType="end"/>
        </w:r>
      </w:hyperlink>
    </w:p>
    <w:p w14:paraId="63FA0789" w14:textId="6005FD3A"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16" w:history="1">
        <w:r w:rsidRPr="00B92763">
          <w:rPr>
            <w:rStyle w:val="Hyperlink"/>
            <w:rFonts w:ascii="Times New Roman" w:hAnsi="Times New Roman"/>
          </w:rPr>
          <w:t>4.</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Del C: Potentiella inteckningar</w:t>
        </w:r>
        <w:r>
          <w:rPr>
            <w:webHidden/>
          </w:rPr>
          <w:tab/>
        </w:r>
        <w:r>
          <w:rPr>
            <w:webHidden/>
          </w:rPr>
          <w:fldChar w:fldCharType="begin"/>
        </w:r>
        <w:r>
          <w:rPr>
            <w:webHidden/>
          </w:rPr>
          <w:instrText xml:space="preserve"> PAGEREF _Toc187917716 \h </w:instrText>
        </w:r>
        <w:r>
          <w:rPr>
            <w:webHidden/>
          </w:rPr>
        </w:r>
        <w:r>
          <w:rPr>
            <w:webHidden/>
          </w:rPr>
          <w:fldChar w:fldCharType="separate"/>
        </w:r>
        <w:r>
          <w:rPr>
            <w:webHidden/>
          </w:rPr>
          <w:t>25</w:t>
        </w:r>
        <w:r>
          <w:rPr>
            <w:webHidden/>
          </w:rPr>
          <w:fldChar w:fldCharType="end"/>
        </w:r>
      </w:hyperlink>
    </w:p>
    <w:p w14:paraId="09FFEBCA" w14:textId="67DA4A6F"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17" w:history="1">
        <w:r w:rsidRPr="00B92763">
          <w:rPr>
            <w:rStyle w:val="Hyperlink"/>
            <w:rFonts w:ascii="Times New Roman" w:hAnsi="Times New Roman"/>
          </w:rPr>
          <w:t>4.1.</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Allmänna kommentarer</w:t>
        </w:r>
        <w:r>
          <w:rPr>
            <w:webHidden/>
          </w:rPr>
          <w:tab/>
        </w:r>
        <w:r>
          <w:rPr>
            <w:webHidden/>
          </w:rPr>
          <w:fldChar w:fldCharType="begin"/>
        </w:r>
        <w:r>
          <w:rPr>
            <w:webHidden/>
          </w:rPr>
          <w:instrText xml:space="preserve"> PAGEREF _Toc187917717 \h </w:instrText>
        </w:r>
        <w:r>
          <w:rPr>
            <w:webHidden/>
          </w:rPr>
        </w:r>
        <w:r>
          <w:rPr>
            <w:webHidden/>
          </w:rPr>
          <w:fldChar w:fldCharType="separate"/>
        </w:r>
        <w:r>
          <w:rPr>
            <w:webHidden/>
          </w:rPr>
          <w:t>25</w:t>
        </w:r>
        <w:r>
          <w:rPr>
            <w:webHidden/>
          </w:rPr>
          <w:fldChar w:fldCharType="end"/>
        </w:r>
      </w:hyperlink>
    </w:p>
    <w:p w14:paraId="3A054FC4" w14:textId="2F7961DD"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18" w:history="1">
        <w:r w:rsidRPr="00B92763">
          <w:rPr>
            <w:rStyle w:val="Hyperlink"/>
            <w:rFonts w:ascii="Times New Roman" w:hAnsi="Times New Roman"/>
          </w:rPr>
          <w:t>4.1.1.</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Scenario A: Minskning av intecknade tillgångars värde med 30 %</w:t>
        </w:r>
        <w:r>
          <w:rPr>
            <w:webHidden/>
          </w:rPr>
          <w:tab/>
        </w:r>
        <w:r>
          <w:rPr>
            <w:webHidden/>
          </w:rPr>
          <w:fldChar w:fldCharType="begin"/>
        </w:r>
        <w:r>
          <w:rPr>
            <w:webHidden/>
          </w:rPr>
          <w:instrText xml:space="preserve"> PAGEREF _Toc187917718 \h </w:instrText>
        </w:r>
        <w:r>
          <w:rPr>
            <w:webHidden/>
          </w:rPr>
        </w:r>
        <w:r>
          <w:rPr>
            <w:webHidden/>
          </w:rPr>
          <w:fldChar w:fldCharType="separate"/>
        </w:r>
        <w:r>
          <w:rPr>
            <w:webHidden/>
          </w:rPr>
          <w:t>26</w:t>
        </w:r>
        <w:r>
          <w:rPr>
            <w:webHidden/>
          </w:rPr>
          <w:fldChar w:fldCharType="end"/>
        </w:r>
      </w:hyperlink>
    </w:p>
    <w:p w14:paraId="78D1F28F" w14:textId="0616E1F1"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19" w:history="1">
        <w:r w:rsidRPr="00B92763">
          <w:rPr>
            <w:rStyle w:val="Hyperlink"/>
            <w:rFonts w:ascii="Times New Roman" w:hAnsi="Times New Roman"/>
          </w:rPr>
          <w:t>4.1.2.</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Scenario B: Depreciering av betydande valutor med 10 %</w:t>
        </w:r>
        <w:r>
          <w:rPr>
            <w:webHidden/>
          </w:rPr>
          <w:tab/>
        </w:r>
        <w:r>
          <w:rPr>
            <w:webHidden/>
          </w:rPr>
          <w:fldChar w:fldCharType="begin"/>
        </w:r>
        <w:r>
          <w:rPr>
            <w:webHidden/>
          </w:rPr>
          <w:instrText xml:space="preserve"> PAGEREF _Toc187917719 \h </w:instrText>
        </w:r>
        <w:r>
          <w:rPr>
            <w:webHidden/>
          </w:rPr>
        </w:r>
        <w:r>
          <w:rPr>
            <w:webHidden/>
          </w:rPr>
          <w:fldChar w:fldCharType="separate"/>
        </w:r>
        <w:r>
          <w:rPr>
            <w:webHidden/>
          </w:rPr>
          <w:t>26</w:t>
        </w:r>
        <w:r>
          <w:rPr>
            <w:webHidden/>
          </w:rPr>
          <w:fldChar w:fldCharType="end"/>
        </w:r>
      </w:hyperlink>
    </w:p>
    <w:p w14:paraId="2953486B" w14:textId="795F3914"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20" w:history="1">
        <w:r w:rsidRPr="00B92763">
          <w:rPr>
            <w:rStyle w:val="Hyperlink"/>
            <w:rFonts w:ascii="Times New Roman" w:hAnsi="Times New Roman"/>
          </w:rPr>
          <w:t>4.2.</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Mall: AE-CONT. Potentiella inteckningar</w:t>
        </w:r>
        <w:r>
          <w:rPr>
            <w:webHidden/>
          </w:rPr>
          <w:tab/>
        </w:r>
        <w:r>
          <w:rPr>
            <w:webHidden/>
          </w:rPr>
          <w:fldChar w:fldCharType="begin"/>
        </w:r>
        <w:r>
          <w:rPr>
            <w:webHidden/>
          </w:rPr>
          <w:instrText xml:space="preserve"> PAGEREF _Toc187917720 \h </w:instrText>
        </w:r>
        <w:r>
          <w:rPr>
            <w:webHidden/>
          </w:rPr>
        </w:r>
        <w:r>
          <w:rPr>
            <w:webHidden/>
          </w:rPr>
          <w:fldChar w:fldCharType="separate"/>
        </w:r>
        <w:r>
          <w:rPr>
            <w:webHidden/>
          </w:rPr>
          <w:t>26</w:t>
        </w:r>
        <w:r>
          <w:rPr>
            <w:webHidden/>
          </w:rPr>
          <w:fldChar w:fldCharType="end"/>
        </w:r>
      </w:hyperlink>
    </w:p>
    <w:p w14:paraId="7B0DFD12" w14:textId="002BFE63"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21" w:history="1">
        <w:r w:rsidRPr="00B92763">
          <w:rPr>
            <w:rStyle w:val="Hyperlink"/>
            <w:rFonts w:ascii="Times New Roman" w:hAnsi="Times New Roman"/>
          </w:rPr>
          <w:t>4.2.1.</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Instruktioner för särskilda rader</w:t>
        </w:r>
        <w:r>
          <w:rPr>
            <w:webHidden/>
          </w:rPr>
          <w:tab/>
        </w:r>
        <w:r>
          <w:rPr>
            <w:webHidden/>
          </w:rPr>
          <w:fldChar w:fldCharType="begin"/>
        </w:r>
        <w:r>
          <w:rPr>
            <w:webHidden/>
          </w:rPr>
          <w:instrText xml:space="preserve"> PAGEREF _Toc187917721 \h </w:instrText>
        </w:r>
        <w:r>
          <w:rPr>
            <w:webHidden/>
          </w:rPr>
        </w:r>
        <w:r>
          <w:rPr>
            <w:webHidden/>
          </w:rPr>
          <w:fldChar w:fldCharType="separate"/>
        </w:r>
        <w:r>
          <w:rPr>
            <w:webHidden/>
          </w:rPr>
          <w:t>26</w:t>
        </w:r>
        <w:r>
          <w:rPr>
            <w:webHidden/>
          </w:rPr>
          <w:fldChar w:fldCharType="end"/>
        </w:r>
      </w:hyperlink>
    </w:p>
    <w:p w14:paraId="62B29153" w14:textId="3554247C"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22" w:history="1">
        <w:r w:rsidRPr="00B92763">
          <w:rPr>
            <w:rStyle w:val="Hyperlink"/>
            <w:rFonts w:ascii="Times New Roman" w:hAnsi="Times New Roman"/>
          </w:rPr>
          <w:t>4.2.2.</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Instruktioner för särskilda kolumner</w:t>
        </w:r>
        <w:r>
          <w:rPr>
            <w:webHidden/>
          </w:rPr>
          <w:tab/>
        </w:r>
        <w:r>
          <w:rPr>
            <w:webHidden/>
          </w:rPr>
          <w:fldChar w:fldCharType="begin"/>
        </w:r>
        <w:r>
          <w:rPr>
            <w:webHidden/>
          </w:rPr>
          <w:instrText xml:space="preserve"> PAGEREF _Toc187917722 \h </w:instrText>
        </w:r>
        <w:r>
          <w:rPr>
            <w:webHidden/>
          </w:rPr>
        </w:r>
        <w:r>
          <w:rPr>
            <w:webHidden/>
          </w:rPr>
          <w:fldChar w:fldCharType="separate"/>
        </w:r>
        <w:r>
          <w:rPr>
            <w:webHidden/>
          </w:rPr>
          <w:t>26</w:t>
        </w:r>
        <w:r>
          <w:rPr>
            <w:webHidden/>
          </w:rPr>
          <w:fldChar w:fldCharType="end"/>
        </w:r>
      </w:hyperlink>
    </w:p>
    <w:p w14:paraId="777E0BAB" w14:textId="094780A2"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23" w:history="1">
        <w:r w:rsidRPr="00B92763">
          <w:rPr>
            <w:rStyle w:val="Hyperlink"/>
            <w:rFonts w:ascii="Times New Roman" w:hAnsi="Times New Roman"/>
          </w:rPr>
          <w:t>5.</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Del D: Säkerställda obligationer</w:t>
        </w:r>
        <w:r>
          <w:rPr>
            <w:webHidden/>
          </w:rPr>
          <w:tab/>
        </w:r>
        <w:r>
          <w:rPr>
            <w:webHidden/>
          </w:rPr>
          <w:fldChar w:fldCharType="begin"/>
        </w:r>
        <w:r>
          <w:rPr>
            <w:webHidden/>
          </w:rPr>
          <w:instrText xml:space="preserve"> PAGEREF _Toc187917723 \h </w:instrText>
        </w:r>
        <w:r>
          <w:rPr>
            <w:webHidden/>
          </w:rPr>
        </w:r>
        <w:r>
          <w:rPr>
            <w:webHidden/>
          </w:rPr>
          <w:fldChar w:fldCharType="separate"/>
        </w:r>
        <w:r>
          <w:rPr>
            <w:webHidden/>
          </w:rPr>
          <w:t>27</w:t>
        </w:r>
        <w:r>
          <w:rPr>
            <w:webHidden/>
          </w:rPr>
          <w:fldChar w:fldCharType="end"/>
        </w:r>
      </w:hyperlink>
    </w:p>
    <w:p w14:paraId="39929C41" w14:textId="18A723C6"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24" w:history="1">
        <w:r w:rsidRPr="00B92763">
          <w:rPr>
            <w:rStyle w:val="Hyperlink"/>
            <w:rFonts w:ascii="Times New Roman" w:hAnsi="Times New Roman"/>
          </w:rPr>
          <w:t>5.1.</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Allmänna kommentarer</w:t>
        </w:r>
        <w:r>
          <w:rPr>
            <w:webHidden/>
          </w:rPr>
          <w:tab/>
        </w:r>
        <w:r>
          <w:rPr>
            <w:webHidden/>
          </w:rPr>
          <w:fldChar w:fldCharType="begin"/>
        </w:r>
        <w:r>
          <w:rPr>
            <w:webHidden/>
          </w:rPr>
          <w:instrText xml:space="preserve"> PAGEREF _Toc187917724 \h </w:instrText>
        </w:r>
        <w:r>
          <w:rPr>
            <w:webHidden/>
          </w:rPr>
        </w:r>
        <w:r>
          <w:rPr>
            <w:webHidden/>
          </w:rPr>
          <w:fldChar w:fldCharType="separate"/>
        </w:r>
        <w:r>
          <w:rPr>
            <w:webHidden/>
          </w:rPr>
          <w:t>27</w:t>
        </w:r>
        <w:r>
          <w:rPr>
            <w:webHidden/>
          </w:rPr>
          <w:fldChar w:fldCharType="end"/>
        </w:r>
      </w:hyperlink>
    </w:p>
    <w:p w14:paraId="48812A47" w14:textId="3DD1AA2D"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25" w:history="1">
        <w:r w:rsidRPr="00B92763">
          <w:rPr>
            <w:rStyle w:val="Hyperlink"/>
            <w:rFonts w:ascii="Times New Roman" w:hAnsi="Times New Roman"/>
          </w:rPr>
          <w:t>5.2.</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Mall: AE-CB. Emission av säkerställda obligationer</w:t>
        </w:r>
        <w:r>
          <w:rPr>
            <w:webHidden/>
          </w:rPr>
          <w:tab/>
        </w:r>
        <w:r>
          <w:rPr>
            <w:webHidden/>
          </w:rPr>
          <w:fldChar w:fldCharType="begin"/>
        </w:r>
        <w:r>
          <w:rPr>
            <w:webHidden/>
          </w:rPr>
          <w:instrText xml:space="preserve"> PAGEREF _Toc187917725 \h </w:instrText>
        </w:r>
        <w:r>
          <w:rPr>
            <w:webHidden/>
          </w:rPr>
        </w:r>
        <w:r>
          <w:rPr>
            <w:webHidden/>
          </w:rPr>
          <w:fldChar w:fldCharType="separate"/>
        </w:r>
        <w:r>
          <w:rPr>
            <w:webHidden/>
          </w:rPr>
          <w:t>28</w:t>
        </w:r>
        <w:r>
          <w:rPr>
            <w:webHidden/>
          </w:rPr>
          <w:fldChar w:fldCharType="end"/>
        </w:r>
      </w:hyperlink>
    </w:p>
    <w:p w14:paraId="1E3FB645" w14:textId="3B3C9BB7"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26" w:history="1">
        <w:r w:rsidRPr="00B92763">
          <w:rPr>
            <w:rStyle w:val="Hyperlink"/>
            <w:rFonts w:ascii="Times New Roman" w:hAnsi="Times New Roman"/>
          </w:rPr>
          <w:t>5.2.1.</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Instruktioner för z-axeln</w:t>
        </w:r>
        <w:r>
          <w:rPr>
            <w:webHidden/>
          </w:rPr>
          <w:tab/>
        </w:r>
        <w:r>
          <w:rPr>
            <w:webHidden/>
          </w:rPr>
          <w:fldChar w:fldCharType="begin"/>
        </w:r>
        <w:r>
          <w:rPr>
            <w:webHidden/>
          </w:rPr>
          <w:instrText xml:space="preserve"> PAGEREF _Toc187917726 \h </w:instrText>
        </w:r>
        <w:r>
          <w:rPr>
            <w:webHidden/>
          </w:rPr>
        </w:r>
        <w:r>
          <w:rPr>
            <w:webHidden/>
          </w:rPr>
          <w:fldChar w:fldCharType="separate"/>
        </w:r>
        <w:r>
          <w:rPr>
            <w:webHidden/>
          </w:rPr>
          <w:t>28</w:t>
        </w:r>
        <w:r>
          <w:rPr>
            <w:webHidden/>
          </w:rPr>
          <w:fldChar w:fldCharType="end"/>
        </w:r>
      </w:hyperlink>
    </w:p>
    <w:p w14:paraId="0D402BB1" w14:textId="53308348"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27" w:history="1">
        <w:r w:rsidRPr="00B92763">
          <w:rPr>
            <w:rStyle w:val="Hyperlink"/>
            <w:rFonts w:ascii="Times New Roman" w:hAnsi="Times New Roman"/>
          </w:rPr>
          <w:t>5.2.2.</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Instruktioner för särskilda rader</w:t>
        </w:r>
        <w:r>
          <w:rPr>
            <w:webHidden/>
          </w:rPr>
          <w:tab/>
        </w:r>
        <w:r>
          <w:rPr>
            <w:webHidden/>
          </w:rPr>
          <w:fldChar w:fldCharType="begin"/>
        </w:r>
        <w:r>
          <w:rPr>
            <w:webHidden/>
          </w:rPr>
          <w:instrText xml:space="preserve"> PAGEREF _Toc187917727 \h </w:instrText>
        </w:r>
        <w:r>
          <w:rPr>
            <w:webHidden/>
          </w:rPr>
        </w:r>
        <w:r>
          <w:rPr>
            <w:webHidden/>
          </w:rPr>
          <w:fldChar w:fldCharType="separate"/>
        </w:r>
        <w:r>
          <w:rPr>
            <w:webHidden/>
          </w:rPr>
          <w:t>28</w:t>
        </w:r>
        <w:r>
          <w:rPr>
            <w:webHidden/>
          </w:rPr>
          <w:fldChar w:fldCharType="end"/>
        </w:r>
      </w:hyperlink>
    </w:p>
    <w:p w14:paraId="71D8E8BC" w14:textId="6EA4B383"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28" w:history="1">
        <w:r w:rsidRPr="00B92763">
          <w:rPr>
            <w:rStyle w:val="Hyperlink"/>
            <w:rFonts w:ascii="Times New Roman" w:hAnsi="Times New Roman"/>
          </w:rPr>
          <w:t>5.2.3.</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Instruktioner för särskilda kolumner</w:t>
        </w:r>
        <w:r>
          <w:rPr>
            <w:webHidden/>
          </w:rPr>
          <w:tab/>
        </w:r>
        <w:r>
          <w:rPr>
            <w:webHidden/>
          </w:rPr>
          <w:fldChar w:fldCharType="begin"/>
        </w:r>
        <w:r>
          <w:rPr>
            <w:webHidden/>
          </w:rPr>
          <w:instrText xml:space="preserve"> PAGEREF _Toc187917728 \h </w:instrText>
        </w:r>
        <w:r>
          <w:rPr>
            <w:webHidden/>
          </w:rPr>
        </w:r>
        <w:r>
          <w:rPr>
            <w:webHidden/>
          </w:rPr>
          <w:fldChar w:fldCharType="separate"/>
        </w:r>
        <w:r>
          <w:rPr>
            <w:webHidden/>
          </w:rPr>
          <w:t>28</w:t>
        </w:r>
        <w:r>
          <w:rPr>
            <w:webHidden/>
          </w:rPr>
          <w:fldChar w:fldCharType="end"/>
        </w:r>
      </w:hyperlink>
    </w:p>
    <w:p w14:paraId="2965606C" w14:textId="241FC531"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29" w:history="1">
        <w:r w:rsidRPr="00B92763">
          <w:rPr>
            <w:rStyle w:val="Hyperlink"/>
            <w:rFonts w:ascii="Times New Roman" w:hAnsi="Times New Roman"/>
          </w:rPr>
          <w:t>6.</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Del E: Detaljerade uppgifter</w:t>
        </w:r>
        <w:r>
          <w:rPr>
            <w:webHidden/>
          </w:rPr>
          <w:tab/>
        </w:r>
        <w:r>
          <w:rPr>
            <w:webHidden/>
          </w:rPr>
          <w:fldChar w:fldCharType="begin"/>
        </w:r>
        <w:r>
          <w:rPr>
            <w:webHidden/>
          </w:rPr>
          <w:instrText xml:space="preserve"> PAGEREF _Toc187917729 \h </w:instrText>
        </w:r>
        <w:r>
          <w:rPr>
            <w:webHidden/>
          </w:rPr>
        </w:r>
        <w:r>
          <w:rPr>
            <w:webHidden/>
          </w:rPr>
          <w:fldChar w:fldCharType="separate"/>
        </w:r>
        <w:r>
          <w:rPr>
            <w:webHidden/>
          </w:rPr>
          <w:t>31</w:t>
        </w:r>
        <w:r>
          <w:rPr>
            <w:webHidden/>
          </w:rPr>
          <w:fldChar w:fldCharType="end"/>
        </w:r>
      </w:hyperlink>
    </w:p>
    <w:p w14:paraId="3130C6E8" w14:textId="14C318EB"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30" w:history="1">
        <w:r w:rsidRPr="00B92763">
          <w:rPr>
            <w:rStyle w:val="Hyperlink"/>
            <w:rFonts w:ascii="Times New Roman" w:hAnsi="Times New Roman"/>
          </w:rPr>
          <w:t>6.1.</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Allmänna kommentarer</w:t>
        </w:r>
        <w:r>
          <w:rPr>
            <w:webHidden/>
          </w:rPr>
          <w:tab/>
        </w:r>
        <w:r>
          <w:rPr>
            <w:webHidden/>
          </w:rPr>
          <w:fldChar w:fldCharType="begin"/>
        </w:r>
        <w:r>
          <w:rPr>
            <w:webHidden/>
          </w:rPr>
          <w:instrText xml:space="preserve"> PAGEREF _Toc187917730 \h </w:instrText>
        </w:r>
        <w:r>
          <w:rPr>
            <w:webHidden/>
          </w:rPr>
        </w:r>
        <w:r>
          <w:rPr>
            <w:webHidden/>
          </w:rPr>
          <w:fldChar w:fldCharType="separate"/>
        </w:r>
        <w:r>
          <w:rPr>
            <w:webHidden/>
          </w:rPr>
          <w:t>31</w:t>
        </w:r>
        <w:r>
          <w:rPr>
            <w:webHidden/>
          </w:rPr>
          <w:fldChar w:fldCharType="end"/>
        </w:r>
      </w:hyperlink>
    </w:p>
    <w:p w14:paraId="374B8A8C" w14:textId="26074B9E"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31" w:history="1">
        <w:r w:rsidRPr="00B92763">
          <w:rPr>
            <w:rStyle w:val="Hyperlink"/>
            <w:rFonts w:ascii="Times New Roman" w:hAnsi="Times New Roman"/>
          </w:rPr>
          <w:t>6.2.</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Mall: AE-ADV1. Detaljerad mall för det rapporterande institutets tillgångar</w:t>
        </w:r>
        <w:r>
          <w:rPr>
            <w:webHidden/>
          </w:rPr>
          <w:tab/>
        </w:r>
        <w:r>
          <w:rPr>
            <w:webHidden/>
          </w:rPr>
          <w:fldChar w:fldCharType="begin"/>
        </w:r>
        <w:r>
          <w:rPr>
            <w:webHidden/>
          </w:rPr>
          <w:instrText xml:space="preserve"> PAGEREF _Toc187917731 \h </w:instrText>
        </w:r>
        <w:r>
          <w:rPr>
            <w:webHidden/>
          </w:rPr>
        </w:r>
        <w:r>
          <w:rPr>
            <w:webHidden/>
          </w:rPr>
          <w:fldChar w:fldCharType="separate"/>
        </w:r>
        <w:r>
          <w:rPr>
            <w:webHidden/>
          </w:rPr>
          <w:t>32</w:t>
        </w:r>
        <w:r>
          <w:rPr>
            <w:webHidden/>
          </w:rPr>
          <w:fldChar w:fldCharType="end"/>
        </w:r>
      </w:hyperlink>
    </w:p>
    <w:p w14:paraId="680EF5A6" w14:textId="4BC9B982"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32" w:history="1">
        <w:r w:rsidRPr="00B92763">
          <w:rPr>
            <w:rStyle w:val="Hyperlink"/>
            <w:rFonts w:ascii="Times New Roman" w:hAnsi="Times New Roman"/>
          </w:rPr>
          <w:t>6.2.1.</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Instruktioner för särskilda rader</w:t>
        </w:r>
        <w:r>
          <w:rPr>
            <w:webHidden/>
          </w:rPr>
          <w:tab/>
        </w:r>
        <w:r>
          <w:rPr>
            <w:webHidden/>
          </w:rPr>
          <w:fldChar w:fldCharType="begin"/>
        </w:r>
        <w:r>
          <w:rPr>
            <w:webHidden/>
          </w:rPr>
          <w:instrText xml:space="preserve"> PAGEREF _Toc187917732 \h </w:instrText>
        </w:r>
        <w:r>
          <w:rPr>
            <w:webHidden/>
          </w:rPr>
        </w:r>
        <w:r>
          <w:rPr>
            <w:webHidden/>
          </w:rPr>
          <w:fldChar w:fldCharType="separate"/>
        </w:r>
        <w:r>
          <w:rPr>
            <w:webHidden/>
          </w:rPr>
          <w:t>32</w:t>
        </w:r>
        <w:r>
          <w:rPr>
            <w:webHidden/>
          </w:rPr>
          <w:fldChar w:fldCharType="end"/>
        </w:r>
      </w:hyperlink>
    </w:p>
    <w:p w14:paraId="20F2C483" w14:textId="072A3F36"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33" w:history="1">
        <w:r w:rsidRPr="00B92763">
          <w:rPr>
            <w:rStyle w:val="Hyperlink"/>
            <w:rFonts w:ascii="Times New Roman" w:hAnsi="Times New Roman"/>
          </w:rPr>
          <w:t>6.2.2.</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Instruktioner för särskilda kolumner</w:t>
        </w:r>
        <w:r>
          <w:rPr>
            <w:webHidden/>
          </w:rPr>
          <w:tab/>
        </w:r>
        <w:r>
          <w:rPr>
            <w:webHidden/>
          </w:rPr>
          <w:fldChar w:fldCharType="begin"/>
        </w:r>
        <w:r>
          <w:rPr>
            <w:webHidden/>
          </w:rPr>
          <w:instrText xml:space="preserve"> PAGEREF _Toc187917733 \h </w:instrText>
        </w:r>
        <w:r>
          <w:rPr>
            <w:webHidden/>
          </w:rPr>
        </w:r>
        <w:r>
          <w:rPr>
            <w:webHidden/>
          </w:rPr>
          <w:fldChar w:fldCharType="separate"/>
        </w:r>
        <w:r>
          <w:rPr>
            <w:webHidden/>
          </w:rPr>
          <w:t>34</w:t>
        </w:r>
        <w:r>
          <w:rPr>
            <w:webHidden/>
          </w:rPr>
          <w:fldChar w:fldCharType="end"/>
        </w:r>
      </w:hyperlink>
    </w:p>
    <w:p w14:paraId="1C699BF3" w14:textId="1BB8724F"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34" w:history="1">
        <w:r w:rsidRPr="00B92763">
          <w:rPr>
            <w:rStyle w:val="Hyperlink"/>
            <w:rFonts w:ascii="Times New Roman" w:hAnsi="Times New Roman"/>
          </w:rPr>
          <w:t>6.3.</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Mall: AE-ADV2. Detaljerad mall för säkerheter som erhållits av det rapporterande institutet</w:t>
        </w:r>
        <w:r>
          <w:rPr>
            <w:webHidden/>
          </w:rPr>
          <w:tab/>
        </w:r>
        <w:r>
          <w:rPr>
            <w:webHidden/>
          </w:rPr>
          <w:fldChar w:fldCharType="begin"/>
        </w:r>
        <w:r>
          <w:rPr>
            <w:webHidden/>
          </w:rPr>
          <w:instrText xml:space="preserve"> PAGEREF _Toc187917734 \h </w:instrText>
        </w:r>
        <w:r>
          <w:rPr>
            <w:webHidden/>
          </w:rPr>
        </w:r>
        <w:r>
          <w:rPr>
            <w:webHidden/>
          </w:rPr>
          <w:fldChar w:fldCharType="separate"/>
        </w:r>
        <w:r>
          <w:rPr>
            <w:webHidden/>
          </w:rPr>
          <w:t>35</w:t>
        </w:r>
        <w:r>
          <w:rPr>
            <w:webHidden/>
          </w:rPr>
          <w:fldChar w:fldCharType="end"/>
        </w:r>
      </w:hyperlink>
    </w:p>
    <w:p w14:paraId="1A908243" w14:textId="1A7E0E95"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35" w:history="1">
        <w:r w:rsidRPr="00B92763">
          <w:rPr>
            <w:rStyle w:val="Hyperlink"/>
            <w:rFonts w:ascii="Times New Roman" w:hAnsi="Times New Roman"/>
          </w:rPr>
          <w:t>6.3.1.</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Instruktioner för särskilda rader</w:t>
        </w:r>
        <w:r>
          <w:rPr>
            <w:webHidden/>
          </w:rPr>
          <w:tab/>
        </w:r>
        <w:r>
          <w:rPr>
            <w:webHidden/>
          </w:rPr>
          <w:fldChar w:fldCharType="begin"/>
        </w:r>
        <w:r>
          <w:rPr>
            <w:webHidden/>
          </w:rPr>
          <w:instrText xml:space="preserve"> PAGEREF _Toc187917735 \h </w:instrText>
        </w:r>
        <w:r>
          <w:rPr>
            <w:webHidden/>
          </w:rPr>
        </w:r>
        <w:r>
          <w:rPr>
            <w:webHidden/>
          </w:rPr>
          <w:fldChar w:fldCharType="separate"/>
        </w:r>
        <w:r>
          <w:rPr>
            <w:webHidden/>
          </w:rPr>
          <w:t>35</w:t>
        </w:r>
        <w:r>
          <w:rPr>
            <w:webHidden/>
          </w:rPr>
          <w:fldChar w:fldCharType="end"/>
        </w:r>
      </w:hyperlink>
    </w:p>
    <w:p w14:paraId="34E1F4AB" w14:textId="59979C79" w:rsidR="00396CF3" w:rsidRDefault="00396CF3">
      <w:pPr>
        <w:pStyle w:val="TOC2"/>
        <w:rPr>
          <w:rFonts w:asciiTheme="minorHAnsi" w:eastAsiaTheme="minorEastAsia" w:hAnsiTheme="minorHAnsi" w:cstheme="minorBidi"/>
          <w:b w:val="0"/>
          <w:smallCaps w:val="0"/>
          <w:kern w:val="2"/>
          <w:sz w:val="22"/>
          <w:lang w:val="en-IE" w:eastAsia="en-IE"/>
          <w14:ligatures w14:val="standardContextual"/>
        </w:rPr>
      </w:pPr>
      <w:hyperlink w:anchor="_Toc187917736" w:history="1">
        <w:r w:rsidRPr="00B92763">
          <w:rPr>
            <w:rStyle w:val="Hyperlink"/>
            <w:rFonts w:ascii="Times New Roman" w:hAnsi="Times New Roman"/>
          </w:rPr>
          <w:t>6.3.2.</w:t>
        </w:r>
        <w:r>
          <w:rPr>
            <w:rFonts w:asciiTheme="minorHAnsi" w:eastAsiaTheme="minorEastAsia" w:hAnsiTheme="minorHAnsi" w:cstheme="minorBidi"/>
            <w:b w:val="0"/>
            <w:smallCaps w:val="0"/>
            <w:kern w:val="2"/>
            <w:sz w:val="22"/>
            <w:lang w:val="en-IE" w:eastAsia="en-IE"/>
            <w14:ligatures w14:val="standardContextual"/>
          </w:rPr>
          <w:tab/>
        </w:r>
        <w:r w:rsidRPr="00B92763">
          <w:rPr>
            <w:rStyle w:val="Hyperlink"/>
            <w:rFonts w:ascii="Times New Roman" w:hAnsi="Times New Roman"/>
          </w:rPr>
          <w:t>Instruktioner för särskilda kolumner</w:t>
        </w:r>
        <w:r>
          <w:rPr>
            <w:webHidden/>
          </w:rPr>
          <w:tab/>
        </w:r>
        <w:r>
          <w:rPr>
            <w:webHidden/>
          </w:rPr>
          <w:fldChar w:fldCharType="begin"/>
        </w:r>
        <w:r>
          <w:rPr>
            <w:webHidden/>
          </w:rPr>
          <w:instrText xml:space="preserve"> PAGEREF _Toc187917736 \h </w:instrText>
        </w:r>
        <w:r>
          <w:rPr>
            <w:webHidden/>
          </w:rPr>
        </w:r>
        <w:r>
          <w:rPr>
            <w:webHidden/>
          </w:rPr>
          <w:fldChar w:fldCharType="separate"/>
        </w:r>
        <w:r>
          <w:rPr>
            <w:webHidden/>
          </w:rPr>
          <w:t>35</w:t>
        </w:r>
        <w:r>
          <w:rPr>
            <w:webHidden/>
          </w:rPr>
          <w:fldChar w:fldCharType="end"/>
        </w:r>
      </w:hyperlink>
    </w:p>
    <w:p w14:paraId="36A94005" w14:textId="5B742407"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sidRPr="00857276">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187917684"/>
      <w:r>
        <w:rPr>
          <w:rFonts w:ascii="Times New Roman" w:hAnsi="Times New Roman"/>
        </w:rPr>
        <w:lastRenderedPageBreak/>
        <w:t>ALLMÄNNA INSTRUKTIONER</w:t>
      </w:r>
      <w:bookmarkEnd w:id="1"/>
      <w:bookmarkEnd w:id="2"/>
      <w:r>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187917685"/>
      <w:r>
        <w:rPr>
          <w:rFonts w:ascii="Times New Roman" w:hAnsi="Times New Roman"/>
        </w:rPr>
        <w:t>1. STRUKTUR OCH PRAXIS</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264038399"/>
      <w:bookmarkStart w:id="7" w:name="_Toc294018834"/>
      <w:bookmarkStart w:id="8" w:name="_Toc187917686"/>
      <w:r>
        <w:rPr>
          <w:rFonts w:ascii="Times New Roman" w:hAnsi="Times New Roman"/>
          <w:sz w:val="24"/>
          <w:u w:val="none"/>
        </w:rPr>
        <w:t>Struktur</w:t>
      </w:r>
      <w:bookmarkEnd w:id="5"/>
      <w:bookmarkEnd w:id="8"/>
    </w:p>
    <w:p w14:paraId="6ACBD089" w14:textId="77777777" w:rsidR="00941FAE" w:rsidRPr="00857276" w:rsidRDefault="00941FAE" w:rsidP="00941FAE">
      <w:pPr>
        <w:pStyle w:val="InstructionsText2"/>
        <w:shd w:val="clear" w:color="auto" w:fill="FFFFFF"/>
        <w:spacing w:after="120"/>
        <w:rPr>
          <w:sz w:val="24"/>
        </w:rPr>
      </w:pPr>
      <w:r>
        <w:rPr>
          <w:sz w:val="24"/>
        </w:rPr>
        <w:t>Ramen består av fem grupper av mallar innehållande sammanlagt nio mallar enligt följande schema:</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Del A: Översikt över inteckningar:</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AE-ASS-mall. Det rapporterande institutets tillgångar</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AE-COL-mall. Säkerheter som erhållits av det rapporterande institutet</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AE-NPL-mall. Emitterade egna säkerställda obligationer och värdepapperiseringar som ännu inte pantsatts</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AE-SOU-mall. Inteckningskällor</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Del B: Uppgifter om löptider:</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AE-MAT-mall. Uppgifter om löptider</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Del C: Potentiella inteckningar:</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AE-CONT-mall. Potentiella inteckningar</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Del D: Säkerställda obligationer:</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AE-CB-mall. Emission av säkerställda obligationer</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Del E: Detaljerade uppgifter:</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AE-ADV-1-mall. Detaljerad mall för det rapporterande institutets tillgångar</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AE-ADV-2-mall. Detaljerad mall för säkerheter som erhållits av det rapporterande institutet</w:t>
      </w:r>
    </w:p>
    <w:p w14:paraId="719FD80A" w14:textId="77777777" w:rsidR="00941FAE" w:rsidRPr="00857276" w:rsidRDefault="00941FAE" w:rsidP="00941FAE">
      <w:pPr>
        <w:pStyle w:val="InstructionsText2"/>
        <w:shd w:val="clear" w:color="auto" w:fill="FFFFFF"/>
        <w:spacing w:after="120"/>
        <w:rPr>
          <w:sz w:val="24"/>
        </w:rPr>
      </w:pPr>
      <w:r>
        <w:rPr>
          <w:sz w:val="24"/>
        </w:rPr>
        <w:t>För varje mall ges hänvisningar till lagstiftningen samt utförligare information om mer allmänna aspekter av rapporteringen.</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187917687"/>
      <w:r>
        <w:rPr>
          <w:rFonts w:ascii="Times New Roman" w:hAnsi="Times New Roman"/>
          <w:sz w:val="24"/>
          <w:u w:val="none"/>
        </w:rPr>
        <w:t>Redovisningsstandard</w:t>
      </w:r>
      <w:bookmarkEnd w:id="9"/>
    </w:p>
    <w:p w14:paraId="7726DFC7" w14:textId="767DC9EB" w:rsidR="00941FAE" w:rsidRPr="00857276" w:rsidRDefault="00941FAE" w:rsidP="00941FAE">
      <w:pPr>
        <w:pStyle w:val="InstructionsText2"/>
        <w:shd w:val="clear" w:color="auto" w:fill="FFFFFF"/>
        <w:spacing w:after="120"/>
        <w:rPr>
          <w:sz w:val="24"/>
        </w:rPr>
      </w:pPr>
      <w:r>
        <w:rPr>
          <w:sz w:val="24"/>
        </w:rPr>
        <w:t>Instituten ska rapportera redovisade värden enligt de redovisningsregler som de använder för att rapportera finansiell information i enlighet med artiklarna 11 och 12. Institut som inte är skyldiga att rapportera finansiell information ska tillämpa sina respektive redovisningsregler. I AE-SOU-mallen ska instituten i allmänhet rapportera redovisade värden brutto utan eventuell nettning enligt redovisningsreglerna, i linje med rapporteringen på bruttobasis av inteckningar av tillgångar och av säkerheter.</w:t>
      </w:r>
    </w:p>
    <w:p w14:paraId="2963DEDD" w14:textId="77777777" w:rsidR="00941FAE" w:rsidRPr="00857276" w:rsidRDefault="00941FAE" w:rsidP="00941FAE">
      <w:pPr>
        <w:pStyle w:val="InstructionsText2"/>
        <w:shd w:val="clear" w:color="auto" w:fill="FFFFFF"/>
        <w:spacing w:after="120"/>
        <w:rPr>
          <w:sz w:val="24"/>
        </w:rPr>
      </w:pPr>
      <w:r>
        <w:rPr>
          <w:sz w:val="24"/>
        </w:rPr>
        <w:t xml:space="preserve">I denna bilaga avses med IAS och IFRS de internationella redovisningsstandarder som definieras i artikel 2 i förordning (EG) nr 1606/2002. För institut som rapporterar enligt IFRS-standarder har hänvisningar infogats till berörda IFRS-standarder.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322687867"/>
      <w:bookmarkStart w:id="11" w:name="_Toc187917688"/>
      <w:r>
        <w:rPr>
          <w:rFonts w:ascii="Times New Roman" w:hAnsi="Times New Roman"/>
          <w:sz w:val="24"/>
          <w:u w:val="none"/>
        </w:rPr>
        <w:t>Numrering</w:t>
      </w:r>
      <w:bookmarkEnd w:id="11"/>
    </w:p>
    <w:p w14:paraId="26F8A4EC" w14:textId="77777777" w:rsidR="00941FAE" w:rsidRPr="00857276" w:rsidRDefault="00941FAE" w:rsidP="00941FAE">
      <w:pPr>
        <w:pStyle w:val="InstructionsText2"/>
        <w:shd w:val="clear" w:color="auto" w:fill="FFFFFF"/>
        <w:spacing w:after="120"/>
        <w:rPr>
          <w:sz w:val="24"/>
        </w:rPr>
      </w:pPr>
      <w:r>
        <w:rPr>
          <w:sz w:val="24"/>
        </w:rPr>
        <w:t>Följande allmänna beteckningssystem används i dessa instruktioner för att hänvisa till kolumner, rader och celler i en mall: {mall; rad; kolumn}. En asterisk betyder att valideringen avser hela raden eller kolumnen. Exempel: Med {AE-ASS; *; 2} avses datapunkten på någon rad i kolumn 2 i AE-ASS-mallen.</w:t>
      </w:r>
    </w:p>
    <w:p w14:paraId="2BDBC894" w14:textId="77777777" w:rsidR="00941FAE" w:rsidRPr="00857276" w:rsidRDefault="00941FAE" w:rsidP="00941FAE">
      <w:pPr>
        <w:pStyle w:val="InstructionsText2"/>
        <w:shd w:val="clear" w:color="auto" w:fill="FFFFFF"/>
        <w:spacing w:after="120"/>
        <w:rPr>
          <w:sz w:val="24"/>
        </w:rPr>
      </w:pPr>
      <w:r>
        <w:rPr>
          <w:sz w:val="24"/>
        </w:rPr>
        <w:t>För valideringar inom en mall används följande beteckningssystem för att hänvisa till datapunkter i den mallen: {rad; kolumn}.</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87917689"/>
      <w:r>
        <w:rPr>
          <w:rFonts w:ascii="Times New Roman" w:hAnsi="Times New Roman"/>
          <w:sz w:val="24"/>
          <w:u w:val="none"/>
        </w:rPr>
        <w:lastRenderedPageBreak/>
        <w:t>Tecken</w:t>
      </w:r>
      <w:bookmarkEnd w:id="12"/>
      <w:bookmarkEnd w:id="13"/>
    </w:p>
    <w:p w14:paraId="115F5EAB" w14:textId="52B82412" w:rsidR="00941FAE" w:rsidRPr="00857276" w:rsidRDefault="00941FAE" w:rsidP="00941FAE">
      <w:pPr>
        <w:pStyle w:val="InstructionsText2"/>
        <w:shd w:val="clear" w:color="auto" w:fill="FFFFFF"/>
        <w:spacing w:after="120"/>
        <w:rPr>
          <w:sz w:val="24"/>
        </w:rPr>
      </w:pPr>
      <w:r>
        <w:t>Mallar i bilaga XVI ska följa det teckensystem som beskrivs i bilaga V del 1 punkterna 9 och 10</w:t>
      </w:r>
      <w:bookmarkStart w:id="14" w:name="_Toc264033192"/>
      <w:bookmarkEnd w:id="14"/>
      <w:r>
        <w:rPr>
          <w:sz w:val="24"/>
        </w:rPr>
        <w:t>.</w:t>
      </w:r>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87917690"/>
      <w:r>
        <w:rPr>
          <w:rFonts w:ascii="Times New Roman" w:hAnsi="Times New Roman"/>
          <w:sz w:val="24"/>
          <w:u w:val="none"/>
        </w:rPr>
        <w:t>Tillämpningsnivå</w:t>
      </w:r>
      <w:bookmarkEnd w:id="15"/>
    </w:p>
    <w:p w14:paraId="586BFFF3" w14:textId="7D4CAF5C" w:rsidR="00941FAE" w:rsidRPr="00857276" w:rsidRDefault="00941FAE" w:rsidP="00941FAE">
      <w:pPr>
        <w:pStyle w:val="InstructionsText2"/>
        <w:spacing w:after="120"/>
        <w:rPr>
          <w:sz w:val="24"/>
        </w:rPr>
      </w:pPr>
      <w:r>
        <w:rPr>
          <w:sz w:val="24"/>
        </w:rPr>
        <w:t>Tillämpningsnivån för rapporteringen om inteckning av tillgångar ska följa rapporteringskraven för kapitalbas i artikel 430.1 första stycket a i förordning (EU) nr 575/2013. Institut som inte omfattas av tillsynskrav i enlighet med artikel 7 i den förordningen är således inte skyldiga att rapportera information om inteckning av tillgångar.</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87917691"/>
      <w:r>
        <w:rPr>
          <w:rFonts w:ascii="Times New Roman" w:hAnsi="Times New Roman"/>
          <w:sz w:val="24"/>
          <w:u w:val="none"/>
        </w:rPr>
        <w:t>Proportionalitet</w:t>
      </w:r>
      <w:bookmarkEnd w:id="16"/>
    </w:p>
    <w:p w14:paraId="35D2536C" w14:textId="704A548E" w:rsidR="00941FAE" w:rsidRPr="00857276" w:rsidRDefault="00941FAE" w:rsidP="00941FAE">
      <w:pPr>
        <w:pStyle w:val="InstructionsText2"/>
        <w:spacing w:after="120"/>
        <w:rPr>
          <w:sz w:val="24"/>
        </w:rPr>
      </w:pPr>
      <w:r>
        <w:rPr>
          <w:sz w:val="24"/>
        </w:rPr>
        <w:t>Vid tillämpning av artikel 19.3 c i denna förordning ska nivån på tillgångsinteckning beräknas enligt följande:</w:t>
      </w:r>
    </w:p>
    <w:p w14:paraId="60D7388A" w14:textId="5772CB48" w:rsidR="00941FAE" w:rsidRPr="00857276" w:rsidRDefault="00941FAE" w:rsidP="00DE426C">
      <w:pPr>
        <w:pStyle w:val="InstructionsText2"/>
        <w:numPr>
          <w:ilvl w:val="1"/>
          <w:numId w:val="2"/>
        </w:numPr>
        <w:spacing w:after="120"/>
        <w:rPr>
          <w:sz w:val="24"/>
        </w:rPr>
      </w:pPr>
      <w:r>
        <w:rPr>
          <w:sz w:val="24"/>
        </w:rPr>
        <w:t>Det redovisade värdet av intecknade tillgångar och säkerheter = {AE-ASS;0010;0010}– {AE-ASS;0015;0010}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Summa tillgångar och säkerheter = {AE-ASS;0010;0010} + {AE-ASS;0010;0060</w:t>
      </w:r>
      <w:r>
        <w:rPr>
          <w:color w:val="000000" w:themeColor="text1"/>
          <w:sz w:val="24"/>
        </w:rPr>
        <w:t>}– {AE-ASS;0015;0010} +{AE-COL;0130;0010}+{AE-COL;0130;0040};</w:t>
      </w:r>
    </w:p>
    <w:p w14:paraId="27891070" w14:textId="77777777" w:rsidR="00941FAE" w:rsidRPr="00857276" w:rsidRDefault="00941FAE" w:rsidP="00941FAE">
      <w:pPr>
        <w:pStyle w:val="InstructionsText2"/>
        <w:numPr>
          <w:ilvl w:val="1"/>
          <w:numId w:val="2"/>
        </w:numPr>
        <w:spacing w:after="120"/>
        <w:rPr>
          <w:sz w:val="24"/>
        </w:rPr>
      </w:pPr>
      <w:r>
        <w:rPr>
          <w:sz w:val="24"/>
        </w:rPr>
        <w:t>Tillgångsinteckningskvot = (det redovisade värdet av intecknade tillgångar och säkerheter)/(summa tillgångar och säkerheter).</w:t>
      </w:r>
    </w:p>
    <w:p w14:paraId="053943E9" w14:textId="3771CB49" w:rsidR="00941FAE" w:rsidRPr="00857276" w:rsidRDefault="00E374DF" w:rsidP="00080DB3">
      <w:pPr>
        <w:pStyle w:val="InstructionsText2"/>
        <w:spacing w:after="120"/>
        <w:rPr>
          <w:sz w:val="24"/>
        </w:rPr>
      </w:pPr>
      <w:r>
        <w:rPr>
          <w:sz w:val="24"/>
        </w:rPr>
        <w:t>[utgår]</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87917692"/>
      <w:r>
        <w:rPr>
          <w:rFonts w:ascii="Times New Roman" w:hAnsi="Times New Roman"/>
          <w:sz w:val="24"/>
          <w:u w:val="none"/>
        </w:rPr>
        <w:t>Definition av inteckning</w:t>
      </w:r>
      <w:bookmarkEnd w:id="17"/>
    </w:p>
    <w:p w14:paraId="69EDFB8D" w14:textId="42AF5CF5" w:rsidR="00941FAE" w:rsidRPr="00857276" w:rsidRDefault="00941FAE" w:rsidP="00941FAE">
      <w:pPr>
        <w:pStyle w:val="InstructionsText2"/>
        <w:spacing w:after="120"/>
        <w:rPr>
          <w:sz w:val="24"/>
        </w:rPr>
      </w:pPr>
      <w:r>
        <w:rPr>
          <w:sz w:val="24"/>
        </w:rPr>
        <w:t>Vid tillämpning av denna bilaga och bilaga XVI ska en tillgång behandlas som intecknad om den är pantsatt eller föremål för någon form av arrangemang för att säkra, ställa säkerhet för eller kreditförstärka en transaktion från vilket den inte fritt kan dras tillbaka.</w:t>
      </w:r>
    </w:p>
    <w:p w14:paraId="69D85046" w14:textId="01F0610D" w:rsidR="00941FAE" w:rsidRPr="00857276" w:rsidRDefault="00941FAE" w:rsidP="00941FAE">
      <w:pPr>
        <w:pStyle w:val="InstructionsText2"/>
        <w:numPr>
          <w:ilvl w:val="0"/>
          <w:numId w:val="0"/>
        </w:numPr>
        <w:spacing w:after="120"/>
        <w:ind w:left="720"/>
        <w:rPr>
          <w:sz w:val="24"/>
        </w:rPr>
      </w:pPr>
      <w:r>
        <w:rPr>
          <w:sz w:val="24"/>
        </w:rPr>
        <w:t xml:space="preserve">Det är viktigt att notera att pantsatta tillgångar som är föremål för någon form av begränsningar beträffande tillbakadragandet, exempelvis tillgångar för vilka ett godkännande krävs innan de kan dras tillbaka eller ersättas av andra tillgångar, ska betraktas som intecknade. Definitionen grundas inte på någon uttrycklig legaldefinition, såsom överföring av äganderätten, utan på ekonomiska principer eftersom de rättsliga bestämmelserna i detta avseende kan skilja sig mellan olika länder. Definitionen är dock nära förknippad med avtalsvillkor. EBA anser att följande typer av avtal gott och väl täcks av definitionen (detta är en icke-uttömmande uppräkning): </w:t>
      </w:r>
    </w:p>
    <w:p w14:paraId="2A8C82FE" w14:textId="77777777" w:rsidR="00941FAE" w:rsidRPr="00857276" w:rsidRDefault="00941FAE" w:rsidP="00941FAE">
      <w:pPr>
        <w:pStyle w:val="InstructionsText2"/>
        <w:numPr>
          <w:ilvl w:val="0"/>
          <w:numId w:val="21"/>
        </w:numPr>
        <w:spacing w:after="120"/>
        <w:rPr>
          <w:sz w:val="24"/>
        </w:rPr>
      </w:pPr>
      <w:r>
        <w:rPr>
          <w:sz w:val="24"/>
        </w:rPr>
        <w:t>Transaktioner med säkrad finansiering, inklusive repor, värdepapperslån och andra former av säkrad utlåning.</w:t>
      </w:r>
    </w:p>
    <w:p w14:paraId="6B8A23E3" w14:textId="77777777" w:rsidR="00941FAE" w:rsidRPr="00857276" w:rsidRDefault="00941FAE" w:rsidP="00941FAE">
      <w:pPr>
        <w:pStyle w:val="InstructionsText2"/>
        <w:numPr>
          <w:ilvl w:val="0"/>
          <w:numId w:val="21"/>
        </w:numPr>
        <w:spacing w:after="120"/>
        <w:rPr>
          <w:sz w:val="24"/>
        </w:rPr>
      </w:pPr>
      <w:r>
        <w:rPr>
          <w:sz w:val="24"/>
        </w:rPr>
        <w:t>Olika avtal om säkerhet, exempelvis säkerhet som ställts för marknadsvärdet av derivattransaktioner.</w:t>
      </w:r>
    </w:p>
    <w:p w14:paraId="2D8F9E99" w14:textId="7DC7D050" w:rsidR="00941FAE" w:rsidRPr="00857276" w:rsidRDefault="00941FAE" w:rsidP="00941FAE">
      <w:pPr>
        <w:pStyle w:val="InstructionsText2"/>
        <w:numPr>
          <w:ilvl w:val="0"/>
          <w:numId w:val="21"/>
        </w:numPr>
        <w:spacing w:after="120"/>
        <w:rPr>
          <w:sz w:val="24"/>
        </w:rPr>
      </w:pPr>
      <w:r>
        <w:rPr>
          <w:sz w:val="24"/>
        </w:rPr>
        <w:t>Finansiella garantier för vilka säkerhet ställts. Om det inte finns några hinder för tillbakadragande av säkerhet, såsom förhandsgodkännande, för den del av garantin som inte tagits i anspråk, ska endast det utnyttjade beloppet fördelas (enligt en proportionell fördelning).</w:t>
      </w:r>
    </w:p>
    <w:p w14:paraId="79C4130B" w14:textId="77777777" w:rsidR="00941FAE" w:rsidRPr="00857276" w:rsidRDefault="00941FAE" w:rsidP="00941FAE">
      <w:pPr>
        <w:pStyle w:val="InstructionsText2"/>
        <w:numPr>
          <w:ilvl w:val="0"/>
          <w:numId w:val="21"/>
        </w:numPr>
        <w:spacing w:after="120"/>
        <w:rPr>
          <w:sz w:val="24"/>
        </w:rPr>
      </w:pPr>
      <w:r>
        <w:rPr>
          <w:sz w:val="24"/>
        </w:rPr>
        <w:lastRenderedPageBreak/>
        <w:t>Säkerhet som ställts hos clearingsystem, centrala motparter och andra infrastrukturinstitut som ett villkor för att få tillgång till tjänster. Detta inbegriper obeståndsfonder och initiala marginalsäkerheter.</w:t>
      </w:r>
    </w:p>
    <w:p w14:paraId="721B876D" w14:textId="77777777" w:rsidR="00941FAE" w:rsidRPr="00857276" w:rsidRDefault="00941FAE" w:rsidP="00941FAE">
      <w:pPr>
        <w:pStyle w:val="InstructionsText2"/>
        <w:numPr>
          <w:ilvl w:val="0"/>
          <w:numId w:val="21"/>
        </w:numPr>
        <w:spacing w:after="120"/>
        <w:rPr>
          <w:sz w:val="24"/>
        </w:rPr>
      </w:pPr>
      <w:r>
        <w:rPr>
          <w:sz w:val="24"/>
        </w:rPr>
        <w:t>Centralbanksfaciliteter. Förpositionerade tillgångar ska inte betraktas som intecknade, annat än om centralbanken inte tillåter uttag av placerade tillgångar utan förhandsgodkännande. I fråga om finansiella garantier som inte tagits i anspråk ska den del som inte tagits i anspråk, dvs. utöver det minimibelopp som centralbanken kräver, fördelas proportionellt mellan de tillgångar som placerats i centralbanken.</w:t>
      </w:r>
    </w:p>
    <w:p w14:paraId="2527594F" w14:textId="758F8DCA" w:rsidR="00941FAE" w:rsidRPr="00857276" w:rsidRDefault="00941FAE" w:rsidP="00941FAE">
      <w:pPr>
        <w:pStyle w:val="InstructionsText2"/>
        <w:numPr>
          <w:ilvl w:val="0"/>
          <w:numId w:val="21"/>
        </w:numPr>
        <w:spacing w:after="120"/>
        <w:rPr>
          <w:sz w:val="24"/>
        </w:rPr>
      </w:pPr>
      <w:r>
        <w:rPr>
          <w:sz w:val="24"/>
        </w:rPr>
        <w:t>Underliggande tillgångar från värdepapperiseringsstrukturer, där de finansiella tillgångarna inte har tagits bort från institutets finansiella tillgångar i balansräkningen. Tillgångar som underligger innehållna värdepapper räknas inte som intecknade, såvida inte dessa värdepapper på något vis är pantsatta eller ställda som säkerhet för att säkra en transaktion.</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Tillgångar i säkerhetsmassor som används för emission av säkerställda obligationer. De tillgångar som underligger säkerställda obligationer räknas som intecknade, utom i vissa situationer då institutet innehar motsvarande säkerställda obligationer (obligationer som är emitterade av institutet). </w:t>
      </w:r>
    </w:p>
    <w:p w14:paraId="3AAB69A3" w14:textId="77777777" w:rsidR="00941FAE" w:rsidRPr="00857276" w:rsidRDefault="00941FAE" w:rsidP="00941FAE">
      <w:pPr>
        <w:pStyle w:val="InstructionsText2"/>
        <w:numPr>
          <w:ilvl w:val="0"/>
          <w:numId w:val="21"/>
        </w:numPr>
        <w:spacing w:after="120"/>
        <w:rPr>
          <w:sz w:val="24"/>
        </w:rPr>
      </w:pPr>
      <w:r>
        <w:rPr>
          <w:sz w:val="24"/>
        </w:rPr>
        <w:t>Tillgångar som är placerade i faciliteter som inte har tagits i anspråk och som fritt kan tas ut ska som allmän regel inte betraktas som intecknade.</w:t>
      </w:r>
    </w:p>
    <w:p w14:paraId="5D005D5E" w14:textId="77777777" w:rsidR="00941FAE" w:rsidRPr="00857276" w:rsidRDefault="00941FAE" w:rsidP="00941FAE">
      <w:pPr>
        <w:pStyle w:val="Heading2"/>
        <w:spacing w:before="0"/>
        <w:rPr>
          <w:rFonts w:ascii="Times New Roman" w:hAnsi="Times New Roman"/>
        </w:rPr>
      </w:pPr>
      <w:bookmarkStart w:id="18" w:name="_Toc187917693"/>
      <w:bookmarkEnd w:id="6"/>
      <w:bookmarkEnd w:id="7"/>
      <w:bookmarkEnd w:id="10"/>
      <w:r>
        <w:rPr>
          <w:rFonts w:ascii="Times New Roman" w:hAnsi="Times New Roman"/>
        </w:rPr>
        <w:t>INSTRUKTIONER AVSEENDE MALLAR</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187917694"/>
      <w:r>
        <w:rPr>
          <w:rFonts w:ascii="Times New Roman" w:hAnsi="Times New Roman"/>
          <w:b/>
          <w:sz w:val="24"/>
          <w:u w:val="none"/>
        </w:rPr>
        <w:t>Del A: Översikt över inteckningar</w:t>
      </w:r>
      <w:bookmarkEnd w:id="19"/>
    </w:p>
    <w:p w14:paraId="2178A74C" w14:textId="77777777" w:rsidR="00941FAE" w:rsidRPr="00857276" w:rsidRDefault="00941FAE" w:rsidP="00941FAE">
      <w:pPr>
        <w:pStyle w:val="InstructionsText2"/>
        <w:spacing w:after="120"/>
        <w:rPr>
          <w:sz w:val="24"/>
        </w:rPr>
      </w:pPr>
      <w:r>
        <w:rPr>
          <w:sz w:val="24"/>
        </w:rPr>
        <w:t xml:space="preserve">I mallarna för översikten över inteckningar görs åtskillnad mellan tillgångar som används för att stödja finansierings- eller säkerhetsbehov på balansdagen (”nuvarande inteckningar”) och tillgångar som är tillgängliga för potentiella finansieringsbehov. </w:t>
      </w:r>
    </w:p>
    <w:p w14:paraId="2CB6E035" w14:textId="77777777" w:rsidR="00941FAE" w:rsidRPr="00857276" w:rsidRDefault="00941FAE" w:rsidP="00941FAE">
      <w:pPr>
        <w:pStyle w:val="InstructionsText2"/>
        <w:spacing w:after="120"/>
        <w:rPr>
          <w:sz w:val="24"/>
        </w:rPr>
      </w:pPr>
      <w:r>
        <w:rPr>
          <w:sz w:val="24"/>
        </w:rPr>
        <w:t>I översiktsmallen redovisas det rapporterande institutets intecknade tillgångar och icke-intecknade tillgångar i en tabell ordnade efter produkt. Samma uppdelning gäller även för erhållna säkerheter och emitterade egna räntebärande värdepapper som inte utgör säkerställda obligationer eller värdepapperiseringar.</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187917695"/>
      <w:r>
        <w:rPr>
          <w:rFonts w:ascii="Times New Roman" w:hAnsi="Times New Roman"/>
          <w:sz w:val="24"/>
          <w:u w:val="none"/>
        </w:rPr>
        <w:t>Mall: AE-ASS. Det rapporterande institutets tillgångar</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348096564"/>
      <w:bookmarkStart w:id="24" w:name="_Toc348097325"/>
      <w:bookmarkStart w:id="25" w:name="_Toc348101345"/>
      <w:bookmarkStart w:id="26" w:name="_Toc187917696"/>
      <w:r>
        <w:rPr>
          <w:rFonts w:ascii="Times New Roman" w:hAnsi="Times New Roman"/>
          <w:sz w:val="24"/>
          <w:u w:val="none"/>
        </w:rPr>
        <w:t>Allmänna kommentarer</w:t>
      </w:r>
      <w:bookmarkEnd w:id="21"/>
      <w:bookmarkEnd w:id="22"/>
      <w:bookmarkEnd w:id="26"/>
    </w:p>
    <w:p w14:paraId="2B58279E" w14:textId="49A3113F" w:rsidR="00941FAE" w:rsidRPr="00857276" w:rsidRDefault="00941FAE" w:rsidP="00941FAE">
      <w:pPr>
        <w:pStyle w:val="InstructionsText2"/>
        <w:shd w:val="clear" w:color="auto" w:fill="FFFFFF"/>
        <w:spacing w:after="120"/>
        <w:rPr>
          <w:sz w:val="24"/>
        </w:rPr>
      </w:pPr>
      <w:r>
        <w:rPr>
          <w:sz w:val="24"/>
        </w:rPr>
        <w:t>Denna punkt innehåller instruktioner som är tillämpliga på de huvudtyper av transaktioner som är relevanta när AE-mallar fylls i:</w:t>
      </w:r>
    </w:p>
    <w:tbl>
      <w:tblPr>
        <w:tblW w:w="9214" w:type="dxa"/>
        <w:tblLook w:val="04A0" w:firstRow="1" w:lastRow="0" w:firstColumn="1" w:lastColumn="0" w:noHBand="0" w:noVBand="1"/>
      </w:tblPr>
      <w:tblGrid>
        <w:gridCol w:w="9214"/>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Alla transaktioner som ökar ett instituts inteckningsnivå har två aspekter som ska rapporteras oberoende av varandra i samtliga AE-mallar. Sådana transaktioner ska rapporteras både som inteckningskällor och som en intecknad tillgång eller säkerhet.</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följande exempel beskrivs hur en typ av transaktion ska rapporteras i denna del, men samma regler gäller även för andra AE-mallar.</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Inlåning för vilken säkerhet ställts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Inlåning för vilken säkerhet ställts ska rapporteras på följande sätt:</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Det redovisade värdet av inlåningen registreras som en inteckningskälla i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Om säkerheten är en tillgång hos det rapporterande institutet, ska dennas redovisade värde rapporteras i {AE-ASS; *; c0010} och {AE-SOU; r0070; c0030}; Dess verkliga värde ska rapporteras i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säkerheten har erhållits av det rapporterande institutet ska dennas verkliga värde rapporteras i {AE-COL; *; c0010}, {AE-SOU; r0070; c0030} och {AE-SOU;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Repor/matchande repor</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repa ska rapporteras på följande sätt:</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Det redovisade bruttovärdet av repan ska rapporteras som en inteckningskälla i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Den säkerhet som ställts för repan ska rapporteras på följande sätt:</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Om säkerheten är en tillgång hos det rapporterande institutet, ska dennas redovisade värde rapporteras i {AE-ASS; *; c0010} och {AE-SOU; r0050; c0030}; Dess verkliga värde ska rapporteras i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säkerheten har erhållits av det rapporterande institutet genom en tidigare omvänd repa (matchande repa) ska dennas verkliga värde rapporteras i {AE-COL; *; c0010}, {AE-SOU; r0050; c0030} och {AE-SOU;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Centralbanksfinansiering</w:t>
            </w:r>
          </w:p>
          <w:p w14:paraId="175892E3" w14:textId="721E812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Eftersom centralbanksfinansiering mot säkerhet endast är ett specialfall av inlåning för vilken säkerhet ställts eller en repa där motparten är en centralbank ska reglerna i punkt 14 a och b tillämpas.</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För transaktioner där det inte är möjligt att identifiera den specifika säkerheten för varje transaktion eftersom säkerheterna har grupperats, ska säkerheterna fördelas proportionellt på grundval av säkerhetsmassans sammansättning.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Tillgångar som har förpositionerats hos centralbanker är inte intecknade tillgångar, annat än om centralbanken inte tillåter uttag av placerade tillgångar utan förhandsgodkännande. I fråga om finansiella garantier som inte tagits i anspråk ska den del som inte tagits i anspråk, dvs. beloppet utöver det minimibelopp som centralbanken kräver, fördelas proportionellt mellan de tillgångar som placerats i centralbanken.</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Värdepapperslån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För värdepapperslån med kontant säkerhet ska reglerna för repor/matchande repor tillämpas.</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Värdepapperslån utan kontant säkerhet ska rapporteras på följande sätt:</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Det verkliga värdet av lånade värdepapper ska rapporteras som en inteckningskälla i {AE-SOU; r0150; c0010}. Om utlånaren inte får några värdepapper för de utlånade värdepapperen utan i stället en avgift, ska {AE-SOU; r0150; c0010} rapporteras som noll.</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Om de värdepapper som utlånats som säkerhet är en tillgång hos det rapporterande institutet, ska deras redovisade värde rapporteras i {AE-ASS; *; c0010} och {AE-SOU; r0150; c0030}; och deras verkliga värde rapporteras i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Om de värdepapper som utlånats som säkerhet har erhållits av det rapporterande institutet, ska deras verkliga värde rapporteras i {AE-COL; *; c0010}, {AE-SOU; r0150; c0030} och {AE-SOU;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Derivat (skulder)</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Derivat för vilka säkerhet ställts och som har ett negativt verkligt värde ska rapporteras på följande sätt:</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Det redovisade värdet av derivatet ska rapporteras som en inteckningskälla i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Säkerheten (de initiala marginalsäkerheter som krävs för att öppna positionen och eventuell säkerhet som ställts för marknadsvärdet av derivattransaktioner) ska rapporteras på följande sätt:</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Om säkerheten är en tillgång hos det rapporterande institutet, ska dennas redovisade värde rapporteras i {AE-ASS; *; c0010} och {AE-SOU; r0020; c0030}; Dess verkliga värde ska rapporteras i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Om säkerheten har erhållits av det rapporterande institutet ska dennas verkliga värde rapporteras i {AE-COL; *; c0010}, {AE-SOU; r0020; c0030} och {AE-SOU;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Säkerställda obligationer</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Säkerställda obligationer inom ramen för all rapportering av tillgångsinteckning är sådana instrument som avses i artikel 52.4 första stycket i direktiv 2009/65/EU, oavsett om instrumenten i rättsligt hänseende utformas som ett värdepapper eller inte.</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Inga särskilda regler är tillämpliga på säkerställda obligationer om det rapporterande institutet inte innehåller någon del av de värdepapper som det emitterat.</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institutet innehåller någon del av emissionen ska följande behandling tillämpas, för att undvika dubbelräkning:</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Om de egna säkerställda obligationerna inte är pantsatta, ska beloppet för den säkerhetsmassa som ligger till grund för de innehållna värdepapper som ännu inte pantsatts rapporteras som icke-intecknade tillgångar i AE-ASS-mallarna. Ytterligare uppgifter om de innehållna men ännu inte pantsatta säkerställda obligationerna (underliggande tillgångar, verkligt värde och godtagbarhet för dem som kan intecknas samt nominellt värde för dem som inte kan intecknas) ska rapporteras i AE-NPL-mallen.</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Om de egna säkerställda obligationerna är pantsatta, ska beloppet för den säkerhetsmassa som ligger till grund för de innehållna och pantsatta värdepapperen rapporteras som intecknade tillgångar i AE-ASS-mallen.</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 följande tabell beskrivs rapporteringen av en emission av säkerställda obligationer på 100 euro varav 15 % är innehållna och inte pantsatta och 10 % är innehållna och pantsatta som säkerhet i en repa på 11 euro med en centralbank, där säkerhetsmassan består av osäkrade lån och det redovisade värdet av lånen är 150 euro.</w:t>
            </w:r>
          </w:p>
          <w:p w14:paraId="337BD495"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noProof/>
                <w:sz w:val="24"/>
              </w:rPr>
              <w:lastRenderedPageBreak/>
              <w:drawing>
                <wp:inline distT="0" distB="0" distL="0" distR="0" wp14:anchorId="602ABE2F" wp14:editId="62CEF999">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14:paraId="30972502" w14:textId="77777777" w:rsidR="00941FAE" w:rsidRPr="00857276"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Värdepapperiseringar</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Värdepapperiseringar är räntebärande värdepapper som innehas av det rapporterande institutet och har sitt ursprung i en värdepapperiseringstransaktion enligt definitionen i artikel 4.1.61 i förordning (EU) nr 575/2013.</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För värdepapperiseringar som finns kvar i balansräkningen ska reglerna för säkerställda obligationer tillämpas.</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För värdepapperiseringar som tagits bort från balansräkningen finns det ingen inteckning där institutet innehar vissa värdepapper. Dessa värdepapper tas upp i det rapporterande institutets handelslager eller i dess övriga verksamhet som vilket annat värdepapper som helst som emitterats av en tredje part.</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7" w:name="_Toc187917697"/>
      <w:r>
        <w:rPr>
          <w:rFonts w:ascii="Times New Roman" w:hAnsi="Times New Roman"/>
          <w:sz w:val="24"/>
          <w:u w:val="none"/>
        </w:rPr>
        <w:lastRenderedPageBreak/>
        <w:t>Instruktioner för särskilda rader</w:t>
      </w:r>
      <w:bookmarkEnd w:id="23"/>
      <w:bookmarkEnd w:id="24"/>
      <w:bookmarkEnd w:id="25"/>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Rad</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Det rapporterande institutets tillgångar</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1.9 a, Vägledning vid tillämpning (VT) 6: Det rapporterande institutets sammanlagda tillgångar enligt dess balansräkning.</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varav: kvalificerade förvaltningstillgångar</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Förvaltningstillgångar som uppfyller samtliga följande villkor: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De redovisas i institutets balansräkning enligt nationell god redovisningssed, i enlighet med artikel 10 i direktiv 86/635/EEG.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 De uppfyller de kriterier för att undantas från redovisning i balansräkningen som anges i International Financial Reporting Standard (IFRS) 9, i enlighet med förordning (EG) nr 1606/2002.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 De uppfyller de kriterier för att undantas från konsolidering som anges i IFRS 10, i enlighet med förordning (EG) nr 1606/2002, i tillämpliga fall.</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Beviljade kreditlimiter</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1.54 i</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Instituten ska rapportera tillgodohavanden i centralbanker och andra institut som utbetalas på anfordran. Kontanta medel, dvs. innehav av utelöpande nationella och utländska sedlar och mynt som allmänt används som betalningsmedel, ska tas upp på raden ”Övriga tillgångar”.</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Egetkapitalinstrument</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Egetkapitalinstrument enligt definitionen i IAS 32.1 som innehas av det rapporterande institutet.</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Räntebärande värdepapper</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Bilaga V del 1 punkt 31</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Instituten ska rapportera skuldinstrument som innehas av det rapporterande institutet, som emitterats som värdepapper och som inte är lån i enlighet med förordning (EU) 2021/379</w:t>
            </w:r>
            <w:r w:rsidR="00DB43B2" w:rsidRPr="00857276">
              <w:rPr>
                <w:rStyle w:val="FootnoteReference"/>
                <w:rFonts w:ascii="Times New Roman" w:hAnsi="Times New Roman"/>
                <w:bCs/>
                <w:sz w:val="24"/>
              </w:rPr>
              <w:footnoteReference w:id="1"/>
            </w:r>
            <w:r>
              <w:rPr>
                <w:rStyle w:val="InstructionsTabelleberschrift"/>
                <w:rFonts w:ascii="Times New Roman" w:hAnsi="Times New Roman"/>
                <w:b w:val="0"/>
                <w:sz w:val="24"/>
                <w:u w:val="none"/>
              </w:rPr>
              <w:t>.</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säkerställda obligationer</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Fonts w:ascii="Times New Roman" w:hAnsi="Times New Roman"/>
                <w:sz w:val="24"/>
              </w:rPr>
              <w:t>Räntebärande värdepapper som innehas av det rapporterande institutet och som är obligationer i den mening som avses i artikel 52.4 första stycket i direktiv 2009/65/EG.</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värdepapperiseringar</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Räntebärande värdepapper som innehas av det rapporterande institutet och som är värdepapperiseringar enligt definitionen i artikel 4.1.61 i förordning (EU) nr 575/2013.</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varav: emitterade av offentlig sektor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Räntebärande värdepapper som innehas av det rapporterande institutet och som emitterats av offentlig sektor.</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emitterade av finansiella företag</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Räntebärande värdepapper som innehas av det rapporterande institutet och som emitterats av finansiella företag enligt definitionen i bilaga V del 1 punkt 42 c och d.</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icke</w:t>
            </w:r>
            <w:r>
              <w:rPr>
                <w:rStyle w:val="InstructionsTabelleberschrift"/>
                <w:rFonts w:ascii="Times New Roman" w:hAnsi="Times New Roman"/>
                <w:sz w:val="24"/>
              </w:rPr>
              <w:noBreakHyphen/>
              <w:t>finansiella företag</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Räntebärande värdepapper som innehas av det rapporterande institutet och som emitterats av icke-finansiella företag enligt definitionen i bilaga V del 1 punkt 42 e.</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Lån och förskott som inte utgör beviljade kreditlimiter</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och förskott som är skuldinstrument, andra än värdepapper, och som innehas av det rapporterande institutet och som inte är tillgodohavanden som utbetalas på anfordran.</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varav: Lån med säkerhet i fast egendom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och förskott som inte utgör beviljade kreditlimiter och för vilka säkerhet ställts i fast egendom i enlighet med bilaga V del 2 punkt 86.</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Övriga tillgångar</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rapporterande institutets tillgångar som redovisas i balansräkningen, andra än de som rapporteras på raderna 0020–0040 och 0100 och som inte är egna </w:t>
            </w:r>
            <w:r>
              <w:rPr>
                <w:rStyle w:val="InstructionsTabelleberschrift"/>
                <w:rFonts w:ascii="Times New Roman" w:hAnsi="Times New Roman"/>
                <w:b w:val="0"/>
                <w:sz w:val="24"/>
                <w:u w:val="none"/>
              </w:rPr>
              <w:lastRenderedPageBreak/>
              <w:t xml:space="preserve">räntebärande värdepapper och egetkapitalinstrument som inte får tas bort från balansräkningen av ett icke-IFRS-institut.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 detta fall ska egna skuldinstrument tas upp på rad 0240 i AE-COL-mallen och egna egetkapitalinstrument undantas från rapporteringen av tillgångsinteckning.</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87917698"/>
      <w:r>
        <w:rPr>
          <w:rFonts w:ascii="Times New Roman" w:hAnsi="Times New Roman"/>
          <w:sz w:val="24"/>
          <w:u w:val="none"/>
        </w:rPr>
        <w:lastRenderedPageBreak/>
        <w:t>Instruktioner för särskilda kolumner</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Kolumn</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Redovisat värde av intecknade tillgångar</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Instituten ska rapportera det redovisade värdet av dess tillgångar som är intecknade i enlighet med den definition av tillgångsinteckning som avses i punkt 11 i denna bilaga.</w:t>
            </w:r>
            <w:r>
              <w:rPr>
                <w:rStyle w:val="InstructionsTabelleberschrift"/>
                <w:rFonts w:ascii="Times New Roman" w:hAnsi="Times New Roman"/>
                <w:b w:val="0"/>
                <w:color w:val="auto"/>
                <w:sz w:val="24"/>
                <w:u w:val="none"/>
              </w:rPr>
              <w:t xml:space="preserve"> Med redovisat värde avses det värde som redovisas på tillgångssidan i balansräkningen.</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andra enheter i gruppen</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redovisade värdet av intecknade tillgångar som innehas av det rapporterande institutet och som emitterats av någon enhet som ingår i konsolideringen för tillsynsändamål.</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godtagbara för centralbanker</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redovisade värdet av intecknade tillgångar som innehas av det rapporterande institutet och som är godtagbara för transaktioner med de centralbanker som det rapporterande institutet har tillgång till.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Rapporterande institut som inte kan fastställa huruvida en post är godtagbar för centralbanker, exempelvis i jurisdiktioner som inte har en tydlig definition av tillgångar som är godtagbara för repor med centralbanker eller som inte har tillgång till en kontinuerligt fungerande repomarknad med centralbanker, kan avstå från att rapportera det berörda beloppet för den posten, </w:t>
            </w:r>
            <w:r>
              <w:rPr>
                <w:rStyle w:val="instructionstabelleberschrift0"/>
                <w:rFonts w:ascii="Times New Roman" w:hAnsi="Times New Roman"/>
                <w:b w:val="0"/>
                <w:sz w:val="24"/>
                <w:u w:val="none"/>
              </w:rPr>
              <w:t>dvs. lämna rapporteringsfältet tomt</w:t>
            </w:r>
            <w:r>
              <w:rPr>
                <w:rFonts w:ascii="Times New Roman" w:hAnsi="Times New Roman"/>
                <w:sz w:val="24"/>
              </w:rPr>
              <w: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schablonmässigt medräkningsbara tillgångar med extremt hög likviditets- och kreditkvalitet (EHQLA) och tillgångar med hög likviditets- och kreditkvalitet (HQLA)</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redovisade värdet av intecknade tillgångar som är schablonmässigt medräkningsbara för att betecknas som tillgångar med extremt hög likviditets- och kreditkvalitet (EHQLA) och tillgångar med hög likviditets- och kreditkvalitet (HQLA).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Vid tillämpning av denna förordning avses med schablonmässigt medräkningsbara intecknade EHQLA och schablonmässigt medräkningsbara intecknade HQLA sådana tillgångar som förtecknas i artiklarna 10–13 i delegerad förordning (EU) 2015/61 och som skulle uppfylla de allmänna och operativa krav som anges i artiklarna 7 och 8 i den delegerade förordningen, om det inte vore för deras status som intecknade tillgångar i enlighet med denna bilaga.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Schablonmässigt medräkningsbara intecknade EHQLA och schablonmässigt medräkningsbara intecknade HQLA ska också uppfylla de exponeringsklasspecifika kraven i artiklarna 10–16 och 35–37 i delegerad förordning (EU) 2015/61. Det redovisade värdet av schablonmässigt </w:t>
            </w:r>
            <w:r>
              <w:rPr>
                <w:rStyle w:val="InstructionsTabelleberschrift"/>
                <w:rFonts w:ascii="Times New Roman" w:hAnsi="Times New Roman"/>
                <w:b w:val="0"/>
                <w:sz w:val="24"/>
                <w:u w:val="none"/>
              </w:rPr>
              <w:lastRenderedPageBreak/>
              <w:t>medräkningsbara intecknade EHQLA och schablonmässigt medräkningsbara intecknade HQLA ska utgöra det redovisade värdet före tillämpningen av de nedsättningar som anges i artiklarna 10–16 i den delegerade förordningen.</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Verkligt värde av intecknade tillgångar</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IFRS 13 och artikel 8 i direktiv 2013/34/EU för icke-IFRS-institut.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Instituten ska rapportera det verkliga värdet av dess räntebärande värdepapper som är intecknade i enlighet med den definition av tillgångsinteckning som avses i punkt 11 i denna bilaga.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ett finansiellt instrument är det pris som vid värderingstidpunkten skulle erhållas vid försäljning av en tillgång eller betalas vid överlåtelse av en skuld i en ordnad transaktion mellan marknadsaktörer (se IFRS 13 Värdering till verkligt värde).</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godtagbara för centralbanker</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verkliga värdet av intecknade räntebärande värdepapper som innehas av det rapporterande institutet och som är godtagbara för transaktioner med de centralbanker som det rapporterande institutet har tillgång till. </w:t>
            </w:r>
          </w:p>
          <w:p w14:paraId="0BF79410"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 xml:space="preserve">Rapporterande institut som inte kan fastställa huruvida en post är godtagbar för centralbanker, exempelvis i jurisdiktioner som inte har en tydlig definition av tillgångar som är godtagbara för repor med centralbanker eller som inte har tillgång till en kontinuerligt fungerande repomarknad med centralbanker, kan avstå från att rapportera det berörda beloppet för den posten, </w:t>
            </w:r>
            <w:r>
              <w:rPr>
                <w:rStyle w:val="instructionstabelleberschrift0"/>
                <w:rFonts w:ascii="Times New Roman" w:hAnsi="Times New Roman"/>
                <w:b w:val="0"/>
                <w:sz w:val="24"/>
                <w:u w:val="none"/>
              </w:rPr>
              <w:t>dvs. lämna rapporteringsfältet tomt</w:t>
            </w:r>
            <w:r>
              <w:rPr>
                <w:rFonts w:ascii="Times New Roman" w:hAnsi="Times New Roman"/>
                <w:sz w:val="24"/>
              </w:rPr>
              <w: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schablonmässigt medräkningsbara EHQLA och HQLA</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Det verkliga värdet av intecknade tillgångar som är schablonmässigt medräkningsbara för att betecknas som EHQLA och HQLA.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Vid tillämpning av denna förordning avses med schablonmässigt medräkningsbara intecknade EHQLA och schablonmässigt medräkningsbara intecknade HQLA sådana tillgångar som förtecknas i artiklarna 10–13 i delegerad förordning (EU) 2015/61 och som skulle uppfylla de allmänna och operativa krav som anges i artiklarna 7 och 8 i den delegerade förordningen, om det inte vore för deras status som intecknade tillgångar i enlighet med denna bilaga. Schablonmässigt medräkningsbara intecknade EHQLA och schablonmässigt medräkningsbara intecknade HQLA ska också uppfylla de exponeringsklasspecifika kraven i artiklarna 10–16 och 35–37 i delegerad förordning (EU) 2015/61. Det verkliga värdet av schablonmässigt medräkningsbara intecknade EHQLA och schablonmässigt medräkningsbara intecknade HQLA ska utgöra det verkliga värdet före tillämpningen av de nedsättningar som anges i artiklarna 10–16 i den delegerade förordningen.</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Redovisat värde av icke-intecknade tillgångar</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Instituten ska rapportera det redovisade värdet av dess tillgångar som inte är intecknade i enlighet med den definition av tillgångsinteckning som avses i punkt 11 i denna bilaga.</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Med redovisat värde avses det värde som redovisas på tillgångssidan i balansräkningen.</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andra enheter i gruppen</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redovisade värdet av icke-intecknade tillgångar som innehas av det rapporterande institutet och som emitterats av någon enhet som ingår i konsolideringen för tillsynsändamål.</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godtagbara för centralbanker</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redovisade värdet av icke-intecknade tillgångar som innehas av det rapporterande institutet och som är godtagbara för transaktioner med de centralbanker som det rapporterande institutet har tillgång till.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Rapporterande institut som inte kan fastställa huruvida en post är godtagbar för centralbanker, exempelvis i jurisdiktioner som inte har en tydlig definition av tillgångar som är godtagbara för repor med centralbanker eller som inte har tillgång till en kontinuerligt fungerande repomarknad med centralbanker, kan avstå från att rapportera det berörda beloppet för den posten, </w:t>
            </w:r>
            <w:r>
              <w:rPr>
                <w:rStyle w:val="instructionstabelleberschrift0"/>
                <w:rFonts w:ascii="Times New Roman" w:hAnsi="Times New Roman"/>
                <w:b w:val="0"/>
                <w:sz w:val="24"/>
                <w:u w:val="none"/>
              </w:rPr>
              <w:t>dvs. lämna rapporteringsfältet tomt</w:t>
            </w:r>
            <w:r>
              <w:rPr>
                <w:rFonts w:ascii="Times New Roman" w:hAnsi="Times New Roman"/>
                <w:sz w:val="24"/>
              </w:rPr>
              <w: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EHQLA och HQLA</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Det redovisade värdet av icke-intecknade EHQLA och HQLA som förtecknas i artiklarna 10–13 i delegerad förordning (EU) 2015/61 och som uppfyller de allmänna och operativa krav som anges i artiklarna 7 och 8 i den delegerade förordningen samt de exponeringsklasspecifika kraven i artiklarna 10–16 och 35–37 i den delegerade förordningen.</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Det redovisade värdet av EHQLA och HQLA ska utgöra det redovisade värdet före tillämpningen av de nedsättningar som anges i artiklarna 10–16 i delegerad förordning (EU) 2015/61.</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Verkligt värde av icke-intecknade tillgångar</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IFRS 13 och artikel 8 i direktiv 2013/34/EU för icke-IFRS-institut.</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Instituten ska rapportera det verkliga värdet av dess räntebärande värdepapper som inte är intecknade i enlighet med den definition av tillgångsinteckning som avses i punkt 11 i denna bilaga.</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ett finansiellt instrument ska vara det pris som vid värderingstidpunkten skulle erhållas vid försäljning av en tillgång eller betalas vid överlåtelse av en skuld i en ordnad transaktion mellan marknadsaktörer (se IFRS 13 Värdering till verkligt värde).</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godtagbara för centralbanker</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verkliga värdet av icke-intecknade räntebärande värdepapper som innehas av det rapporterande institutet och som är godtagbara för transaktioner med de centralbanker som det rapporterande institutet har tillgång till. </w:t>
            </w:r>
          </w:p>
          <w:p w14:paraId="4A23A4C9"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 xml:space="preserve">Rapporterande institut som inte kan fastställa huruvida en post är godtagbar för centralbanker, exempelvis i jurisdiktioner som inte har en tydlig definition av tillgångar som är godtagbara för repor med centralbanker eller som inte har tillgång till en kontinuerligt fungerande repomarknad med centralbanker, kan avstå från att rapportera det berörda beloppet för den posten, </w:t>
            </w:r>
            <w:r>
              <w:rPr>
                <w:rStyle w:val="instructionstabelleberschrift0"/>
                <w:rFonts w:ascii="Times New Roman" w:hAnsi="Times New Roman"/>
                <w:b w:val="0"/>
                <w:sz w:val="24"/>
                <w:u w:val="none"/>
              </w:rPr>
              <w:t>dvs. lämna rapporteringsfältet tomt</w:t>
            </w:r>
            <w:r>
              <w:rPr>
                <w:rFonts w:ascii="Times New Roman" w:hAnsi="Times New Roman"/>
                <w:sz w:val="24"/>
              </w:rPr>
              <w: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EHQLA och HQLA</w:t>
            </w:r>
          </w:p>
          <w:p w14:paraId="6A307766" w14:textId="3C568025"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Det verkliga värdet av icke-intecknade EHQLA och HQLA som förtecknas i artiklarna 10–13 i delegerad förordning (EU) 2015/61 och som uppfyller de </w:t>
            </w:r>
            <w:r>
              <w:rPr>
                <w:rStyle w:val="TeksttreciTimesNewRoman105ptOdstpy0pt"/>
                <w:sz w:val="24"/>
              </w:rPr>
              <w:lastRenderedPageBreak/>
              <w:t>allmänna och operativa krav som anges i artiklarna 7 och 8 i den delegerade förordningen samt de exponeringsklasspecifika kraven i artiklarna 10–16 och 35–37 i den delegerade förordningen.</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Det verkliga värdet av EHQLA och HQLA ska utgöra det verkliga värdet före tillämpningen av de nedsättningar som anges i artiklarna 10–16 i delegerad förordning (EU) 2015/61.</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87917699"/>
      <w:r>
        <w:rPr>
          <w:rFonts w:ascii="Times New Roman" w:hAnsi="Times New Roman"/>
          <w:sz w:val="24"/>
          <w:u w:val="none"/>
        </w:rPr>
        <w:lastRenderedPageBreak/>
        <w:t>Mall: AE-COL. Säkerheter som erhållits av det rapporterande institutet</w:t>
      </w:r>
      <w:bookmarkEnd w:id="32"/>
      <w:bookmarkEnd w:id="33"/>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4" w:name="_Toc348096567"/>
      <w:bookmarkStart w:id="35" w:name="_Toc348097328"/>
      <w:bookmarkStart w:id="36" w:name="_Toc187917700"/>
      <w:r>
        <w:rPr>
          <w:rFonts w:ascii="Times New Roman" w:hAnsi="Times New Roman"/>
          <w:sz w:val="24"/>
          <w:u w:val="none"/>
        </w:rPr>
        <w:t>Allmänna kommentarer</w:t>
      </w:r>
      <w:bookmarkEnd w:id="36"/>
    </w:p>
    <w:p w14:paraId="35FC672D" w14:textId="77777777" w:rsidR="00941FAE" w:rsidRPr="00857276" w:rsidRDefault="00941FAE" w:rsidP="00941FAE">
      <w:pPr>
        <w:pStyle w:val="InstructionsText2"/>
        <w:shd w:val="clear" w:color="auto" w:fill="FFFFFF"/>
        <w:spacing w:after="120"/>
        <w:rPr>
          <w:sz w:val="24"/>
        </w:rPr>
      </w:pPr>
      <w:r>
        <w:rPr>
          <w:sz w:val="24"/>
        </w:rPr>
        <w:t>När det gäller säkerheter som erhållits av det rapporterande institutet och emitterade egna räntebärande värdepapper som inte utgör egna säkerställda obligationer eller värdepapperiseringar, delas kategorin icke-intecknade tillgångar upp mellan de som kan intecknas eller som potentiellt kan intecknas och de som inte kan intecknas.</w:t>
      </w:r>
    </w:p>
    <w:p w14:paraId="2F0EF69A" w14:textId="77777777" w:rsidR="00941FAE" w:rsidRPr="00857276" w:rsidRDefault="00941FAE" w:rsidP="00941FAE">
      <w:pPr>
        <w:pStyle w:val="InstructionsText2"/>
        <w:shd w:val="clear" w:color="auto" w:fill="FFFFFF"/>
        <w:spacing w:after="120"/>
        <w:rPr>
          <w:sz w:val="24"/>
        </w:rPr>
      </w:pPr>
      <w:r>
        <w:rPr>
          <w:sz w:val="24"/>
        </w:rPr>
        <w:t>Tillgångar kan inte intecknas om de har erhållits som säkerhet och det rapporterande institutet inte har tillåtelse att sälja eller återpantsätta säkerheten, utom i händelse av fallissemang för ägaren av säkerheten. Egna emitterade räntebärande värdepapper som inte utgör egna säkerställda obligationer eller värdepapperiseringar kan inte intecknas om det finns någon begränsning i emissionsvillkoren i fråga om att sälja eller återpantsätta de värdepapper som innehas.</w:t>
      </w:r>
    </w:p>
    <w:p w14:paraId="6C172FD5" w14:textId="59669A70" w:rsidR="00941FAE" w:rsidRPr="00857276" w:rsidRDefault="00941FAE" w:rsidP="00941FAE">
      <w:pPr>
        <w:pStyle w:val="InstructionsText2"/>
        <w:shd w:val="clear" w:color="auto" w:fill="FFFFFF"/>
        <w:spacing w:after="120"/>
        <w:rPr>
          <w:sz w:val="24"/>
        </w:rPr>
      </w:pPr>
      <w:r>
        <w:rPr>
          <w:sz w:val="24"/>
        </w:rPr>
        <w:t>Vid rapportering av tillgångsinteckning ska värdepapper som lånats mot en avgift utan kontant säkerhet eller icke-kontant säkerhet rapporteras som erhållna säkerheter.</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87917701"/>
      <w:r>
        <w:rPr>
          <w:rFonts w:ascii="Times New Roman" w:hAnsi="Times New Roman"/>
          <w:sz w:val="24"/>
          <w:u w:val="none"/>
        </w:rPr>
        <w:t>Instruktioner för särskilda rader</w:t>
      </w:r>
      <w:bookmarkEnd w:id="34"/>
      <w:bookmarkEnd w:id="35"/>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Rad</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Säkerheter som erhållits av det rapporterande institutet</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Alla klasser av säkerheter som erhållits av det rapporterande institutet.</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Beviljade kreditlimiter</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beviljade kreditlimiter.</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0020 i AE-ASS-mallen.</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Egetkapitalinstrument</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egetkapitalinstrument.</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0030 i AE-ASS-mallen.</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Räntebärande värdepapper</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räntebärande värdepapper.</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Se hänvisningar till lagstiftning och instruktioner avseende rad 0040 i AE-ASS-mallen.</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säkerställda obligationer</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säkerställda obligationer.</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0050 i AE-ASS-mallen.</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värdepapperiseringar</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värdepapperiseringar.</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0060 i AE-ASS-mallen.</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offentlig sektor</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räntebärande värdepapper som emitterats av offentlig sektor.</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0070 i AE-ASS-mallen.</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finansiella företag</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räntebärande värdepapper som emitterats av finansiella företag.</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0080 i AE-ASS-mallen.</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icke-finansiella företag</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räntebärande värdepapper som emitterats av icke-finansiella företag.</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0090 i AE-ASS-mallen.</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Lån och förskott som inte utgör beviljade kreditlimiter</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andra lån och förskott än beviljade kreditlimiter.</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0100 i AE-ASS-mallen.</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Övriga erhållna säkerheter</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Säkerheter som erhållits av det rapporterande institutet och som består av övriga tillgångar.</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hänvisningar till lagstiftning och instruktioner avseende rad 0120 i AE-ASS-mallen.</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Emitterade egna räntebärande värdepapper som inte utgör egna säkerställda obligationer eller värdepapperiseringar</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Emitterade egna räntebärande värdepapper som innehålls av det rapporterande institutet och som inte är emitterade egna säkerställda obligationer eller emitterade egna värdepapperiseringar.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Eftersom innehållna eller återköpta emitterade egna räntebärande värdepapper enligt IAS 39.42 minskar de relaterade finansiella skulderna, ska dessa värdepapper inte ingå i kategorin det rapporterande institutets tillgångar (rad 0010 i AE-ASS-mallen). Egna räntebärande värdepapper som inte får tas bort från balansräkningen av ett icke-IFRS-institut ska tas upp på denna rad.</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Emitterade egna säkerställda obligationer eller emitterade egna värdepapperiseringar ska inte rapporteras i denna kategori, eftersom andra regler är tillämpliga i de fallen för att undvika dubbelräkning:</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de egna räntebärande värdepapperen är pantsatta, ska beloppet för den säkerhetsmassa/de underliggande tillgångar som ligger till grund för dessa innehållna och pantsatta värdepapper rapporteras som intecknade tillgångar i AE-ASS-mallen.</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Om de egna räntebärande värdepapperen ännu inte är pantsatta, ska beloppet för den säkerhetsmassa/de underliggande tillgångar som ligger till grund för dessa innehållna och ännu inte pantsatta värdepapper rapporteras som icke-intecknade tillgångar i AE-ASS-mallarna. Ytterligare uppgifter om denna andra typ av egna räntebärande värdepapper som ännu inte pantsatts (underliggande tillgångar, verkligt värde och godtagbarhet för dem som kan intecknas samt nominellt värde för dem som inte kan intecknas) ska rapporteras i AE-NPL-mallen.</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Emitterade egna säkerställda obligationer och värdepapperiseringar som ännu inte pantsatts</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Emitterade egna säkerställda obligationer och värdepapperiseringar som innehålls av det rapporterande institutet och som inte är intecknade.</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För att undvika dubbelräkning gäller följande regler för emitterade egna säkerställda obligationer och värdepapperiseringar som innehålls av det rapporterande institutet:</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Om dessa värdepapper är pantsatta, ska beloppet för den säkerhetsmassa/de underliggande tillgångar som ligger till grund för dem rapporteras som intecknade tillgångar i AE-ASS-mallen (F 32.01). Finansieringskällan i händelse av pantsättning av egna säkerställda obligationer och värdepapperiseringar är den nya transaktion där värdepapperen pantsätts (centralbanksfinansiering eller annan typ av säkrad finansiering), inte den ursprungliga emissionen av säkerställda obligationer eller värdepapperiseringar.</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Om dessa värdepapper ännu inte är pantsatta, ska beloppet för den säkerhetsmassa/de underliggande tillgångar som ligger till grund för dessa värdepapper rapporteras som icke-intecknade tillgångar i AE-ASS-mallen (F 32.01).</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TOTALT TILLGÅNGAR, ERHÅLLNA SÄKERHETER OCH EMITTERADE EGNA RÄNTEBÄRANDE VÄRDEPAPPER</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Det rapporterande institutets samtliga tillgångar som redovisas i dess balansräkning, alla klasser av säkerheter som erhållits av det rapporterande institutet samt emitterade egna räntebärande värdepapper som innehålls av det rapporterande institutet och som inte utgör emitterade egna säkerställda obligationer eller emitterade egna värdepapperiseringar.</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87917702"/>
      <w:r>
        <w:rPr>
          <w:rFonts w:ascii="Times New Roman" w:hAnsi="Times New Roman"/>
          <w:sz w:val="24"/>
          <w:u w:val="none"/>
        </w:rPr>
        <w:lastRenderedPageBreak/>
        <w:t>Instruktioner för särskilda kolumner</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Kolumn</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Verkligt värde av intecknade erhållna säkerheter eller emitterade egna räntebärande värdepapper</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Instituten ska rapportera det verkliga värdet av de erhållna säkerheter eller egna räntebärande värdepapper som de innehar/innehåller och som är intecknade i enlighet med den definition av tillgångsinteckning som avses i punkt 11 i denna bilaga.</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ett finansiellt instrument ska vara det pris som vid värderingstidpunkten skulle erhållas vid försäljning av en tillgång eller betalas vid överlåtelse av en skuld i en ordnad transaktion mellan marknadsaktörer (se IFRS 13 Värdering till verkligt värde).</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andra enheter i gruppen</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intecknade erhållna säkerheter eller emitterade egna räntebärande värdepapper som innehas/innehålls av det rapporterande institutet och som emitterats av någon enhet som ingår i konsolideringen för tillsynsändamål.</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godtagbara för centralbanker</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intecknade erhållna säkerheter eller emitterade egna räntebärande värdepapper som innehas/innehålls av det rapporterande institutet och som är godtagbara för transaktioner med de centralbanker som det rapporterande institutet har tillgång till.</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Rapporterande institut som inte kan fastställa huruvida en post är godtagbar för centralbanker, exempelvis i jurisdiktioner som inte har en tydlig definition av tillgångar som är godtagbara för repor med centralbanker eller som inte har tillgång till en kontinuerligt fungerande repomarknad med centralbanker, kan avstå från att rapportera det berörda beloppet för den posten, </w:t>
            </w:r>
            <w:r>
              <w:rPr>
                <w:rStyle w:val="instructionstabelleberschrift0"/>
                <w:rFonts w:ascii="Times New Roman" w:hAnsi="Times New Roman"/>
                <w:b w:val="0"/>
                <w:sz w:val="24"/>
                <w:u w:val="none"/>
              </w:rPr>
              <w:t>dvs. lämna rapporteringsfältet tomt</w:t>
            </w:r>
            <w:r>
              <w:rPr>
                <w:rFonts w:ascii="Times New Roman" w:hAnsi="Times New Roman"/>
                <w:sz w:val="24"/>
              </w:rPr>
              <w: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schablonmässigt medräkningsbara tillgångar med extremt hög likviditets- och kreditkvalitet (EHQLA) och tillgångar med hög likviditets- och kreditkvalitet (HQLA)</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Det verkliga värdet av intecknade erhållna säkerheter, inklusive i alla tänkbara värdepapperslånetransaktioner, eller emitterade egna räntebärande värdepapper som innehas/innehålls av institutet och som är schablonmässigt medräkningsbara för att betecknas som EHQLA och HQLA.</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t xml:space="preserve">Vid tillämpning av denna förordning avses med schablonmässigt medräkningsbara intecknade EHQLA och schablonmässigt medräkningsbara intecknade HQLA poster med erhållna säkerheter eller emitterade egna </w:t>
            </w:r>
            <w:r>
              <w:rPr>
                <w:rStyle w:val="TeksttreciTimesNewRoman105ptOdstpy0pt"/>
                <w:sz w:val="24"/>
              </w:rPr>
              <w:lastRenderedPageBreak/>
              <w:t>räntebärande värdepapper som innehas/innehålls av institutet och som förtecknas i artiklarna 10–13 i delegerad förordning (EU) 2015/61 och som skulle uppfylla de allmänna och operativa krav som anges i artiklarna 7 och 8 i den delegerade förordningen, om det inte vore för deras status som intecknade tillgångar i enlighet med denna bilaga. Schablonmässigt medräkningsbara intecknade EHQLA och intecknade HQLA ska också uppfylla de exponeringsklasspecifika kraven i artiklarna 10–16 och 35–37 i delegerad förordning (EU) 2015/61. Det verkliga värdet av schablonmässigt medräkningsbara intecknade EHQLA och schablonmässigt medräkningsbara intecknade HQLA ska utgöra det verkliga värdet före tillämpningen av de nedsättningar som anges i artiklarna 10–16 i delegerad förordning (EU) 2015/61.</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Verkligt värde av erhållna säkerheter eller emitterade egna räntebärande värdepapper som kan intecknas</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det rapporterande institutets erhållna säkerheter som inte är intecknade men som kan intecknas, eftersom det rapporterande institutet har tillåtelse att sälja eller återpantsätta dem även om ägaren av säkerheterna inte blir föremål för fallissemang. Det innefattar även det verkliga värdet av emitterade egna räntebärande värdepapper som inte utgör egna säkerställda obligationer eller värdepapperiseringar och som inte är intecknade men som kan intecknas.</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emitterade av andra enheter i gruppen</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erhållna säkerheter eller emitterade egna räntebärande värdepapper som inte utgörs av egna säkerställda obligationer eller värdepapperiseringar, som kan intecknas och som emitterats av någon enhet som ingår i konsolideringen för tillsynsändamål.</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godtagbara för centralbanker</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verkliga värdet av erhållna säkerheter eller emitterade egna räntebärande värdepapper som inte utgörs av egna säkerställda obligationer eller värdepapperiseringar, som kan intecknas och som är godtagbara för transaktioner med de centralbanker som det rapporterande institutet har tillgång till. </w:t>
            </w:r>
          </w:p>
          <w:p w14:paraId="154284A7"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 xml:space="preserve">Rapporterande institut som inte kan fastställa huruvida en post är godtagbar för centralbanker, exempelvis i jurisdiktioner som inte har en tydlig definition av tillgångar som är godtagbara för repor med centralbanker eller som inte har tillgång till en kontinuerligt fungerande repomarknad med centralbanker, kan avstå från att rapportera det berörda beloppet för den posten, </w:t>
            </w:r>
            <w:r>
              <w:rPr>
                <w:rStyle w:val="instructionstabelleberschrift0"/>
                <w:rFonts w:ascii="Times New Roman" w:hAnsi="Times New Roman"/>
                <w:b w:val="0"/>
                <w:sz w:val="24"/>
                <w:u w:val="none"/>
              </w:rPr>
              <w:t>dvs. lämna rapporteringsfältet tomt</w:t>
            </w:r>
            <w:r>
              <w:rPr>
                <w:rFonts w:ascii="Times New Roman" w:hAnsi="Times New Roman"/>
                <w:sz w:val="24"/>
              </w:rPr>
              <w: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EHQLA och HQLA</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Det verkliga värdet av icke-intecknade erhållna säkerheter eller emitterade egna räntebärande värdepapper som innehas/innehålls av institutet, som inte utgör egna säkerställda obligationer eller värdepapperiseringspositioner, som kan intecknas och som uppfyller kraven för att betecknas som EHQLA och HQLA förtecknade i artiklarna 10–13 i delegerad förordning (EU) 2015/61 och uppfyller de allmänna och operativa krav som anges i artiklarna 7 och 8 i den delegerade förordningen samt de exponeringsklasspecifika kraven i artiklarna 10–16 och 35–37 i den delegerade förordningen.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lastRenderedPageBreak/>
              <w:t>Det verkliga värdet av EHQLA och HQLA ska utgöra det verkliga värdet före tillämpningen av de nedsättningar som anges i artiklarna 10–16 i delegerad förordning (EU) 2015/61.</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Nominellt värde av erhållna säkerheter eller emitterade egna räntebärande värdepapper som inte kan intecknas</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nominella värdet av erhållna säkerheter som innehas av det rapporterande institutet, som inte är intecknade och som inte kan intecknas.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ska även innefatta det nominella värdet av emitterade egna räntebärande värdepapper som inte utgör egna säkerställda obligationer eller värdepapperiseringar, som innehålls av det rapporterande institutet, som inte är intecknade och som inte heller kan intecknas.</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3" w:name="_Toc187917703"/>
      <w:r>
        <w:rPr>
          <w:rFonts w:ascii="Times New Roman" w:hAnsi="Times New Roman"/>
          <w:sz w:val="24"/>
          <w:u w:val="none"/>
        </w:rPr>
        <w:t>Mall: AE-NPL. Emitterade egna säkerställda obligationer och värdepapperiseringar som ännu inte pantsatts</w:t>
      </w:r>
      <w:bookmarkEnd w:id="43"/>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4" w:name="_Toc187917704"/>
      <w:r>
        <w:rPr>
          <w:rFonts w:ascii="Times New Roman" w:hAnsi="Times New Roman"/>
          <w:sz w:val="24"/>
          <w:u w:val="none"/>
        </w:rPr>
        <w:t>Allmänna kommentarer</w:t>
      </w:r>
      <w:bookmarkEnd w:id="44"/>
    </w:p>
    <w:p w14:paraId="4EC27690" w14:textId="77777777" w:rsidR="00941FAE" w:rsidRPr="00857276" w:rsidRDefault="00941FAE" w:rsidP="00941FAE">
      <w:pPr>
        <w:pStyle w:val="InstructionsText2"/>
        <w:shd w:val="clear" w:color="auto" w:fill="FFFFFF"/>
        <w:spacing w:after="120"/>
        <w:rPr>
          <w:sz w:val="24"/>
        </w:rPr>
      </w:pPr>
      <w:r>
        <w:rPr>
          <w:sz w:val="24"/>
        </w:rPr>
        <w:t>För att undvika dubbelräkning gäller följande regler för emitterade egna säkerställda obligationer och värdepapperiseringar som innehålls av det rapporterande institutet:</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Om dessa värdepapper är pantsatta ska beloppet för den säkerhetsmassa/de underliggande tillgångar som ligger till grund för dem rapporteras som intecknade tillgångar i AE-ASS-mallen. Finansieringskällan i händelse av pantsättning av egna säkerställda obligationer och värdepapperiseringar är den nya transaktion där värdepapperen pantsätts (centralbanksfinansiering eller annan typ av säkrad finansiering), inte den ursprungliga emissionen av säkerställda obligationer eller värdepapperiseringar.</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Om dessa värdepapper ännu inte är pantsatta ska beloppet för den säkerhetsmassa/de underliggande tillgångar som ligger till grund för dessa värdepapper rapporteras som icke-intecknade tillgångar i AE-ASS-mallen.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87917705"/>
      <w:r>
        <w:rPr>
          <w:rFonts w:ascii="Times New Roman" w:hAnsi="Times New Roman"/>
          <w:sz w:val="24"/>
          <w:u w:val="none"/>
        </w:rPr>
        <w:t>Instruktioner för särskilda rader</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Rad</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Emitterade egna säkerställda obligationer och värdepapperiseringar som ännu inte pantsatts</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Emitterade egna säkerställda obligationer och värdepapperiseringar som innehålls av det rapporterande institutet och som inte är intecknade.</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Innehållna emitterade säkerställda obligationer</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Emitterade egna säkerställda obligationer som innehålls av det rapporterande institutet och som inte är intecknade.</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Innehållna emitterade värdepapperiseringar</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Emitterade egna värdepapperiseringar som innehålls av det rapporterande institutet och som inte är intecknade.</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Högre prioritering</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xml:space="preserve">Trancher av emitterade egna värdepapperiseringar med högre prioritering som innehålls av det rapporterande institutet och som inte är intecknade.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artikel 4.1.67 i förordning (EU) nr 575/2013.</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Mellanliggande positioner</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Mellanliggande trancher av emitterade egna värdepapperiseringar som innehålls av det rapporterande institutet och som inte är intecknade.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Alla trancher som inte är trancher med högre prioritering, dvs. sist att absorbera förluster eller trancher i första-förlustläge, ska anses vara mellanliggande trancher. Se artikel 4.1.67 i förordning (EU) nr 575/2013.</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Första-förlustläge</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Trancher i första-förlustläge av emitterade egna värdepapperiseringar som innehålls av det rapporterande institutet och som inte är intecknade.</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artikel 4.1.67 i förordning (EU) nr 575/2013.</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87917706"/>
      <w:r>
        <w:rPr>
          <w:rFonts w:ascii="Times New Roman" w:hAnsi="Times New Roman"/>
          <w:sz w:val="24"/>
          <w:u w:val="none"/>
        </w:rPr>
        <w:t>Instruktioner för särskilda kolumner</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Kolumn</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Redovisat värde av underliggande grupp av tillgångar</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redovisade värdet av den säkerhetsmassa/de underliggande tillgångar som ligger till grund för de egna säkerställda obligationer och egna värdepapperiseringar som innehålls och som ännu inte pantsatts.</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Verkligt värde av emitterade räntebärande värdepapper som kan intecknas</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egna säkerställda obligationer och egna värdepapperiseringar som innehålls och som inte är intecknade men som kan intecknas.</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godtagbara för centralbanker</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egna säkerställda obligationer och egna värdepapperiseringar som innehålls och som uppfyller vart och ett av följande villkor:</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De är inte intecknade.</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De kan intecknas.</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De är godtagbara för transaktioner med de centralbanker som det rapporterande institutet har tillgång till.</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Rapporterande institut som inte kan fastställa huruvida en post är godtagbar för centralbanker, exempelvis i jurisdiktioner som inte har en tydlig definition av tillgångar som är godtagbara för repor med centralbanker eller som inte har tillgång till en kontinuerligt fungerande repomarknad med centralbanker, kan avstå från att rapportera det berörda beloppet för den posten, </w:t>
            </w:r>
            <w:r>
              <w:rPr>
                <w:rStyle w:val="instructionstabelleberschrift0"/>
                <w:rFonts w:ascii="Times New Roman" w:hAnsi="Times New Roman"/>
                <w:b w:val="0"/>
                <w:sz w:val="24"/>
                <w:u w:val="none"/>
              </w:rPr>
              <w:t>dvs. lämna rapporteringsfältet tomt</w:t>
            </w:r>
            <w:r>
              <w:rPr>
                <w:rFonts w:ascii="Times New Roman" w:hAnsi="Times New Roman"/>
                <w:sz w:val="24"/>
              </w:rPr>
              <w: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schablonmässigt medräkningsbara tillgångar med extremt hög likviditets- och kreditkvalitet (EHQLA) och tillgångar med hög likviditets- och kreditkvalitet (HQLA)</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verkliga värdet av intecknade erhållna säkerheter, inklusive i alla tänkbara värdepapperslånetransaktioner, eller emitterade egna räntebärande värdepapper som innehas/innehålls av institutet och som är schablonmässigt medräkningsbara för att betecknas som EHQLA och HQLA.</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 tillämpning av denna förordning avses med schablonmässigt medräkningsbara intecknade EHQLA och schablonmässigt medräkningsbara intecknade HQLA poster med erhållna säkerheter eller emitterade egna räntebärande värdepapper som innehas/innehålls av institutet och som förtecknas i artiklarna 10–13 i delegerad förordning (EU) 2015/61 och som skulle uppfylla de allmänna och operativa krav som anges i artiklarna 7 och 8 i den delegerade förordningen, om det inte vore för deras status som intecknade tillgångar i enlighet med denna bilaga. Schablonmässigt medräkningsbara intecknade EHQLA och intecknade HQLA ska också uppfylla de exponeringsklasspecifika kraven i artiklarna 10–16 och 35–37 i delegerad förordning (EU) 2015/61. Det verkliga värdet av schablonmässigt medräkningsbara intecknade EHQLA och schablonmässigt medräkningsbara intecknade HQLA ska utgöra det verkliga värdet före tillämpningen av de nedsättningar som anges i artiklarna 10–16 i delegerad förordning (EU) 2015/61.</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Nominellt värde av emitterade egna räntebärande värdepapper som inte kan intecknas</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nominella värdet av egna säkerställda obligationer och egna värdepapperiseringar som innehålls och som inte är intecknade och som inte heller kan intecknas.</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3" w:name="_Toc187917707"/>
      <w:r>
        <w:rPr>
          <w:rFonts w:ascii="Times New Roman" w:hAnsi="Times New Roman"/>
          <w:sz w:val="24"/>
          <w:u w:val="none"/>
        </w:rPr>
        <w:t>Mall: AE-SOU. Inteckningskällor</w:t>
      </w:r>
      <w:bookmarkEnd w:id="53"/>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4" w:name="_Toc348096573"/>
      <w:bookmarkStart w:id="55" w:name="_Toc348097334"/>
      <w:bookmarkStart w:id="56" w:name="_Toc348101355"/>
      <w:bookmarkStart w:id="57" w:name="_Toc187917708"/>
      <w:r>
        <w:rPr>
          <w:rFonts w:ascii="Times New Roman" w:hAnsi="Times New Roman"/>
          <w:sz w:val="24"/>
          <w:u w:val="none"/>
        </w:rPr>
        <w:t>Allmänna kommentarer</w:t>
      </w:r>
      <w:bookmarkEnd w:id="57"/>
    </w:p>
    <w:p w14:paraId="5FB769B7" w14:textId="77777777" w:rsidR="00941FAE" w:rsidRPr="00857276" w:rsidRDefault="00941FAE" w:rsidP="00941FAE">
      <w:pPr>
        <w:pStyle w:val="InstructionsText2"/>
        <w:shd w:val="clear" w:color="auto" w:fill="FFFFFF"/>
        <w:spacing w:after="120"/>
        <w:rPr>
          <w:sz w:val="24"/>
        </w:rPr>
      </w:pPr>
      <w:r>
        <w:rPr>
          <w:sz w:val="24"/>
        </w:rPr>
        <w:t>Denna mall ger information om de olika inteckningskällornas betydelse för det rapporterande institutet, inbegripet källor utan tillhörande finansiering som låneåtaganden eller erhållna finansiella garantier och värdepapperslån mot icke-kontant säkerhet.</w:t>
      </w:r>
    </w:p>
    <w:p w14:paraId="1A5F7B35" w14:textId="7406514A" w:rsidR="00941FAE" w:rsidRPr="00857276" w:rsidRDefault="00941FAE" w:rsidP="00941FAE">
      <w:pPr>
        <w:pStyle w:val="InstructionsText2"/>
        <w:shd w:val="clear" w:color="auto" w:fill="FFFFFF"/>
        <w:spacing w:after="120"/>
        <w:rPr>
          <w:sz w:val="24"/>
        </w:rPr>
      </w:pPr>
      <w:r>
        <w:rPr>
          <w:sz w:val="24"/>
        </w:rPr>
        <w:t xml:space="preserve">Det totala beloppet för tillgångar och erhållna säkerheter i AE-ASS- och AE-COL-mallarna har följande valideringsregel: {AE-SOU; r0170; c0030} = {AE-ASS; r0010; c0010} + {AE-COL; r0130; c0010} + {AE-COL; r0240; c0010}.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8" w:name="_Toc187917709"/>
      <w:r>
        <w:rPr>
          <w:rFonts w:ascii="Times New Roman" w:hAnsi="Times New Roman"/>
          <w:sz w:val="24"/>
          <w:u w:val="none"/>
        </w:rPr>
        <w:t>Instruktioner för särskilda rader</w:t>
      </w:r>
      <w:bookmarkEnd w:id="54"/>
      <w:bookmarkEnd w:id="55"/>
      <w:bookmarkEnd w:id="56"/>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Rad</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Redovisat värde av utvalda finansiella skulder</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utvalda finansiella skulder hos det rapporterande institutet för vilka säkerhet ställts, i den mån dessa skulder innebär tillgångsinteckning för institutet.</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Det redovisade värdet av derivat hos det rapporterande institutet för vilka säkerhet ställts och som utgör finansiella skulder, dvs. de har ett negativt verkligt värde, i den mån dessa derivat innebär tillgångsinteckning för institutet.</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varav: OTC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derivat hos det rapporterande institutet för vilka säkerhet ställts och som utgör finansiella skulder och handlas OTC, i den mån dessa derivat innebär tillgångsinteckning.</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Inlåning</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inlåning hos det rapporterande institutet för vilken säkerhet ställts, i den mån denna inlåning innebär tillgångsinteckning för institutet.</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Repor</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t>Det redovisade bruttovärdet (utan eventuell nettning enligt redovisningsreglerna) för repor hos det rapporterande institutet, i den mån dessa transaktioner innebär tillgångsinteckning för institutet.</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Med repor avses transaktioner där det rapporterande institutet erhåller kontanter i utbyte mot finansiella tillgångar som säljs till ett givet pris med ett åtagande om att återköpa samma (eller identiska) tillgångar till ett fast pris vid en fastställd tidpunkt i framtiden. Samtliga följande varianter av transaktioner av repotyp ska rapporteras som repor: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belopp som erhållits i utbyte mot värdepapper som tillfälligt överlåtits till tredje part i form av ett värdepapperslån mot kontant säkerhet, och</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 belopp som erhållits i utbyte mot värdepapper som tillfälligt överlåtits till tredje part i form av ett återköpsavtal (sale/buy-back).</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centralbanker</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det rapporterande institutets repor med centralbanker, i den mån dessa transaktioner innebär tillgångsinteckning.</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Inlåning för vilken säkerhet ställts och som inte utgör repor</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redovisade värdet av inlåning hos det rapporterande institutet för vilken säkerhet ställts och som inte utgör repor, i den mån denna inlåning innebär tillgångsinteckning för institutet.</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centralbanker</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det rapporterande institutets inlåning hos centralbanker för vilken säkerhet ställts och som inte utgör repor, i den mån denna inlåning innebär tillgångsinteckning för institutet.</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Emitterade räntebärande värdepapper</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redovisade värdet av räntebärande värdepapper som emitterats av det rapporterande institutet, i den mån dessa emitterade värdepapper innebär tillgångsinteckning för institutet.</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Den innehållna delen av en emission ska omfattas av den särskilda behandling som föreskrivs i del A punkt 15 vi, så att endast den procentandel av de räntebärande värdepapperen som placeras utanför enheter i gruppen tas med i denna kategori.</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säkerställda obligationer</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säkerställda obligationer vars tillgångar har sitt ursprung hos det rapporterande institutet, i den mån dessa emitterade värdepapper innebär tillgångsinteckning för institutet.</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emitterade värdepapperiseringar</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Det redovisade värdet av värdepapperiseringar som emitterats av det rapporterande institutet, i den mån dessa emitterade värdepapper innebär tillgångsinteckning för institutet.</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Andra inteckningskällor</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Beloppet för transaktioner hos det rapporterande institutet för vilka säkerhet ställts och som inte utgör finansiella skulder, i den mån dessa transaktioner innebär tillgångsinteckning för institutet.</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Nominellt värde av erhållna låneåtaganden</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Det nominella värdet av låneåtaganden som erhållits av det rapporterande institutet, i den mån dessa erhållna åtaganden innebär tillgångsinteckning för institutet.</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Nominellt värde av erhållna finansiella garantier</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Det nominella värdet av finansiella garantier som erhållits av det rapporterande institutet, i den mån dessa erhållna garantier innebär tillgångsinteckning för institutet.</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Verkligt värde av värdepapper som lånats mot icke-kontant säkerhet</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Det verkliga värdet av värdepapper som det rapporterande institutet lånat utan kontant säkerhet, i den mån dessa transaktioner innebär tillgångsinteckning för institutet.</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Övriga</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Beloppet för transaktioner hos det rapporterande institutet för vilka säkerhet ställts, som inte utgör finansiella skulder och som inte täcks av posterna på raderna 0130–0150, i den mån dessa transaktioner innebär tillgångsinteckning för institutet.</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TOTALT INTECKNINGSKÄLLOR</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Beloppet för alla transaktioner hos det rapporterande institutet för vilka säkerhet ställts, i den mån dessa transaktioner innebär tillgångsinteckning för institutet.</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87917710"/>
      <w:r>
        <w:rPr>
          <w:rFonts w:ascii="Times New Roman" w:hAnsi="Times New Roman"/>
          <w:sz w:val="24"/>
          <w:u w:val="none"/>
        </w:rPr>
        <w:t>Instruktioner för särskilda kolumner</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Kolumn</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Matchande skulder, ansvarsförbindelser eller utlånade värdepapper</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Beloppet för matchande finansiella skulder, ansvarsförbindelser (erhållna låneåtaganden och erhållna finansiella garantier) och värdepapper som lånats ut mot icke-kontant säkerhet, i den mån dessa transaktioner innebär tillgångsinteckning för institutet.</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Finansiella skulder ska rapporteras till sitt redovisade värde, ansvarsförbindelser ska rapporteras till sitt nominella värde och värdepapper som lånats ut mot icke-kontant säkerhet ska rapporteras till sitt verkliga värde.</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från andra enheter i gruppen</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Beloppet för matchande finansiella skulder, ansvarsförbindelser (erhållna låneåtaganden och erhållna finansiella garantier) och värdepapper som lånats ut mot icke-kontant säkerhet, i den mån motparten är någon annan enhet som ingår i konsolideringen för tillsynsändamål och transaktionen innebär tillgångsinteckning för det rapporterande institutet.</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För regler om beloppstyper, se instruktionerna för kolumn 0010.</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Tillgångar, erhållna säkerheter och emitterade egna värdepapper som inte utgör säkerställda obligationer eller värdepapperiseringar och är intecknade</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Beloppet för de tillgångar, erhållna säkerheter och andra emitterade egna värdepapper än säkerställda obligationer och värdepapperiseringar som är intecknade till följd av de olika typer av transaktioner som specificeras på raderna.</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 att säkerställa konsekvens med kriterierna i AE-ASS- och AE-COL-mallarna ska det rapporterande institutets tillgångar som är redovisade i balansräkningen rapporteras till sina redovisade värden, medan återanvända erhållna säkerheter och intecknade emitterade egna värdepapper som inte utgör säkerställda obligationer eller värdepapperiseringar ska rapporteras till sina verkliga värden.</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återanvända erhållna säkerheter</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Det verkliga värdet av erhållna säkerheter som återanvänts/intecknats till följd av de olika typer av transaktioner som specificeras på raderna.</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intecknade egna räntebärande värdepapper</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Det verkliga värdet av emitterade egna värdepapper som inte utgör säkerställda obligationer eller värdepapperiseringar och som är intecknade till följd av de olika typer av transaktioner som specificeras på raderna.</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3" w:name="_Toc187917711"/>
      <w:r>
        <w:rPr>
          <w:rFonts w:ascii="Times New Roman" w:hAnsi="Times New Roman"/>
          <w:b/>
          <w:sz w:val="24"/>
          <w:u w:val="none"/>
        </w:rPr>
        <w:t>Del B: Uppgifter om löptider</w:t>
      </w:r>
      <w:bookmarkEnd w:id="63"/>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87917712"/>
      <w:r>
        <w:rPr>
          <w:rFonts w:ascii="Times New Roman" w:hAnsi="Times New Roman"/>
          <w:sz w:val="24"/>
          <w:u w:val="none"/>
        </w:rPr>
        <w:t>Allmänna kommentarer</w:t>
      </w:r>
      <w:bookmarkEnd w:id="64"/>
    </w:p>
    <w:p w14:paraId="1C9B7914" w14:textId="77777777" w:rsidR="00941FAE" w:rsidRPr="00857276" w:rsidRDefault="00941FAE" w:rsidP="00941FAE">
      <w:pPr>
        <w:pStyle w:val="InstructionsText2"/>
        <w:shd w:val="clear" w:color="auto" w:fill="FFFFFF"/>
        <w:spacing w:after="120"/>
        <w:rPr>
          <w:sz w:val="24"/>
        </w:rPr>
      </w:pPr>
      <w:r>
        <w:rPr>
          <w:sz w:val="24"/>
        </w:rPr>
        <w:t>Den mall som anges i del B ger en allmän översikt över beloppet för intecknade tillgångar och återanvända erhållna säkerheter som ingår i de respektive definierade intervallen för de matchande skuldernas återstående löptid.</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5" w:name="_Toc187917713"/>
      <w:r>
        <w:rPr>
          <w:rFonts w:ascii="Times New Roman" w:hAnsi="Times New Roman"/>
          <w:sz w:val="24"/>
          <w:u w:val="none"/>
        </w:rPr>
        <w:t>Mall: AE-MAT. Uppgifter om löptider</w:t>
      </w:r>
      <w:bookmarkEnd w:id="65"/>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87917714"/>
      <w:r>
        <w:rPr>
          <w:rFonts w:ascii="Times New Roman" w:hAnsi="Times New Roman"/>
          <w:sz w:val="24"/>
          <w:u w:val="none"/>
        </w:rPr>
        <w:t>Instruktioner för särskilda rader</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Rad</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Intecknade tillgångar</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denna mall avses med intecknade tillgångar följande:</w:t>
            </w:r>
          </w:p>
          <w:p w14:paraId="54C4FB1C" w14:textId="715A6AEC"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rapporterande institutets tillgångar (se instruktionerna för rad 0010 i AE-ASS-mallen), som ska rapporteras till sitt redovisade värde.</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Emitterade egna räntebärande värdepapper som inte utgör säkerställda obligationer eller värdepapperiseringar (se instruktionerna för rad 240 i AE-COL-mallen) och som ska rapporteras till sitt verkliga värde.</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Dessa belopp ska fördelas mellan de olika intervaller för återstående löptid som anges i kolumnerna på grundval av den återstående löptiden för källan till deras inteckning (matchande skuld, ansvarsförbindelse eller värdepapperslånetransaktion).</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Återanvända erhållna säkerheter (mottagande del)</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instruktionerna för rad 130 i AE-COL-mallen och kolumn 0040 i AE-SOU-mallen.</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Instituten ska rapportera beloppen till verkligt värde och fördela dem mellan de olika intervaller för återstående löptid som anges i kolumnerna på grundval av den återstående löptiden för den transaktion som för institutet genererat mottagandet av den säkerhet som återanvänds (mottagande del).</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Återanvända erhållna säkerheter (återanvändningsdel)</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instruktionerna för rad 130 i AE-COL-mallen och kolumn 0040 i AE-SOU-mallen.</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Instituten ska rapportera beloppen till verkligt värde och fördela dem mellan de olika intervaller för återstående löptid som anges i kolumnerna på grundval av den återstående löptiden för källan till deras inteckning (återanvändningsdel): matchande skuld, ansvarsförbindelse eller värdepapperslånetransaktion.</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87917715"/>
      <w:r>
        <w:rPr>
          <w:rFonts w:ascii="Times New Roman" w:hAnsi="Times New Roman"/>
          <w:sz w:val="24"/>
          <w:u w:val="none"/>
        </w:rPr>
        <w:t>Instruktioner för särskilda kolumner</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Kolumn</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Obestämd löptid</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På anfordran, utan angiven förfallodag.</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En dag</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tidigare än eller lika med 1 dag.</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dag &lt;= 1 vecka</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1 dag och tidigare än eller lika med 1 vecka.</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vecka &lt;= 2 veckor</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1 vecka och tidigare än eller lika med 2 veckor.</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veckor &lt;= 1 månad</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2 veckor och tidigare än eller lika med 1 månad.</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månad &lt;= 3 månader</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1 månad och tidigare än eller lika med 3 månader.</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månader &lt;= 6 månader</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3 månader och tidigare än eller lika med 6 månader.</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6 månader &lt;= 1 år</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6 månader och tidigare än eller lika med 1 år.</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år &lt;= 2 år</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1 år och tidigare än eller lika med 2 år.</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år &lt;= 3 år</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2 år och tidigare än eller lika med 3 år.</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år &lt;= 5 år</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3 år och tidigare än eller lika med 5 år.</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år &lt;= 10 år</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5 år och tidigare än eller lika med 10 år.</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10 år</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Förfallodag senare än 10 år.</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4" w:name="_Toc187917716"/>
      <w:r>
        <w:rPr>
          <w:rFonts w:ascii="Times New Roman" w:hAnsi="Times New Roman"/>
          <w:b/>
          <w:sz w:val="24"/>
          <w:u w:val="none"/>
        </w:rPr>
        <w:t>Del C: Potentiella inteckningar</w:t>
      </w:r>
      <w:bookmarkEnd w:id="74"/>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87917717"/>
      <w:r>
        <w:rPr>
          <w:rFonts w:ascii="Times New Roman" w:hAnsi="Times New Roman"/>
          <w:sz w:val="24"/>
          <w:u w:val="none"/>
        </w:rPr>
        <w:t>Allmänna kommentarer</w:t>
      </w:r>
      <w:bookmarkEnd w:id="75"/>
    </w:p>
    <w:p w14:paraId="732A7B9B" w14:textId="5AFC7AA3" w:rsidR="00941FAE" w:rsidRPr="00857276" w:rsidRDefault="00AC3ACC" w:rsidP="00941FAE">
      <w:pPr>
        <w:pStyle w:val="InstructionsText2"/>
        <w:shd w:val="clear" w:color="auto" w:fill="FFFFFF"/>
        <w:spacing w:after="120"/>
        <w:rPr>
          <w:sz w:val="24"/>
        </w:rPr>
      </w:pPr>
      <w:r>
        <w:rPr>
          <w:sz w:val="24"/>
        </w:rPr>
        <w:t>I denna mall ska instituten ange den nivå för tillgångsinteckning som leder till ett antal stresscenarier.</w:t>
      </w:r>
    </w:p>
    <w:p w14:paraId="3FD4CD31" w14:textId="22F9A8A4" w:rsidR="00941FAE" w:rsidRPr="00857276" w:rsidRDefault="00941FAE" w:rsidP="00941FAE">
      <w:pPr>
        <w:pStyle w:val="InstructionsText2"/>
        <w:shd w:val="clear" w:color="auto" w:fill="FFFFFF"/>
        <w:spacing w:after="120"/>
        <w:rPr>
          <w:sz w:val="24"/>
        </w:rPr>
      </w:pPr>
      <w:r>
        <w:rPr>
          <w:sz w:val="24"/>
        </w:rPr>
        <w:t>Med potentiella inteckningar avses de ytterligare tillgångar som kan behöva intecknas om de rapporterande instituten ställs inför en negativ utveckling som utlösts av en extern händelse utanför det rapporterande institutets kontroll (exempelvis en nedgradering, minskning av intecknade tillgångars verkliga värde eller en allmän förtroendeförlust). I sådana fall behöver det rapporterande institutet inteckna ytterligare tillgångar till följd av redan existerande transaktioner. Det ytterligare beloppet för intecknade tillgångar ska anges netto inräknat effekterna av institutets säkringstransaktioner mot de händelser som beskrivs under de ovannämnda stresscenarierna.</w:t>
      </w:r>
    </w:p>
    <w:p w14:paraId="61D0A026" w14:textId="22751820" w:rsidR="00941FAE" w:rsidRPr="00857276" w:rsidRDefault="00941FAE" w:rsidP="00941FAE">
      <w:pPr>
        <w:pStyle w:val="InstructionsText2"/>
        <w:shd w:val="clear" w:color="auto" w:fill="FFFFFF"/>
        <w:spacing w:after="120"/>
        <w:rPr>
          <w:sz w:val="24"/>
        </w:rPr>
      </w:pPr>
      <w:r>
        <w:rPr>
          <w:sz w:val="24"/>
        </w:rPr>
        <w:t>Mallen innehåller följande två scenarier för att rapportera potentiella inteckningar, som beskrivs närmare i avsnitten 4.1.1 och 4.1.2. Den information som rapporteras ska vara institutets rimliga uppskattning baserad på bästa tillgängliga information.</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t>Minskning av intecknade tillgångars verkliga värde med 30 %. Detta scenario täcker endast en förändring av tillgångars underliggande verkliga värde och inte någon annan förändring som kan påverka deras redovisade värde, exempelvis valutakursvinster, valutakursförluster eller potentiella nedskrivningar. Det rapporterande institutet kan då tvingas ställa ytterligare säkerhet för att bevara säkerhetsvärdet konstant.</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En depreciering på 10 % av varje valuta i vilken institutet har samlade skulder som motsvarar minst 5 % av institutets totala skulder.</w:t>
      </w:r>
    </w:p>
    <w:p w14:paraId="4C00D46A" w14:textId="24418C0E" w:rsidR="00941FAE" w:rsidRPr="00857276" w:rsidRDefault="00941FAE" w:rsidP="00941FAE">
      <w:pPr>
        <w:pStyle w:val="InstructionsText2"/>
        <w:spacing w:after="120"/>
        <w:rPr>
          <w:sz w:val="24"/>
        </w:rPr>
      </w:pPr>
      <w:bookmarkStart w:id="76" w:name="_Toc348096583"/>
      <w:bookmarkStart w:id="77" w:name="_Toc348097344"/>
      <w:bookmarkStart w:id="78" w:name="_Toc348101365"/>
      <w:r>
        <w:rPr>
          <w:sz w:val="24"/>
        </w:rPr>
        <w:t xml:space="preserve">Scenarierna ska rapporteras oberoende av varandra och deprecieringar av en betydande valuta ska också rapporteras oberoende av deprecieringar av </w:t>
      </w:r>
      <w:r>
        <w:rPr>
          <w:sz w:val="24"/>
        </w:rPr>
        <w:lastRenderedPageBreak/>
        <w:t>andra betydande valutor. Instituten ska således inte beakta korrelationer mellan scenarierna.</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79" w:name="_Toc187917718"/>
      <w:r>
        <w:rPr>
          <w:rFonts w:ascii="Times New Roman" w:hAnsi="Times New Roman"/>
          <w:sz w:val="24"/>
          <w:u w:val="none"/>
        </w:rPr>
        <w:t>Scenario A: Minskning av intecknade tillgångars värde med 30 %</w:t>
      </w:r>
      <w:bookmarkEnd w:id="79"/>
    </w:p>
    <w:p w14:paraId="3065C7EF" w14:textId="5BB6B2F3" w:rsidR="00941FAE" w:rsidRPr="00857276" w:rsidRDefault="00941FAE" w:rsidP="00941FAE">
      <w:pPr>
        <w:pStyle w:val="InstructionsText2"/>
        <w:spacing w:after="120"/>
        <w:rPr>
          <w:sz w:val="24"/>
        </w:rPr>
      </w:pPr>
      <w:r>
        <w:rPr>
          <w:sz w:val="24"/>
        </w:rPr>
        <w:t>Det ska antas att alla intecknade tillgångar minskar med 30 % i värde. Vid beräkningen av den ytterligare säkerhet som behövs till följd av en sådan minskning ska befintliga nivåer av övervärde i säkerhetsmassan beaktas, så att endast minimisäkerhetsnivån uppnås. Vid beräkningen av behovet av ytterligare säkerhet ska instituten också beakta avtalade krav i de berörda kontrakten och avtalen, inklusive utlösande tröskelvärden.</w:t>
      </w:r>
    </w:p>
    <w:p w14:paraId="4BB3DCA3" w14:textId="77777777" w:rsidR="00941FAE" w:rsidRPr="00857276" w:rsidRDefault="00941FAE" w:rsidP="00941FAE">
      <w:pPr>
        <w:pStyle w:val="InstructionsText2"/>
        <w:spacing w:after="120"/>
        <w:rPr>
          <w:sz w:val="24"/>
        </w:rPr>
      </w:pPr>
      <w:r>
        <w:rPr>
          <w:sz w:val="24"/>
        </w:rPr>
        <w:t>Endast sådana kontrakt och avtal där det finns en juridisk skyldighet att ställa ytterligare säkerhet ska inbegripas. I detta ska ingå emissioner av säkerställda obligationer där det finns ett juridiskt krav på att upprätthålla miniminivåer av övervärde i säkerhetsmassan, men inget krav på att upprätthålla säkerställda obligationers befintliga kreditvärderingsnivåer.</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87917719"/>
      <w:r>
        <w:rPr>
          <w:rFonts w:ascii="Times New Roman" w:hAnsi="Times New Roman"/>
          <w:sz w:val="24"/>
          <w:u w:val="none"/>
        </w:rPr>
        <w:t>Scenario B: Depreciering av betydande valutor med 10 %</w:t>
      </w:r>
      <w:bookmarkEnd w:id="80"/>
    </w:p>
    <w:p w14:paraId="5E76C9DE" w14:textId="5D7CDB33" w:rsidR="00941FAE" w:rsidRPr="00857276" w:rsidRDefault="00941FAE" w:rsidP="00941FAE">
      <w:pPr>
        <w:pStyle w:val="InstructionsText2"/>
        <w:spacing w:after="120"/>
        <w:rPr>
          <w:sz w:val="24"/>
        </w:rPr>
      </w:pPr>
      <w:r>
        <w:rPr>
          <w:sz w:val="24"/>
        </w:rPr>
        <w:t>En valuta ska betraktas som en betydande valuta om det rapporterande institutet har samlade skulder i den valutan som motsvarar minst 5 % av institutets totala skulder.</w:t>
      </w:r>
    </w:p>
    <w:p w14:paraId="0E2B3433" w14:textId="6DEB281A" w:rsidR="00941FAE" w:rsidRPr="00857276" w:rsidRDefault="00941FAE" w:rsidP="00941FAE">
      <w:pPr>
        <w:pStyle w:val="InstructionsText2"/>
        <w:spacing w:after="120"/>
        <w:rPr>
          <w:sz w:val="24"/>
        </w:rPr>
      </w:pPr>
      <w:r>
        <w:rPr>
          <w:sz w:val="24"/>
        </w:rPr>
        <w:t>Vid beräkningen av en depreciering på 10 % ska hänsyn tas till förändringar på både tillgångs- och skuldsidan, dvs. instituten ska fokusera på obalanser mellan tillgångar och skulder. Exempelvis ger en repa i US-dollar som grundas på tillgångar i US-dollar inte upphov till ytterligare inteckningsbehov, medan en repa i US-dollar som grundas på en tillgång i euro ger upphov till ytterligare inteckningsbehov.</w:t>
      </w:r>
    </w:p>
    <w:p w14:paraId="2A7E473E" w14:textId="77777777" w:rsidR="00941FAE" w:rsidRPr="00857276" w:rsidRDefault="00941FAE" w:rsidP="00941FAE">
      <w:pPr>
        <w:pStyle w:val="InstructionsText2"/>
        <w:spacing w:after="120"/>
        <w:rPr>
          <w:sz w:val="24"/>
        </w:rPr>
      </w:pPr>
      <w:r>
        <w:rPr>
          <w:sz w:val="24"/>
        </w:rPr>
        <w:t>Alla transaktioner som berör mer än en valuta ska omfattas av denna beräkning.</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1" w:name="_Toc187917720"/>
      <w:r>
        <w:rPr>
          <w:rFonts w:ascii="Times New Roman" w:hAnsi="Times New Roman"/>
          <w:sz w:val="24"/>
          <w:u w:val="none"/>
        </w:rPr>
        <w:t>Mall: AE-CONT. Potentiella inteckningar</w:t>
      </w:r>
      <w:bookmarkEnd w:id="81"/>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2" w:name="_Toc187917721"/>
      <w:r>
        <w:rPr>
          <w:rFonts w:ascii="Times New Roman" w:hAnsi="Times New Roman"/>
          <w:sz w:val="24"/>
          <w:u w:val="none"/>
        </w:rPr>
        <w:t>Instruktioner för särskilda rader</w:t>
      </w:r>
      <w:bookmarkEnd w:id="76"/>
      <w:bookmarkEnd w:id="77"/>
      <w:bookmarkEnd w:id="78"/>
      <w:bookmarkEnd w:id="82"/>
    </w:p>
    <w:p w14:paraId="390F2E09" w14:textId="21C160BD" w:rsidR="00941FAE" w:rsidRPr="00857276" w:rsidRDefault="00941FAE" w:rsidP="00941FAE">
      <w:pPr>
        <w:pStyle w:val="InstructionsText2"/>
        <w:shd w:val="clear" w:color="auto" w:fill="FFFFFF"/>
        <w:spacing w:after="120"/>
        <w:rPr>
          <w:sz w:val="24"/>
        </w:rPr>
      </w:pPr>
      <w:bookmarkStart w:id="83" w:name="_Toc348096584"/>
      <w:r>
        <w:rPr>
          <w:sz w:val="24"/>
        </w:rPr>
        <w:t>Se instruktionerna för särskilda rader i AE-SOU-mallen i avsnitt 2.4.2. Innehållet i AE-CONT-mallens rader skiljer sig inte från AE-SOU-mallens.</w:t>
      </w:r>
      <w:bookmarkEnd w:id="83"/>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187917722"/>
      <w:r>
        <w:rPr>
          <w:rFonts w:ascii="Times New Roman" w:hAnsi="Times New Roman"/>
          <w:sz w:val="24"/>
          <w:u w:val="none"/>
        </w:rPr>
        <w:t>Instruktioner för särskilda kolumner</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Kolumn</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Matchande skulder, ansvarsförbindelser eller utlånade värdepapper</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Samma instruktioner och uppgifter som för kolumn 0010 i AE-SOU-mallen: Beloppet för matchande finansiella skulder, ansvarsförbindelser (erhållna låneåtaganden och erhållna finansiella garantier) och värdepapper som lånats ut mot icke-kontant säkerhet, i den mån dessa transaktioner innebär tillgångsinteckning för institutet.</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Så som anges för varje rad i mallen ska instituten rapportera finansiella skulder till sitt redovisade värde, ansvarsförbindelser till sitt nominella värde och värdepapper som lånats ut mot icke-kontant säkerhet till sitt verkliga värde.</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A. </w:t>
            </w:r>
            <w:r>
              <w:rPr>
                <w:rStyle w:val="InstructionsTabelleberschrift"/>
                <w:rFonts w:ascii="Times New Roman" w:hAnsi="Times New Roman"/>
                <w:sz w:val="24"/>
              </w:rPr>
              <w:t>Ytterligare belopp för intecknade tillgångar</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Ytterligare belopp för tillgångar som skulle bli intecknade till följd av lagstadgade, tillsynsmässiga eller avtalsenliga krav som skulle kunna utlösas om scenario A inträffar.</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 enlighet med instruktionerna i del A ska instituten rapportera dessa belopp till deras redovisade värde, om beloppen är relaterade till det rapporterande institutets tillgångar, eller till deras verkliga värde, om beloppen är relaterade till erhållna säkerheter. Belopp som överskrider institutets icke-intecknade tillgångar och säkerheter ska rapporteras till verkligt värde.</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7938"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Ytterligare belopp för intecknade tillgångar. Betydande valuta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Ytterligare belopp för tillgångar som skulle bli intecknade till följd av lagstadgade, tillsynsmässiga eller avtalsenliga krav som skulle kunna utlösas om betydande valuta 1 deprecieras i scenario B.</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Se reglerna för beloppstyper i rad 0020.</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Ytterligare belopp för intecknade tillgångar. Betydande valuta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Ytterligare belopp för tillgångar som skulle bli intecknade till följd av lagstadgade, tillsynsmässiga eller avtalsenliga krav som skulle kunna utlösas om betydande valuta 2 deprecieras i scenario B.</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Se reglerna för beloppstyper i rad 0020.</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8" w:name="_Toc187917723"/>
      <w:r>
        <w:rPr>
          <w:rFonts w:ascii="Times New Roman" w:hAnsi="Times New Roman"/>
          <w:b/>
          <w:sz w:val="24"/>
          <w:u w:val="none"/>
        </w:rPr>
        <w:t>Del D: Säkerställda obligationer</w:t>
      </w:r>
      <w:bookmarkEnd w:id="88"/>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187917724"/>
      <w:r>
        <w:rPr>
          <w:rFonts w:ascii="Times New Roman" w:hAnsi="Times New Roman"/>
          <w:sz w:val="24"/>
          <w:u w:val="none"/>
        </w:rPr>
        <w:t>Allmänna kommentarer</w:t>
      </w:r>
      <w:bookmarkEnd w:id="89"/>
    </w:p>
    <w:p w14:paraId="77D3D13D" w14:textId="6009364B" w:rsidR="00941FAE" w:rsidRPr="00857276" w:rsidRDefault="00941FAE" w:rsidP="00941FAE">
      <w:pPr>
        <w:pStyle w:val="InstructionsText2"/>
        <w:shd w:val="clear" w:color="auto" w:fill="FFFFFF"/>
        <w:spacing w:after="120"/>
        <w:rPr>
          <w:sz w:val="24"/>
        </w:rPr>
      </w:pPr>
      <w:r>
        <w:rPr>
          <w:sz w:val="24"/>
        </w:rPr>
        <w:t>Informationen i denna mall ska rapporteras för alla säkerställda obligationer som uppfyller kraven för överlåtbara värdepapper och som emitterats av det rapporterande institutet. Säkerställda obligationer som uppfyller kraven för överlåtbara värdepapper är sådana obligationer som avses i artikel 52.4 första stycket i direktiv 2009/65/EG. De är säkerställda obligationer som emitterats av det rapporterande institutet, om det rapporterande institutet avseende den säkerställda obligationen enligt tillämplig lag omfattas av särskild offentlig tillsyn avsedd att skydda obligationsinnehavare och om det för den säkerställda obligationen enligt lag krävs att de belopp som härrör från emissionen av dessa obligationer ska investeras i tillgångar som, under obligationens hela giltighetstid, kan täcka de med obligationerna förenade fordringarna och som i händelse av emittentens fallissemang skulle användas med prioritet för återbetalning av kapitalbelopp och betalning av upplupen ränta.</w:t>
      </w:r>
    </w:p>
    <w:p w14:paraId="140F1257" w14:textId="77777777" w:rsidR="00941FAE" w:rsidRPr="00857276" w:rsidRDefault="00941FAE" w:rsidP="00941FAE">
      <w:pPr>
        <w:pStyle w:val="InstructionsText2"/>
        <w:shd w:val="clear" w:color="auto" w:fill="FFFFFF"/>
        <w:spacing w:after="120"/>
        <w:rPr>
          <w:sz w:val="24"/>
        </w:rPr>
      </w:pPr>
      <w:r>
        <w:rPr>
          <w:sz w:val="24"/>
        </w:rPr>
        <w:t>Säkerställda obligationer som emitteras av eller för det rapporterande institutets räkning och som inte uppfyller kraven för överlåtbara värdepapper ska inte rapporteras i AE-CB-mallarna.</w:t>
      </w:r>
    </w:p>
    <w:p w14:paraId="213F4CC7" w14:textId="77777777" w:rsidR="00941FAE" w:rsidRPr="00857276" w:rsidRDefault="00941FAE" w:rsidP="00941FAE">
      <w:pPr>
        <w:pStyle w:val="InstructionsText2"/>
        <w:shd w:val="clear" w:color="auto" w:fill="FFFFFF"/>
        <w:spacing w:after="120"/>
        <w:rPr>
          <w:sz w:val="24"/>
        </w:rPr>
      </w:pPr>
      <w:r>
        <w:rPr>
          <w:sz w:val="24"/>
        </w:rPr>
        <w:t>Rapporteringen ska baseras på den lagstadgade ordningen för säkerställda obligationer, dvs. de rättsliga bestämmelser som är tillämpliga på programmet för säkerställda obligationer.</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0" w:name="_Toc187917725"/>
      <w:r>
        <w:rPr>
          <w:rFonts w:ascii="Times New Roman" w:hAnsi="Times New Roman"/>
          <w:sz w:val="24"/>
          <w:u w:val="none"/>
        </w:rPr>
        <w:lastRenderedPageBreak/>
        <w:t>Mall: AE-CB. Emission av säkerställda obligationer</w:t>
      </w:r>
      <w:bookmarkEnd w:id="90"/>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1" w:name="_Toc348096589"/>
      <w:bookmarkStart w:id="92" w:name="_Toc348097349"/>
      <w:bookmarkStart w:id="93" w:name="_Toc348101370"/>
      <w:bookmarkStart w:id="94" w:name="_Toc187917726"/>
      <w:r>
        <w:rPr>
          <w:rFonts w:ascii="Times New Roman" w:hAnsi="Times New Roman"/>
          <w:sz w:val="24"/>
          <w:u w:val="none"/>
        </w:rPr>
        <w:t>Instruktioner för z-axeln</w:t>
      </w:r>
      <w:bookmarkEnd w:id="94"/>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Z-axel</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Identifierare för säkerhetsmassan (öppen)</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Identifieraren för säkerhetsmassan ska bestå av namnet på eller en entydig förkortning för den enhet som emitterar säkerhetsmassan och beteckningen på den säkerhetsmassa som enskilt omfattas av de berörda skyddsåtgärderna för säkerställda obligationer.</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5" w:name="_Toc187917727"/>
      <w:r>
        <w:rPr>
          <w:rFonts w:ascii="Times New Roman" w:hAnsi="Times New Roman"/>
          <w:sz w:val="24"/>
          <w:u w:val="none"/>
        </w:rPr>
        <w:t>Instruktioner för särskilda rader</w:t>
      </w:r>
      <w:bookmarkEnd w:id="91"/>
      <w:bookmarkEnd w:id="92"/>
      <w:bookmarkEnd w:id="93"/>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Rad</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Nominellt värde</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t>Det nominella värdet är summan av krav på betalning av kapitalbelopp, som fastställts i enlighet med de regler i respektive lagstadgade ordning för säkerställda obligationer som är tillämpliga vid fastställandet av tillräcklig täckning.</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Nuvärde (swapp)/Marknadsvärde</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Nuvärdet (swapp) är summan av krav på betalning av kapitalbelopp och ränta, diskonterad på grundval av en valutaspecifik riskfri räntekurva, som fastställts i enlighet med de regler i respektive lagstadgade ordning för säkerställda obligationer som är tillämpliga vid fastställandet av tillräcklig täckning.</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t>För kolumnerna 0080 och 0210 som avser derivatpositioner i säkerhetsmassan ska marknadsvärdet rapporteras.</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Tillgångsspecifikt värde</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Det tillgångsspecifika värdet ska vara det ekonomiska värdet av tillgångarna i säkerhetsmassan, som kan beskrivas i form av ett verkligt värde i enlighet med IFRS 13, ett marknadsvärde som observerats för utförda transaktioner på likvida marknader eller ett nuvärde som diskonterar framtida kassaflöden för en tillgång på grundval av en tillgångsspecifik räntekurva.</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Redovisat värde</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Det redovisade värdet av en skuld relaterad till säkerställda obligationer eller av en tillgång i säkerhetsmassan ska vara värdet enligt redovisningen för emittenten av den säkerställda obligationen.</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187917728"/>
      <w:r>
        <w:rPr>
          <w:rFonts w:ascii="Times New Roman" w:hAnsi="Times New Roman"/>
          <w:sz w:val="24"/>
          <w:u w:val="none"/>
        </w:rPr>
        <w:t>Instruktioner för särskilda kolumner</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Kolumn</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Överensstämmer med artikel 129 i förordning (EU) nr 575/2013? [JA/NEJ]</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Instituten ska ange om säkerhetsmassan uppfyller kraven i artikel 129 i förordning (EU) nr 575/2013 för att kunna omfattas av den förmånsbehandling som beskrivs i artikel 129.4 och 129.5 i den förordningen.</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Om JA, ange den primära tillgångsklassen i säkerhetsmassan</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Om säkerhetsmassan kan omfattas av den förmånsbehandling som beskrivs i artikel 129.4 och 129.5 i förordning (EU) nr 575/2013 (svar JA i kolumn 0011), ska den primära tillgångsklassen i säkerhetsmassan anges i denna cell. Klassificeringen i artikel 129.1 i den förordningen ska användas för detta ändamål, och koderna ”a”, ”b”, ”c”, ”d”, ”e”, ”f” och ”g” anges i enlighet därmed. Koden ”h” används om den primära tillgångsklassen i säkerhetsmassan inte ingår i någon av kategorierna ovan.</w:t>
            </w:r>
          </w:p>
        </w:tc>
      </w:tr>
      <w:tr w:rsidR="00941FAE" w:rsidRPr="00857276" w14:paraId="4E99761F" w14:textId="77777777" w:rsidTr="005150E8">
        <w:tc>
          <w:tcPr>
            <w:tcW w:w="993" w:type="dxa"/>
            <w:shd w:val="clear" w:color="auto" w:fill="FFFFFF"/>
          </w:tcPr>
          <w:p w14:paraId="2BE1F311" w14:textId="62516E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r w:rsidR="00275A1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Skulder relaterade till säkerställda obligationer</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Skulder relaterade till säkerställda obligationer ska vara de skulder som den emitterande enheten ådrar sig genom att emittera säkerställda obligationer och omfattar alla positioner som definieras i respektive lagstadgade ordning för säkerställda obligationer och som omfattas av de berörda skyddsåtgärderna för säkerställda obligationer (detta kan till exempel inbegripa värdepapper i omlopp samt positionen för motparter till emittenten av den säkerställda obligationen i derivatpositioner med ett för emittenten av säkerställda obligationer negativt marknadsvärde för säkerhetsmassan och som behandlas som skulder relaterade till säkerställda obligationer i enlighet med den berörda lagstadgade ordningen för säkerställda obligationer).</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Rapporteringsdatum</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Beloppen för skulder relaterade till säkerställda obligationer, exklusive derivatpositioner i säkerhetsmassan, i enlighet med olika framtida datumintervall.</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månader</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Datum ”+ 6 månader” ska vara den tidpunkt som infaller sex månader efter rapporteringsreferensdatumet. Belopp ska anges med antagandet om oförändrade skulder relaterade till säkerställda obligationer jämfört med rapporteringsreferensdatumet, förutom amorteringar. Om det inte finns en fast betalningsplan ska förväntade löptider användas på ett konsekvent sätt för utestående belopp vid framtida tidpunkter.</w:t>
            </w:r>
          </w:p>
        </w:tc>
      </w:tr>
      <w:tr w:rsidR="00941FAE" w:rsidRPr="00857276" w14:paraId="6949CAB5" w14:textId="77777777" w:rsidTr="005150E8">
        <w:tc>
          <w:tcPr>
            <w:tcW w:w="993" w:type="dxa"/>
            <w:shd w:val="clear" w:color="auto" w:fill="FFFFFF"/>
          </w:tcPr>
          <w:p w14:paraId="2018929C" w14:textId="0240B36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r w:rsidR="00275A1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månader - + 10 år</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Anges precis som för ”+ 6 månader” (kolumn 0030) för respektive tidpunkt i förhållande till rapporteringsreferensdatumet.</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Derivatpositioner i säkerhetsmassan med ett negativt nettomarknadsvärde</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negativa nettomarknadsvärdet för derivatpositioner i säkerhetsmassan som för emittenten av säkerställda obligationer har ett negativt nettomarknadsvärde.</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Derivatpositioner i säkerhetsmassan ska vara sådana nettoderivatpositioner som i enlighet med den berörda lagstadgade ordningen för säkerställda obligationer har inbegripits i säkerhetsmassan och omfattas av respektive skyddsåtgärder för säkerställda obligationer, genom att sådana derivatpositioner med ett negativt marknadsvärde kräver täckning i form av godtagbara tillgångar i säkerhetsmassan.</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Det negativa nettomarknadsvärdet ska rapporteras enbart för rapporteringsreferensdatumet.</w:t>
            </w:r>
          </w:p>
        </w:tc>
      </w:tr>
      <w:tr w:rsidR="00941FAE" w:rsidRPr="00857276" w14:paraId="03BD2493" w14:textId="77777777" w:rsidTr="005150E8">
        <w:tc>
          <w:tcPr>
            <w:tcW w:w="993" w:type="dxa"/>
            <w:shd w:val="clear" w:color="auto" w:fill="FFFFFF"/>
          </w:tcPr>
          <w:p w14:paraId="6F9A2EE9" w14:textId="20FD8A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w:t>
            </w:r>
            <w:r w:rsidR="00275A1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Extern kreditvärdering av säkerställda obligationer</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Instituten ska ge information om externa kreditvärderingar av respektive säkerställd obligation, som de är angivna på rapporteringsdatumet.</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Kreditvärderingsinstitut 1</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Om det finns en kreditvärdering från minst ett kreditvärderingsinstitut på rapporteringsdatumet ska instituten ange namnet på ett av dessa kreditvärderingsinstitut. Om det finns kreditvärderingar från fler än tre kreditvärderingsinstitut på rapporteringsdatumet ska de tre kreditvärderingsinstitut till vilka information lämnas väljas utifrån deras respektive marknadsutbredning.</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Kreditvärdering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 kreditvärdering som utfärdats av det kreditvärderingsinstitut som rapporteras i kolumn 0090 för den säkerställda obligationen per rapporteringsreferensdatumet.</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Om det finns lång- och kortfristiga kreditvärderingar från samma kreditvärderingsinstitut, ska den långfristiga kreditvärderingen rapporteras. Den rapporterade kreditvärderingen ska inbegripa eventuella modifieringar.</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Kreditvärderingsinstitut 2 och kreditvärderingsinstitut 3</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Ytterligare kreditvärderingsinstitut som utfärdat kreditvärderingar av den säkerställda obligationen per rapporteringsreferensdatumet ska anges på samma sätt som för kreditvärderingsinstitut 1 (kolumn 0090).</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Kreditvärdering 2 och kreditvärdering 3</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Ytterligare kreditvärderingar av den säkerställda obligationen som utfärdats av kreditvärderingsinstitut 2 och 3 per rapporteringsreferensdatumet ska anges på samma sätt som för kreditvärdering 1 (kolumn 0100).</w:t>
            </w:r>
          </w:p>
        </w:tc>
      </w:tr>
      <w:tr w:rsidR="00941FAE" w:rsidRPr="00857276" w14:paraId="0A67BF60" w14:textId="77777777" w:rsidTr="005150E8">
        <w:tc>
          <w:tcPr>
            <w:tcW w:w="993" w:type="dxa"/>
            <w:shd w:val="clear" w:color="auto" w:fill="FFFFFF"/>
          </w:tcPr>
          <w:p w14:paraId="3E01390F" w14:textId="6303BCA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r w:rsidR="00275A1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Säkerhetsmassa</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Säkerhetsmassan ska bestå av alla positioner, inklusive derivatpositioner i säkerhetsmassan, som för emittenten av den säkerställda obligationen har ett positivt nettomarknadsvärde och omfattas av respektive skyddsåtgärder för säkerställda obligationer.</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Rapporteringsdatum</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Beloppen för tillgångar i säkerhetsmassan, exklusive derivatpositioner i säkerhetsmassan.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Detta belopp ska innefatta minimikrav på övervärde i säkerhetsmassan plus eventuellt ytterligare övervärde i säkerhetsmassan utöver minimikravet, i den mån beloppen omfattas av respektive skyddsåtgärder för säkerställda obligationer.</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månader</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Rapporteringsdatumet ”+ 6 månader” ska vara den tidpunkt som infaller sex månader efter rapporteringsreferensdatumet. Instituten ska rapportera beloppen med antagandet om oförändrad säkerhetsmassa jämfört med rapporteringsdatumet, förutom amorteringar. Om det inte finns en fast betalningsplan ska förväntade löptider användas på ett konsekvent sätt för utestående belopp vid framtida tidpunkter.</w:t>
            </w:r>
          </w:p>
        </w:tc>
      </w:tr>
      <w:tr w:rsidR="00941FAE" w:rsidRPr="00857276" w14:paraId="19DE4826" w14:textId="77777777" w:rsidTr="005150E8">
        <w:tc>
          <w:tcPr>
            <w:tcW w:w="993" w:type="dxa"/>
            <w:shd w:val="clear" w:color="auto" w:fill="FFFFFF"/>
          </w:tcPr>
          <w:p w14:paraId="2C98A945" w14:textId="7A00424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w:t>
            </w:r>
            <w:r w:rsidR="00275A1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månader - + 10 år</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Anges precis som för ”+ 6 månader” (kolumn 0160) för respektive tidpunkt i förhållande till rapporteringsreferensdatumet.</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Derivatpositioner i säkerhetsmassan med ett positivt nettomarknadsvärde</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positiva nettomarknadsvärdet för derivatpositioner i säkerhetsmassan som för emittenten av den säkerställda obligationen har ett positivt nettomarknadsvärde.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Derivatpositioner i säkerhetsmassan ska vara sådana nettoderivatpositioner som i enlighet med den berörda lagstadgade ordningen för säkerställda obligationer har inbegripits i säkerhetsmassan och omfattas av respektive skyddsåtgärder för säkerställda obligationer, genom att sådana derivatpositioner med ett positivt marknadsvärde inte skulle ingå i det allmänna konkursboet för emittenten av den säkerställda obligationen.</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Det positiva nettomarknadsvärdet ska rapporteras enbart för rapporteringsdatumet.</w:t>
            </w:r>
          </w:p>
        </w:tc>
      </w:tr>
      <w:tr w:rsidR="00941FAE" w:rsidRPr="00857276" w14:paraId="00882AE4" w14:textId="77777777" w:rsidTr="005150E8">
        <w:tc>
          <w:tcPr>
            <w:tcW w:w="993" w:type="dxa"/>
            <w:shd w:val="clear" w:color="auto" w:fill="FFFFFF"/>
          </w:tcPr>
          <w:p w14:paraId="5D8100CE" w14:textId="28C76C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r w:rsidR="00275A1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Belopp i säkerhetsmassan utöver minimitäckningskraven</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Belopp i säkerhetsmassan, inklusive derivatpositioner i säkerhetsmassan med ett positivt nettomarknadsvärde, utöver kraven på minimitäckning (övervärde i säkerhetsmassan).</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För respektive berörd lagstadgad ordning för säkerställda obligationer</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Belopp för övervärde i säkerhetsmassan i förhållande till den minimitäckning som krävs enligt den berörda lagstadgade ordningen för säkerställda obligationer.</w:t>
            </w:r>
          </w:p>
        </w:tc>
      </w:tr>
      <w:tr w:rsidR="00941FAE" w:rsidRPr="00857276" w14:paraId="1685509A" w14:textId="77777777" w:rsidTr="005150E8">
        <w:tc>
          <w:tcPr>
            <w:tcW w:w="993" w:type="dxa"/>
            <w:shd w:val="clear" w:color="auto" w:fill="FFFFFF"/>
          </w:tcPr>
          <w:p w14:paraId="6ED281FF" w14:textId="630810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r w:rsidR="00275A1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För respektive kreditvärderingsinstituts metod för att upprätthålla befintlig extern kreditvärdering av den säkerställda obligationen</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Belopp för övervärde i säkerhetsmassan jämfört med den nivå som, i enlighet med den information om respektive kreditvärderingsinstituts metod som är tillgänglig för emittenten av den säkerställda obligationen, minst skulle krävas för att upprätthålla den befintliga kreditvärdering som utfärdats av respektive kreditvärderingsinstitut.</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Kreditvärderingsinstitut 1</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Belopp för övervärde i säkerhetsmassan jämfört med den nivå som, i enlighet med den information om den av kreditvärderingsinstitut 1 tillämpade metoden (kolumn 0090) som är tillgänglig för emittenten av den säkerställda obligationen, minst skulle krävas för att upprätthålla kreditvärdering 1 (kolumn 0100).</w:t>
            </w:r>
          </w:p>
        </w:tc>
      </w:tr>
      <w:tr w:rsidR="00941FAE" w:rsidRPr="00857276" w14:paraId="20F58944" w14:textId="77777777" w:rsidTr="005150E8">
        <w:tc>
          <w:tcPr>
            <w:tcW w:w="993" w:type="dxa"/>
            <w:shd w:val="clear" w:color="auto" w:fill="FFFFFF"/>
          </w:tcPr>
          <w:p w14:paraId="13A59AE2" w14:textId="40A70C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r w:rsidR="00275A1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Kreditvärderingsinstitut 2 och kreditvärderingsinstitut 3</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Instruktionerna för kreditvärderingsinstitut 1 (kolumn 0230) ska även tillämpas för kreditvärderingsinstitut 2 (kolumn 0110) och kreditvärderingsinstitut 3 (kolumn 0130).</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87917729"/>
      <w:bookmarkEnd w:id="100"/>
      <w:bookmarkEnd w:id="101"/>
      <w:bookmarkEnd w:id="102"/>
      <w:bookmarkEnd w:id="103"/>
      <w:bookmarkEnd w:id="104"/>
      <w:bookmarkEnd w:id="105"/>
      <w:r>
        <w:rPr>
          <w:rFonts w:ascii="Times New Roman" w:hAnsi="Times New Roman"/>
          <w:b/>
          <w:sz w:val="24"/>
          <w:u w:val="none"/>
        </w:rPr>
        <w:t>Del E: Detaljerade uppgifter</w:t>
      </w:r>
      <w:bookmarkEnd w:id="106"/>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187917730"/>
      <w:r>
        <w:rPr>
          <w:rFonts w:ascii="Times New Roman" w:hAnsi="Times New Roman"/>
          <w:sz w:val="24"/>
          <w:u w:val="none"/>
        </w:rPr>
        <w:t>Allmänna kommentarer</w:t>
      </w:r>
      <w:bookmarkEnd w:id="107"/>
    </w:p>
    <w:p w14:paraId="4B43AE16" w14:textId="77777777" w:rsidR="00941FAE" w:rsidRPr="00857276" w:rsidRDefault="00941FAE" w:rsidP="00941FAE">
      <w:pPr>
        <w:pStyle w:val="InstructionsText2"/>
        <w:shd w:val="clear" w:color="auto" w:fill="FFFFFF"/>
        <w:spacing w:after="120"/>
        <w:rPr>
          <w:sz w:val="24"/>
        </w:rPr>
      </w:pPr>
      <w:r>
        <w:rPr>
          <w:sz w:val="24"/>
        </w:rPr>
        <w:t xml:space="preserve">Del E har samma struktur som mallarna för översikten över inteckningar i del A, med olika mallar för inteckning av det rapporterande institutets tillgångar och för erhållna säkerheter: AE-ADV1 respektive AE-ADV2. </w:t>
      </w:r>
      <w:r>
        <w:rPr>
          <w:sz w:val="24"/>
        </w:rPr>
        <w:lastRenderedPageBreak/>
        <w:t>Matchande skulder motsvarar således skulder som säkras av de intecknade tillgångarna och det behöver inte finnas någon en-till-en-relation.</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8" w:name="_Toc187917731"/>
      <w:r>
        <w:rPr>
          <w:rFonts w:ascii="Times New Roman" w:hAnsi="Times New Roman"/>
          <w:sz w:val="24"/>
          <w:u w:val="none"/>
        </w:rPr>
        <w:t>Mall: AE-ADV1. Detaljerad mall för det rapporterande institutets tillgångar</w:t>
      </w:r>
      <w:bookmarkEnd w:id="108"/>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187917732"/>
      <w:r>
        <w:rPr>
          <w:rFonts w:ascii="Times New Roman" w:hAnsi="Times New Roman"/>
          <w:sz w:val="24"/>
          <w:u w:val="none"/>
        </w:rPr>
        <w:t>Instruktioner för särskilda rader</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Rad</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3C172B47" w14:textId="77777777" w:rsidTr="005150E8">
        <w:tc>
          <w:tcPr>
            <w:tcW w:w="993" w:type="dxa"/>
            <w:shd w:val="clear" w:color="auto" w:fill="FFFFFF"/>
          </w:tcPr>
          <w:p w14:paraId="5915C3A3" w14:textId="5869E5A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r w:rsidR="00275A1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Centralbanksfinansiering (av alla slag, inklusive repor)</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Alla slags skulder för det rapporterande institutet där motparten i transaktionen är en centralbank.</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Tillgångar som har förpositionerats hos centralbanker ska inte behandlas som intecknade tillgångar, annat än om centralbanken inte tillåter uttag av placerade tillgångar utan förhandsgodkännande. I fråga om finansiella garantier som inte tagits i anspråk ska den del som inte tagits i anspråk, dvs. beloppet utöver det minimibelopp som centralbanken kräver, fördelas proportionellt mellan de tillgångar som placerats i centralbanken.</w:t>
            </w:r>
          </w:p>
        </w:tc>
      </w:tr>
      <w:tr w:rsidR="00941FAE" w:rsidRPr="00857276" w14:paraId="2C4E7CB8" w14:textId="77777777" w:rsidTr="005150E8">
        <w:tc>
          <w:tcPr>
            <w:tcW w:w="993" w:type="dxa"/>
            <w:shd w:val="clear" w:color="auto" w:fill="FFFFFF"/>
          </w:tcPr>
          <w:p w14:paraId="5FE405B4" w14:textId="3568557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r w:rsidR="00275A1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Börshandlade derivat</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derivat hos det rapporterande institutet för vilka säkerhet ställts och som utgör finansiella skulder, i den mån dessa derivat är noterade eller föremål för handel på en godkänd eller utsedd handelsbörs och innebär tillgångsinteckning för institutet.</w:t>
            </w:r>
          </w:p>
        </w:tc>
      </w:tr>
      <w:tr w:rsidR="00941FAE" w:rsidRPr="00857276" w14:paraId="26BFD23A" w14:textId="77777777" w:rsidTr="005150E8">
        <w:tc>
          <w:tcPr>
            <w:tcW w:w="993" w:type="dxa"/>
            <w:shd w:val="clear" w:color="auto" w:fill="FFFFFF"/>
          </w:tcPr>
          <w:p w14:paraId="5A136E0B" w14:textId="44BABA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r w:rsidR="00275A1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OTC-derivat</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derivat hos det rapporterande institutet för vilka säkerhet ställts och som utgör finansiella skulder, i den mån dessa derivat handlas over-the-counter (OTC) och innebär tillgångsinteckning för institutet. Samma instruktion som för rad 030 i AE-SOU-mallen.</w:t>
            </w:r>
          </w:p>
        </w:tc>
      </w:tr>
      <w:tr w:rsidR="00941FAE" w:rsidRPr="00857276" w14:paraId="246CDB31" w14:textId="77777777" w:rsidTr="005150E8">
        <w:tc>
          <w:tcPr>
            <w:tcW w:w="993" w:type="dxa"/>
            <w:shd w:val="clear" w:color="auto" w:fill="FFFFFF"/>
          </w:tcPr>
          <w:p w14:paraId="27F0C82C" w14:textId="7874699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r w:rsidR="00275A1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Repor</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Det redovisade värdet av det rapporterande institutets repor där motparten i transaktionen inte är en centralbank, i den mån dessa transaktioner innebär tillgångsinteckning för institutet.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För återköpsavtal med tre parter ska samma behandling tillämpas som för reporna, i den mån dessa transaktioner innebär tillgångsinteckning för det rapporterande institutet.</w:t>
            </w:r>
          </w:p>
        </w:tc>
      </w:tr>
      <w:tr w:rsidR="00941FAE" w:rsidRPr="00857276" w14:paraId="51C1F988" w14:textId="77777777" w:rsidTr="005150E8">
        <w:tc>
          <w:tcPr>
            <w:tcW w:w="993" w:type="dxa"/>
            <w:shd w:val="clear" w:color="auto" w:fill="FFFFFF"/>
          </w:tcPr>
          <w:p w14:paraId="7F21BEB0" w14:textId="4A1DB57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r w:rsidR="00275A1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Inlåning för vilken säkerhet ställts och som inte utgör repor</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redovisade värdet av inlåning hos det rapporterande institutet för vilken säkerhet ställts och som inte utgör repor, och där motparten i transaktionen inte är en centralbank, i den mån denna inlåning innebär tillgångsinteckning för institutet.</w:t>
            </w:r>
          </w:p>
        </w:tc>
      </w:tr>
      <w:tr w:rsidR="00941FAE" w:rsidRPr="00857276" w14:paraId="289006DC" w14:textId="77777777" w:rsidTr="005150E8">
        <w:tc>
          <w:tcPr>
            <w:tcW w:w="993" w:type="dxa"/>
            <w:shd w:val="clear" w:color="auto" w:fill="FFFFFF"/>
          </w:tcPr>
          <w:p w14:paraId="198EB0FF" w14:textId="5B270D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r w:rsidR="00275A1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Emitterade säkerställda obligationsvärdepapper</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0100 i AE-SOU-mallen.</w:t>
            </w:r>
          </w:p>
        </w:tc>
      </w:tr>
      <w:tr w:rsidR="00941FAE" w:rsidRPr="00857276" w14:paraId="2024D4E2" w14:textId="77777777" w:rsidTr="005150E8">
        <w:tc>
          <w:tcPr>
            <w:tcW w:w="993" w:type="dxa"/>
            <w:shd w:val="clear" w:color="auto" w:fill="FFFFFF"/>
          </w:tcPr>
          <w:p w14:paraId="3863F4D2" w14:textId="368D58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r w:rsidR="00275A1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Emitterade värdepapperiseringar</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0110 i AE-SOU-mallen.</w:t>
            </w:r>
          </w:p>
        </w:tc>
      </w:tr>
      <w:tr w:rsidR="00941FAE" w:rsidRPr="00857276" w14:paraId="2FF15A7D" w14:textId="77777777" w:rsidTr="005150E8">
        <w:tc>
          <w:tcPr>
            <w:tcW w:w="993" w:type="dxa"/>
            <w:shd w:val="clear" w:color="auto" w:fill="FFFFFF"/>
          </w:tcPr>
          <w:p w14:paraId="40079DE5" w14:textId="474201C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0150</w:t>
            </w:r>
            <w:r w:rsidR="00275A1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Emitterade räntebärande värdepapper som inte utgör säkerställda obligationer eller värdepapperiseringar</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redovisade värdet av räntebärande värdepapper som emitterats av det rapporterande institutet och som inte utgör säkerställda obligationer eller värdepapperiseringar, i den mån dessa emitterade värdepapper innebär tillgångsinteckning för institutet.</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Om det rapporterande institutet har innehållit vissa av de emitterade räntebärande värdepapperen, antingen från emissionsdagen eller därefter till följd av ett återköp, ska dessa innehållna värdepapper inte tas med i denna post. De säkerheter som tilldelats dem ska vidare klassificeras som icke-intecknade i denna mall.</w:t>
            </w:r>
          </w:p>
        </w:tc>
      </w:tr>
      <w:tr w:rsidR="00941FAE" w:rsidRPr="00857276" w14:paraId="0A448850" w14:textId="77777777" w:rsidTr="005150E8">
        <w:tc>
          <w:tcPr>
            <w:tcW w:w="993" w:type="dxa"/>
            <w:shd w:val="clear" w:color="auto" w:fill="FFFFFF"/>
          </w:tcPr>
          <w:p w14:paraId="592938A3" w14:textId="51C3308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r w:rsidR="00275A1E">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Andra inteckningskällor</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0120 i AE-SOU-mallen.</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Totalt intecknade tillgångar</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För varje typ av tillgång som anges på raderna i AE-ADV1-mallen, det redovisade värdet av de tillgångar som innehas av det rapporterande institutet och som är intecknade.</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godtagbara för centralbanker</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För varje typ av tillgång som anges på raderna i AE-ADV1-mallen, det redovisade värdet av de tillgångar som innehas av det rapporterande institutet, som är intecknade och som är godtagbara för transaktioner med de centralbanker som det rapporterande institutet har tillgång till.</w:t>
            </w:r>
          </w:p>
          <w:p w14:paraId="1EE47504"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 xml:space="preserve">Rapporterande institut som inte kan fastställa huruvida en post är godtagbar för centralbanker, exempelvis i jurisdiktioner som inte har en tydlig definition av tillgångar som är godtagbara för repor med centralbanker eller som inte har tillgång till en kontinuerligt fungerande repomarknad med centralbanker, kan avstå från att rapportera det berörda beloppet för den posten, </w:t>
            </w:r>
            <w:r>
              <w:rPr>
                <w:rStyle w:val="instructionstabelleberschrift0"/>
                <w:rFonts w:ascii="Times New Roman" w:hAnsi="Times New Roman"/>
                <w:b w:val="0"/>
                <w:sz w:val="24"/>
                <w:u w:val="none"/>
              </w:rPr>
              <w:t>dvs. lämna rapporteringsfältet tomt</w:t>
            </w:r>
            <w:r>
              <w:rPr>
                <w:rFonts w:ascii="Times New Roman" w:hAnsi="Times New Roman"/>
                <w:sz w:val="24"/>
              </w:rPr>
              <w:t>.</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Totalt icke-intecknade tillgångar</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För varje typ av tillgång som anges på raderna i AE-ADV1-mallen, det redovisade värdet av de tillgångar som innehas av det rapporterande institutet och som inte är intecknade.</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t>Med redovisat värde avses det värde som redovisas på tillgångssidan i balansräkningen.</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godtagbara för centralbanker</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För varje typ av tillgång som anges på raderna i AE-ADV1-mallen, det redovisade värdet av de tillgångar som innehas av det rapporterande institutet, som inte är intecknade och som är godtagbara för transaktioner med de centralbanker som det rapporterande institutet har tillgång till. </w:t>
            </w:r>
          </w:p>
          <w:p w14:paraId="37F98907"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 xml:space="preserve">Rapporterande institut som inte kan fastställa huruvida en post är godtagbar för centralbanker, exempelvis i jurisdiktioner som inte har en tydlig definition av tillgångar som är godtagbara för repor med centralbanker eller som inte har tillgång till en kontinuerligt fungerande repomarknad med centralbanker, kan avstå från att rapportera det berörda beloppet för den posten, </w:t>
            </w:r>
            <w:r>
              <w:rPr>
                <w:rStyle w:val="instructionstabelleberschrift0"/>
                <w:rFonts w:ascii="Times New Roman" w:hAnsi="Times New Roman"/>
                <w:b w:val="0"/>
                <w:sz w:val="24"/>
                <w:u w:val="none"/>
              </w:rPr>
              <w:t>dvs. lämna rapporteringsfältet tomt</w:t>
            </w:r>
            <w:r>
              <w:rPr>
                <w:rFonts w:ascii="Times New Roman" w:hAnsi="Times New Roman"/>
                <w:sz w:val="24"/>
              </w:rPr>
              <w:t>.</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Intecknade + icke-intecknade tillgångar</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För varje typ av tillgång som anges på raderna i AE-ADV1-mallen, det redovisade värdet av de tillgångar som innehas av det rapporterande institutet.</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187917733"/>
      <w:r>
        <w:rPr>
          <w:rFonts w:ascii="Times New Roman" w:hAnsi="Times New Roman"/>
          <w:sz w:val="24"/>
          <w:u w:val="none"/>
        </w:rPr>
        <w:t>Instruktioner för särskilda kolumner</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Kolumn</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Beviljade kreditlimiter</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0020 i AE-ASS-mallen.</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Egetkapitalinstrument</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0030 i AE-ASS-mallen.</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Totalt</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0040 i AE-ASS-mallen.</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säkerställda obligationer</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0050 i AE-ASS-mallen.</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varav: emitterade av andra enheter i gruppen</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Säkerställda obligationer enligt beskrivningen i instruktionerna för rad 0050 i AE-ASS-mallen som är emitterade av någon enhet som ingår i konsolideringen för tillsynsändamål.</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värdepapperiseringar</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0060 i AE-ASS-mallen.</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andra enheter i gruppen</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Värdepapperiseringar enligt beskrivningen i instruktionerna för rad 0060 i AE-ASS-mallen som är emitterade av någon enhet som ingår i konsolideringen för tillsynsändamål.</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offentlig sektor</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0070 i AE-ASS-mallen.</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finansiella företag</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0080 i AE-ASS-mallen.</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icke-finansiella företag</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0090 i AE-ASS-mallen.</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Centralbanker och offentlig sektor</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Andra lån och förskott än beviljade kreditlimiter till en centralbank eller offentlig sektor.</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Finansiella företag</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Andra lån och förskott än beviljade kreditlimiter till finansiella företag.</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Icke-finansiella företag</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Andra lån och förskott än beviljade kreditlimiter till icke-finansiella företag.</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0140</w:t>
            </w:r>
          </w:p>
        </w:tc>
        <w:tc>
          <w:tcPr>
            <w:tcW w:w="8079" w:type="dxa"/>
            <w:vAlign w:val="center"/>
          </w:tcPr>
          <w:p w14:paraId="5DE42142" w14:textId="1099022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Lån med säkerhet i fast egendom</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och förskott som inte utgör beviljade kreditlimiter och som är garanterade genom ett lån med säkerhet i fast egendom, till icke-finansiella företag.</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Hushåll</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Andra lån och förskott än beviljade kreditlimiter till hushåll.</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Lån med säkerhet i fast egendom</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och förskott som inte utgör beviljade kreditlimiter och som är garanterade genom ett lån med säkerhet i fast egendom, till hushåll.</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Övriga tillgångar</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120 i AE-ASS-mallen.</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Totalt</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010 i AE-ASS-mallen.</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7" w:name="_Toc187917734"/>
      <w:r>
        <w:rPr>
          <w:rFonts w:ascii="Times New Roman" w:hAnsi="Times New Roman"/>
          <w:sz w:val="24"/>
          <w:u w:val="none"/>
        </w:rPr>
        <w:t>Mall: AE-ADV2. Detaljerad mall för säkerheter som erhållits av det rapporterande institutet</w:t>
      </w:r>
      <w:bookmarkEnd w:id="117"/>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187917735"/>
      <w:r>
        <w:rPr>
          <w:rFonts w:ascii="Times New Roman" w:hAnsi="Times New Roman"/>
          <w:sz w:val="24"/>
          <w:u w:val="none"/>
        </w:rPr>
        <w:t>Instruktioner för särskilda rader</w:t>
      </w:r>
      <w:bookmarkEnd w:id="118"/>
      <w:bookmarkEnd w:id="119"/>
      <w:bookmarkEnd w:id="120"/>
      <w:bookmarkEnd w:id="121"/>
    </w:p>
    <w:p w14:paraId="59B7177A" w14:textId="4B4B41D9" w:rsidR="00941FAE" w:rsidRPr="00857276" w:rsidRDefault="00941FAE" w:rsidP="00941FAE">
      <w:pPr>
        <w:pStyle w:val="InstructionsText2"/>
        <w:shd w:val="clear" w:color="auto" w:fill="FFFFFF"/>
        <w:spacing w:after="120"/>
        <w:rPr>
          <w:sz w:val="24"/>
        </w:rPr>
      </w:pPr>
      <w:r>
        <w:rPr>
          <w:sz w:val="24"/>
        </w:rPr>
        <w:t>Se avsnitt 6.2.1, eftersom instruktionerna är liknande för båda mallarna.</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187917736"/>
      <w:r>
        <w:rPr>
          <w:rFonts w:ascii="Times New Roman" w:hAnsi="Times New Roman"/>
          <w:sz w:val="24"/>
          <w:u w:val="none"/>
        </w:rPr>
        <w:t>Instruktioner för särskilda kolumner</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Kolumn</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Hänvisningar till lagstiftning och instruktioner</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Beviljade kreditlimiter</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0140 i AE-COL-mallen.</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Egetkapitalinstrument</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0150 i AE-COL-mallen.</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Totalt</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0160 i AE-COL-mallen.</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säkerställda obligationer</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0170 i AE-COL-mallen.</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andra enheter i gruppen</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Säkerheter som erhållits av det rapporterande institutet och som utgör säkerställda obligationer emitterade av en enhet som ingår i konsolideringen för tillsynsändamål.</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värdepapperiseringar</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0180 i AE-COL-mallen.</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andra enheter i gruppen</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Säkerheter som erhållits av det rapporterande institutet och som utgör värdepapperiseringar emitterade av en enhet som ingår i konsolideringen för tillsynsändamål.</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offentlig sektor</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0190 i AE-COL-mallen.</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finansiella företag</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0200 i AE-COL-mallen.</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emitterade av icke-finansiella företag</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0210 i AE-COL-mallen.</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Centralbanker och offentlig sektor</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Säkerheter som erhållits av det rapporterande institutet och som utgör andra lån och förskott än beviljade kreditlimiter till en centralbank eller offentlig sektor.</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Finansiella företag</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Säkerheter som erhållits av det rapporterande institutet och som utgör andra lån och förskott än beviljade kreditlimiter till finansiella företag.</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Icke-finansiella företag</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Säkerheter som erhållits av det rapporterande institutet och som utgör andra lån och förskott än beviljade kreditlimiter till icke-finansiella företag.</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varav: Lån med säkerhet i fast egendom</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Säkerheter som erhållits av det rapporterande institutet och som utgör lån och förskott till icke-finansiella företag för vilka säkerhet ställts i fast egendom, utom beviljade kreditlimiter.</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Hushåll</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Säkerheter som erhållits av det rapporterande institutet och som utgör andra lån och förskott än beviljade kreditlimiter till hushåll.</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varav: Lån med säkerhet i fast egendom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Säkerheter som erhållits av det rapporterande institutet och som utgör lån och förskott till hushåll som inte utgör beviljade kreditlimiter och som är garanterade genom ett lån med säkerhet i fast egendom.</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Övriga tillgångar</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0230 i AE-COL-mallen.</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Emitterade egna räntebärande värdepapper som inte utgör egna säkerställda obligationer eller värdepapperiseringar</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 0240 i AE-COL-mallen.</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Totalt</w:t>
            </w:r>
          </w:p>
          <w:p w14:paraId="3313D808" w14:textId="1030F585"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instruktionerna för raderna 0130 och 0140 i AE-COL-mallen.”</w:t>
            </w:r>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4DDF" w14:textId="3C6DC522" w:rsidR="00492EB0" w:rsidRDefault="00492EB0">
    <w:pPr>
      <w:pStyle w:val="Footer"/>
      <w:jc w:val="center"/>
    </w:pPr>
    <w:r>
      <w:fldChar w:fldCharType="begin"/>
    </w:r>
    <w:r>
      <w:instrText xml:space="preserve"> PAGE   \* MERGEFORMAT </w:instrText>
    </w:r>
    <w:r>
      <w:fldChar w:fldCharType="separate"/>
    </w:r>
    <w:r w:rsidR="003B2B42">
      <w:t>33</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8FA5" w14:textId="1575498E" w:rsidR="00492EB0" w:rsidRDefault="00492EB0">
    <w:pPr>
      <w:pStyle w:val="Footer"/>
      <w:jc w:val="center"/>
    </w:pPr>
    <w:r>
      <w:fldChar w:fldCharType="begin"/>
    </w:r>
    <w:r>
      <w:instrText xml:space="preserve"> PAGE   \* MERGEFORMAT </w:instrText>
    </w:r>
    <w:r>
      <w:fldChar w:fldCharType="separate"/>
    </w:r>
    <w:r w:rsidR="003B2B42">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 xml:space="preserve"> Europeiska centralbankens förordning (EU) nr 2021/379 av den 22 januari 2021 om kreditinstitutens och MFI-sektorns balansräkningsposter (omarbetning) (ECB/2021/2) (EUT L 73, 3.3.2021, s. 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55316" w14:textId="75117D5B" w:rsidR="00492EB0" w:rsidRDefault="00A5249A">
    <w:pPr>
      <w:pStyle w:val="Header"/>
    </w:pPr>
    <w:r>
      <w:rPr>
        <w:noProof/>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Ordinarie användning"/>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Ordinarie användning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Ordinarie användning"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Ordinarie användning</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09135413">
    <w:abstractNumId w:val="18"/>
  </w:num>
  <w:num w:numId="2" w16cid:durableId="2081170353">
    <w:abstractNumId w:val="8"/>
  </w:num>
  <w:num w:numId="3" w16cid:durableId="39981385">
    <w:abstractNumId w:val="17"/>
  </w:num>
  <w:num w:numId="4" w16cid:durableId="1307933969">
    <w:abstractNumId w:val="23"/>
  </w:num>
  <w:num w:numId="5" w16cid:durableId="1094786323">
    <w:abstractNumId w:val="2"/>
  </w:num>
  <w:num w:numId="6" w16cid:durableId="871380947">
    <w:abstractNumId w:val="1"/>
  </w:num>
  <w:num w:numId="7" w16cid:durableId="32197151">
    <w:abstractNumId w:val="15"/>
  </w:num>
  <w:num w:numId="8" w16cid:durableId="1352801785">
    <w:abstractNumId w:val="11"/>
  </w:num>
  <w:num w:numId="9" w16cid:durableId="1801679310">
    <w:abstractNumId w:val="6"/>
  </w:num>
  <w:num w:numId="10" w16cid:durableId="916985052">
    <w:abstractNumId w:val="9"/>
  </w:num>
  <w:num w:numId="11" w16cid:durableId="1748069976">
    <w:abstractNumId w:val="0"/>
  </w:num>
  <w:num w:numId="12" w16cid:durableId="570428105">
    <w:abstractNumId w:val="21"/>
  </w:num>
  <w:num w:numId="13" w16cid:durableId="1680890922">
    <w:abstractNumId w:val="8"/>
    <w:lvlOverride w:ilvl="0">
      <w:startOverride w:val="12"/>
    </w:lvlOverride>
  </w:num>
  <w:num w:numId="14" w16cid:durableId="1521427069">
    <w:abstractNumId w:val="4"/>
  </w:num>
  <w:num w:numId="15" w16cid:durableId="2120787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900831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175434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41411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23169914">
    <w:abstractNumId w:val="12"/>
  </w:num>
  <w:num w:numId="20" w16cid:durableId="1601177753">
    <w:abstractNumId w:val="5"/>
  </w:num>
  <w:num w:numId="21" w16cid:durableId="825433126">
    <w:abstractNumId w:val="14"/>
  </w:num>
  <w:num w:numId="22" w16cid:durableId="634607592">
    <w:abstractNumId w:val="20"/>
  </w:num>
  <w:num w:numId="23" w16cid:durableId="1262955406">
    <w:abstractNumId w:val="10"/>
  </w:num>
  <w:num w:numId="24" w16cid:durableId="653145745">
    <w:abstractNumId w:val="19"/>
  </w:num>
  <w:num w:numId="25" w16cid:durableId="1786970129">
    <w:abstractNumId w:val="3"/>
  </w:num>
  <w:num w:numId="26" w16cid:durableId="1271205361">
    <w:abstractNumId w:val="7"/>
  </w:num>
  <w:num w:numId="27" w16cid:durableId="716781417">
    <w:abstractNumId w:val="13"/>
  </w:num>
  <w:num w:numId="28" w16cid:durableId="565922303">
    <w:abstractNumId w:val="22"/>
  </w:num>
  <w:num w:numId="29" w16cid:durableId="842017330">
    <w:abstractNumId w:val="16"/>
  </w:num>
  <w:num w:numId="30" w16cid:durableId="181477629">
    <w:abstractNumId w:val="8"/>
  </w:num>
  <w:num w:numId="31" w16cid:durableId="8021879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sv-SE" w:vendorID="64" w:dllVersion="0" w:nlCheck="1" w:checkStyle="0"/>
  <w:defaultTabStop w:val="720"/>
  <w:hyphenationZone w:val="425"/>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2664F9"/>
    <w:rsid w:val="00275A1E"/>
    <w:rsid w:val="002C1D36"/>
    <w:rsid w:val="002F0AE4"/>
    <w:rsid w:val="002F22FA"/>
    <w:rsid w:val="0034431C"/>
    <w:rsid w:val="00385C4C"/>
    <w:rsid w:val="00396CF3"/>
    <w:rsid w:val="003A3DBF"/>
    <w:rsid w:val="003B2B42"/>
    <w:rsid w:val="003D43F0"/>
    <w:rsid w:val="00492EB0"/>
    <w:rsid w:val="004C33D2"/>
    <w:rsid w:val="005052F7"/>
    <w:rsid w:val="005150E8"/>
    <w:rsid w:val="00567BC9"/>
    <w:rsid w:val="005709C7"/>
    <w:rsid w:val="00584E94"/>
    <w:rsid w:val="005C1146"/>
    <w:rsid w:val="005C6C90"/>
    <w:rsid w:val="005E5BAC"/>
    <w:rsid w:val="005F0523"/>
    <w:rsid w:val="00604205"/>
    <w:rsid w:val="0060573B"/>
    <w:rsid w:val="0063019A"/>
    <w:rsid w:val="006A6DEC"/>
    <w:rsid w:val="006C5CE2"/>
    <w:rsid w:val="006F5BFC"/>
    <w:rsid w:val="007D50EF"/>
    <w:rsid w:val="007F32CA"/>
    <w:rsid w:val="00857276"/>
    <w:rsid w:val="0086555B"/>
    <w:rsid w:val="008777B6"/>
    <w:rsid w:val="008F3A1A"/>
    <w:rsid w:val="00935097"/>
    <w:rsid w:val="00937BF1"/>
    <w:rsid w:val="00941FAE"/>
    <w:rsid w:val="009918A8"/>
    <w:rsid w:val="009B1AB2"/>
    <w:rsid w:val="00A5249A"/>
    <w:rsid w:val="00A8671D"/>
    <w:rsid w:val="00AC3ACC"/>
    <w:rsid w:val="00AC68EE"/>
    <w:rsid w:val="00AD4499"/>
    <w:rsid w:val="00B606C7"/>
    <w:rsid w:val="00B9330D"/>
    <w:rsid w:val="00BA7AC8"/>
    <w:rsid w:val="00BD2548"/>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sv-SE"/>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337FCD-61A5-4EC1-BCC6-887AD2EEB4CD}">
  <ds:schemaRefs>
    <ds:schemaRef ds:uri="http://schemas.openxmlformats.org/officeDocument/2006/bibliography"/>
  </ds:schemaRefs>
</ds:datastoreItem>
</file>

<file path=customXml/itemProps2.xml><?xml version="1.0" encoding="utf-8"?>
<ds:datastoreItem xmlns:ds="http://schemas.openxmlformats.org/officeDocument/2006/customXml" ds:itemID="{885A184C-6375-4A9A-A0A9-96F04669FCF1}"/>
</file>

<file path=customXml/itemProps3.xml><?xml version="1.0" encoding="utf-8"?>
<ds:datastoreItem xmlns:ds="http://schemas.openxmlformats.org/officeDocument/2006/customXml" ds:itemID="{A503E32C-974F-49DF-B93C-5CBFE88E9496}"/>
</file>

<file path=customXml/itemProps4.xml><?xml version="1.0" encoding="utf-8"?>
<ds:datastoreItem xmlns:ds="http://schemas.openxmlformats.org/officeDocument/2006/customXml" ds:itemID="{975F401F-1280-45DA-A2F6-9AF63304CBA2}"/>
</file>

<file path=docProps/app.xml><?xml version="1.0" encoding="utf-8"?>
<Properties xmlns="http://schemas.openxmlformats.org/officeDocument/2006/extended-properties" xmlns:vt="http://schemas.openxmlformats.org/officeDocument/2006/docPropsVTypes">
  <Template>Normal.dotm</Template>
  <TotalTime>24</TotalTime>
  <Pages>36</Pages>
  <Words>11880</Words>
  <Characters>76514</Characters>
  <Application>Microsoft Office Word</Application>
  <DocSecurity>0</DocSecurity>
  <Lines>1700</Lines>
  <Paragraphs>1039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PETTERSEN Cristine (DGT)</cp:lastModifiedBy>
  <cp:revision>11</cp:revision>
  <dcterms:created xsi:type="dcterms:W3CDTF">2022-05-05T10:01:00Z</dcterms:created>
  <dcterms:modified xsi:type="dcterms:W3CDTF">2025-01-16T10:06:00Z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2025-01-16T10:01:22Z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a357ec5d-f59c-40d8-91db-086767217af3</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