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DA</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BILAG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INSTRUKSER VEDRØRENDE INDBERETNING OM GEARING</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2A458C3" w14:textId="7C720D35" w:rsidR="00065029" w:rsidRDefault="00391EF9">
      <w:pPr>
        <w:pStyle w:val="TOC1"/>
        <w:rPr>
          <w:rFonts w:asciiTheme="minorHAnsi" w:eastAsiaTheme="minorEastAsia" w:hAnsiTheme="minorHAnsi" w:cstheme="minorBidi"/>
          <w:color w:val="auto"/>
          <w:kern w:val="2"/>
          <w:sz w:val="24"/>
          <w:szCs w:val="24"/>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521720" w:history="1">
        <w:r w:rsidR="00065029" w:rsidRPr="0037732A">
          <w:rPr>
            <w:rStyle w:val="Hyperlink"/>
            <w:rFonts w:ascii="Times New Roman" w:hAnsi="Times New Roman"/>
            <w:b/>
          </w:rPr>
          <w:t>DEL I: GENERELLE INSTRUKSER</w:t>
        </w:r>
        <w:r w:rsidR="00065029">
          <w:rPr>
            <w:webHidden/>
          </w:rPr>
          <w:tab/>
        </w:r>
        <w:r w:rsidR="00065029">
          <w:rPr>
            <w:webHidden/>
          </w:rPr>
          <w:fldChar w:fldCharType="begin"/>
        </w:r>
        <w:r w:rsidR="00065029">
          <w:rPr>
            <w:webHidden/>
          </w:rPr>
          <w:instrText xml:space="preserve"> PAGEREF _Toc188521720 \h </w:instrText>
        </w:r>
        <w:r w:rsidR="00065029">
          <w:rPr>
            <w:webHidden/>
          </w:rPr>
        </w:r>
        <w:r w:rsidR="00065029">
          <w:rPr>
            <w:webHidden/>
          </w:rPr>
          <w:fldChar w:fldCharType="separate"/>
        </w:r>
        <w:r w:rsidR="00065029">
          <w:rPr>
            <w:webHidden/>
          </w:rPr>
          <w:t>2</w:t>
        </w:r>
        <w:r w:rsidR="00065029">
          <w:rPr>
            <w:webHidden/>
          </w:rPr>
          <w:fldChar w:fldCharType="end"/>
        </w:r>
      </w:hyperlink>
    </w:p>
    <w:p w14:paraId="25EE3457" w14:textId="2728B8A1"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21" w:history="1">
        <w:r w:rsidRPr="0037732A">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Opbygning og andre konventioner</w:t>
        </w:r>
        <w:r>
          <w:rPr>
            <w:webHidden/>
          </w:rPr>
          <w:tab/>
        </w:r>
        <w:r>
          <w:rPr>
            <w:webHidden/>
          </w:rPr>
          <w:fldChar w:fldCharType="begin"/>
        </w:r>
        <w:r>
          <w:rPr>
            <w:webHidden/>
          </w:rPr>
          <w:instrText xml:space="preserve"> PAGEREF _Toc188521721 \h </w:instrText>
        </w:r>
        <w:r>
          <w:rPr>
            <w:webHidden/>
          </w:rPr>
        </w:r>
        <w:r>
          <w:rPr>
            <w:webHidden/>
          </w:rPr>
          <w:fldChar w:fldCharType="separate"/>
        </w:r>
        <w:r>
          <w:rPr>
            <w:webHidden/>
          </w:rPr>
          <w:t>2</w:t>
        </w:r>
        <w:r>
          <w:rPr>
            <w:webHidden/>
          </w:rPr>
          <w:fldChar w:fldCharType="end"/>
        </w:r>
      </w:hyperlink>
    </w:p>
    <w:p w14:paraId="3E5ABF0E" w14:textId="544898F2" w:rsidR="00065029" w:rsidRDefault="00065029">
      <w:pPr>
        <w:pStyle w:val="TOC3"/>
        <w:rPr>
          <w:rFonts w:asciiTheme="minorHAnsi" w:eastAsiaTheme="minorEastAsia" w:hAnsiTheme="minorHAnsi" w:cstheme="minorBidi"/>
          <w:smallCaps w:val="0"/>
          <w:kern w:val="2"/>
          <w:sz w:val="24"/>
          <w:lang w:val="en-IE" w:eastAsia="en-IE"/>
          <w14:ligatures w14:val="standardContextual"/>
        </w:rPr>
      </w:pPr>
      <w:hyperlink w:anchor="_Toc188521722" w:history="1">
        <w:r w:rsidRPr="0037732A">
          <w:rPr>
            <w:rStyle w:val="Hyperlink"/>
            <w:rFonts w:ascii="Times New Roman" w:hAnsi="Times New Roman"/>
            <w:b/>
          </w:rPr>
          <w:t>1.1.</w:t>
        </w:r>
        <w:r>
          <w:rPr>
            <w:rFonts w:asciiTheme="minorHAnsi" w:eastAsiaTheme="minorEastAsia" w:hAnsiTheme="minorHAnsi" w:cstheme="minorBidi"/>
            <w:smallCaps w:val="0"/>
            <w:kern w:val="2"/>
            <w:sz w:val="24"/>
            <w:lang w:val="en-IE" w:eastAsia="en-IE"/>
            <w14:ligatures w14:val="standardContextual"/>
          </w:rPr>
          <w:tab/>
        </w:r>
        <w:r w:rsidRPr="0037732A">
          <w:rPr>
            <w:rStyle w:val="Hyperlink"/>
            <w:rFonts w:ascii="Times New Roman" w:hAnsi="Times New Roman"/>
            <w:b/>
          </w:rPr>
          <w:t>Opbygning</w:t>
        </w:r>
        <w:r>
          <w:rPr>
            <w:webHidden/>
          </w:rPr>
          <w:tab/>
        </w:r>
        <w:r>
          <w:rPr>
            <w:webHidden/>
          </w:rPr>
          <w:fldChar w:fldCharType="begin"/>
        </w:r>
        <w:r>
          <w:rPr>
            <w:webHidden/>
          </w:rPr>
          <w:instrText xml:space="preserve"> PAGEREF _Toc188521722 \h </w:instrText>
        </w:r>
        <w:r>
          <w:rPr>
            <w:webHidden/>
          </w:rPr>
        </w:r>
        <w:r>
          <w:rPr>
            <w:webHidden/>
          </w:rPr>
          <w:fldChar w:fldCharType="separate"/>
        </w:r>
        <w:r>
          <w:rPr>
            <w:webHidden/>
          </w:rPr>
          <w:t>2</w:t>
        </w:r>
        <w:r>
          <w:rPr>
            <w:webHidden/>
          </w:rPr>
          <w:fldChar w:fldCharType="end"/>
        </w:r>
      </w:hyperlink>
    </w:p>
    <w:p w14:paraId="3A604092" w14:textId="167F45FD" w:rsidR="00065029" w:rsidRDefault="00065029">
      <w:pPr>
        <w:pStyle w:val="TOC3"/>
        <w:rPr>
          <w:rFonts w:asciiTheme="minorHAnsi" w:eastAsiaTheme="minorEastAsia" w:hAnsiTheme="minorHAnsi" w:cstheme="minorBidi"/>
          <w:smallCaps w:val="0"/>
          <w:kern w:val="2"/>
          <w:sz w:val="24"/>
          <w:lang w:val="en-IE" w:eastAsia="en-IE"/>
          <w14:ligatures w14:val="standardContextual"/>
        </w:rPr>
      </w:pPr>
      <w:hyperlink w:anchor="_Toc188521723" w:history="1">
        <w:r w:rsidRPr="0037732A">
          <w:rPr>
            <w:rStyle w:val="Hyperlink"/>
            <w:rFonts w:ascii="Times New Roman" w:hAnsi="Times New Roman"/>
            <w:b/>
          </w:rPr>
          <w:t>1.2.</w:t>
        </w:r>
        <w:r>
          <w:rPr>
            <w:rFonts w:asciiTheme="minorHAnsi" w:eastAsiaTheme="minorEastAsia" w:hAnsiTheme="minorHAnsi" w:cstheme="minorBidi"/>
            <w:smallCaps w:val="0"/>
            <w:kern w:val="2"/>
            <w:sz w:val="24"/>
            <w:lang w:val="en-IE" w:eastAsia="en-IE"/>
            <w14:ligatures w14:val="standardContextual"/>
          </w:rPr>
          <w:tab/>
        </w:r>
        <w:r w:rsidRPr="0037732A">
          <w:rPr>
            <w:rStyle w:val="Hyperlink"/>
            <w:rFonts w:ascii="Times New Roman" w:hAnsi="Times New Roman"/>
            <w:b/>
          </w:rPr>
          <w:t>Konvention for nummerering</w:t>
        </w:r>
        <w:r>
          <w:rPr>
            <w:webHidden/>
          </w:rPr>
          <w:tab/>
        </w:r>
        <w:r>
          <w:rPr>
            <w:webHidden/>
          </w:rPr>
          <w:fldChar w:fldCharType="begin"/>
        </w:r>
        <w:r>
          <w:rPr>
            <w:webHidden/>
          </w:rPr>
          <w:instrText xml:space="preserve"> PAGEREF _Toc188521723 \h </w:instrText>
        </w:r>
        <w:r>
          <w:rPr>
            <w:webHidden/>
          </w:rPr>
        </w:r>
        <w:r>
          <w:rPr>
            <w:webHidden/>
          </w:rPr>
          <w:fldChar w:fldCharType="separate"/>
        </w:r>
        <w:r>
          <w:rPr>
            <w:webHidden/>
          </w:rPr>
          <w:t>2</w:t>
        </w:r>
        <w:r>
          <w:rPr>
            <w:webHidden/>
          </w:rPr>
          <w:fldChar w:fldCharType="end"/>
        </w:r>
      </w:hyperlink>
    </w:p>
    <w:p w14:paraId="1999FBA1" w14:textId="4CE32B75" w:rsidR="00065029" w:rsidRDefault="00065029">
      <w:pPr>
        <w:pStyle w:val="TOC3"/>
        <w:rPr>
          <w:rFonts w:asciiTheme="minorHAnsi" w:eastAsiaTheme="minorEastAsia" w:hAnsiTheme="minorHAnsi" w:cstheme="minorBidi"/>
          <w:smallCaps w:val="0"/>
          <w:kern w:val="2"/>
          <w:sz w:val="24"/>
          <w:lang w:val="en-IE" w:eastAsia="en-IE"/>
          <w14:ligatures w14:val="standardContextual"/>
        </w:rPr>
      </w:pPr>
      <w:hyperlink w:anchor="_Toc188521724" w:history="1">
        <w:r w:rsidRPr="0037732A">
          <w:rPr>
            <w:rStyle w:val="Hyperlink"/>
            <w:rFonts w:ascii="Times New Roman" w:hAnsi="Times New Roman"/>
            <w:b/>
          </w:rPr>
          <w:t>1.3.</w:t>
        </w:r>
        <w:r>
          <w:rPr>
            <w:rFonts w:asciiTheme="minorHAnsi" w:eastAsiaTheme="minorEastAsia" w:hAnsiTheme="minorHAnsi" w:cstheme="minorBidi"/>
            <w:smallCaps w:val="0"/>
            <w:kern w:val="2"/>
            <w:sz w:val="24"/>
            <w:lang w:val="en-IE" w:eastAsia="en-IE"/>
            <w14:ligatures w14:val="standardContextual"/>
          </w:rPr>
          <w:tab/>
        </w:r>
        <w:r w:rsidRPr="0037732A">
          <w:rPr>
            <w:rStyle w:val="Hyperlink"/>
            <w:rFonts w:ascii="Times New Roman" w:hAnsi="Times New Roman"/>
            <w:b/>
          </w:rPr>
          <w:t>Forkortelser</w:t>
        </w:r>
        <w:r>
          <w:rPr>
            <w:webHidden/>
          </w:rPr>
          <w:tab/>
        </w:r>
        <w:r>
          <w:rPr>
            <w:webHidden/>
          </w:rPr>
          <w:fldChar w:fldCharType="begin"/>
        </w:r>
        <w:r>
          <w:rPr>
            <w:webHidden/>
          </w:rPr>
          <w:instrText xml:space="preserve"> PAGEREF _Toc188521724 \h </w:instrText>
        </w:r>
        <w:r>
          <w:rPr>
            <w:webHidden/>
          </w:rPr>
        </w:r>
        <w:r>
          <w:rPr>
            <w:webHidden/>
          </w:rPr>
          <w:fldChar w:fldCharType="separate"/>
        </w:r>
        <w:r>
          <w:rPr>
            <w:webHidden/>
          </w:rPr>
          <w:t>2</w:t>
        </w:r>
        <w:r>
          <w:rPr>
            <w:webHidden/>
          </w:rPr>
          <w:fldChar w:fldCharType="end"/>
        </w:r>
      </w:hyperlink>
    </w:p>
    <w:p w14:paraId="43571A1E" w14:textId="6C04F126" w:rsidR="00065029" w:rsidRDefault="00065029">
      <w:pPr>
        <w:pStyle w:val="TOC3"/>
        <w:rPr>
          <w:rFonts w:asciiTheme="minorHAnsi" w:eastAsiaTheme="minorEastAsia" w:hAnsiTheme="minorHAnsi" w:cstheme="minorBidi"/>
          <w:smallCaps w:val="0"/>
          <w:kern w:val="2"/>
          <w:sz w:val="24"/>
          <w:lang w:val="en-IE" w:eastAsia="en-IE"/>
          <w14:ligatures w14:val="standardContextual"/>
        </w:rPr>
      </w:pPr>
      <w:hyperlink w:anchor="_Toc188521725" w:history="1">
        <w:r w:rsidRPr="0037732A">
          <w:rPr>
            <w:rStyle w:val="Hyperlink"/>
            <w:rFonts w:ascii="Times New Roman" w:hAnsi="Times New Roman"/>
            <w:b/>
          </w:rPr>
          <w:t>1.4.</w:t>
        </w:r>
        <w:r>
          <w:rPr>
            <w:rFonts w:asciiTheme="minorHAnsi" w:eastAsiaTheme="minorEastAsia" w:hAnsiTheme="minorHAnsi" w:cstheme="minorBidi"/>
            <w:smallCaps w:val="0"/>
            <w:kern w:val="2"/>
            <w:sz w:val="24"/>
            <w:lang w:val="en-IE" w:eastAsia="en-IE"/>
            <w14:ligatures w14:val="standardContextual"/>
          </w:rPr>
          <w:tab/>
        </w:r>
        <w:r w:rsidRPr="0037732A">
          <w:rPr>
            <w:rStyle w:val="Hyperlink"/>
            <w:rFonts w:ascii="Times New Roman" w:hAnsi="Times New Roman"/>
            <w:b/>
          </w:rPr>
          <w:t>Tegnkonvention</w:t>
        </w:r>
        <w:r>
          <w:rPr>
            <w:webHidden/>
          </w:rPr>
          <w:tab/>
        </w:r>
        <w:r>
          <w:rPr>
            <w:webHidden/>
          </w:rPr>
          <w:fldChar w:fldCharType="begin"/>
        </w:r>
        <w:r>
          <w:rPr>
            <w:webHidden/>
          </w:rPr>
          <w:instrText xml:space="preserve"> PAGEREF _Toc188521725 \h </w:instrText>
        </w:r>
        <w:r>
          <w:rPr>
            <w:webHidden/>
          </w:rPr>
        </w:r>
        <w:r>
          <w:rPr>
            <w:webHidden/>
          </w:rPr>
          <w:fldChar w:fldCharType="separate"/>
        </w:r>
        <w:r>
          <w:rPr>
            <w:webHidden/>
          </w:rPr>
          <w:t>3</w:t>
        </w:r>
        <w:r>
          <w:rPr>
            <w:webHidden/>
          </w:rPr>
          <w:fldChar w:fldCharType="end"/>
        </w:r>
      </w:hyperlink>
    </w:p>
    <w:p w14:paraId="7F91C770" w14:textId="30E5C11F" w:rsidR="00065029" w:rsidRDefault="00065029">
      <w:pPr>
        <w:pStyle w:val="TOC1"/>
        <w:rPr>
          <w:rFonts w:asciiTheme="minorHAnsi" w:eastAsiaTheme="minorEastAsia" w:hAnsiTheme="minorHAnsi" w:cstheme="minorBidi"/>
          <w:color w:val="auto"/>
          <w:kern w:val="2"/>
          <w:sz w:val="24"/>
          <w:szCs w:val="24"/>
          <w:lang w:val="en-IE" w:eastAsia="en-IE"/>
          <w14:ligatures w14:val="standardContextual"/>
        </w:rPr>
      </w:pPr>
      <w:hyperlink w:anchor="_Toc188521726" w:history="1">
        <w:r w:rsidRPr="0037732A">
          <w:rPr>
            <w:rStyle w:val="Hyperlink"/>
            <w:rFonts w:ascii="Times New Roman" w:hAnsi="Times New Roman"/>
            <w:b/>
          </w:rPr>
          <w:t>DEL II: INSTRUKSER VEDRØRENDE SKEMAER</w:t>
        </w:r>
        <w:r>
          <w:rPr>
            <w:webHidden/>
          </w:rPr>
          <w:tab/>
        </w:r>
        <w:r>
          <w:rPr>
            <w:webHidden/>
          </w:rPr>
          <w:fldChar w:fldCharType="begin"/>
        </w:r>
        <w:r>
          <w:rPr>
            <w:webHidden/>
          </w:rPr>
          <w:instrText xml:space="preserve"> PAGEREF _Toc188521726 \h </w:instrText>
        </w:r>
        <w:r>
          <w:rPr>
            <w:webHidden/>
          </w:rPr>
        </w:r>
        <w:r>
          <w:rPr>
            <w:webHidden/>
          </w:rPr>
          <w:fldChar w:fldCharType="separate"/>
        </w:r>
        <w:r>
          <w:rPr>
            <w:webHidden/>
          </w:rPr>
          <w:t>4</w:t>
        </w:r>
        <w:r>
          <w:rPr>
            <w:webHidden/>
          </w:rPr>
          <w:fldChar w:fldCharType="end"/>
        </w:r>
      </w:hyperlink>
    </w:p>
    <w:p w14:paraId="169D0C06" w14:textId="11F3BF3D"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27" w:history="1">
        <w:r w:rsidRPr="0037732A">
          <w:rPr>
            <w:rStyle w:val="Hyperlink"/>
            <w:rFonts w:ascii="Times New Roman" w:hAnsi="Times New Roman"/>
          </w:rPr>
          <w:t>1.</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Formler til beregning af gearingsgrad</w:t>
        </w:r>
        <w:r>
          <w:rPr>
            <w:webHidden/>
          </w:rPr>
          <w:tab/>
        </w:r>
        <w:r>
          <w:rPr>
            <w:webHidden/>
          </w:rPr>
          <w:fldChar w:fldCharType="begin"/>
        </w:r>
        <w:r>
          <w:rPr>
            <w:webHidden/>
          </w:rPr>
          <w:instrText xml:space="preserve"> PAGEREF _Toc188521727 \h </w:instrText>
        </w:r>
        <w:r>
          <w:rPr>
            <w:webHidden/>
          </w:rPr>
        </w:r>
        <w:r>
          <w:rPr>
            <w:webHidden/>
          </w:rPr>
          <w:fldChar w:fldCharType="separate"/>
        </w:r>
        <w:r>
          <w:rPr>
            <w:webHidden/>
          </w:rPr>
          <w:t>4</w:t>
        </w:r>
        <w:r>
          <w:rPr>
            <w:webHidden/>
          </w:rPr>
          <w:fldChar w:fldCharType="end"/>
        </w:r>
      </w:hyperlink>
    </w:p>
    <w:p w14:paraId="21E3113B" w14:textId="11030F8A"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28" w:history="1">
        <w:r w:rsidRPr="0037732A">
          <w:rPr>
            <w:rStyle w:val="Hyperlink"/>
            <w:rFonts w:ascii="Times New Roman" w:hAnsi="Times New Roman"/>
          </w:rPr>
          <w:t>2.</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Tærskelværdier for derivater</w:t>
        </w:r>
        <w:r>
          <w:rPr>
            <w:webHidden/>
          </w:rPr>
          <w:tab/>
        </w:r>
        <w:r>
          <w:rPr>
            <w:webHidden/>
          </w:rPr>
          <w:fldChar w:fldCharType="begin"/>
        </w:r>
        <w:r>
          <w:rPr>
            <w:webHidden/>
          </w:rPr>
          <w:instrText xml:space="preserve"> PAGEREF _Toc188521728 \h </w:instrText>
        </w:r>
        <w:r>
          <w:rPr>
            <w:webHidden/>
          </w:rPr>
        </w:r>
        <w:r>
          <w:rPr>
            <w:webHidden/>
          </w:rPr>
          <w:fldChar w:fldCharType="separate"/>
        </w:r>
        <w:r>
          <w:rPr>
            <w:webHidden/>
          </w:rPr>
          <w:t>4</w:t>
        </w:r>
        <w:r>
          <w:rPr>
            <w:webHidden/>
          </w:rPr>
          <w:fldChar w:fldCharType="end"/>
        </w:r>
      </w:hyperlink>
    </w:p>
    <w:p w14:paraId="1F18D01D" w14:textId="352DA2AD"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29" w:history="1">
        <w:r w:rsidRPr="0037732A">
          <w:rPr>
            <w:rStyle w:val="Hyperlink"/>
            <w:rFonts w:ascii="Times New Roman" w:hAnsi="Times New Roman"/>
          </w:rPr>
          <w:t>3.</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C 47.00 — Beregning af gearingsgrad (LRCalc)</w:t>
        </w:r>
        <w:r>
          <w:rPr>
            <w:webHidden/>
          </w:rPr>
          <w:tab/>
        </w:r>
        <w:r>
          <w:rPr>
            <w:webHidden/>
          </w:rPr>
          <w:fldChar w:fldCharType="begin"/>
        </w:r>
        <w:r>
          <w:rPr>
            <w:webHidden/>
          </w:rPr>
          <w:instrText xml:space="preserve"> PAGEREF _Toc188521729 \h </w:instrText>
        </w:r>
        <w:r>
          <w:rPr>
            <w:webHidden/>
          </w:rPr>
        </w:r>
        <w:r>
          <w:rPr>
            <w:webHidden/>
          </w:rPr>
          <w:fldChar w:fldCharType="separate"/>
        </w:r>
        <w:r>
          <w:rPr>
            <w:webHidden/>
          </w:rPr>
          <w:t>5</w:t>
        </w:r>
        <w:r>
          <w:rPr>
            <w:webHidden/>
          </w:rPr>
          <w:fldChar w:fldCharType="end"/>
        </w:r>
      </w:hyperlink>
    </w:p>
    <w:p w14:paraId="15F4AD8C" w14:textId="31CCAA93"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30" w:history="1">
        <w:r w:rsidRPr="0037732A">
          <w:rPr>
            <w:rStyle w:val="Hyperlink"/>
            <w:rFonts w:ascii="Times New Roman" w:hAnsi="Times New Roman"/>
          </w:rPr>
          <w:t>4.</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C 40.00 — Alternativ behandling af eksponeringsmålet (LR1)</w:t>
        </w:r>
        <w:r>
          <w:rPr>
            <w:webHidden/>
          </w:rPr>
          <w:tab/>
        </w:r>
        <w:r>
          <w:rPr>
            <w:webHidden/>
          </w:rPr>
          <w:fldChar w:fldCharType="begin"/>
        </w:r>
        <w:r>
          <w:rPr>
            <w:webHidden/>
          </w:rPr>
          <w:instrText xml:space="preserve"> PAGEREF _Toc188521730 \h </w:instrText>
        </w:r>
        <w:r>
          <w:rPr>
            <w:webHidden/>
          </w:rPr>
        </w:r>
        <w:r>
          <w:rPr>
            <w:webHidden/>
          </w:rPr>
          <w:fldChar w:fldCharType="separate"/>
        </w:r>
        <w:r>
          <w:rPr>
            <w:webHidden/>
          </w:rPr>
          <w:t>32</w:t>
        </w:r>
        <w:r>
          <w:rPr>
            <w:webHidden/>
          </w:rPr>
          <w:fldChar w:fldCharType="end"/>
        </w:r>
      </w:hyperlink>
    </w:p>
    <w:p w14:paraId="66B2927F" w14:textId="0A1F3B16"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31" w:history="1">
        <w:r w:rsidRPr="0037732A">
          <w:rPr>
            <w:rStyle w:val="Hyperlink"/>
            <w:rFonts w:ascii="Times New Roman" w:hAnsi="Times New Roman"/>
          </w:rPr>
          <w:t>5.</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C 43.00 — Alternativ opdeling af komponenter af eksponeringsmålet bag gearingsgraden (LR4)</w:t>
        </w:r>
        <w:r>
          <w:rPr>
            <w:webHidden/>
          </w:rPr>
          <w:tab/>
        </w:r>
        <w:r>
          <w:rPr>
            <w:webHidden/>
          </w:rPr>
          <w:fldChar w:fldCharType="begin"/>
        </w:r>
        <w:r>
          <w:rPr>
            <w:webHidden/>
          </w:rPr>
          <w:instrText xml:space="preserve"> PAGEREF _Toc188521731 \h </w:instrText>
        </w:r>
        <w:r>
          <w:rPr>
            <w:webHidden/>
          </w:rPr>
        </w:r>
        <w:r>
          <w:rPr>
            <w:webHidden/>
          </w:rPr>
          <w:fldChar w:fldCharType="separate"/>
        </w:r>
        <w:r>
          <w:rPr>
            <w:webHidden/>
          </w:rPr>
          <w:t>43</w:t>
        </w:r>
        <w:r>
          <w:rPr>
            <w:webHidden/>
          </w:rPr>
          <w:fldChar w:fldCharType="end"/>
        </w:r>
      </w:hyperlink>
    </w:p>
    <w:p w14:paraId="6BAB0CA4" w14:textId="5A283AC6"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32" w:history="1">
        <w:r w:rsidRPr="0037732A">
          <w:rPr>
            <w:rStyle w:val="Hyperlink"/>
            <w:rFonts w:ascii="Times New Roman" w:hAnsi="Times New Roman"/>
          </w:rPr>
          <w:t>6.</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C 44.00 – Generelle oplysninger (LR5)</w:t>
        </w:r>
        <w:r>
          <w:rPr>
            <w:webHidden/>
          </w:rPr>
          <w:tab/>
        </w:r>
        <w:r>
          <w:rPr>
            <w:webHidden/>
          </w:rPr>
          <w:fldChar w:fldCharType="begin"/>
        </w:r>
        <w:r>
          <w:rPr>
            <w:webHidden/>
          </w:rPr>
          <w:instrText xml:space="preserve"> PAGEREF _Toc188521732 \h </w:instrText>
        </w:r>
        <w:r>
          <w:rPr>
            <w:webHidden/>
          </w:rPr>
        </w:r>
        <w:r>
          <w:rPr>
            <w:webHidden/>
          </w:rPr>
          <w:fldChar w:fldCharType="separate"/>
        </w:r>
        <w:r>
          <w:rPr>
            <w:webHidden/>
          </w:rPr>
          <w:t>71</w:t>
        </w:r>
        <w:r>
          <w:rPr>
            <w:webHidden/>
          </w:rPr>
          <w:fldChar w:fldCharType="end"/>
        </w:r>
      </w:hyperlink>
    </w:p>
    <w:p w14:paraId="1C10EF1C" w14:textId="78720A63"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33" w:history="1">
        <w:r w:rsidRPr="0037732A">
          <w:rPr>
            <w:rStyle w:val="Hyperlink"/>
            <w:rFonts w:ascii="Times New Roman" w:hAnsi="Times New Roman"/>
          </w:rPr>
          <w:t>7.</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C 48.00 Gearingsgradens volatilitet (LR6)</w:t>
        </w:r>
        <w:r>
          <w:rPr>
            <w:webHidden/>
          </w:rPr>
          <w:tab/>
        </w:r>
        <w:r>
          <w:rPr>
            <w:webHidden/>
          </w:rPr>
          <w:fldChar w:fldCharType="begin"/>
        </w:r>
        <w:r>
          <w:rPr>
            <w:webHidden/>
          </w:rPr>
          <w:instrText xml:space="preserve"> PAGEREF _Toc188521733 \h </w:instrText>
        </w:r>
        <w:r>
          <w:rPr>
            <w:webHidden/>
          </w:rPr>
        </w:r>
        <w:r>
          <w:rPr>
            <w:webHidden/>
          </w:rPr>
          <w:fldChar w:fldCharType="separate"/>
        </w:r>
        <w:r>
          <w:rPr>
            <w:webHidden/>
          </w:rPr>
          <w:t>73</w:t>
        </w:r>
        <w:r>
          <w:rPr>
            <w:webHidden/>
          </w:rPr>
          <w:fldChar w:fldCharType="end"/>
        </w:r>
      </w:hyperlink>
    </w:p>
    <w:p w14:paraId="50B1BEA4" w14:textId="67C57E96"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34" w:history="1">
        <w:r w:rsidRPr="0037732A">
          <w:rPr>
            <w:rStyle w:val="Hyperlink"/>
            <w:rFonts w:ascii="Times New Roman" w:hAnsi="Times New Roman"/>
          </w:rPr>
          <w:t>8.</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C 48.01 Gearingsgradens volatilitet: Gennemsnitlig værdi for indberetningsperioden</w:t>
        </w:r>
        <w:r>
          <w:rPr>
            <w:webHidden/>
          </w:rPr>
          <w:tab/>
        </w:r>
        <w:r>
          <w:rPr>
            <w:webHidden/>
          </w:rPr>
          <w:fldChar w:fldCharType="begin"/>
        </w:r>
        <w:r>
          <w:rPr>
            <w:webHidden/>
          </w:rPr>
          <w:instrText xml:space="preserve"> PAGEREF _Toc188521734 \h </w:instrText>
        </w:r>
        <w:r>
          <w:rPr>
            <w:webHidden/>
          </w:rPr>
        </w:r>
        <w:r>
          <w:rPr>
            <w:webHidden/>
          </w:rPr>
          <w:fldChar w:fldCharType="separate"/>
        </w:r>
        <w:r>
          <w:rPr>
            <w:webHidden/>
          </w:rPr>
          <w:t>73</w:t>
        </w:r>
        <w:r>
          <w:rPr>
            <w:webHidden/>
          </w:rPr>
          <w:fldChar w:fldCharType="end"/>
        </w:r>
      </w:hyperlink>
    </w:p>
    <w:p w14:paraId="4DEB7FA1" w14:textId="4D451B12" w:rsidR="00065029" w:rsidRDefault="0006502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1735" w:history="1">
        <w:r w:rsidRPr="0037732A">
          <w:rPr>
            <w:rStyle w:val="Hyperlink"/>
            <w:rFonts w:ascii="Times New Roman" w:hAnsi="Times New Roman"/>
          </w:rPr>
          <w:t>9.</w:t>
        </w:r>
        <w:r>
          <w:rPr>
            <w:rFonts w:asciiTheme="minorHAnsi" w:eastAsiaTheme="minorEastAsia" w:hAnsiTheme="minorHAnsi" w:cstheme="minorBidi"/>
            <w:b w:val="0"/>
            <w:smallCaps w:val="0"/>
            <w:kern w:val="2"/>
            <w:sz w:val="24"/>
            <w:szCs w:val="24"/>
            <w:lang w:val="en-IE" w:eastAsia="en-IE"/>
            <w14:ligatures w14:val="standardContextual"/>
          </w:rPr>
          <w:tab/>
        </w:r>
        <w:r w:rsidRPr="0037732A">
          <w:rPr>
            <w:rStyle w:val="Hyperlink"/>
            <w:rFonts w:ascii="Times New Roman" w:hAnsi="Times New Roman"/>
          </w:rPr>
          <w:t>C 48.02 Gearingsgradens volatilitet: Daglige værdier for indberetningsperioden</w:t>
        </w:r>
        <w:r>
          <w:rPr>
            <w:webHidden/>
          </w:rPr>
          <w:tab/>
        </w:r>
        <w:r>
          <w:rPr>
            <w:webHidden/>
          </w:rPr>
          <w:fldChar w:fldCharType="begin"/>
        </w:r>
        <w:r>
          <w:rPr>
            <w:webHidden/>
          </w:rPr>
          <w:instrText xml:space="preserve"> PAGEREF _Toc188521735 \h </w:instrText>
        </w:r>
        <w:r>
          <w:rPr>
            <w:webHidden/>
          </w:rPr>
        </w:r>
        <w:r>
          <w:rPr>
            <w:webHidden/>
          </w:rPr>
          <w:fldChar w:fldCharType="separate"/>
        </w:r>
        <w:r>
          <w:rPr>
            <w:webHidden/>
          </w:rPr>
          <w:t>73</w:t>
        </w:r>
        <w:r>
          <w:rPr>
            <w:webHidden/>
          </w:rPr>
          <w:fldChar w:fldCharType="end"/>
        </w:r>
      </w:hyperlink>
    </w:p>
    <w:p w14:paraId="43D747E1" w14:textId="5E8C2C76"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521720"/>
      <w:r>
        <w:rPr>
          <w:rFonts w:ascii="Times New Roman" w:hAnsi="Times New Roman"/>
          <w:b/>
          <w:sz w:val="24"/>
        </w:rPr>
        <w:t>DEL I:</w:t>
      </w:r>
      <w:bookmarkEnd w:id="0"/>
      <w:r>
        <w:rPr>
          <w:rFonts w:ascii="Times New Roman" w:hAnsi="Times New Roman"/>
          <w:b/>
          <w:sz w:val="24"/>
        </w:rPr>
        <w:t xml:space="preserve"> GENERELLE INSTRUKSER</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521721"/>
      <w:r>
        <w:rPr>
          <w:rFonts w:ascii="Times New Roman" w:hAnsi="Times New Roman"/>
          <w:b/>
          <w:sz w:val="24"/>
        </w:rPr>
        <w:t>1.</w:t>
      </w:r>
      <w:r>
        <w:tab/>
      </w:r>
      <w:r>
        <w:rPr>
          <w:rFonts w:ascii="Times New Roman" w:hAnsi="Times New Roman"/>
          <w:b/>
          <w:sz w:val="24"/>
        </w:rPr>
        <w:t>Opbygning og andre konventioner</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521722"/>
      <w:r>
        <w:rPr>
          <w:rFonts w:ascii="Times New Roman" w:hAnsi="Times New Roman"/>
          <w:b/>
          <w:sz w:val="24"/>
        </w:rPr>
        <w:t>1.1.</w:t>
      </w:r>
      <w:r>
        <w:tab/>
      </w:r>
      <w:bookmarkEnd w:id="11"/>
      <w:bookmarkEnd w:id="12"/>
      <w:bookmarkEnd w:id="13"/>
      <w:r>
        <w:rPr>
          <w:rFonts w:ascii="Times New Roman" w:hAnsi="Times New Roman"/>
          <w:b/>
          <w:sz w:val="24"/>
        </w:rPr>
        <w:t>Opbygning</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Dette bilag indeholder yderligere instrukser vedrørende skemaerne for gearingsgraden (herefter "LR" – Leverage Ratio) i bilag X til denne forordning.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tab/>
      </w:r>
      <w:r>
        <w:rPr>
          <w:sz w:val="24"/>
        </w:rPr>
        <w:t>Generelt består systemet af fem skemaer:</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C47.00: Beregning af gearingsgrad (LRCalc): Beregning af gearingsgrad</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C40.00: Skema for gearingsgrad 1 (LR1): Alternativ behandling af eksponeringsmålet</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C43.00: Skema for gearingsgrad 4 (LR4): Alternativ opdeling af komponenter af eksponeringsmålet bag gearingsgraden</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C44.00: Skema for gearingsgrad 5 (LR5): Generelle oplysninger.</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Gearingsgradens volatilitet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tab/>
      </w:r>
      <w:r>
        <w:rPr>
          <w:sz w:val="24"/>
        </w:rPr>
        <w:t>For hvert skema gives der henvisninger til retsakter og yderligere detaljerede oplysninger om de mere generelle aspekter af indberetningen.</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521723"/>
      <w:bookmarkEnd w:id="17"/>
      <w:r>
        <w:rPr>
          <w:rFonts w:ascii="Times New Roman" w:hAnsi="Times New Roman"/>
          <w:b/>
          <w:sz w:val="24"/>
        </w:rPr>
        <w:t>1.2.</w:t>
      </w:r>
      <w:r>
        <w:tab/>
      </w:r>
      <w:r>
        <w:rPr>
          <w:rFonts w:ascii="Times New Roman" w:hAnsi="Times New Roman"/>
          <w:b/>
          <w:sz w:val="24"/>
        </w:rPr>
        <w:t>Konvention for nummerering</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tab/>
      </w:r>
      <w:r>
        <w:rPr>
          <w:sz w:val="24"/>
        </w:rPr>
        <w:t>Dokumentet følger de konventioner for tekst, der er beskrevet i de følgende afsnit, når der henvises til kolonner, rækker og celler i skemaerne. Disse numeriske koder anvendes generelt i valideringsreglerne.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tab/>
      </w:r>
      <w:r>
        <w:rPr>
          <w:sz w:val="24"/>
        </w:rPr>
        <w:t>Følgende generelle notation anvendes i instrukserne: {Skema;Række;Kolonne}. En asterisk henviser til hele rækken eller kolonnen.</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tab/>
      </w:r>
      <w:r>
        <w:rPr>
          <w:sz w:val="24"/>
        </w:rPr>
        <w:t>Ved valideringer i et skema, hvor kun datapunkter fra skemaet anvendes, henviser notationer ikke til et skema: {Række;Kolonne}.</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tab/>
      </w:r>
      <w:r>
        <w:rPr>
          <w:sz w:val="24"/>
        </w:rPr>
        <w:t xml:space="preserve">Med henblik på indberetning af gearing henviser "heraf" til en post, der er en del af en kategori på et højere eksponeringsniveau, mens "memorandumpost" henviser til en separat post, der ikke er en del af en eksponeringsklasse. Indberetning af begge typer celler er obligatorisk, medmindre andet angives.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521724"/>
      <w:r>
        <w:rPr>
          <w:rFonts w:ascii="Times New Roman" w:hAnsi="Times New Roman"/>
          <w:b/>
          <w:sz w:val="24"/>
        </w:rPr>
        <w:t>1.3.</w:t>
      </w:r>
      <w:r>
        <w:tab/>
      </w:r>
      <w:r>
        <w:rPr>
          <w:rFonts w:ascii="Times New Roman" w:hAnsi="Times New Roman"/>
          <w:b/>
          <w:sz w:val="24"/>
        </w:rPr>
        <w:t>Forkortelser</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tab/>
      </w:r>
      <w:r>
        <w:rPr>
          <w:sz w:val="24"/>
        </w:rPr>
        <w:t>I dette bilag og de tilhørende skemaer anvendes følgende forkortelser:</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tab/>
      </w:r>
      <w:r>
        <w:rPr>
          <w:sz w:val="24"/>
        </w:rPr>
        <w:t>SFT, som er forkortelsen for "værdipapirfinansieringstransaktion" og betyder "genkøbstransaktion, ud- og indlån af værdipapirer eller råvarer eller margenudlånstransaktion", jf. artikel 4, stk. 1, nr. 139), i forordning (EU) nr.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tab/>
      </w:r>
      <w:r>
        <w:rPr>
          <w:sz w:val="24"/>
        </w:rPr>
        <w:t>CRM, som er forkortelsen for kreditrisikoreduktion</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tab/>
      </w:r>
      <w:r>
        <w:rPr>
          <w:sz w:val="24"/>
        </w:rPr>
        <w:t>CSD, som er forkortelsen for værdipapircentral</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tab/>
      </w:r>
      <w:r>
        <w:rPr>
          <w:sz w:val="24"/>
        </w:rPr>
        <w:t>QCCP, som er forkortelsen for kvalificerende central modpart</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tab/>
      </w:r>
      <w:r>
        <w:rPr>
          <w:sz w:val="24"/>
        </w:rPr>
        <w:t>PFE, som er forkortelsen for potentiel fremtidig eksponering.</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521725"/>
      <w:r>
        <w:rPr>
          <w:rFonts w:ascii="Times New Roman" w:hAnsi="Times New Roman"/>
          <w:b/>
          <w:sz w:val="24"/>
        </w:rPr>
        <w:t>1.4.</w:t>
      </w:r>
      <w:r>
        <w:tab/>
      </w:r>
      <w:r>
        <w:rPr>
          <w:rFonts w:ascii="Times New Roman" w:hAnsi="Times New Roman"/>
          <w:b/>
          <w:sz w:val="24"/>
        </w:rPr>
        <w:t>Tegnkonvention</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tab/>
      </w:r>
      <w:r>
        <w:rPr>
          <w:sz w:val="24"/>
        </w:rPr>
        <w:t>Alle beløb indberettes som positive tal.</w:t>
      </w:r>
      <w:bookmarkStart w:id="32" w:name="_Toc264033192"/>
      <w:bookmarkEnd w:id="32"/>
      <w:r>
        <w:rPr>
          <w:sz w:val="24"/>
        </w:rPr>
        <w:t xml:space="preserve"> Med undtagelse af:</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Hvis der er indsat et negativt fortegn (-) ved teksten ud for en post, forventes der ikke en positivt tal ud for den pågældende post.</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{LRCalc;0310;0010}, {LRCalc;0320;0010}, {LRCalc;0330;0010}, {LRCalc;0340;0010} kan indeholde negative værdier, hvis særlige forhold gør sig gældende; ellers indeholder de positive værdier.</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521726"/>
      <w:r>
        <w:rPr>
          <w:rFonts w:ascii="Times New Roman" w:hAnsi="Times New Roman"/>
          <w:b/>
          <w:sz w:val="24"/>
        </w:rPr>
        <w:lastRenderedPageBreak/>
        <w:t>DEL II: INSTRUKSER VEDRØRENDE SKEMAER</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521727"/>
      <w:r>
        <w:rPr>
          <w:rFonts w:ascii="Times New Roman" w:hAnsi="Times New Roman"/>
          <w:b/>
          <w:sz w:val="24"/>
        </w:rPr>
        <w:t>1.</w:t>
      </w:r>
      <w:r>
        <w:tab/>
      </w:r>
      <w:r>
        <w:rPr>
          <w:rFonts w:ascii="Times New Roman" w:hAnsi="Times New Roman"/>
          <w:b/>
          <w:sz w:val="24"/>
        </w:rPr>
        <w:t>Formler til beregning af gearingsgrad</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Gearingsgraden er baseret på et kapitalmål og et samlet eksponeringsmål, som kan beregnes ved hjælp af cellerne i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tab/>
      </w:r>
      <w:r>
        <w:rPr>
          <w:rFonts w:ascii="Times New Roman" w:hAnsi="Times New Roman"/>
          <w:sz w:val="24"/>
        </w:rPr>
        <w:t>Gearingsgrad – Definition efter fuld indfasning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tab/>
      </w:r>
      <w:r>
        <w:rPr>
          <w:rFonts w:ascii="Times New Roman" w:hAnsi="Times New Roman"/>
          <w:sz w:val="24"/>
        </w:rPr>
        <w:t>Gearingsgrad – Overgangsdefinition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521728"/>
      <w:bookmarkEnd w:id="39"/>
      <w:r>
        <w:rPr>
          <w:rFonts w:ascii="Times New Roman" w:hAnsi="Times New Roman"/>
          <w:b/>
          <w:sz w:val="24"/>
        </w:rPr>
        <w:t>2.</w:t>
      </w:r>
      <w:r>
        <w:tab/>
      </w:r>
      <w:r>
        <w:rPr>
          <w:rFonts w:ascii="Times New Roman" w:hAnsi="Times New Roman"/>
          <w:b/>
          <w:sz w:val="24"/>
        </w:rPr>
        <w:t>Tærskelværdier for derivater</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tab/>
      </w:r>
      <w:r>
        <w:rPr>
          <w:rFonts w:ascii="Times New Roman" w:hAnsi="Times New Roman"/>
          <w:sz w:val="24"/>
        </w:rPr>
        <w:t>For at mindske indberetningsbyrden for institutter med begrænsede eksponeringer i forbindelse med derivater anvendes følgende mål til at måle betydningen af eksponeringerne mod derivater i forhold til den samlede eksponering bag gearingsgraden. Institutter skal beregne disse mål på følgende måde:</w:t>
      </w:r>
      <w:bookmarkStart w:id="45" w:name="_Toc322533853"/>
      <w:bookmarkEnd w:id="43"/>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tab/>
      </w:r>
      <w:r>
        <w:rPr>
          <w:rFonts w:ascii="Times New Roman" w:hAnsi="Times New Roman"/>
          <w:sz w:val="24"/>
        </w:rPr>
        <w:t xml:space="preserve">Andel af derivater = </w:t>
      </w:r>
      <m:oMath>
        <m:f>
          <m:fPr>
            <m:ctrlPr>
              <w:rPr>
                <w:rFonts w:ascii="Cambria Math" w:hAnsi="Times New Roman"/>
                <w:sz w:val="24"/>
                <w:szCs w:val="24"/>
              </w:rPr>
            </m:ctrlPr>
          </m:fPr>
          <m:num>
            <m:r>
              <m:rPr>
                <m:sty m:val="p"/>
              </m:rPr>
              <w:rPr>
                <w:rFonts w:ascii="Cambria Math" w:hAnsi="Times New Roman"/>
                <w:sz w:val="24"/>
                <w:szCs w:val="24"/>
              </w:rPr>
              <m:t>Derivateksponeringsm</m:t>
            </m:r>
            <m:r>
              <m:rPr>
                <m:sty m:val="p"/>
              </m:rPr>
              <w:rPr>
                <w:rFonts w:ascii="Cambria Math" w:hAnsi="Times New Roman"/>
                <w:sz w:val="24"/>
                <w:szCs w:val="24"/>
              </w:rPr>
              <m:t>å</m:t>
            </m:r>
            <m:r>
              <m:rPr>
                <m:sty m:val="p"/>
              </m:rPr>
              <w:rPr>
                <w:rFonts w:ascii="Cambria Math" w:hAnsi="Times New Roman"/>
                <w:sz w:val="24"/>
                <w:szCs w:val="24"/>
              </w:rPr>
              <m:t>l</m:t>
            </m:r>
          </m:num>
          <m:den>
            <m:r>
              <m:rPr>
                <m:sty m:val="p"/>
              </m:rPr>
              <w:rPr>
                <w:rFonts w:ascii="Cambria Math" w:hAnsi="Times New Roman"/>
                <w:sz w:val="24"/>
                <w:szCs w:val="24"/>
              </w:rPr>
              <m:t>Samlet eksponeringsm</m:t>
            </m:r>
            <m:r>
              <m:rPr>
                <m:sty m:val="p"/>
              </m:rPr>
              <w:rPr>
                <w:rFonts w:ascii="Cambria Math" w:hAnsi="Times New Roman"/>
                <w:sz w:val="24"/>
                <w:szCs w:val="24"/>
              </w:rPr>
              <m:t>å</m:t>
            </m:r>
            <m:r>
              <m:rPr>
                <m:sty m:val="p"/>
              </m:rPr>
              <w:rPr>
                <w:rFonts w:ascii="Cambria Math" w:hAnsi="Times New Roman"/>
                <w:sz w:val="24"/>
                <w:szCs w:val="24"/>
              </w:rPr>
              <m:t>l</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tab/>
      </w:r>
      <w:r>
        <w:rPr>
          <w:rFonts w:ascii="Times New Roman" w:hAnsi="Times New Roman"/>
          <w:sz w:val="24"/>
        </w:rPr>
        <w:t>Hvor det samlede derivateksponeringsmål er lig med: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tab/>
      </w:r>
      <w:r>
        <w:rPr>
          <w:rFonts w:ascii="Times New Roman" w:hAnsi="Times New Roman"/>
          <w:sz w:val="24"/>
        </w:rPr>
        <w:t>Hvor det samlede eksponeringsmål er lig med: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tab/>
      </w:r>
      <w:r>
        <w:rPr>
          <w:rFonts w:ascii="Times New Roman" w:hAnsi="Times New Roman"/>
          <w:sz w:val="24"/>
        </w:rPr>
        <w:t>Samlet fiktiv værdi knyttet til derivater = {LR1; 0010;0070}. Denne celle skal institutter altid indberette.</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tab/>
      </w:r>
      <w:r>
        <w:rPr>
          <w:rFonts w:ascii="Times New Roman" w:hAnsi="Times New Roman"/>
          <w:sz w:val="24"/>
        </w:rPr>
        <w:t>Mængde af kreditderivater = {LR1;0020;0070} + {LR1;0050;0070}. Disse celler skal institutter altid indberette.</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tab/>
      </w:r>
      <w:r>
        <w:rPr>
          <w:rFonts w:ascii="Times New Roman" w:hAnsi="Times New Roman"/>
          <w:sz w:val="24"/>
        </w:rPr>
        <w:t>Institutter skal indberette de celler, der er nævnt i punkt 13, hvis en af følgende betingelser er opfyldt:</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Den andel af derivater, der er nævnt i punkt 5, overstiger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Den andel af derivater, der er nævnt i punkt 5, overstiger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Entry- og exitkriterierne i denne forordnings artikel 4 finder anvendelse, bortset fra litra b), hvor institutter skal begynde at indberette oplysninger fra den næste referencedato for indberetning, hvis de har overskredet tærsklen på en referencedato for indberetning.</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tab/>
      </w:r>
      <w:r>
        <w:rPr>
          <w:rFonts w:ascii="Times New Roman" w:hAnsi="Times New Roman"/>
          <w:sz w:val="24"/>
        </w:rPr>
        <w:t>Institutter, for hvilke den samlede fiktive værdi knyttet til derivater, jf. definitionen i punkt 8, overstiger 10 mia. EUR, skal indberette de celler, der er nævnt i punkt 13, selv om deres andel af derivater ikke opfylder betingelserne i punkt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rPr>
        <w:t>Entrykriterierne i denne forordnings artikel 4 finder ikke anvendelse. Institutter begynder at indberette oplysninger fra den næste referencedato for indberetning, når de har overskredet tærsklen på en referencedato for indberetning.</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tab/>
      </w:r>
      <w:r>
        <w:rPr>
          <w:rFonts w:ascii="Times New Roman" w:hAnsi="Times New Roman"/>
          <w:sz w:val="24"/>
        </w:rPr>
        <w:t>Institutter skal indberette de celler, der er nævnt i punkt 14, hvis en af følgende betingelser er opfyldt:</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Den mængde af kreditderivater, der er nævnt i punkt 9, overstiger 300 mio.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Den mængde af kreditderivater, der er nævnt i punkt 9, overstiger 500 mio. EUR.</w:t>
      </w:r>
    </w:p>
    <w:p w14:paraId="3B88084F" w14:textId="34241752" w:rsidR="00F4754B" w:rsidRPr="000B66BC" w:rsidRDefault="00242493" w:rsidP="000B66BC">
      <w:pPr>
        <w:pStyle w:val="InstructionsText2"/>
        <w:numPr>
          <w:ilvl w:val="0"/>
          <w:numId w:val="0"/>
        </w:numPr>
        <w:ind w:left="709" w:firstLine="11"/>
        <w:rPr>
          <w:sz w:val="24"/>
        </w:rPr>
      </w:pPr>
      <w:r>
        <w:rPr>
          <w:sz w:val="24"/>
        </w:rPr>
        <w:t>Entry- og exitkriterierne i denne forordnings artikel 4 finder anvendelse, bortset fra litra b), hvor institutter skal begynde at indberette oplysninger fra den næste referencedato for indberetning, hvis de har overskredet tærsklen på en referencedato for indberetning.</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tab/>
      </w:r>
      <w:r>
        <w:rPr>
          <w:rFonts w:ascii="Times New Roman" w:hAnsi="Times New Roman"/>
          <w:sz w:val="24"/>
        </w:rPr>
        <w:t>De celler, som institutter skal indberette i henhold til punkt 10 og 11, er følgende: {LR1;0010;0010}, {LR1;0010;0020}, {LR1;0020;0010}, {LR1;0020;0020}, {LR1;0030;0070}, {LR1;0040;0070}, {LR1;0050;0010}, {LR1;0050;0020}, {LR1;0060;0010}, {LR1;0060;0020} og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tab/>
      </w:r>
      <w:r>
        <w:rPr>
          <w:rFonts w:ascii="Times New Roman" w:hAnsi="Times New Roman"/>
          <w:sz w:val="24"/>
        </w:rPr>
        <w:t>De celler, som institutter skal indberette i henhold til punkt 12, er følgende: {LR1;0020;0075}, {LR1;0050;0075} og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521729"/>
      <w:bookmarkEnd w:id="46"/>
      <w:r>
        <w:rPr>
          <w:rFonts w:ascii="Times New Roman" w:hAnsi="Times New Roman"/>
          <w:b/>
          <w:sz w:val="24"/>
        </w:rPr>
        <w:t>3.</w:t>
      </w:r>
      <w:r>
        <w:tab/>
      </w:r>
      <w:r>
        <w:rPr>
          <w:rFonts w:ascii="Times New Roman" w:hAnsi="Times New Roman"/>
          <w:b/>
          <w:sz w:val="24"/>
        </w:rPr>
        <w:t>C 47.00 — Beregning af gearingsgrad (LRCalc)</w:t>
      </w:r>
      <w:bookmarkEnd w:id="47"/>
      <w:bookmarkEnd w:id="48"/>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tab/>
      </w:r>
      <w:r>
        <w:rPr>
          <w:rFonts w:ascii="Times New Roman" w:hAnsi="Times New Roman"/>
          <w:sz w:val="24"/>
        </w:rPr>
        <w:t xml:space="preserve">I dette skema indsamles de data, der er nødvendige for at beregne gearingsgraden som defineret i syvende del af forordning (EU) nr.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tab/>
      </w:r>
      <w:r>
        <w:rPr>
          <w:rFonts w:ascii="Times New Roman" w:hAnsi="Times New Roman"/>
          <w:sz w:val="24"/>
        </w:rPr>
        <w:t>Institutter skal indberette gearingsgraden hvert kvartal. I hvert kvartal er værdien på "referencedatoen for indberetning" værdien på den sidste kalenderdag i den tredje måned i det pågældende kvartal.</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tab/>
      </w:r>
      <w:r>
        <w:rPr>
          <w:rFonts w:ascii="Times New Roman" w:hAnsi="Times New Roman"/>
          <w:sz w:val="24"/>
        </w:rPr>
        <w:t>Institutter skal indberette posterne i afsnittet om eksponeringsværdier med positivt fortegn i overensstemmelse med tegnkonventionen i del I, punkt 9, i dette bilag (med undtagelse af ({LRCalc;0270;0010} og {LRCalc;0280;0010}), som om posterne med negativt fortegn (for eksempel undtagelser/fradrag) i overensstemmelse med tegnkonventionen i del I, punkt 9, i dette bilag ikke gjaldt.</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Beløb, der forøger kapitalgrundlaget eller eksponeringsværdien bag gearingsgraden, indberettes som et positivt tal. Modsat indberettes beløb, der reducerer det samlede kapitalgrundlag eller eksponeringsværdien bag gearingsgraden, som et negativt tal. Hvis der er indsat et negativt fortegn (-) ved teksten ud for en post, indberettes et positivt tal ikke for den pågældende post.</w:t>
      </w:r>
    </w:p>
    <w:p w14:paraId="69E62B50" w14:textId="0E030492" w:rsidR="00EC3422" w:rsidRPr="000B66BC" w:rsidRDefault="006A4991" w:rsidP="009339D1">
      <w:pPr>
        <w:pStyle w:val="InstructionsText2"/>
        <w:numPr>
          <w:ilvl w:val="0"/>
          <w:numId w:val="0"/>
        </w:numPr>
        <w:ind w:left="720" w:hanging="360"/>
        <w:rPr>
          <w:sz w:val="24"/>
        </w:rPr>
      </w:pPr>
      <w:r>
        <w:rPr>
          <w:sz w:val="24"/>
        </w:rPr>
        <w:t>19. Når et beløb kunne være kvalificeret til fradrag af flere årsager, fratrækkes beløbet kun fra eksponeringen i én række i skema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Henvisninger til retsakter og instrukser</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Række og kolonne</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Eksponeringsværdier</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SFT'er: Eksponeringsværdi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Artikel 429b, stk. 1, litra b), og artikel 429b, stk. 4 og 5, i forordning (EU) nr.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af SFT'er beregnet i overensstemmelse med artikel 429b, stk. 1, litra b), artikel 429b, stk. 4 og 5, i forordning (EU) nr.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denne celle skal institutterne medtage transaktioner i overensstemmelse med artikel 429e, stk. 7, litra c), i forordning (EU) nr.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disse poster i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Institutter skal i denne celle ikke medtage SFT'er,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forordning (EU) nr.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SFT'er: Tillæg for modpartskreditrisiko</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Artikel 429e, stk. 1, i forordning (EU) nr.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Tillægget for modpartskreditrisiko for SFT'er, herunder ikkebalanceførte SFT'er, opgjort i overensstemmelse med artikel 429e, stk. 2 eller 3, og stk. 4, i forordning (EU) nr. 575/2013, alt efter hvad der er relevant.</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denne celle skal institutterne medtage transaktioner i overensstemmelse med artikel 429e, stk. 7, litra c), i forordning (EU) nr.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Institutter skal i denne celle ikke medtage SFT'er,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forordning (EU) nr. 575/2013. Institutter skal i stedet angive disse poster i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Undtagelse for SFT'er: Tillæg i henhold til artikel 429e, stk. 5, og artikel 222 i 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Artikel 429e, stk. 5, og artikel 222 i forordning (EU) nr.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Eksponeringsværdien af SFT'er, herunder ikkebalanceførte SFT'er, beregnet i overensstemmelse med artikel 222 forordning (EU) nr. 575/2013, med en minimumssats på 20 % for den gældende risikovægt.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denne celle skal institutterne medtage transaktioner i overensstemmelse med artikel 429e, stk. 7, litra c), i forordning (EU) nr.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denne celle skal institutterne ikke medtage transaktioner, for hvilke den del af den gearingsgradsrelevante eksponering der udgøres af tillægget, bestemmes i overensstemmelse med den metode, der er omhandlet i artikel 429e, stk. 1, i forordning (EU) nr.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Modpartskreditrisiko for SFT'er, hvor instituttet handler som agent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Artikel 429e, stk. 2 og 3, og artikel 429e, stk. 7, litra a), i forordning (EU) nr.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af SFT'er,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forordning (EU) nr. 575/2013, udelukkende bestående af det i overensstemmelse med artikel 429e, stk. 2 eller 3, i forordning (EU) nr. 575/2013 bestemte tillæg.</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 denne celle skal institutter ikke medtage værdien af transaktioner i overensstemmelse med artikel 429e, stk. 7, litra c). Institutter skal i stedet angive disse poster i {0010;0010} og {0020;0010} eller {0010;0010} og {0030;0010}.</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Ikke medregnet CCP-element af kundeclearede SFT-eksponeringer</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g), og artikel 306, stk. 1, litra c), i forordning (EU) nr.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Det ikke medregnede CCP-element af kundeclearede SFT-handelseksponeringer, forudsat at de pågældende elementer opfylder betingelserne i artikel 306, stk. 1, litra c), i forordning (EU) nr.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Hvis det ikke medregnede CCP-element er et værdipapir, skal det ikke indberettes i denne celle, medmindre der er tale om et genpantsat værdipapir, som i henhold til de gældende regnskabsregler (dvs. i henhold til artikel 111, stk. 1, første punktum, i forordning (EU) nr. 575/2013) er medtaget til fuld værdi.</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Institutter skal også medtage det beløb, der indberettes i denne celle, i {0010;0010}, {0020;0010} og {0030;0010}, og, hvis der er tale om et genpantsat værdipapir som i henhold til de gældende regnskabsregler er medtaget til fuld værdi, også i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Hvis instituttet stiller en initialmargen for et ikke medregnet CCP-element, som indberettes i {0190;0010}, men ikke i {0020;0010} eller {0030;0010}, kan instituttet indberette beløbet i denne celle.</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Derivater: Genanskaffelsesomkostningsandel efter standardmetoden for modpartskreditrisiko (uden virkningen af sikkerhedsstillelse på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Artikel 429c, stk. 1, i forordning (EU) nr.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Genanskaffelsesomkostninger, jf. artikel 275 i forordning (EU) nr. 575/2013, uden virkningen af sikkerhedsstillelse på NICA og uden virkningen af variationsmargen. Institutter anvender ikke undtagelserne i artikel 429c, stk. 3 og 4, og artikel 429a, stk. 1, litra g), i forordning (EU) nr. 575/2013 med henblik på denne celle. Beløbet skal indberettes efter anvendelse af alfafaktoren 1,4 som fastsat i artikel 274, stk. 2, i forordning (EU) nr.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Ifølge artikel 429c, stk. 1, i forordning (EU) nr. 575/2013 kan institutterne tage hensyn til virkningen af kontrakter om nyordning ("novation") og andre aftaler om netting, jf. artikel 295 i forordning (EU) nr. 575/2013. Netting på tværs af produkter må ikke anvendes. Institutter kan imidlertid modregne inden for den i artikel 272, nr. 25), litra c), i forordning (EU) nr. 575/2013 omhandlede produktkategori og inden for kreditderivater omfattet af en aftale om netting på tværs af produkter, jf. artikel 295, litra c), i forordning (EU) nr.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Institutter skal medtage alle kreditderivater og ikke kun derivaterne i handelsbeholdningen.</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Institutter skal i denne celle ikke medtage kontrakter, der måles ved anvendelse af den forenklede standardmetode eller den oprindelige eksponeringsmetode.</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Virkning af indregning af sikkerhedsstillelse på NICA på kundeclearede QCCP-transaktioner (standardmetode for modpartskreditrisiko — genanskaffelsesomkostninger)</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Artikel 429c, stk. 4 og 4a, i forordning (EU) nr.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Anvendelse af undtagelsen i artikel 429c, stk. 4, i forordning (EU) nr. 575/2013 sammenholdt med stk. 4a i samme artikel på beregningen af genanskaffelsesomkostningerne for derivatkontrakter med kunder, hvor kontrakterne cleares af en QCCP. Beløbet skal indberettes efter anvendelse af alfafaktoren 1,4 som fastsat i artikel 274, stk. 2, i forordning (EU) nr.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Institutter skal også medtage det beløb, der indberettes i denne celle, i {0061;0010}, som om der ikke gjaldt nogen undtagelse.</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Virkning af godkendt variationsmargen modtaget kontant modregnet i derivaters markedsværdi (standardmetode for modpartskreditrisiko — genanskaffelsesomkostninger)</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Artikel 429c, stk. 3, i forordning (EU) nr.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Variationsmargen modtaget kontant fra modparten, som kan modregnes i derivateksponeringens genanskaffelsesomkostninger i henhold til artikel 429c, stk. 3, i forordning (EU) nr. 575/2013. Beløbet skal indberettes efter anvendelse af alfafaktoren 1,4 som fastsat i artikel 274, stk. 2, i forordning (EU) nr.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En eventuel kontant variationsmargen, der måtte være modtaget for et ikke medregnet CCP-element i henhold til artikel 429a, stk. 1, litra g), i forordning (EU) nr. 575/2013, indberettes ikke.</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Institutter skal også medtage det beløb, der indberettes i denne celle, i {0061;0010}, som om der ikke gjaldt noget fradrag for variationsmargen modtaget kontant.</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Virkning af ikke medregnet CCP-element af kundeclearede handelseksponeringer (standardmetode for modpartskreditrisiko — genanskaffelsesomkostninger)</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g), i forordning (EU) nr.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Genanskaffelsesomkostningsandelen for ikke medregnede handelseksponeringer mod en QCCP fra kundeclearede derivattransaktioner, forudsat at de pågældende poster opfylder betingelserne i artikel 306, stk. 1, litra c), i forordning (EU) nr. 575/2013. Dette beløb skal indberettes uden fradrag af kontant variationsmargen modtaget for dette element. Beløbet skal indberettes efter anvendelse af alfafaktoren 1,4 som fastsat i artikel 274, stk. 2, i forordning (EU) nr.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Institutter skal også medtage det beløb, der indberettes i denne celle, i {0061;0010}, som om der ikke gjaldt nogen undtagelse.</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Derivater: Andel af potentiel fremtidig eksponering i henhold til standardmetoden for modpartskreditrisiko (multiplikator på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Artikel 429c, stk. 5, i forordning (EU) nr.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Potentiel fremtidig eksponering, jf. artikel 278 i forordning (EU) nr. 575/2013, under antagelse af en multiplikator på 1, dvs. uden anvendelse af undtagelsen vedrørende kontrakter med kunder, hvor kontrakterne cleares af en QCCP, i artikel 429c, stk. 5, i forordning (EU) nr. 575/2013. Beløbet skal indberettes efter anvendelse af alfafaktoren 1,4 som fastsat i artikel 274, stk. 2, i forordning (EU) nr.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Virkning af lavere multiplikator for kundeclearede QCCP-transaktioner på PFE-andel (standardmetode for modpartskreditrisiko — potentiel fremtidig eksponering)</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Artikel 429c, stk. 5, i forordning (EU) nr.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Anvendelse af undtagelsen i artikel 429c, stk. 5, i forordning (EU) nr. 575/2013 på beregningen af PFE for derivatkontrakter med kunder, hvor kontrakterne cleares af en QCCP. Beløbet skal indberettes efter anvendelse af alfafaktoren 1,4 som fastsat i artikel 274, stk. 2, i forordning (EU) nr.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Institutter skal også medtage det beløb, der indberettes i denne celle, i {0091;0010}, som om der ikke gjaldt nogen undtagelse.</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Virkning af ikke medregnet CCP-element af kundeclearede handelseksponeringer (standardmetode for modpartskreditrisiko — potentiel fremtidig eksponering)</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g), i forordning (EU) nr.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Den potentielle fremtidige eksponering for ikke medregnede handelseksponeringer mod en QCCP fra kundeclearede derivattransaktioner, forudsat at de pågældende poster opfylder betingelserne i artikel 306, stk. 1, litra c), i forordning (EU) nr. 575/2013. Beløbet skal indberettes efter anvendelse af alfafaktoren 1,4 som fastsat i artikel 274, stk. 2, i forordning (EU) nr.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Institutter skal også medtage det beløb, der indberettes i denne celle, i {0091;0010}, som om der ikke gjaldt nogen undtagelse.</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Undtagelse for derivater: genanskaffelsesomkostningsandel i henhold til den forenklede standardmetode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Artikel 429c, stk. 6, og artikel 281 i forordning (EU) nr.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I denne celle angives eksponeringsmålet for kontrakter opført i bilag II, punkt 1 og 2, til forordning (EU) nr. 575/2013, beregnet efter den forenklede standardmetode som fastlagt i artikel 281 i forordning (EU) nr. 575/2013. Beløbet skal indberettes efter anvendelse af alfafaktoren 1,4 som fastsat i artikel 274, stk. 2, i forordning (EU) nr.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Institutter, der anvender den forenklede standardmetode, skal ikke reducere eksponeringsmålet med den modtagne margen, jf. artikel 429c, stk. 6, i forordning (EU) nr. 575/2013. Undtagelsen for derivatkontrakter med kunder, hvor kontrakterne cleares af en QCCP, i artikel 429c, stk. 4, i forordning (EU) nr. 575/2013, finder derfor ikke anvendelse.</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Institutter skal i denne celle ikke medtage kontrakter, der måles ved anvendelse af standardmetoden for modpartskreditrisiko eller den oprindelige eksponeringsmetode.</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lastRenderedPageBreak/>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Virkning af ikke medregnet CCP-element af kundeclearede handelseksponeringer (forenklet standardmetode — genanskaffelsesomkostninger)</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g), i forordning (EU) nr.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Genanskaffelsesomkostningsandelen for ikke medregnede handelseksponeringer mod en QCCP fra kundeclearede derivattransaktioner, forudsat at de pågældende poster opfylder betingelserne i artikel 306, stk. 1, litra c), i forordning (EU) nr. 575/2013. Dette beløb skal indberettes uden fradrag af kontant variationsmargen modtaget for dette element. Beløbet skal indberettes efter anvendelse af alfafaktoren 1,4 som fastsat i artikel 274, stk. 2, i forordning (EU) nr.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Institutter skal også medtage det beløb, der indberettes i denne celle, i {0101;0010}, som om der ikke gjaldt nogen undtagelse.</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Undtagelse for derivater: Andel af potentiel fremtidig eksponering i henhold til den forenklede standardmetode (multiplikator på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Artikel 281, stk. 2, litra f), og artikel 429c, stk. 6, i forordning (EU) nr. 575/2013. Den potentielle fremtidige eksponering i henhold til den forenklede standardmetode som fastlagt i artikel 281 i forordning (EU) nr. 575/2013, under antagelse af en multiplikator på 1. Beløbet skal indberettes efter anvendelse af alfafaktoren 1,4 som fastsat i artikel 274, stk. 2, i forordning (EU) nr.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Institutter, der anvender den forenklede standardmetode, skal ikke reducere eksponeringsmålet med den modtagne margen, jf. artikel 429c, stk. 6, i forordning (EU) nr. 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Virkning af ikke medregnet CCP-element af kundeclearede handelseksponeringer (forenklet standardmetode — potentiel fremtidig eksponering)</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g), i forordning (EU) nr.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Den potentielle fremtidige eksponering for ikke medregnede handelseksponeringer mod en QCCP fra kundeclearede derivattransaktioner, forudsat at de pågældende poster opfylder betingelserne i artikel 306, stk. 1, litra c), i forordning (EU) nr. 575/2013. Beløbet skal indberettes efter anvendelse af alfafaktoren 1,4 som fastsat i artikel 274, stk. 2, i forordning (EU) nr.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Institutter skal også medtage det beløb, der indberettes i denne celle, i {0103;0010}, som om der ikke gjaldt nogen undtagelse.</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Undtagelse for derivater: oprindelig eksponeringsmetode</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429c, stk. 6, og artikel 282 i forordning (EU) nr.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denne celle angives eksponeringsmålet for kontrakter opført i bilag II, punkt 1 og 2, til forordning (EU) nr. 575/2013, beregnet efter den oprindelige eksponeringsmetode som fastlagt i artikel 282 i forordning (EU) nr.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Institutter, der anvender den oprindelige eksponeringsmetode, skal ikke reducere eksponeringsmålet med den modtagne margen, jf. artikel 429c, stk. 6, i forordning (EU) nr. 575/2013.</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Institutter, der ikke anvender den oprindelige eksponeringsmetode, skal ikke indberette oplysningerne i denne celle.</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Institutter skal i denne celle ikke medtage kontrakter, der måles ved anvendelse af standardmetoden for modpartskreditrisiko eller den forenklede standardmetode.</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Ikke medregnet CCP-element af kundeclearede handelseksponeringer (oprindelig eksponeringsmetode)</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g), i forordning (EU) nr.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ikke medregnede CCP-element af kundeclearede handelseksponeringer ved anvendelse af den oprindelige eksponeringsmetode som fastsat i artikel 282 i forordning (EU) nr. 575/2013, forudsat at de pågældende poster opfylder betingelserne i artikel 306, stk. 1, litra c), i forordning (EU) nr.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Institutter skal også medtage det beløb, der indberettes i denne celle, i {0110;0010}, som om der ikke gjaldt nogen undtagelse.</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Maksimal fiktiv værdi af solgte kreditderivater</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429d i forordning (EU) nr.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Institutter skal bestemme den maksimale fiktive værdi af solgte kreditderivater, som fastsat i artikel 429d, stk. 1, i overensstemmelse med artikel 429d i forordning (EU) nr.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Anerkendte erhvervede kreditderivater modregnet i solgte kreditderivater</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429d i forordning (EU) nr.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Den maksimale fiktive værdi af erhvervede kreditderivater (dvs. hvor instituttet køber kreditrisikoafdækning fra en modpart) for de samme referencenavne som de kreditderivater, der er udstedt af instituttet, når den købte kreditrisikoafdæknings restløbetid er lig med eller længere end den solgte afdæknings restløbetid. Værdien må derfor ikke være højere end den værdi, der er angivet i {0130;0010} for hvert referencenavn.</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Ikkebalanceførte poster med en konverteringsfaktor på 10 % i overensstemmelse med artikel 429f i 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i overensstemmelse med artikel 429f, artikel 111, stk. 2, litra e), og artikel 111, stk. 3, i forordning (EU) nr.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forordning (EU) nr.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understreges, at justeringer af den specifikke kreditrisiko ikke må trækkes fra den nominelle værdi før anvendelse af konverteringsfaktoren.</w:t>
            </w:r>
            <w:r>
              <w:rPr>
                <w:sz w:val="24"/>
              </w:rPr>
              <w:t xml:space="preserve"> </w:t>
            </w:r>
            <w:r>
              <w:rPr>
                <w:rFonts w:ascii="Times New Roman" w:hAnsi="Times New Roman"/>
                <w:sz w:val="24"/>
              </w:rPr>
              <w:t>I henhold til artikel 429f, stk. 2, kan institutterne i stedet reducere den krediteksponeringsækvivalente værdi af en ikkebalanceført post med den tilsvarende værdi af specifikke kreditrisikojusteringer. Denne beregning er underlagt en nedre grænse på nul.</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Hvis et tilsagn er knyttet til udvidelsen af en anden ikke-balanceført post, skal den laveste af de to konverteringsfaktorer (der er forbundet med den post, i forbindelse med hvilken tilsagnet afgives, eller til den type af tilsagn, der afgives) anvendes i overensstemmelse med artikel 111, stk. 3, i forordning (EU) nr.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Institutter skal i denne celle ikke angive kontrakter opført i bilag II til forordning (EU) nr. 575/2013, kreditderivater, SFT'er og positioner omhandlet i artikel 429d, jf. artikel 429f i forordning (EU) nr. 575/2013.</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Institutterne skal anvende en konverteringsfaktor på 10 % for tilsagn, der kan opsiges uden betingelser, i overensstemmelse med artikel 429f, stk. 3.</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Ikkebalanceførte poster med en konverteringsfaktor på 20 % i overensstemmelse med artikel 429f i 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i overensstemmelse med artikel 429f, artikel 111, stk. 2, litra d), og artikel 111, stk. 3, i forordning (EU) nr.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Det understreges, at justeringer af den specifikke kreditrisiko ikke må trækkes fra den nominelle værdi før anvendelse af konverteringsfaktoren. I henhold til artikel 429f, stk. 2, kan institutterne i stedet reducere den krediteksponeringsækvivalente værdi af en ikkebalanceført post med den tilsvarende værdi af specifikke kreditrisikojusteringer. Denne beregning er underlagt en nedre grænse på nul.</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Hvis et tilsagn er knyttet til udvidelsen af en anden ikke-balanceført post, skal den laveste af de to konverteringsfaktorer (der er forbundet med den post, i </w:t>
            </w:r>
            <w:r>
              <w:rPr>
                <w:rFonts w:ascii="Times New Roman" w:hAnsi="Times New Roman"/>
                <w:sz w:val="24"/>
              </w:rPr>
              <w:lastRenderedPageBreak/>
              <w:t>forbindelse med hvilken tilsagnet afgives, eller til den type af tilsagn, der afgives) anvendes i overensstemmelse med artikel 111, stk. 3, i forordning (EU) nr.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Institutter skal i denne celle ikke angive kontrakter opført i bilag II til forordning (EU) nr. 575/2013, kreditderivater, SFT'er og positioner omhandlet i artikel 429d, jf. artikel 429f i forordning (EU) nr. 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lastRenderedPageBreak/>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Ikkebalanceførte poster med en konverteringsfaktor på 40 % i overensstemmelse med artikel 429f i 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Eksponeringsværdien i overensstemmelse med artikel 429f, artikel 111, stk. 2, litra c), og artikel 111, stk. 3, i forordning (EU) nr.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Det understreges, at justeringer af den specifikke kreditrisiko ikke må trækkes fra den nominelle værdi før anvendelse af konverteringsfaktoren. I henhold til artikel 429f, stk. 2, kan institutterne i stedet reducere den krediteksponeringsækvivalente værdi af en ikkebalanceført post med den tilsvarende værdi af specifikke kreditrisikojusteringer. Denne beregning er underlagt en nedre grænse på nul.</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Hvis et tilsagn er knyttet til udvidelsen af en anden ikke-balanceført post, skal den laveste af de to konverteringsfaktorer (der er forbundet med den post, i forbindelse med hvilken tilsagnet afgives, eller til den type af tilsagn, der afgives) anvendes i overensstemmelse med artikel 111, stk. 3, i forordning (EU) nr.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Institutter skal i denne celle ikke angive kontrakter opført i bilag II til forordning (EU) nr. 575/2013, kreditderivater, SFT'er og positioner omhandlet i artikel 429d, jf. artikel 429f i forordning (EU) nr. 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Ikkebalanceførte poster med en konverteringsfaktor på 50 % i overensstemmelse med artikel 429f i 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i overensstemmelse med artikel 429f, artikel 111, stk. 2, litra b), og artikel 111, stk. 3, i forordning (EU) nr.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Det understreges, at justeringer af den specifikke kreditrisiko ikke må trækkes fra den nominelle værdi før anvendelse af konverteringsfaktoren.I henhold til artikel 429f, stk. 2, kan institutterne i stedet reducere den krediteksponeringsækvivalente værdi af en ikkebalanceført post med den tilsvarende værdi af specifikke kreditrisikojusteringer. Denne beregning er underlagt en nedre grænse på nul.</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denne celle medtages likviditetsfaciliteter og andre forpligtelser vedrørende securitiseringer. Det vil med andre ord sige, at konverteringsfaktoren for alle likviditetsfaciliteter i henhold til artikel 255 i forordning (EU) nr. 575/2013 er 50 %, uanset løbetid.</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Hvis et tilsagn er knyttet til udvidelsen af en anden ikke-balanceført post, skal den laveste af de to konverteringsfaktorer (der er forbundet med den post, i forbindelse med hvilken tilsagnet afgives, eller til den type af tilsagn, der afgives) anvendes i overensstemmelse med artikel 111, stk. 3, i forordning (EU) nr.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Institutter skal i denne celle ikke angive kontrakter opført i bilag II til forordning (EU) nr. 575/2013, kreditderivater, SFT'er og positioner omhandlet i artikel 429d, jf. artikel 429f i forordning (EU) nr. 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Ikkebalanceførte poster med en konverteringsfaktor på 100 % i overensstemmelse med artikel 429f i CRR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i overensstemmelse med artikel 429f, artikel 111, stk. 2, litra a), og artikel 111, stk. 3, i forordning (EU) nr.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Det understreges, at justeringer af den specifikke kreditrisiko ikke må trækkes fra den nominelle værdi før anvendelse af konverteringsfaktoren. I henhold til artikel 429f, stk. 2, kan institutterne i stedet reducere den krediteksponeringsækvivalente værdi af en ikkebalanceført post med den tilsvarende værdi af specifikke kreditrisikojusteringer. Denne beregning er underlagt en nedre grænse på nul.</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 denne celle medtages likviditetsfaciliteter og andre forpligtelser vedrørende securitiseringer.</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Hvis et tilsagn er knyttet til udvidelsen af en anden ikke-balanceført post, skal den laveste af de to konverteringsfaktorer (der er forbundet med den post, i forbindelse med hvilken tilsagnet afgives, eller til den type af tilsagn, der afgives) anvendes i overensstemmelse med artikel 111, stk. 3, i forordning (EU) nr.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Institutter skal i denne celle ikke angive kontrakter opført i bilag II til forordning (EU) nr. 575/2013, kreditderivater, SFT'er og positioner omhandlet i artikel 429d, jf. artikel 429f i forordning (EU) nr. 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Generelle kreditrisikojusteringer i forbindelse med ikkebalanceførte poster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nr. 4), i forordning (EU) nr.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Værdien af generelle kreditrisikojusteringer svarende til ikkebalanceførte poster omhandlet i artikel 429, stk. 4, litra d), som institutterne fratrækker i overensstemmelse med artikel 429, stk. 4, sidste afsnit, i forordning (EU) nr.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Den indberettede værdi skal ikke betragtes som en reduktion ved beregningen af ikkebalanceførte poster indberettet i rækker fra {0150;0010} til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Almindelige køb og salg, der endnu ikke er afregnet: Regnskabsværdi ved bogføring efter handelsdato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429g, stk. 1, i forordning (EU) nr.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Summen af:</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likvide midler relateret til almindelige køb, som forbliver på balancen indtil afregningsdatoen som aktiver i overensstemmelse med artikel 429, stk. 4, litra a), i forordning (EU) nr. 575/2013</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likvide tilgodehavender relateret til almindelige salg, som forbliver på balancen indtil afregningsdatoen som aktiver i overensstemmelse med artikel 429, stk. 4, litra a), i forordning (EU) nr. 575/2013.</w:t>
            </w:r>
            <w:r>
              <w:rPr>
                <w:rFonts w:ascii="Times New Roman" w:hAnsi="Times New Roman"/>
                <w:color w:val="auto"/>
                <w:sz w:val="24"/>
              </w:rPr>
              <w:t xml:space="preserve"> Dette er værdien efter virkningen af modregningen mellem likvide tilgodehavender for almindelige salg, der endnu ikke er afregnet, og likvide forpligtelser for almindelige køb, der endnu ikke er afregnet, som tilladt i henhold til de gældende regnskabsregler.</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Institutter, der bogfører efter handelsdato, skal indberette ovennævnte sum i denne celle i stedet for række 0190 "andre aktiver" og skal indberette værdipapirer relateret til almindelige køb i række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Almindelige salg, der endnu ikke er afregnet: Tilbageføring af regnskabsmæssig modregning ved bogføring efter handelsdato</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429g, stk. 2, i forordning (EU) nr.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Værdien af modregningen mellem likvide tilgodehavender for almindelige salg, der endnu ikke er afregnet, og likvide forpligtelser for almindelige køb, der endnu ikke er afregnet, som tilladt i henhold til regnskabsreglerne.</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Almindelige salg, der endnu ikke er afregnet: modregning i overensstemmelse med artikel 429g, stk. 2, i 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429g, stk. 2, i forordning (EU) nr.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Værdien af modregningen mellem likvide tilgodehavender og likvide forpligtelser, hvor både de relaterede almindelige salg og køb afregnes på grundlag af levering mod betaling, jf. artikel 429g, stk. 2, i forordning (EU) nr.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Almindelige køb, der endnu ikke er afregnet: Fuldstændig indregning af betalingsforpligtelser ved bogføring efter afregningsdato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429g, stk. 3, i forordning (EU) nr.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lastRenderedPageBreak/>
              <w:t>Den fulde nominelle værdi af betalingsforpligtelser vedrørende almindelige køb for institutter, der i overensstemmelse med de gældende regnskabsregler bogfører almindelige køb og salg efter afregningsdato.</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Værdipapirer relateret til almindelige salg skal indberettes i række 0190 "andre aktiver".</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Almindelige køb, der endnu ikke er afregnet: udligning af betalingsforpligtelser ved bogføring efter afregningsdato i overensstemmelse med artikel 429g, stk. 3, i 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Artikel 429g, stk. 3, i forordning (EU) nr.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Den del af det i række 0188 indberettede beløb, der udlignes med den fulde nominelle værdi af likvide tilgodehavender relateret til almindelige salg, der endnu ikke er afregnet, i overensstemmelse med artikel 429g, stk. 3, i forordning (EU) nr.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Andre aktiver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Artikel 429, stk. 4, litra a), i forordning (EU) nr.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Alle andre aktiver end derivatkontrakter opført i bilag II til forordning (EU) nr. 575/2013, kreditderivater og SFT'er (blandt de andre aktiver, der skal indberettes i denne celle, er f.eks. regnskabsmæssige fordringer vedrørende kontant variationsmargen, hvis indregnet i henhold til de gældende regnskabsregler, likvide aktiver som defineret i henhold til likviditetsdækningsgraden, fejlslagne og uafviklede transaktioner). Institutter skal fastsætte eksponeringsværdien efter principperne i artikel 429b, stk. 1, og artikel 429b, stk. 7, i forordning (EU) nr.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Institutter skal i denne celle medtage modtagne kontantbeløb eller værdipapirer, der leveres til en modpart via SFT'er, og som stadig balanceføres (dvs. at regnskabskriterierne for ophør af indregning ikke opfyldes). Institutter skal endvidere indregne poster trukket fra egentlige kernekapitalposter og hybride kernekapitalsposter (f.eks. immaterielle aktiver, udskudte skatteaktiver osv.) her.</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Den i række {0191;0010} indberettede værdi skal ikke betragtes som en reduktion ved beregningen af denne række.</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Cash pool-ordninger indberettes i række {0193;0010}, {0194;0010}, {0195;0010}, {0196;0010}, {0197;0010} og {0198;0010} og ikke her.</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Generelle kreditrisikojusteringer i forbindelse med balanceførte poster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nr. 4), i forordning (EU) nr.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lastRenderedPageBreak/>
              <w:t>Værdien af generelle kreditrisikojusteringer svarende til balanceførte poster omhandlet i artikel 429, stk. 4, litra a), i forordning (EU) nr. 575/2013, som institutterne fratrækker i overensstemmelse med artikel 429, stk. 4, sidste afsnit, i forordning (EU) nr.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Den indberettede værdi skal ikke betragtes som en reduktion ved beregningen af andre aktiver indberettet i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 pool-ordninger, der ikke kan underkastes tilsynsmæssig netting: værdi i regnskabsreglerne</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429b, stk. 2 og 3, i forordning (EU) nr.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Regnskabsværdien af cash pool-ordninger, dvs. af ordninger, hvorved kredit- og debetsaldi for flere individuelle konti kombineres med henblik på kontant- eller likviditetsstyring, som ikke kan nettes i overensstemmelse med artikel 429b, stk. 2 og 3, i forordning (EU) nr.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 pool-ordninger, der ikke kan underkastes tilsynsmæssig netting: virkning af gross-up af den efter regnskabsreglerne anvendte netting</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 stk. 7, litra b), og artikel 429b, stk. 2 og 3, i forordning (EU) nr.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Den efter regnskabsreglerne nettede værdi af cash pool-ordningerne, som ikke kan underkastes tilsynsmæssig netting, indberettet i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 pool-ordninger, der kan underkastes tilsynsmæssig netting: værdi i regnskabsreglerne</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429b, stk. 2 og 3, i forordning (EU) nr.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Regnskabsværdien af cash pool-ordninger, dvs. af ordninger, hvorved kredit- og debetsaldi for flere individuelle konti kombineres med henblik på kontant- eller likviditetsstyring, som kan nettes i overensstemmelse med artikel 429b, stk. 2 og 3, i forordning (EU) nr.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Cash pool-ordninger, der kan underkastes tilsynsmæssig netting: virkning af gross-up af den efter regnskabsreglerne anvendte netting</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429b, stk. 2 og 3, i forordning (EU) nr.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Den efter regnskabsreglerne nettede værdi af cash pool-ordningerne, som kan underkastes tilsynsmæssig netting, indberettet 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Hvis instituttet opfylder betingelsen i artikel 429b, stk. 2, i litra b), anvender det ikke opregning i denne række på saldi, der nulstilles på grundlag af proceduren i artikel 429b, stk. 2, litra 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Cash pool-ordninger, der kan underkastes tilsynsmæssig netting: Indregning af netting i henhold til artikel 429b, stk. 2, i 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429b, stk. 2, i forordning (EU) nr.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Den værdi, der nettes fra bruttoeksponeringen vedrørende cash pool-ordninger (summen af række 0195 og 0196) i henhold til artikel 429b, stk.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Cash pool-ordninger, der kan underkastes tilsynsmæssig netting: Indregning af netting i henhold til artikel 429b, stk. 3, i 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Artikel 429b, stk. 3, i forordning (EU) nr. 575/2013. </w:t>
            </w:r>
            <w:r>
              <w:rPr>
                <w:rFonts w:ascii="Times New Roman" w:hAnsi="Times New Roman"/>
                <w:color w:val="auto"/>
                <w:sz w:val="24"/>
              </w:rPr>
              <w:t>Den værdi, der nettes fra bruttoeksponeringen vedrørende cash pool-ordninger (summen af række 0195 og 0196) i henhold til artikel 429b, stk.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Gross-up for sikkerhedsstillelse i forbindelse med derivatkontrakter</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429c, stk. 2, i forordning (EU) nr.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beløb, som er stillet som sikkerhed i forbindelse med derivater, hvis sikkerhedsstillelsen i henhold til de gældende regnskabsregler reducerer summen af aktiver, jf. artikel 429c, stk. 2, i forordning (EU) nr.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Institutterne skal i denne celle ikke medtage initialmargenen for kundetransaktioner i derivater clearet gennem en kvalificerende CCP (QCCP) (kundeclearede transaktioner) eller godkendt likvid variationsmargen som defineret i artikel 429c, stk. 3, i forordning (EU) nr.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Fordringer vedrørende kontant variationsmargen i forbindelse med derivattransaktioner</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Artikel 429c, stk. 3, litra c), i forordning (EU) nr.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Fordringer vedrørende variationsmargen udbetalt kontant til modparten i forbindelse med derivattransaktioner, hvis instituttet i henhold til de gældende regnskabsregler har pligt til at indregne disse fordringer som et aktiv, og forudsat at betingelserne i artikel 429c, stk. 3, litra a)-e), i forordning (EU) nr. 575/2013 er opfyldt.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indberettede beløb skal også indgå i de andre aktiver, som indberettes i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Ikke medregnet CCP-element af kundeclearede handelseksponeringer (initialmargen)</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g), i forordning (EU) nr.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(stillede) initialmargens andel af ikke medregnede handelseksponeringer mod en QCCP fra kundeclearede derivattransaktioner, forudsat at de </w:t>
            </w:r>
            <w:r>
              <w:rPr>
                <w:rFonts w:ascii="Times New Roman" w:hAnsi="Times New Roman"/>
                <w:sz w:val="24"/>
              </w:rPr>
              <w:lastRenderedPageBreak/>
              <w:t>pågældende poster opfylder betingelserne i artikel 306, stk. 1, litra c), i forordning (EU) nr. 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indberettede beløb skal også indgå i de andre aktiver, som indberettes i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Justeringer for regnskabsmæssige transaktioner vedrørende salg af værdipapirer</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429e, stk. 6, i forordning (EU) nr.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Værdien af værdipapirer, der er udlånt i en genkøbstransaktion, og som i henhold til de gældende regnskabsregler ikke længere indregnes som følge af en transaktion, der er bogført som salg.</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Reduktion af eksponeringsværdien af forfinansieringslån eller overgangslån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Artikel 429, nr. 8), i forordning (EU) nr.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Det beløb, der trækkes fra eksponeringsværdien af et forfinansieringslån eller overgangslån i overensstemmelse med artikel 429, stk. 8, i forordning (EU) nr.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Det indberettede beløb skal indgå i de andre aktiver, som indberettes i {0190, 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Aktiver under forvaltning (fiduciary assets)</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i), i forordning (EU) nr.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Værdien af aktiver under forvaltning (fiduciary assets), som indregnes på instituttets balance ifølge de nationale almindeligt anerkendte regnskabsprincipper, og som opfylder kriterierne i IFRS 9 for ophør af indregning og, hvis det er relevant, for dekonsolidering i IFRS 10, jf. artikel 429a, stk. 1 litra i), i forordning (EU) nr. 575/2013, uden hensyntagen til virkninger af regnskabsmæssig netting eller anden risikoreduktion (dvs. at eventuelle virkninger af regnskabsmæssig netting eller risikoreduktion på den balanceførte regnskabsværdi skal tilbageføres).</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indberettede beløb skal også indgå i de andre aktiver, som indberettes i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Koncerninterne eksponeringer (individuelt grundlag) ikke medregnet i henhold til artikel 429a, stk. 1, litra c), i 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c), og artikel 113, stk. 6, i forordning (EU) nr.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Eksponeringer, der ikke er konsolideret på det relevante konsolideringsniveau, og som kan omfattes af den i artikel 113, stk. 6, i forordning (EU) nr. 575/2013 omhandlede behandling, under forudsætning af at alle betingelserne i artikel 113, stk. 6, litra a)-e), i forordning (EU) nr. 575/2013 er opfyldt og at de kompetente myndigheder har givet deres godkendelse.</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Eksponeringer, som er tilknyttet en institutsikringsordning, og som ikke medregnes i henhold til artikel 429a, stk. 1, litra c), i CRR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c), og artikel 113, stk. 7, i forordning (EU) nr.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Eksponeringer, som kan omfattes af den i artikel 113, stk. 7, i forordning (EU) nr. 575/2013 omhandlede behandling, under forudsætning af at alle betingelserne i artikel 113, stk. 7, litra a)-i), i forordning (EU) nr. 575/2013 er opfyldt, og at de kompetente myndigheder har givet deres godkendelse.</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Det indberettede beløb skal også medtages i de relevante celler ovenfor, som om der ikke gjaldt nogen undtagelse.</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Eksponeringer, som er tilknyttet en institutsikringsordning, og som ikke medregnes i henhold til artikel 429a, stk. 1, litra ca), i forordning (EU) nr. 575/2013</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Artikel 429a, stk. 1, litra ca), artikel 113, stk. 7, og artikel 114 i forordning (EU) nr. 575/2013.Eksponeringer, som kan omfattes af den i artikel 113, stk. 7, og artikel 114 i forordning (EU) nr. 575/2013 omhandlede behandling, under forudsætning af at alle betingelserne i artikel 429a, stk. 1, litra ca), i forordning (EU) nr. 575/2013 er opfyldt. </w:t>
            </w:r>
          </w:p>
          <w:p w14:paraId="679257E0" w14:textId="1D0F3ECC" w:rsidR="0093277B" w:rsidRPr="000B66BC" w:rsidRDefault="00B96F9D" w:rsidP="00D31203">
            <w:pPr>
              <w:pStyle w:val="BodyText1"/>
              <w:spacing w:after="240" w:line="240" w:lineRule="auto"/>
            </w:pPr>
            <w:r>
              <w:rPr>
                <w:rFonts w:ascii="Times New Roman" w:hAnsi="Times New Roman"/>
                <w:sz w:val="24"/>
              </w:rPr>
              <w:t>Det indberettede beløb skal også medtages i de relevante celler ovenfor, som om der ikke gjaldt nogen undtagelse.</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Udelukkede garanterede dele af eksponeringer, der følger af eksportkreditter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f), i forordning (EU) nr.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De garanterede dele af eksponeringer, der følger af eksportkreditter, og som kan udelukkes, når betingelserne i artikel 429a, stk. 1, litra f), i forordning (EU) nr. 575/2013 er opfyldt.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Udelukket overskydende sikkerhedsstillelse deponeret hos trepartsagenter</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k), i forordning (EU) nr.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Den overskydende sikkerhedsstillelse deponeret hos trepartsagenter, der ikke er blevet udlånt, og som kan udelukkes i henhold til artikel 429a, stk. 1, litra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Udelukkede securitiserede eksponeringer, der repræsenterer væsentlig risikooverførsel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m), i forordning (EU) nr.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De securitiserede eksponeringer fra traditionelle securitiseringer, der opfylder betingelserne for væsentlig risikooverførsel fastsat i artikel 244, stk.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Eksponeringer mod centralbanken, som ikke medregnes i henhold til artikel 429a, stk. 1, litra n), i 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n), i forordning (EU) nr.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Udelukkede bankmæssige accessoriske tjenesteydelser fra værdipapircentraler/institutter i henhold til artikel 429a, stk. 1, litra o), i forordning (EU) nr.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o), i forordning (EU) nr.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Udelukkede bankmæssige accessoriske tjenesteydelser fra udpegede institutter i henhold til artikel 429a, stk. 1, litra p), i 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Artikel 429a, stk. 1, litra p), i forordning (EU) nr.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Eksponeringer, som ikke medregnes i henhold til artikel 429a, stk. 1, litra j), i 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j), i forordning (EU) nr.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Eksponeringer, som i overensstemmelse med artikel 429a, stk. 1, litra j), i forordning (EU) nr. 575/2013 ikke medregnes, under forudsætning af at de i samme stykke fastsatte betingelser er opfyldt.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Offentlige udviklingskreditinstitutters udelukkede eksponeringer — Offentlige investeringer</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d), artikel 429a, stk. 2, i forordning (EU) nr.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De eksponeringer, der følger af aktiver, som udgør fordringer på centralregeringer, regionale eller lokale myndigheder eller offentlige enheder vedrørende offentlige investeringer, og som kan udelukkes i henhold til artikel 429a, stk. 1, litra d), i forordning (EU) nr.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Hvis fordringen også kan betragtes som et støttelån som defineret i artikel 429a, stk. 3, skal den ikke indberettes her, men i række 0262-0264, alt efter hvad der er relevant.</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Offentlige kreditinstitutters udelukkede eksponeringer — Støttelån ydet af et offentligt udviklingskreditinstitut</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d), og artikel 429a, stk. 2 og 3, i forordning (EU) nr.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 eksponeringer, der følger af støttelån, herunder pass through-støttelån, ydet af et offentligt udviklingskreditinstitut, som kan udelukkes i henhold til artikel 429a, stk. 1, litra d), i forordning (EU) nr. 575/2013.</w:t>
            </w:r>
            <w:r>
              <w:rPr>
                <w:rFonts w:ascii="Times New Roman" w:hAnsi="Times New Roman"/>
                <w:color w:val="auto"/>
                <w:sz w:val="24"/>
              </w:rPr>
              <w:t xml:space="preserve"> </w:t>
            </w:r>
            <w:r>
              <w:rPr>
                <w:rFonts w:ascii="Times New Roman" w:hAnsi="Times New Roman"/>
                <w:sz w:val="24"/>
              </w:rPr>
              <w:t>Eksponeringer hos en enhed i et institut, der behandles som et offentligt udviklingskreditinstitut af en kompetent myndighed i henhold til artikel 429a, stk. 2, sidste afsnit, i forordning (EU) nr. 575/2013 skal også tages i betragtning.</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Offentlige udviklingskreditinstitutters udelukkede eksponeringer — Støttelån ydet af en enhed oprettet direkte af centralregeringen eller regionale eller lokale myndigheder i en medlemsstat</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Artikel 429a, stk. 1, litra d), og artikel 429a, stk. 2 og 3, i forordning (EU) nr.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De eksponeringer, der følger af støttelån, herunder pass through-støttelån, ydet af en enhed oprettet direkte af centralregeringen eller regionale eller lokale myndigheder, og som kan udelukkes i henhold til artikel 429a, stk. 1, litra d). Eksponeringer hos en enhed i et institut, der behandles som et offentligt udviklingskreditinstitut af en kompetent myndighed i henhold til artikel 429a, stk. 2, sidste afsnit, skal også tages i betragtning.</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Offentlige udviklingskreditinstitutters udelukkede eksponeringer — Støttelån ydet af en enhed oprettet af centralregeringen eller regionale eller lokale myndigheder i en medlemsstat gennem et mellemliggende kreditinstitut</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d), og artikel 429a, stk. 2 og 3, i forordning (EU) nr.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De eksponeringer, der følger af støttelån, herunder pass through-støttelån, ydet af en enhed oprettet af centralregeringen eller regionale eller lokale myndigheder gennem et mellemliggende kreditinstitut, og som kan udelukkes i henhold til artikel 429a, stk. 1, litra d). Eksponeringer hos en enhed i et institut, der behandles som et offentligt udviklingskreditinstitut af en kompetent myndighed i henhold til artikel 429a, stk. 2, sidste afsnit, skal også tages i betragtning.</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Udelukkede eksponeringer mod aktionærer i henhold til artikel 429a, stk. 1, litra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da), i forordning (EU) nr.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Institutternes eksponeringer mod aktionærer, som er kreditinstitutter, forudsat at de er sikret, og at alle betingelser i litra da) er opfyldt.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Udelukkede eksponeringer fra pass through-støttelån gennem ikkeoffentlige udviklingskreditinstitutter (eller enheder) —Støttelån ydet af et offentligt udviklingskreditinstitut</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e), og artikel 429a, stk. 2 og 3, i forordning (EU) nr.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lastRenderedPageBreak/>
              <w:t xml:space="preserve">De dele af eksponeringer, der følger af pass through-støttelån til andre kreditinstitutter, når støttelånene er ydet af et offentligt udviklingskreditinstitut. </w:t>
            </w:r>
            <w:r>
              <w:rPr>
                <w:rFonts w:ascii="Times New Roman" w:hAnsi="Times New Roman"/>
                <w:sz w:val="24"/>
              </w:rPr>
              <w:t>De dele af eksponeringerne hos enhederne i et institut, der ikke behandles som et offentligt udviklingskreditinstitut af en kompetent myndighed i henhold til artikel 429a, stk. 2, sidste afsnit, skal også tages i betragtning.</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Udelukkede eksponeringer fra pass through-støttelån gennem ikkeoffentlige udviklingskreditinstitutter (eller enheder) — Støttelån ydet af en enhed oprettet direkte af centralregeringen eller regionale eller lokale myndigheder i en medlemsstat</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e), og artikel 429a, stk. 2 og 3, i forordning (EU) nr.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 dele af eksponeringer, der følger af pass through-støttelån til andre kreditinstitutter, når støttelånene er ydet af en enhed direkte oprettet af centralregeringen eller de regionale eller lokale myndigheder i en medlemsstat. </w:t>
            </w:r>
            <w:r>
              <w:rPr>
                <w:rFonts w:ascii="Times New Roman" w:hAnsi="Times New Roman"/>
                <w:sz w:val="24"/>
              </w:rPr>
              <w:t>De dele af eksponeringerne hos enhederne i et institut, der ikke behandles som et offentligt udviklingskreditinstitut af en kompetent myndighed i henhold til artikel 429a, stk. 2, sidste afsnit, skal også tages i betragtning.</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Udelukkede eksponeringer fra pass through-støttelån gennem ikkeoffentlige udviklingskreditinstitutter (eller enheder) — Støttelån ydet af en enhed oprettet af centralregeringen eller regionale eller lokale myndigheder i en medlemsstat gennem et mellemliggende kreditinstitut</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Artikel 429a, stk. 1, litra e), og artikel 429a, stk. 2 og 3, i forordning (EU) nr.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 dele af eksponeringer, der følger af pass through-støttelån til andre kreditinstitutter, når støttelånene er ydet af en enhed oprettet af centralregeringen eller de regionale eller lokale myndigheder i en medlemsstat gennem et mellemliggende kreditinstitut. </w:t>
            </w:r>
            <w:r>
              <w:rPr>
                <w:rFonts w:ascii="Times New Roman" w:hAnsi="Times New Roman"/>
                <w:sz w:val="24"/>
              </w:rPr>
              <w:t>De dele af eksponeringerne hos enhederne i et institut, der ikke behandles som et offentligt udviklingskreditinstitut af en kompetent myndighed i henhold til artikel 429a, stk. 2, sidste afsnit, skal også tages i betragtning.</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Det indberettede beløb skal også medtages i de relevante celler ovenfor, som om der ikke gjaldt nogen undtagelse.</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Eksponeringer fratrukket i henhold til artikel 429a, stk. 1, litra q), i 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Artikel 429a, stk. 1, litra q)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De eksponeringer, der er omfattet af den behandling, der er fastsat i artikel 72e, stk. 5, første afsnit, i forordning (EU) nr.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Det indberettede beløb skal også medtages i de relevante celler ovenfor, som om der ikke gjaldt nogen undtagelse.</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Supplerende eksponeringsværdi bag gearingsgraden i henhold til artikel 3 i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Artikel 3 i forordning (EU) nr.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Den supplerende eksponeringsværdi bag gearingsgraden skal indberettes. Den må kun indeholde den supplerende værdi.</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Fratrukket aktivbeløb — Kernekapital — Definition efter fuld indfasning</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Artikel 429a, stk. 1, litra b), og artikel 499, stk. 1, litra a), i forordning (EU) nr.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Omfatter alle justeringer, der specifikt vedrører værdien af et aktiv og kræves i henhold til:</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artikel 32-35 i forordning (EU) nr. 575/2013 eller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artikel 36-47 i forordning (EU) nr. 575/2013 eller</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artikel 56-60 i forordning (EU) nr.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alt efter det enkelte tilfælde.</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Institutter skal tage hensyn til de undtagelser, alternativer og fravigelser fra sådanne fradrag, der er omhandlet i artikel 48, 49 og 79 i forordning (EU) nr. 575/2013, dog ikke til undtagelsesbestemmelserne i tiende del, afsnit I, kapitel 1, 2 og 4, i forordning (EU) nr. 575/2013. For at undgå dobbelttælling skal institutter hverken indberette justeringer, der allerede er anvendt i henhold til artikel 111 i forordning (EU) nr. 575/2013 ved beregning af eksponeringsværdien i {0010;0010} til {0269;0010}, eller eventuelle justeringer, der ikke indebærer fradrag af værdien af et bestemt aktiv.</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Da disse beløb allerede er trukket fra kapitalmålet, reducerer de eksponeringsværdien bag gearingsgraden og skal indberettes som et negativt tal.</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lastRenderedPageBreak/>
              <w:t>(-) Fratrukket aktivbeløb - Kernekapital - Overgangsdefinition</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Artikel 429a, stk. 1, litra b), og artikel 499, stk. 1, litra a), i forordning (EU) nr.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Dette omfatter alle justeringer, der justerer værdien af et aktiv og kræves i henhold til:</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artikel 32-35 i forordning (EU) nr. 575/2013 eller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artikel 36-47 i forordning (EU) nr. 575/2013 eller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artikel 56-60 i forordning (EU) nr.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alt efter det enkelte tilfælde.</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Institutter skal tage hensyn til de undtagelser, alternativer og fravigelser fra sådanne fradrag, der er omhandlet i artikel 48, 49 og 79 i forordning (EU) nr. 575/2013, og til undtagelsesbestemmelserne i tiende del, afsnit I, kapitel 1, 2 og 4, i forordning (EU) nr. 575/2013. For at undgå dobbelttælling skal institutter hverken indberette justeringer, der allerede er anvendt i henhold til artikel 111 i forordning (EU) nr. 575/2013 ved beregning af eksponeringsværdien i {0010;0010} til {0269;0010}, eller eventuelle justeringer, der ikke indebærer fradrag af værdien af et bestemt aktiv.</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Da disse beløb allerede er trukket fra kapitalmålet, reducerer de eksponeringsværdien bag gearingsgraden og skal indberettes som et negativt tal.</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Samlet eksponeringsmål bag gearingsgraden — Definition af kernekapital efter fuld indfasning</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Institutter indberetter summen af alle rækker fra 0010 til 0269 og række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Samlet eksponeringsmål bag gearingsgraden — Overgangsdefinition af kernekapital</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Institutter indberetter summen af alle rækker fra 0010 til 0269 og række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Række og kolonne</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Kernekapital – Definition efter fuld indfasning</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stk. 3, og artikel 499, stk. 1, litra a), i forordning (EU) nr.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Dette er beløbet for kernekapitalen beregnet i overensstemmelse med artikel 25 i forordning (EU) nr. 575/2013 uden hensyntagen til den undtagelse, der </w:t>
            </w:r>
            <w:r>
              <w:rPr>
                <w:rFonts w:ascii="Times New Roman" w:hAnsi="Times New Roman"/>
                <w:sz w:val="24"/>
              </w:rPr>
              <w:lastRenderedPageBreak/>
              <w:t>er omhandlet i tiende del, afsnit I, kapitel 1, 2 og 4, i forordning (EU) nr.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Kernekapital – Overgangsdefinition</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stk. 3, og artikel 499, stk. 1, litra b), i forordning (EU) nr.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Dette er beløbet for kernekapitalen beregnet i overensstemmelse med artikel 25 i forordning (EU) nr. 575/2013 efter hensyntagen til den undtagelse, der er omhandlet i tiende del, afsnit I, kapitel 1, 2 og 4, i forordning (EU) nr.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Række og kolonne</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Gearingsgrad</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Gearingsgrad – Definition af kernekapital efter fuld indfasning</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stk. 2, og artikel 499, stk. 1, i forordning (EU) nr.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Dette er gearingsgraden opgjort i overensstemmelse med dette bilags del II, punkt 2.</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Gearingsgrad – Overgangsdefinition af kernekapital</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Artikel 429, stk. 2, og artikel 499, stk. 1, i forordning (EU) nr.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Dette er gearingsgraden opgjort i overensstemmelse med dette bilags del II, punkt 3.</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Række og kolonne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Krav: beløb</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Søjle 2-krav (P2R) til håndtering af risici for overdreven gearing</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Artikel 104 og 104a i direktiv 2013/36/EU; yderligere kapitalgrundlag, der kræves af den kompetente myndighed med henblik på håndtering af risici for overdreven gearing som omhandlet i artikel 104 i direktiv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heraf: i form af egentlig kernekapital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Den del af P2R, omhandlet i række 0350, som den kompetente myndighed kræver besiddelse af i form af egentlig kernekapital.</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G-SII-gearingsgradbuffer</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Artikel 92, stk. 1a, i forordning (EU) nr.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G-SII'er skal indberette værdien af tillægget for gearingsgraden som fastsat i overensstemmelse med artikel 92, stk. 1a, i forordning (EU) nr. 575/2013.</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lastRenderedPageBreak/>
              <w:t>G-SII'er skal indberette dette beløb pr. anvendelsesdatoen for bufferen, jf. forordning (EU) nr.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Søjle 2-vejledning (P2G) til håndtering af risici for overdreven gearing</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Artikel 104b i direktiv 2013/36/EU; yderligere kapitalgrundlag, der meddeles af den kompetente myndighed med henblik på håndtering af risici for overdreven gearing som omhandlet i artikel 104b i direktiv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heraf: i form af egentlig kernekapital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Den del af P2G, omhandlet i række 0380, som den kompetente myndighed kræver besiddelse af i form af egentlig kernekapital.</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heraf: i form af kernekapital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Den del af P2G, omhandlet i række 0380, som den kompetente myndighed kræver besiddelse af i form af kernekapital.</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Række og kolonne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Krav: procentsatser</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Søjle 1-krav til gearingsgrad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Artikel 92, stk. 1, litra d), artikel 429a, stk. 7, og artikel 429a, stk. 1, litra n), i forordning (EU) nr. 575/2013; den gearingsgrad, der kræves med henblik på håndtering af risici for overdreven gearing som omhandlet i artikel 92, stk. 1, litra d), i forordning (EU) nr.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Institutter, der udelukker eksponeringer mod instituttets centralbank, jf. artikel 429a, stk. 1, litra n), skal indberette kravet om tilpasset gearingsgrad som fastsat i artikel 429a, stk. 7, i forordning (EU) nr.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Samlet SREP-gearingsgradkrav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104 og 104a i direktiv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Summen af i) og ii) som følger:</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søjle 1-kravet til gearingsgrad som indberettet i række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den yderligere kapitalgrundlagsprocent, der kræves af den kompetente myndighed (P2R) med henblik på håndtering af risici for overdreven gearing som omhandlet i artikel 104 i direktiv 2013/36/EU.</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Institutter beregner nr. ii) ved at dividere værdien i {0350;0010} med værdien i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Hvis den kompetente myndighed ikke har oplyst om nogen yderligere krav til kapitalgrundlag, er det kun nr. i), der skal indberettes.</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i form af egentlig kernekapital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Den del af den yderligere kapitalgrundlagsprocent, omhandlet i nr. ii) i række 0420, som den kompetente myndighed kræver besiddelse af i form af egentlig kernekapital.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Institutter beregner denne værdi ved at dele værdien i {0360;0010} med værdien i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Sammenlagt gearingsgradkrav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92, stk. 1a, i forordning (EU) nr.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Summen af i) og ii) som følger:</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TSLRR i række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G-SII-gearingsgradbufferen i overensstemmelse med artikel 92, stk. 1a, i forordning (EU) nr. 575/2013, udtrykt som en procentdel af den samlede eksponering bag gearingsgraden.</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Institutter beregner nr. ii) ved at dividere værdien i {0370;0010} med værdien i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G-SII'er skal kun tage hensyn til nr. ii) pr. anvendelsesdatoen for bufferen, jf. forordning (EU) nr.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Hvis intet G-SII-tillæg finder anvendelse, indberettes kun nr.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Sammenlagt gearingsgradkrav (OLRR) og søjle 2-vejledning (P2G), i %</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Artikel 104b i direktiv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Summen af i) og ii) som følger:</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OLRR i række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yderligere kapitalgrundlag, der meddeles af den kompetente myndighed med henblik på håndtering af risici for overdreven gearing som omhandlet i artikel 104b i direktiv 2013/36/EU, udtrykt som en procentdel af den samlede eksponering bag gearingsgraden.</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Institutter beregner nr. ii) ved at dividere værdien i {0380;0010} med værdien i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Hvis den kompetente myndighed ikke har oplyst om nogen P2G, er det kun nr. i), der skal indberettes.</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og P2G: i form af egentlig kernekapital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Summen af i) og ii) som følger:</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Den del af den yderligere kapitalgrundlagsprocent, som den kompetente myndighed kræver besiddelse af i form af egentlig kernekapital, som omhandlet i række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den del af P2G-andelen, omhandlet i nr. ii) i række 0450, som den kompetente myndighed kræver besiddelse af i form af egentlig kernekapital.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Institutter beregner nr. ii) ved at dividere værdien i {0390;0010} med værdien i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Hvis den kompetente myndighed ikke har oplyst om nogen P2G, er det kun nr. i), der skal indberettes.</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og P2G: i form af kernekapital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Summen af i), ii) og iii) som følger:</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Det samlede SREP-gearingsgradkrav, som omhandlet i række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G-SII-gearingsgradbufferen i overensstemmelse med artikel 92, stk. 1a, i forordning (EU) nr. 575/2013, udtrykt som en procentdel af den samlede eksponering bag gearingsgraden.</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den del af P2G-andelen, omhandlet i nr. ii) i række 0450, som den kompetente myndighed kræver besiddelse af i form af kernekapital.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Institutter beregner nr. ii) ved at dividere værdien i {0370;0010} med værdien i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Institutter beregner nr. iii) ved at dividere værdien i {0400;0010} med værdien i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Hvis intet G-SII-tillæg finder anvendelse, indberettes kun nr. i) og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Hvis den kompetente myndighed ikke har oplyst om nogen P2G, er det kun nr. i) og ii), der skal indberettes.</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Række og kolonne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Memorandumposter</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Forordning (EU) nr. 575/2013</w:t>
            </w:r>
            <w:r>
              <w:rPr>
                <w:rFonts w:ascii="Times New Roman" w:hAnsi="Times New Roman"/>
                <w:color w:val="auto"/>
                <w:sz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Gearingsgrad som om den midlertidige behandling af urealiserede gevinster og tab målt til dagsværdi gennem anden totalindkomst ikke var blevet anvendt</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Artikel 468, nr. 5), i forordning (EU) nr.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Institutter, der har besluttet at anvende den midlertidige behandling, der er fastsat i artikel 468, stk. 1, i forordning (EU) nr. 575/2013, skal indberette den gearingsgrad, de ville have, hvis de ikke anvendte nævnte behandling.</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351048507"/>
      <w:bookmarkStart w:id="55" w:name="_Toc423089071"/>
      <w:bookmarkStart w:id="56" w:name="_Toc188521730"/>
      <w:r>
        <w:rPr>
          <w:rFonts w:ascii="Times New Roman" w:hAnsi="Times New Roman"/>
          <w:b/>
          <w:sz w:val="24"/>
        </w:rPr>
        <w:t>4.</w:t>
      </w:r>
      <w:r>
        <w:tab/>
      </w:r>
      <w:bookmarkEnd w:id="50"/>
      <w:bookmarkEnd w:id="53"/>
      <w:bookmarkEnd w:id="54"/>
      <w:r>
        <w:rPr>
          <w:rFonts w:ascii="Times New Roman" w:hAnsi="Times New Roman"/>
          <w:b/>
          <w:sz w:val="24"/>
        </w:rPr>
        <w:t>C 40.00 — Alternativ behandling af eksponeringsmålet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tab/>
      </w:r>
      <w:r>
        <w:rPr>
          <w:rFonts w:ascii="Times New Roman" w:hAnsi="Times New Roman"/>
          <w:sz w:val="24"/>
        </w:rPr>
        <w:t xml:space="preserve">I denne del af indberetningen indsamles data om alternativ behandling af derivater, SFT'er, ikkebalanceførte poster, udelukkede offentlige investeringer og udelukkede eksponeringer mod støttelån.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tab/>
      </w:r>
      <w:r>
        <w:rPr>
          <w:rFonts w:ascii="Times New Roman" w:hAnsi="Times New Roman"/>
          <w:sz w:val="24"/>
        </w:rPr>
        <w:t xml:space="preserve">Institutter skal beregne de "balanceførte regnskabsværdier" i LR1 ved hjælp af de gældende regnskabsregler, jf. artikel 4, stk. 1, nr. 77), i forordning (EU) nr. 575/2013. "Regnskabsværdi såfremt ingen netting eller anden kreditrisikoreduktion" er den balanceførte regnskabsværdi uden hensyntagen til virkningerne af netting eller anden kreditrisikoreduktion.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tab/>
      </w:r>
      <w:r>
        <w:rPr>
          <w:rFonts w:ascii="Times New Roman" w:hAnsi="Times New Roman"/>
          <w:sz w:val="24"/>
        </w:rPr>
        <w:t>Institutter skal indberette LR1-poster, som om posterne med negativt fortegn i LRCalc-skemaet (for eksempel undtagelser/fradrag) i overensstemmelse med tegnkonventionen i del I, punkt 9, i dette bilag, med undtagelse af række {0270;0010} {0280;0010}, ikke gjaldt.</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tab/>
      </w:r>
      <w:r>
        <w:rPr>
          <w:rFonts w:ascii="Times New Roman" w:hAnsi="Times New Roman"/>
          <w:sz w:val="24"/>
        </w:rPr>
        <w:t>Aktiver i alt {r0410;c0010} i skema 40.00 skal kun indberettes:</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halvårligt af store institutter, som enten er G-SII'er, eller som har udstedt værdipapirer, som er optaget til handel på et reguleret marked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årligt af store institutter, som ikke er G-SII'er, og som er ikkebørsnoterede institutter</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årligt af andre institutter end store institutter og små og ikkekomplekse institutter, som har udstedt værdipapirer, som er optaget til handel på et reguleret marked.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Række og kolonne</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Henvisninger til retsakter og instrukser</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Derivater — Balanceført regnskabsværdi</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Dette er summen af {0020;010}, {0050;0010} og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Derivater — Regnskabsværdi såfremt ingen netting eller anden kreditrisikoreduktion</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Dette er summen af {0020;0020}, {0050;0020} og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Derivater – Fiktiv værdi</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Dette er summen af {0020;0070}, {0050;0070} og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(solgt afdækning) – Balanceført regnskabsværdi</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Artikel 4, stk. 1, nr. 77), i forordning (EU) nr. 575/2013 — Den balanceførte regnskabsværdi i henhold til de gældende regnskabsregler af kreditderivater, når instituttet sælger afdækning til en modpart, og kontrakten balanceføres som et aktiv.</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Kreditderivater (solgt afdækning) – Regnskabsværdi såfremt ingen netting eller anden kreditrisikoreduktion</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Artikel 4, stk. 1, nr. 77), i forordning (EU) nr. 575/2013 — Den balanceførte regnskabsværdi i henhold til de gældende regnskabsregler af kreditderivater, når instituttet sælger afdækning til en modpart, og kontrakten balanceføres som et aktiv uden hensyntagen til virkninger af forsigtighedsjusteringer, regnskabsmæssig netting eller anden risikoreduktion (dvs. at eventuelle virkninger af regnskabsmæssig netting eller risikoreduktion på den balanceførte regnskabsværdi skal tilbageføres).</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(solgt afdækning) – Fiktiv værdi</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Dette er summen af cellerne {0030;0070} og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(solgt afdækning) – Maksimal fiktiv værdi</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I denne celle skal institutter indberette den fiktive værdi knyttet til kreditderivaterne (solgt afdækning) som i {0020; 0070} efter fradrag af eventuelle ændringer af den negative dagsværdi, som er indregnet i kernekapitalen i forbindelse med det solgte kreditderivat.</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(solgt afdækning), som er underlagt en slutafregningsklausul — Fiktiv værdi</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Institutter skal indberette den fiktive værdi knyttet til kreditderivater, når instituttet sælger kreditafdækning til en modpart, der er underlagt en slutafregningsklausul.</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Institutter skal tage hensyn til alle kreditderivater, ikke kun derivaterne i handelsbeholdningen.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(solgt afdækning), som ikke er underlagt en slutafregningsklausul — Fiktiv værdi</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Institutter skal indberette den fiktive værdi knyttet til kreditderivater, når instituttet sælger kreditafdækning til en modpart, der ikke er underlagt en slutafregningsklausul.</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 skal tage hensyn til alle kreditderivater, ikke kun derivaterne i handelsbeholdningen.</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(købt afdækning) – Balanceført regnskabsværdi</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 stk. 1, nr. 77), i forordning (EU) nr. 575/2013 — Den balanceførte regnskabsværdi i henhold til de gældende regnskabsregler af kreditderivater, når instituttet køber afdækning af en modpart, og kontrakten balanceføres som et aktiv.</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 skal tage hensyn til alle kreditderivater, ikke kun derivaterne i handelsbeholdningen.</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(købt afdækning) – Regnskabsværdi såfremt ingen netting eller anden kreditrisikoreduktion</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 stk. 1, nr. 77), i forordning (EU) nr. 575/2013 — Den balanceførte regnskabsværdi i henhold til de gældende regnskabsregler af kreditderivater, når instituttet køber afdækning af en modpart, og kontrakten balanceføres som et aktiv uden hensyntagen til virkninger af forsigtighedsjusteringer, regnskabsmæssig netting eller risikoreduktion (dvs. at eventuelle virkninger af regnskabsmæssig netting eller risikoreduktion på den balanceførte regnskabsværdi skal tilbageføres).</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 skal tage hensyn til alle kreditderivater, ikke kun derivaterne i handelsbeholdningen.</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(købt afdækning) – Fiktiv værdi</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Institutter skal indberette den fiktive værdi knyttet til kreditderivater, når instituttet køber kreditafdækning af en modpart.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 skal tage hensyn til alle kreditderivater, ikke kun derivaterne i handelsbeholdningen.</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(købt afdækning) – Maksimal fiktiv værdi</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Institutter skal indberette den fiktive værdi knyttet til kreditderivater (købt afdækning) som i {0050;0070} efter fradrag af eventuelle ændringer af den positive dagsværdi, som er indregnet i kernekapitalen i forbindelse med det købte kreditderivat.</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Kreditderivater (købt afdækning) – Maksimal fiktiv værdi (samme referencenavn)</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Institutter skal indberette den fiktive værdi knyttet til kreditderivater, når instituttet køber kreditafdækning for det samme underliggende referencenavn som de kreditderivater, der er udstedt af det indberettende institut.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Ved indberetningen af denne celleværdi betragtes de underliggende referencenavne som de samme, hvis de henviser til den samme retlige enhed og det samme niveau i rangordenen.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Kreditafdækning købt for en pulje af referenceenheder behandles som den samme, hvis denne afdækning økonomisk svarer til separat køb af afdækning for hvert af de individuelle navne i puljen.</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Hvis et institut køber kreditafdækning for en pulje af referencenavne, betragtes denne kreditafdækning kun som den samme, hvis den købte kreditafdækning dækker alle dele af puljen, for hvilken kreditafdækning er blevet solgt. Det betyder, at modregning kun anerkendes, når puljen af referenceenheder og niveauet i rangordenen er identiske.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For hvert referencenavn må de fiktive værdier af kreditafdækning, der tages højde for med henblik på indberetningen i denne celle, ikke overstige de beløb, der er indberettet i {0020;0075} og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Finansielle derivater – Balanceført regnskabsværdi</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Artikel 4, stk. 1, nr. 77), i forordning (EU) nr.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Institutter skal indberette den balanceførte regnskabsværdi i henhold til de gældende regnskabsregler af kontrakter opført i bilag II til forordning (EU) nr. 575/2013, når kontrakterne balanceføres som aktiver.</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Finansielle derivater – Regnskabsværdi såfremt ingen netting eller anden kreditrisikoreduktion</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Artikel 4, stk. 1, nr. 77), i forordning (EU) nr. 575/2013 — Den balanceførte regnskabsværdi i henhold til de gældende regnskabsregler af kontrakter opført i bilag II til forordning (EU) nr. 575/2013, når kontrakterne balanceføres som aktiver uden hensyntagen til virkninger af forsigtighedsjusteringer, regnskabsmæssig netting eller anden risikoreduktion (dvs. at eventuelle virkninger af regnskabsmæssig netting eller risikoreduktion på den balanceførte regnskabsværdi skal tilbageføres).</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Finansielle derivater – Fiktiv værdi</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Denne celle skal omfatte den fiktive værdi knyttet til kontrakter opført i bilag II til forordning (EU) nr. 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Værdipapirfinansieringstransaktioner — Balanceført regnskabsværdi</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Artikel 4, stk. 1, nr. 77), i forordning (EU) nr. 575/2013 — Den balanceførte regnskabsværdi af værdipapirfinansieringstransaktioner i henhold til de gældende regnskabsregler, når kontrakterne balanceføres som aktiver.</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dette i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Værdipapirfinansieringstransaktioner — Regnskabsværdi såfremt ingen netting eller anden kreditrisikoreduktion</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Artikel 4, stk. 1, nr. 77), i forordning (EU) nr. 575/2013 — Den balanceførte regnskabsværdi i henhold til de gældende regnskabsregler, når kontrakterne balanceføres som aktiver uden hensyntagen til virkninger af forsigtighedsjusteringer, regnskabsmæssig netting eller anden risikoreduktion (dvs. at eventuelle virkninger af regnskabsmæssig netting eller risikoreduktion på den balanceførte regnskabsværdi skal tilbageføres).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Hvis en SFT bogføres som regnskabsmæssigt salg i henhold til de gældende regnskabsregler, skal institutter tilbageføre alle salgsrelaterede regnskabsposter.</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dette i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Andre aktiver – Balanceført regnskabsværdi</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Artikel 4, stk. 1, nr. 77), i forordning (EU) nr. 575/2013 — Den balanceførte regnskabsværdi i henhold til de gældende regnskabsregler af alle andre aktiver end kontrakter opført i bilag II til forordning (EU) nr. 575/2013, kreditderivater og SFT'er.</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Andre aktiver: Regnskabsværdi såfremt ingen netting eller anden kreditrisikoreduktion</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 xml:space="preserve">Artikel 4, stk. 1, nr. 77), i forordning (EU) nr. 575/2013 — Den balanceførte regnskabsværdi i henhold til de gældende regnskabsregler af alle andre aktiver end kontrakter opført i bilag II til forordning (EU) nr. 575/2013, kreditderivater og SFT'er uden hensyntagen til virkninger af regnskabsmæssig netting eller anden risikoreduktion (dvs. at eventuelle virkninger af </w:t>
            </w:r>
            <w:r>
              <w:rPr>
                <w:rFonts w:ascii="Times New Roman" w:hAnsi="Times New Roman"/>
                <w:sz w:val="24"/>
              </w:rPr>
              <w:lastRenderedPageBreak/>
              <w:t>regnskabsmæssig netting eller risikoreduktion på den balanceførte regnskabsværdi skal tilbageføres).</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Ikkebalanceførte poster</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Institutter skal indberette den nominelle værdi af ikkebalanceførte poster. Institutter skal i denne celle ikke angive kontrakter opført i bilag II til forordning (EU) nr. 575/2013, kreditderivater og SFT'er, jf. 429f, stk. 1, i forordning (EU) nr. 575/2013.</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Kontant sikkerhed modtaget i forbindelse med derivattransaktioner – Regnskabsværdi såfremt ingen netting eller anden kreditrisikoreduktion</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Den balanceførte regnskabsværdi i henhold til de gældende regnskabsregler af kontant sikkerhed modtaget i forbindelse med derivattransaktioner uden hensyntagen til virkninger af regnskabsmæssig netting eller anden risikoreduktion (dvs. at eventuelle virkninger af regnskabsmæssig netting eller risikoreduktion på den balanceførte regnskabsværdi skal tilbageføres).</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I forbindelse med denne celle defineres kontanter som summen af alle kontanter, herunder mønter og pengesedler/valuta. Summen af alle indlån i centralbanker medtages, i det omfang disse indlån kan hæves i stresssituationer. Institutter skal ikke indberette indskud i kontanter placeret i andre institutter i denne celle.</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Fordringer vedrørende kontant sikkerhed stillet i forbindelse med derivattransaktioner – Regnskabsværdi såfremt ingen netting eller anden kreditrisikoreduktion</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Den balanceførte regnskabsværdi i henhold til de gældende regnskabsregler af fordringer vedrørende kontant sikkerhed stillet i forbindelse med derivattransaktioner uden hensyntagen til virkninger af regnskabsmæssig netting eller risikoreduktion (dvs. at eventuelle virkninger af regnskabsmæssig netting eller risikoreduktion på den balanceførte regnskabsværdi skal tilbageføres).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Institutter, der i henhold til de gældende regnskabsregler kan modregne fordringer vedrørende kontant sikkerhed stillet i forbindelse med den tilknyttede derivatforpligtelse (negativ dagsværdi), og som vælger at gøre det, skal tilbageføre denne netting og indberette nettokontantfordringen.</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Værdipapirer modtaget i forbindelse med en SFT, der balanceføres som et aktiv – Regnskabsværdi såfremt ingen netting eller anden kreditrisikoreduktion</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 xml:space="preserve">Den balanceførte regnskabsværdi i henhold til de gældende regnskabsregler af værdipapirer modtaget i forbindelse med en SFT, der i henhold til de gældende regnskabsregler balanceføres som et aktiv, uden hensyntagen til </w:t>
            </w:r>
            <w:r>
              <w:rPr>
                <w:rFonts w:ascii="Times New Roman" w:hAnsi="Times New Roman"/>
                <w:sz w:val="24"/>
              </w:rPr>
              <w:lastRenderedPageBreak/>
              <w:t>virkninger af regnskabsmæssig netting eller anden risikoreduktion (dvs. at eventuelle virkninger af regnskabsmæssig netting eller risikoreduktion på den balanceførte regnskabsværdi skal tilbageføres).</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SFT med kontant genudlån (kontantfordringer) – Regnskabsværdi såfremt ingen netting eller anden kreditrisikoreduktion</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Den balanceførte regnskabsværdi i henhold til de gældende regnskabsregler af kontantfordringer vedrørende kontant genudlån til værdipapirejer i en kvalificeret genudlånstransaktion i kontanter uden hensyntagen til virkninger af regnskabsmæssig netting eller risikoreduktion (dvs. at eventuelle virkninger af regnskabsmæssig netting eller anden risikoreduktion på den balanceførte regnskabsværdi skal tilbageføres).</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I forbindelse med denne celle defineres kontanter som summen af alle kontanter, herunder mønter og pengesedler/valuta. Summen af alle indlån i centralbanker medtages, i det omfang disse indlån kan hæves i stresssituationer. Institutter skal ikke indberette indskud i kontanter placeret i andre institutter i denne celle.</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En kvalificeret genudlånstransaktion i kontanter defineres som en kombination af to transaktioner, hvor et institut låner værdipapirer fra værdipapirejeren og genudlåner værdipapirer til værdipapirlåntageren. Samtidig modtager instituttet kontant sikkerhed fra værdipapirlåntageren og genudlåner de modtagne kontanter til værdipapirejeren. En kvalificeret genudlånstransaktion i kontanter skal opfylde følgende betingelser:</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tab/>
            </w:r>
            <w:r>
              <w:rPr>
                <w:rFonts w:ascii="Times New Roman" w:hAnsi="Times New Roman"/>
                <w:color w:val="000000"/>
                <w:sz w:val="24"/>
              </w:rPr>
              <w:t>Begge de individuelle transaktioner, der udgør den kvalificerede genudlånstransaktion i kontanter, skal gennemføres på den samme handelsdag eller på sammenhængende bankdage i tilfælde af internationale transaktioner.</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tab/>
            </w:r>
            <w:r>
              <w:rPr>
                <w:rFonts w:ascii="Times New Roman" w:hAnsi="Times New Roman"/>
                <w:color w:val="000000"/>
                <w:sz w:val="24"/>
              </w:rPr>
              <w:t>Hvis der ikke er anført en løbetid for de omfattede transaktioner, har instituttet ret til når som helst og uden varsel at lukke en af delene af transaktionen, dvs. begge de omfattede transaktioner.</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tab/>
            </w:r>
            <w:r>
              <w:rPr>
                <w:rFonts w:ascii="Times New Roman" w:hAnsi="Times New Roman"/>
                <w:color w:val="000000"/>
                <w:sz w:val="24"/>
              </w:rPr>
              <w:t>Hvis der er anført en løbetid for de omfattede transaktioner, medfører transaktionen ikke uoverensstemmende løbetider for instituttet. Instituttet har ret til når som helst og uden varsel at lukke en af delene af transaktionen, dvs. begge de omfattede transaktioner.</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tab/>
            </w:r>
            <w:r>
              <w:rPr>
                <w:rFonts w:ascii="Times New Roman" w:hAnsi="Times New Roman"/>
                <w:sz w:val="24"/>
              </w:rPr>
              <w:t>Den medfører andre forøgede eksponeringer.</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Offentlige investeringer — Fordringer på centralregeringer — Balanceført regnskabsværdi</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Hvis instituttet er et offentligt udviklingskreditinstitut, den balanceførte regnskabsværdi i henhold til de gældende regnskabsregler af aktiver, der udgør fordringer på centralregeringer vedrørende offentlige investeringer.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De balanceførte regnskabsværdier i et institut, der behandles som et offentligt udviklingskreditinstitut af en kompetent myndighed i henhold til artikel 429a, stk. 2, sidste afsnit, skal også tages i betragtning.</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Offentlige investeringer — Fordringer på regionale myndigheder — Balanceført regnskabsværdi</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Hvis instituttet er et offentligt udviklingskreditinstitut, den balanceførte regnskabsværdi i henhold til de gældende regnskabsregler af aktiver, der udgør fordringer på regionale myndigheder vedrørende offentlige investeringer.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balanceførte regnskabsværdier i et institut, der behandles som et offentligt udviklingskreditinstitut af en kompetent myndighed i henhold til artikel 429a, stk. 2, sidste afsnit, skal også tages i betragtning.</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Offentlige investeringer — Fordringer på lokale myndigheder — Balanceført regnskabsværdi</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balanceførte regnskabsværdi i henhold til de gældende regnskabsregler af aktiver, der udgør fordringer på lokale myndigheder vedrørende offentlige investeringer.</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balanceførte regnskabsværdier i et institut, der behandles som et offentligt udviklingskreditinstitut af en kompetent myndighed i henhold til artikel 429a, stk. 2, sidste afsnit, skal også tages i betragtning.</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Offentlige investeringer — Fordringer på offentlige enheder — Balanceført regnskabsværdi</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balanceførte regnskabsværdi i henhold til de gældende regnskabsregler af aktiver, der udgør fordringer på offentlige enheder vedrørende offentlige investeringer.</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balanceførte regnskabsværdier i enheden i et institut, der behandles som et offentligt udviklingskreditinstitut af en kompetent myndighed i henhold til artikel 429a, stk. 2, sidste afsnit, skal også tages i betragtning.</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Støttelån — Fordringer på centralregeringer — Balanceført regnskabsværdi</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Hvis instituttet er et offentligt udviklingskreditinstitut, den balanceførte regnskabsværdi i henhold til de gældende regnskabsregler af aktiver, der udgør fordringer på centralregeringer vedrørende støttelån.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balanceførte regnskabsværdier i en enhed i et institut, der behandles som et offentligt udviklingskreditinstitut af en kompetent myndighed i henhold til artikel 429a, stk. 2, sidste afsnit, skal også tages i betragtning.</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centralregeringer — Fiktiv værdi/nominel værdi</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nominelle værdi af ikkebalanceførte poster vedrørende den uudnyttede del af støttelån ydet til centralregeringer.</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De nominelle værdier i en enhed i et institut, der behandles som et offentligt udviklingskreditinstitut af en kompetent myndighed i henhold til artikel 429a, stk. 2, sidste afsnit, skal også tages i betragtning.</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Støttelån — Fordringer på regionale myndigheder— Balanceført regnskabsværdi</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balanceførte regnskabsværdi i henhold til de gældende regnskabsregler af aktiver, der udgør fordringer på regionale myndigheder vedrørende støttelån.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balanceførte regnskabsværdier i enheden i et institut, der behandles som et offentligt udviklingskreditinstitut af en kompetent myndighed i henhold til artikel 429a, stk. 2, sidste afsnit, skal også tages i betragtning.</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regionale myndigheder — Fiktiv værdi/nominel værdi</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nominelle værdi af ikkebalanceførte poster vedrørende den uudnyttede del af støttelån ydet til regionale myndigheder.</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De nominelle værdier i en enhed i et institut, der behandles som et offentligt udviklingskreditinstitut af en kompetent myndighed i henhold til artikel 429a, stk. 2, sidste afsnit, skal også tages i betragtning.</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Støttelån — Fordringer på lokale myndigheder— Balanceført regnskabsværdi</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balanceførte regnskabsværdi i henhold til de gældende regnskabsregler af aktiver, der udgør fordringer på lokale myndigheder vedrørende støttelån.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balanceførte regnskabsværdier i enheden i et institut, der behandles som et offentligt udviklingskreditinstitut af en kompetent myndighed i henhold til artikel 429a, stk. 2, sidste afsnit, skal også tages i betragtning.</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lokale myndigheder — Fiktiv værdi/nominel værdi</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nominelle værdi af ikkebalanceførte poster vedrørende den uudnyttede del af støttelån ydet til lokale myndigheder.</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De nominelle værdier i en enhed i et institut, der behandles som et offentligt udviklingskreditinstitut af en kompetent myndighed i henhold til artikel 429a, stk. 2, sidste afsnit, skal også tages i betragtning.</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Støttelån — Fordringer på offentlige enheder — Balanceført regnskabsværdi</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balanceførte regnskabsværdi i henhold til de gældende regnskabsregler af aktiver, der udgør fordringer på offentlige enheder vedrørende støttelån.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 balanceførte regnskabsværdier i enheden i et institut, der behandles som et offentligt udviklingskreditinstitut af en kompetent myndighed i henhold til artikel 429a, stk. 2, sidste afsnit, skal også tages i betragtning.</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offentlige enheder — Fiktiv værdi/nominel værdi</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nominelle værdi af ikkebalanceførte poster vedrørende den uudnyttede del af støttelån ydet til offentlige enheder.</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De nominelle værdier i en enhed i et institut, der behandles som et offentligt udviklingskreditinstitut af en kompetent myndighed i henhold til artikel 429a, stk. 2, sidste afsnit, skal også tages i betragtning.</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ikkefinansielle selskaber — Balanceført regnskabsværdi</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balanceførte regnskabsværdi i henhold til de gældende regnskabsregler af aktiver, der udgør fordringer på ikkefinansielle selskaber vedrørende støttelån.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balanceførte regnskabsværdier i enheden i et institut, der behandles som et offentligt udviklingskreditinstitut af en kompetent myndighed i henhold til artikel 429a, stk. 2, sidste afsnit, skal også tages i betragtning.</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ikkefinansielle selskaber — Fiktiv værdi/nominel værdi</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nominelle værdi af ikkebalanceførte poster vedrørende den uudnyttede del af støttelån ydet til ikkefinansielle selskaber.</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De nominelle værdier i en enhed i et institut, der behandles som et offentligt udviklingskreditinstitut af en kompetent myndighed i henhold til artikel 429a, stk. 2, sidste afsnit, skal også tages i betragtning.</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husholdninger — Balanceført regnskabsværdi</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balanceførte regnskabsværdi i henhold til de gældende regnskabsregler af aktiver, der udgør fordringer på husholdninger vedrørende støttelån.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balanceførte regnskabsværdier i enheden i et institut, der behandles som et offentligt udviklingskreditinstitut af en kompetent myndighed i henhold til artikel 429a, stk. 2, sidste afsnit, skal også tages i betragtning.</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Støttelån — Fordringer på husholdninger — Fiktiv værdi/nominel værdi</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Hvis instituttet er et offentligt udviklingskreditinstitut, den nominelle værdi af ikkebalanceførte poster vedrørende den uudnyttede del af støttelån ydet til husholdninger.</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De nominelle værdier i en enhed i et institut, der behandles som et offentligt udviklingskreditinstitut af en kompetent myndighed i henhold til artikel 429a, stk. 2, sidste afsnit, skal også tages i betragtning.</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Støttelån — Pass through — Balanceført regnskabsværdi</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Hvis instituttet er et offentligt udviklingskreditinstitut, den balanceførte regnskabsværdi i henhold til de gældende regnskabsregler af pass through-støttelån, når støttelånene ikke er ydet af instituttet selv.</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De balanceførte regnskabsværdier i enheden i et institut, der behandles som et offentligt udviklingskreditinstitut af en kompetent myndighed i henhold til artikel 429a, stk. 2, sidste afsnit, skal også tages i betragtning.</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Støttelån — Pass through — Fiktiv værdi/nominel værdi</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Hvis instituttet er et offentligt udviklingskreditinstitut, den nominelle værdi af ikkebalanceførte poster vedrørende den uudnyttede del af pass through-støttelån, når støttelånene ikke er ydet af instituttet selv.</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De nominelle værdier i en enhed i et institut, der behandles som et offentligt udviklingskreditinstitut af en kompetent myndighed i henhold til artikel 429a, stk. 2, sidste afsnit, skal også tages i betragtning.</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Eksponeringer mod centralbanker — Balanceført regnskabsværdi</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 henhold til de gældende regnskabsregler skal institutter indberette værdien af følgende eksponeringer mod instituttets centralbank: i) mønter og sedler, der udgør lovlig valuta i centralbankens jurisdiktion, ii) aktiver, der udgør fordringer på centralbanken, herunder reserver i centralbanken.</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Institutter skal kun medtage eksponeringer, der opfylder begge følgende betingelser: a) de er denomineret i den samme valuta som de indskud, der modtages af instituttet, b) deres gennemsnitlige løbetid overstiger ikke </w:t>
            </w:r>
            <w:r>
              <w:rPr>
                <w:rFonts w:ascii="Times New Roman" w:hAnsi="Times New Roman"/>
                <w:sz w:val="24"/>
              </w:rPr>
              <w:lastRenderedPageBreak/>
              <w:t>væsentligt den gennemsnitlige løbetid for de indskud, der modtages af instituttet.</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Institutter skal indberette disse eksponeringer uanset om de er undtaget fra det samlede eksponeringsmål i henhold til artikel 429a, stk. 5 og 6, i forordning (EU) nr. 575/2013.</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Den værdi af eksponeringer mod centralbanker, der anvendes ved beregningen af kravet om tilpasset gearingsgrad som omhandlet i artikel 429a, stk. 7, i CRR — Eksponeringsværdi bag gearingsgrad</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Den samlede daglige gennemsnitlige værdi af instituttets eksponeringer mod dets centralbank, beregnet over den fulde reservekravsperiode for centralbanken umiddelbart inden datoen omhandlet i artikel 429a, stk. 5, litra c), i forordning (EU) nr. 575/2013, som kan udelukkes i overensstemmelse med artikel 429a, stk. 1, litra n), i forordning (EU) nr. 575/2013.</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Det eksponeringsmål bag gearingsgraden, der anvendes ved beregningen af kravet om tilpasset gearingsgrad som omhandlet i artikel 429a, stk. 7, i CRR — Eksponeringsværdi bag gearingsgrad</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Instituttets samlede eksponeringsmål som fastlagt i artikel 429, stk. 4, i forordning (EU) nr. 575/2013, herunder eventuelle eksponeringer, der er udelukkede i overensstemmelse med artikel 429, stk. 1, litra n), i forordning (EU) nr. 575/2013 på den dato, der er omhandlet i artikel 429a, stk. 5, litra c), i forordning (EU) nr.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Aktiver i alt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 denne post skal institutter indberette de samlede aktiver i henhold til den konsolidering, der anvendes i de offentliggjorte regnskaber.</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521731"/>
      <w:bookmarkEnd w:id="57"/>
      <w:bookmarkEnd w:id="65"/>
      <w:bookmarkEnd w:id="66"/>
      <w:bookmarkEnd w:id="67"/>
      <w:r>
        <w:rPr>
          <w:rFonts w:ascii="Times New Roman" w:hAnsi="Times New Roman"/>
          <w:b/>
          <w:sz w:val="24"/>
        </w:rPr>
        <w:t>5.</w:t>
      </w:r>
      <w:r>
        <w:tab/>
      </w:r>
      <w:r>
        <w:rPr>
          <w:rFonts w:ascii="Times New Roman" w:hAnsi="Times New Roman"/>
          <w:b/>
          <w:sz w:val="24"/>
        </w:rPr>
        <w:t>C 43.00 — Alternativ opdeling af komponenter af eksponeringsmålet bag gearingsgraden (LR4)</w:t>
      </w:r>
      <w:bookmarkEnd w:id="68"/>
      <w:bookmarkEnd w:id="69"/>
      <w:bookmarkEnd w:id="70"/>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tab/>
      </w:r>
      <w:r>
        <w:rPr>
          <w:rFonts w:ascii="Times New Roman" w:hAnsi="Times New Roman"/>
          <w:sz w:val="24"/>
        </w:rPr>
        <w:t>Institutter skal indberette eksponeringsværdierne bag gearingsgraden i LR4 efter anvendelse af undtagelserne og fradragene i LRCalc-skemaet, dvs. poster med negativt fortegn i overensstemmelse med tegnkonventionen i del I, punkt 9, i dette bilag, bortset fra række {0270;0010} og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tab/>
      </w:r>
      <w:r>
        <w:rPr>
          <w:rFonts w:ascii="Times New Roman" w:hAnsi="Times New Roman"/>
          <w:sz w:val="24"/>
        </w:rPr>
        <w:t>For at undgå dobbelttælling skal institutter iagttage følgende ligning:</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tab/>
      </w:r>
      <w:r>
        <w:rPr>
          <w:rFonts w:ascii="Times New Roman" w:hAnsi="Times New Roman"/>
          <w:sz w:val="24"/>
        </w:rPr>
        <w:t xml:space="preserve">Summen af alle rækker fra {0010; 0010} til {0269;0010} i LRCalc-skemaet skal være lig med = [{LR4;0010;0010} + {LR4;0040;0010} + {LR4;0050;0010} + {LR4;0060;0010} + {LR4;0065;0010} + {LR4;0070;0010} + {LR4;0080;0010} + {LR40;080;0020} + {LR4;0090;0010} + {LR4;00090;0020} + {LR4;0140;0010} + {LR4;0140;0020} + {LR4;0180;0010} + {LR4;0180;0020} + {LR4;190;0010} + {LR4;0190;0020} + {LR4;0210;0010} + {LR4;0210;0020} + {LR4;0230;0010} + </w:t>
      </w:r>
      <w:r>
        <w:rPr>
          <w:rFonts w:ascii="Times New Roman" w:hAnsi="Times New Roman"/>
          <w:sz w:val="24"/>
        </w:rPr>
        <w:lastRenderedPageBreak/>
        <w:t>{LR4;0230;0020}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tab/>
      </w:r>
      <w:r>
        <w:rPr>
          <w:rFonts w:ascii="Times New Roman" w:hAnsi="Times New Roman"/>
          <w:sz w:val="24"/>
        </w:rPr>
        <w:t xml:space="preserve">For at bevare sammenhængen med eksponeringsværdierne bag gearingsgraden skal de risikovægtede eksponeringer også indberettes efter fuld indfasning. For så vidt angår dette skema tages der ikke hensyn til justeringerne af outputgulvet.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Institutter skal indberette modparten i forbindelse med risikovægtede eksponeringer efter kreditrisikoreduktionsteknikker og substitutionsvirkninger deraf. Institutter skal indberette modparten i forbindelse med eksponeringsværdien bag gearingsgraden i overensstemmelse med den oprindelige modpart, dvs. uden at tage højde for kreditrisikoreduktionsteknikker eller substitutionsvirkninger, der er relevante for risikovægtede eksponeringer.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Række og kolonne</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Henvisninger til retsakter og instrukser</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Ikkebalanceførte poster — Eksponeringsværdi bag gearingsgraden</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beregnet som summen af {LRCalc;0150;0010}, {LRCalc;0160;0010}, {LRCalc;0165;0010} {LRCalc;0170;0010} og {LRCalc;0180;0010} eksklusive de respektive koncerninterne eksponeringer (individuelt grundlag), som er undtaget i henhold til artikel 429a, stk. 1, litra c) og ca), i forordning (EU) nr.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Ikkebalanceførte poster — risikovægtede eksponeringer</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Den risikovægtede eksponeringsværdi af ikkebalanceførte poster — ekskl. SFT'er og derivater – i overensstemmelse med standardmetoden og IRB-metoden. I forbindelse med eksponeringer opgjort i henhold til standardmetoden skal institutter beregne de risikovægtede eksponeringer i overensstemmelse med tredje del, afsnit II, kapitel 2, i forordning (EU) nr. 575/2013. I forbindelse med eksponeringer opgjort i henhold til IRB-metoden skal institutter beregne de risikovægtede eksponeringer i overensstemmelse med tredje del, afsnit II, kapitel 3, i forordning (EU) nr.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heraf: Handelsfinansiering — Eksponeringsværdi bag gearingsgraden</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ikkebalanceførte poster vedrørende handelsfinansiering.</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Med henblik på indberetning i LR4 skal ikkebalanceførte poster vedrørende handelsfinansiering omhandle udstedte og bekræftede import- og eksportremburser, som er kortfristede og selvlikviderende transaktioner, samt lignende transaktioner.</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heraf: Handelsfinansiering — Risikovægtede eksponeringer</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ikkebalanceførte poster – ekskl. SFT'er og derivater – vedrørende handelsfinansiering.</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Med henblik på indberetning i LR4 skal ikkebalanceførte poster vedrørende handelsfinansiering omhandle udstedte og bekræftede import- og eksportremburser, som er kortfristede og selvlikviderende transaktioner, samt lignende transaktioner.</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heraf: I henhold til en officiel eksportkreditforsikringsordning – Eksponeringsværdi bag gearingsgraden</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Eksponeringsværdien bag gearingsgraden af ikkebalanceførte poster vedrørende handelsfinansiering i henhold til en officiel eksportkreditforsikringsordning.</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heraf: i henhold til officiel eksportkreditforsikringsordning — Risikovægtede eksponeringer</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Den risikovægtede eksponeringsværdi af ikkebalanceførte poster – undtagen SFT'er og derivater – vedrørende handelsfinansiering i henhold til en officiel eksportkreditforsikringsordning.</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Derivater og SFT'er omfattet af en aftale om netting på tværs af produkter – Eksponeringsværdi bag gearingsgraden</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Eksponeringsværdien bag gearingsgraden af derivater og SFT'er, hvis de er omfattet af en aftale om netting på tværs af produkter som defineret i artikel 272, nr. 25), i forordning (EU) nr.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Derivater og SFT'er omfattet af en aftale om netting på tværs af produkter – Risikovægtede eksponeringer</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 risikovægtede eksponeringer mod kredit- og modpartsrisici opgjort i henhold til tredje del, afsnit II, i forordning (EU) nr. 575/2013 for derivater </w:t>
            </w:r>
            <w:r>
              <w:rPr>
                <w:rFonts w:ascii="Times New Roman" w:hAnsi="Times New Roman"/>
                <w:sz w:val="24"/>
              </w:rPr>
              <w:lastRenderedPageBreak/>
              <w:t>og SFT'er, herunder sådanne, der ikke er balanceført, hvis de er omfattet af en aftale om netting på tværs af produkter som defineret i artikel 272, nr. 25), i forordning (EU) nr.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Derivater, der ikke er omfattet af en aftale om netting på tværs af produkter – Eksponeringsværdi bag gearingsgraden</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Eksponeringsværdien bag gearingsgraden af derivater, hvis de ikke er omfattet af en aftale om netting på tværs af produkter som defineret i artikel 272, nr. 25), i forordning (EU) nr.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Derivater, der ikke er omfattet af en aftale om netting på tværs af produkter – Risikovægtede eksponeringer</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De risikovægtede eksponeringer mod kredit- og modpartskreditrisici for derivater opgjort i henhold til tredje del, afsnit II, i forordning (EU) nr. 575/2013, herunder sådanne, der ikke er balanceført, hvis de er omfattet af en aftale om netting på tværs af produkter som defineret i artikel 272, nr. 25), i forordning (EU) nr.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SFT'er, der ikke er omfattet af en aftale om netting på tværs af produkter – Eksponeringsværdi bag gearingsgraden</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Eksponeringsværdien bag gearingsgraden af eksponeringer i forbindelse med SFT'er, hvis de ikke er omfattet af en aftale om netting på tværs af produkter som defineret i artikel 272, nr. 25), i forordning (EU) nr.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SFT'er, der ikke er omfattet af en aftale om netting på tværs af produkter – Risikovægtede eksponeringer</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De risikovægtede eksponeringer mod kredit- og modpartskreditrisici for SFT'er opgjort i henhold til tredje del, afsnit II, i forordning (EU) nr. 575/2013, herunder sådanne, der ikke er balanceført, hvis de ikke er omfattet af en aftale om netting på tværs af produkter som defineret i artikel 272, nr. 25), i forordning (EU) nr.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Eksponeringer som følge af den supplerende behandling for kreditderivater – Eksponeringsværdi bag gearingsgraden</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Denne celle skal være lig med forskellen mellem {LRCalc;0130;0010} og {LRCalc;0140;0010}, eksklusive de respektive koncerninterne eksponeringer (individuelt grundlag), som er undtaget i henhold til artikel 429a, stk. 1, litra c), i forordning (EU) nr.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Andre aktiver i handelsbeholdningen — Eksponeringsværdi bag gearingsgraden</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Eksponeringsværdien bag gearingsgraden af poster indberettet i {LRCalc;0190;0010}, ekskl. poster uden for handelsbeholdningen.</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Andre aktiver i handelsbeholdningen – Risikovægtede eksponeringer</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Kapitalgrundlagskrav ganget med 12,5 for poster omfattet af tredje del, afsnit IV, i forordning (EU) nr.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Særligt dækkede obligationer og særligt dækkede realkreditobligationer – Eksponeringsværdi bag gearingsgraden – Eksponeringer opgjort efter standardmetoden</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i form af særligt dækkede obligationer og særligt dækkede realkreditobligationer som defineret i artikel 129 i forordning (EU) nr.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Særligt dækkede obligationer og særligt dækkede realkreditobligationer – Eksponeringsværdi bag gearingsgraden – Eksponeringer opgjort efter IRB-metoden</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i form af særligt dækkede obligationer og særligt dækkede realkreditobligationer som defineret i artikel 161, stk. 1, litra d), i forordning (EU) nr.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Særligt dækkede obligationer og særligt dækkede realkreditobligationer — Risikovægtede eksponeringer — Eksponeringer opgjort efter standardmetoden</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standardmetoden i form af særligt dækkede obligationer og særligt dækkede realkreditobligationer som defineret i artikel 129 i forordning (EU) nr.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Særligt dækkede obligationer og særligt dækkede realkreditobligationer — Risikovægtede eksponeringer — Eksponeringer opgjort efter IRB-metoden</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risikovægtede eksponeringsværdi af aktiver, der er eksponeringer opgjort efter IRB-metoden i form af særligt dækkede obligationer og særligt </w:t>
            </w:r>
            <w:r>
              <w:rPr>
                <w:rFonts w:ascii="Times New Roman" w:hAnsi="Times New Roman"/>
                <w:sz w:val="24"/>
              </w:rPr>
              <w:lastRenderedPageBreak/>
              <w:t>dækkede realkreditobligationer som defineret i artikel 161, stk. 1, litra d), i forordning (EU) nr.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Eksponeringer, der behandles som eksponeringer mod stater – Eksponeringsværdi bag gearingsgraden – Eksponeringer opgjort efter standardmetoden</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{0100,0010} til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Eksponeringer, der behandles som eksponeringer mod stater – Eksponeringsværdi bag gearingsgraden – Eksponeringer opgjort efter IRB-metoden</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{0100,0020} til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Eksponeringer, der behandles som eksponeringer mod stater — Risikovægtede eksponeringer — Eksponeringer opgjort efter standardmetoden</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{0100,0030} til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Eksponeringer, der behandles som eksponeringer mod stater — Risikovægtede eksponeringer — Eksponeringer opgjort efter IRB-metoden</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{0100,0040} til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Centralregeringer og centralbanker — Eksponeringsværdi bag gearingsgraden — Eksponeringer opgjort efter standardmetoden</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centralregeringer eller centralbanker som defineret i artikel 114 i forordning (EU) nr.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Institutterne skal indberette denne post fratrukket misligholdte eksponeringer opgjort efter standardmetoden.</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Centralregeringer og centralbanker — Eksponeringsværdi bag gearingsgraden — Eksponeringer opgjort efter IRB-metoden</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centralregeringer eller centralbanker som defineret i artikel 147, stk. 2, litra a), i forordning (EU) nr.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Centralregeringer og centralbanker — Risikovægtede eksponeringer — Eksponeringer opgjort efter standardmetoden</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standardmetoden mod centralregeringer eller centralbanker som defineret i artikel 114 i forordning (EU) nr.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Centralregeringer og centralbanker — Risikovægtede eksponeringer — Eksponeringer opgjort efter IRB-metoden</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centralregeringer eller centralbanker som defineret i artikel 147, stk. 2, litra a), i forordning (EU) nr.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Regionale og lokale myndigheder, der behandles som stater – Eksponeringsværdi bag gearingsgraden – Eksponeringer opgjort efter standardmetoden</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regionale og lokale myndigheder, der behandles som stater, og som er omfattet af artikel 115, stk. 2 og 4, i forordning (EU) nr.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Regionale og lokale myndigheder, der behandles som stater – Eksponeringsværdi bag gearingsgraden – Eksponeringer opgjort efter IRB-metoden</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Eksponeringsværdien bag gearingsgraden af aktiver, der er eksponeringer opgjort efter IRB-metoden mod regionale og lokale myndigheder, og som er omfattet af artikel 147, stk. 3, litra a), i forordning (EU) nr.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Regionale og lokale myndigheder, der behandles som stater — Risikovægtede eksponeringer — Eksponeringer opgjort efter standardmetoden</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standardmetoden mod regionale og lokale myndigheder, der behandles som stater, og som er omfattet af artikel 115, stk. 2 og 4, i forordning (EU) nr.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Regionale og lokale myndigheder, der behandles som stater — Risikovægtede eksponeringer — Eksponeringer opgjort efter IRB-metoden</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regionale og lokale myndigheder, og som er omfattet af artikel 147, stk. 3, litra a), i forordning (EU) nr.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Multilaterale udviklingsbanker og internationale organisationer, der behandles som stater – Eksponeringsværdi bag gearingsgraden – Eksponeringer opgjort efter standardmetoden</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multilaterale udviklingsbanker og internationale organisationer, og som er omfattet af artikel 117, stk. 2, og artikel 118 i forordning (EU) nr.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Multilaterale udviklingsbanker og internationale organisationer, der behandles som stater – Eksponeringsværdi bag gearingsgraden – Eksponeringer opgjort efter IRB-metoden</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multilaterale udviklingsbanker og internationale organisationer, og som er omfattet af artikel 147, stk. 3, litra b) og c), i forordning (EU) nr.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Institutterne skal indberette denne post fratrukket misligholdte eksponeringer opgjort efter IRB-metoden.</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Multilaterale udviklingsbanker og internationale organisationer, der behandles som stater — Risikovægtede eksponeringer — Eksponeringer opgjort efter standardmetoden</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standardmetoden mod multilaterale udviklingsbanker og internationale organisationer, og som er omfattet af artikel 117, stk. 2, og artikel 118 i forordning (EU) nr.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Multilaterale udviklingsbanker og internationale organisationer, der behandles som stater — Risikovægtede eksponeringer — Eksponeringer opgjort efter IRB-metoden</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multilaterale udviklingsbanker og internationale organisationer, og som er omfattet af artikel 147, stk. 3, litra b) og c), i forordning (EU) nr.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Offentlige enheder, der behandles som stater – Eksponeringsværdi bag gearingsgraden – Eksponeringer opgjort efter standardmetoden</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offentlige enheder, og som er omfattet af artikel 116, stk. 4, i forordning (EU) nr.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Offentlige enheder, der behandles som stater – Eksponeringsværdi bag gearingsgraden – Eksponeringer opgjort efter IRB-metoden</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offentlige enheder, og som er omfattet af artikel 147, stk. 3, litra a), i forordning (EU) nr.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Offentlige enheder, der behandles som stater — Risikovægtede eksponeringer — Eksponeringer opgjort efter standardmetoden</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Den risikovægtede eksponeringsværdi af aktiver, der er eksponeringer opgjort efter standardmetoden mod offentlige enheder, og som er omfattet af artikel 116, stk. 4, i forordning (EU) nr.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Offentlige enheder, der behandles som stater — Risikovægtede eksponeringer — Eksponeringer opgjort efter IRB-metoden</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offentlige enheder, og som er omfattet af artikel 147, stk. 3, litra a), i forordning (EU) nr.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Eksponeringer mod regionale myndigheder, multilaterale udviklingsbanker, internationale organisationer og offentlige enheder, der ikke behandles som stater – Eksponeringsværdi bag gearingsgraden – Eksponeringer opgjort efter standardmetoden</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{0150,0010} til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Eksponeringer mod regionale myndigheder, multilaterale udviklingsbanker, internationale organisationer og offentlige enheder, der ikke behandles som stater – Eksponeringsværdi bag gearingsgraden – Eksponeringer opgjort efter IRB-metoden</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{0150,0020} til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Eksponeringer mod regionale myndigheder, multilaterale udviklingsbanker, internationale organisationer og offentlige enheder, der ikke behandles som stater – Risikovægtede eksponeringer – Eksponeringer opgjort efter standardmetoden</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{0150,0030} til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Eksponeringer mod regionale myndigheder, multilaterale udviklingsbanker, internationale organisationer og offentlige enheder, </w:t>
            </w:r>
            <w:r>
              <w:rPr>
                <w:rFonts w:ascii="Times New Roman" w:hAnsi="Times New Roman"/>
                <w:b/>
                <w:sz w:val="24"/>
              </w:rPr>
              <w:lastRenderedPageBreak/>
              <w:t>der ikke behandles som stater – Risikovægtede eksponeringer – Eksponeringer opgjort efter IRB-metoden</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cellerne fra {0150,0040} til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Regionale og lokale myndigheder, der ikke behandles som stater – Eksponeringsværdi bag gearingsgraden – Eksponeringer opgjort efter standardmetoden</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regionale og lokale myndigheder, der ikke behandles som stater, og som er omfattet af artikel 115, stk. 1, 3 og 5, i forordning (EU) nr.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Regionale og lokale myndigheder, der ikke behandles som stater – Eksponeringsværdi bag gearingsgraden – Eksponeringer opgjort efter IRB-metoden</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regionale og lokale myndigheder, der ikke behandles som stater, og som er omfattet af artikel 147, stk. 4, litra a), i forordning (EU) nr.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Institutterne skal indberette denne post fratrukket misligholdte eksponeringer opgjort efter IRB-metoden.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Regionale og lokale myndigheder, der ikke behandles som stater – Risikovægtede eksponeringer – Eksponeringer opgjort efter standardmetoden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mod regionale og lokale myndigheder, der ikke behandles som stater, og som er omfattet af artikel 115, stk. 1, 3 og 5, i forordning (EU) nr.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Regionale og lokale myndigheder, der ikke behandles som stater – Risikovægtede eksponeringer – Eksponeringer opgjort efter IRB-metoden</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risikovægtede eksponeringsværdi af aktiver, der er eksponeringer opgjort efter IRB-metoden mod regionale og lokale myndigheder, der ikke </w:t>
            </w:r>
            <w:r>
              <w:rPr>
                <w:rFonts w:ascii="Times New Roman" w:hAnsi="Times New Roman"/>
                <w:sz w:val="24"/>
              </w:rPr>
              <w:lastRenderedPageBreak/>
              <w:t>behandles som stater, og som er omfattet af artikel 147, stk. 4, litra a), i forordning (EU) nr.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Multilaterale udviklingsbanker, der ikke behandles som stater – Eksponeringsværdi bag gearingsgraden – Eksponeringer opgjort efter standardmetoden</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multilaterale udviklingsbanker, og som er omfattet af artikel 117, stk. 1 og 3, i forordning (EU) nr.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Multilaterale udviklingsbanker, der </w:t>
            </w:r>
            <w:r>
              <w:rPr>
                <w:rFonts w:ascii="Times New Roman" w:hAnsi="Times New Roman"/>
                <w:b/>
                <w:sz w:val="24"/>
                <w:u w:val="single"/>
              </w:rPr>
              <w:t>ikke</w:t>
            </w:r>
            <w:r>
              <w:rPr>
                <w:rFonts w:ascii="Times New Roman" w:hAnsi="Times New Roman"/>
                <w:b/>
                <w:sz w:val="24"/>
              </w:rPr>
              <w:t xml:space="preserve"> behandles som stater — Eksponeringsværdi bag gearingsgraden — Eksponeringer opgjort efter IRB-metoden</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multilaterale udviklingsbanker, der ikke behandles som stater, og som er omfattet af artikel 147, stk. 4, litra c), i forordning (EU) nr.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Multilaterale udviklingsbanker, der ikke behandles som stater — Risikovægtede eksponeringer —– Eksponeringer opgjort efter standardmetoden</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Den risikovægtede eksponeringsværdi af aktiver, der er eksponeringer opgjort efter standardmetoden mod multilaterale udviklingsbanker, og som er omfattet af artikel 117, stk. 1 og 3, i forordning (EU) nr.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Multilaterale udviklingsbanker, der ikke behandles som stater — Risikovægtede eksponeringer —– Eksponeringer opgjort efter IRB-metoden</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multilaterale udviklingsbanker, der ikke behandles som stater, og som er omfattet af artikel 147, stk. 4, litra c), i forordning (EU) nr.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Institutterne skal indberette denne post fratrukket misligholdte eksponeringer opgjort efter IRB-metoden.</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Offentlige enheder, der ikke behandles som stater – Eksponeringsværdi bag gearingsgraden – Eksponeringer opgjort efter standardmetoden</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mod offentlige enheder, og som er omfattet af artikel 116, stk. 1, 2, 3 og 5, i forordning (EU) nr.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Offentlige enheder, der ikke behandles som stater — Eksponeringsværdi bag gearingsgraden — Eksponeringer opgjort efter IRB-metoden</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offentlige enheder, der ikke behandles som stater, og som er omfattet af artikel 147, stk. 4, litra b), i forordning (EU) nr.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Offentlige enheder, der ikke behandles som stater — Risikovægtede eksponeringer — Eksponeringer opgjort efter standardmetoden</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mod offentlige enheder, og som er omfattet af artikel 116, stk. 1, 2, 3 og 5, i forordning (EU) nr.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Offentlige enheder, der ikke behandles som stater — Risikovægtede eksponeringer — Eksponeringer opgjort efter IRB-metoden</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offentlige enheder, der ikke behandles som stater, og som er omfattet af artikel 147, stk. 4, litra b), i forordning (EU) nr.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Institutter – Eksponeringsværdi bag gearingsgraden – Eksponeringer opgjort efter standardmetoden</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Eksponeringsværdien bag gearingsgraden af aktiver, der er eksponeringer opgjort efter standardmetoden mod institutter, og som er omfattet af artikel 119-121 i forordning (EU) nr.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Institutter — Eksponeringsværdi bag gearingsgraden — Eksponeringer opgjort efter IRB-metoden</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Eksponeringsværdien bag gearingsgraden af aktiver, der er eksponeringer opgjort efter IRB-metoden mod institutter, og som er omfattet af artikel 147, stk. 2, litra b), i forordning (EU) nr. 575/2013, og som ikke er eksponeringer i form af særligt dækkede obligationer og særligt dækkede realkreditobligationer som defineret i artikel 161, stk. 1, litra d), i forordning (EU) nr. 575/2013, og som ikke er omfattet af artikel 147, stk. 4, litra c), i forordning (EU) nr.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Institutter — Risikovægtede eksponeringer — Eksponeringer opgjort efter standardmetoden</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mod institutter, og som er omfattet af artikel 119-121 i forordning (EU) nr.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Institutter — Risikovægtede eksponeringer — Eksponeringer opgjort efter IRB-metoden</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institutter, og som er omfattet af artikel 147, stk. 2, litra b), i forordning (EU) nr. 575/2013, og som ikke er eksponeringer i form af særligt dækkede obligationer og særligt dækkede realkreditobligationer som defineret i artikel 161, stk. 1, litra d), i forordning (EU) nr. 575/2013, og som ikke er omfattet af artikel 147, stk. 4, litra c), i forordning (EU) nr.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Sikret ved pant i fast ejendom og ADC-eksponeringer — Eksponeringsværdi bag gearingsgraden — Eksponeringer opgjort efter standardmetoden</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Eksponeringsværdien bag gearingsgraden af aktiver, der er eksponeringer opgjort efter standardmetoden sikret ved pant i fast ejendom og ADC-eksponeringer, og som er omfattet af artikel 124 og 126a i forordning (EU) nr.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Sikret ved pant i fast ejendom og ADC-eksponeringer — Eksponeringsværdi bag gearingsgraden — Eksponeringer opgjort efter IRB-metoden</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selskaber i henhold til artikel 147, stk. 2, litra c), eller detaileksponeringer i henhold til artikel 147, stk. 2, litra d), nr. ii), i forordning (EU) nr. 575/2013, hvis disse eksponeringer er sikret ved pant i fast ejendom og ADC-eksponeringer i overensstemmelse med artikel 199, stk. 1, litra a), i forordning (EU) nr.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Sikret ved pant i fast ejendom og ADC-eksponeringer — Risikovægtede eksponeringer — Eksponeringer opgjort efter standardmetoden</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Den risikovægtede eksponeringsværdi af aktiver, der er eksponeringer opgjort efter standardmetoden sikret ved pant i fast ejendom og ADC-eksponeringer, og som er omfattet af artikel 124 og 126a i forordning (EU) nr.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Sikret ved pant i fast ejendom og ADC-eksponeringer — Risikovægtede eksponeringer — Eksponeringer opgjort efter IRB-metoden</w:t>
            </w:r>
            <w: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Risikovægtede eksponeringsværdi af aktiver, der er eksponeringer opgjort efter IRB-metoden mod selskaber i henhold til artikel 147, stk. 2, litra c), eller detaileksponeringer i henhold til artikel 147, stk. 2, litra d), nr. ii), i forordning (EU) nr. 575/2013, hvis disse eksponeringer er sikret ved pant i fast ejendom i overensstemmelse med artikel 199, stk. 1, litra a), i forordning (EU) nr. 575/2013. Institutterne skal indberette denne post fratrukket misligholdte eksponeringer opgjort efter IRB-metoden.</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heraf: Sikkerhed i form af pant i beboelsesejendom – Eksponeringsværdi bag gearingsgraden – Eksponeringer opgjort efter standardmetoden</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Eksponeringsværdien bag gearingsgraden af aktiver, der er eksponeringer opgjort efter standardmetoden fuldt og helt sikret ved pant i beboelsesejendom, og som er omfattet af artikel 125 i forordning (EU) nr.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heraf: Sikkerhed i form af pant i beboelsesejendom — Eksponeringsværdi bag gearingsgraden — Eksponeringer opgjort efter IRB-metoden</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selskaber i henhold til artikel 147, stk. 2, litra c), eller detaileksponeringer i henhold til artikel 147, stk. 2, litra d), nr. ii), i forordning (EU) nr. 575/2013, hvis disse eksponeringer er sikret ved pant i beboelsesejendom i overensstemmelse med artikel 199, stk. 1, litra a), i forordning (EU) nr.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heraf: Sikret ved pant i beboelsesejendom – Risikovægtede eksponeringer – Eksponeringer opgjort efter standardmetoden</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standardmetoden fuldt og helt sikret ved pant i beboelsesejendom, og som er omfattet af artikel 125 i forordning (EU) nr.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heraf: Sikret ved pant i beboelsesejendom – Risikovægtede eksponeringer – Eksponeringer opgjort efter IRB-metoden</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selskaber i henhold til artikel 147, stk. 2, litra c), eller detaileksponeringer i henhold til artikel 147, stk. 2, litra d), nr. ii), i forordning (EU) nr. 575/2013, hvis disse eksponeringer er sikret ved pant i beboelsesejendom i overensstemmelse med artikel 199, stk. 1, litra a), i forordning (EU) nr.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Detaileksponeringer — Eksponeringsværdi bag gearingsgraden — Eksponeringer opgjort efter standardmetoden</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Eksponeringsværdien bag gearingsgraden af aktiver, der er detaileksponeringer opgjort efter standardmetoden, og som er omfattet af artikel 123 i forordning (EU) nr.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Detaileksponeringer — Eksponeringsværdi bag gearingsgraden — Eksponeringer opgjort efter IRB-metoden</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detaileksponeringer opgjort efter IRB-metoden i henhold til artikel 147, stk. 2, litra d), nr. i), iii) og iv), i forordning (EU) nr. 575/2013, hvis disse eksponeringer ikke er sikret ved pant i fast ejendom i overensstemmelse med artikel 199, stk. 1, litra a), i forordning (EU) nr.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Detaileksponeringer — Risikovægtede eksponeringer — Eksponeringer opgjort efter standardmetoden</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detaileksponeringer, og som er omfattet af artikel 123 i forordning (EU) nr.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Detaileksponeringer — Risikovægtede eksponeringer — Eksponeringer opgjort efter IRB-metoden</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detaileksponeringer opgjort efter IRB-metoden i henhold til artikel 147, stk. 2, litra d), nr. i), iii) og iv), i forordning (EU) nr. 575/2013, hvis disse eksponeringer ikke er sikret ved pant i fast ejendom i overensstemmelse med artikel 199, stk. 1, litra a), i forordning (EU) nr.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heraf: Detail-SMV'er – Eksponeringsværdi bag gearingsgraden – Eksponeringer opgjort efter standardmetoden</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detaileksponeringer opgjort efter standardmetoden mod små og mellemstore virksomheder, og som er omfattet af artikel 123 i forordning (EU) nr.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For så vidt angår denne celle skal institutterne anvende termen "små og mellemstore virksomheder" som defineret i artikel 501, stk. 2, litra b), i forordning (EU) nr.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heraf: Detail-SMV'er — Eksponeringsværdi bag gearingsgraden — Eksponeringer opgjort efter IRB-metoden</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detaileksponeringer opgjort efter IRB-metoden i henhold til artikel 147, stk. 2, litra d), nr. i), iii) og iv), i forordning (EU) nr. 575/2013, hvis disse eksponeringer er eksponeringer mod små og mellemstore virksomheder og ikke er sikret ved pant i fast ejendom i overensstemmelse med artikel 199, stk. 1, litra a), i forordning (EU) nr.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For så vidt angår denne celle skal institutterne anvende termen "små og mellemstore virksomheder" som defineret i artikel 501, stk. 2, litra b), i forordning (EU) nr.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heraf: Detail-SMV'er — Risikovægtede eksponeringer — Eksponeringer opgjort efter standardmetoden</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detaileksponeringer mod små og mellemstore virksomheder, og som er omfattet af artikel 123 i forordning (EU) nr.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For så vidt angår denne celle skal institutterne anvende termen "små og mellemstore virksomheder" som defineret i artikel 501, stk. 2, litra b), i forordning (EU) nr.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heraf: Detail-SMV'er — Risikovægtede eksponeringer — Eksponeringer opgjort efter IRB-metoden</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detaileksponeringer opgjort efter IRB-metoden i henhold til artikel 147, stk. 2, litra d), nr. i), iii) og iv), i forordning (EU) nr. 575/2013, hvis disse eksponeringer er eksponeringer mod små og mellemstore virksomheder og ikke er sikret ved pant i fast ejendom i overensstemmelse med artikel 199, stk. 1, litra a), i forordning (EU) nr.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For så vidt angår denne celle skal institutterne anvende termen "små og mellemstore virksomheder" som defineret i artikel 501, stk. 2, litra b), i forordning (EU) nr.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Selskaber — Eksponeringsværdi bag gearingsgraden — Eksponeringer opgjort efter standardmetoden</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Dette er summen af {0240,0010} og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Selskaber — Eksponeringsværdi bag gearingsgraden — Eksponeringer opgjort efter IRB-metoden</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{0240,0020} og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Selskaber — Risikovægtede eksponeringer — Eksponeringer opgjort efter standardmetoden</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{0240,0030} og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Selskaber — Risikovægtede eksponeringer — Eksponeringer opgjort efter IRB-metoden</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{0240,0040} og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Finansielle selskaber – Eksponeringsværdi bag gearingsgraden – Eksponeringer opgjort efter standardmetoden</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finansielle selskaber, og som er omfattet af artikel 122 i forordning (EU) nr.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w:t>
            </w:r>
            <w:r>
              <w:rPr>
                <w:rFonts w:ascii="Times New Roman" w:hAnsi="Times New Roman"/>
                <w:sz w:val="24"/>
              </w:rPr>
              <w:lastRenderedPageBreak/>
              <w:t xml:space="preserve">virksomheder som defineret i artikel 4, stk. 1, nr. 27), i forordning (EU) nr. 575/2013, som ikke er institutter nævnt i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Finansielle selskaber – Eksponeringsværdi bag gearingsgraden – Eksponeringer opgjort efter IRB-metoden</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finansielle selskaber i henhold til artikel 147, stk. 2, litra c), i forordning (EU) nr. 575/2013, hvis disse eksponeringer ikke er sikret ved pant i fast ejendom i overensstemmelse med artikel 199, stk. 1, litra a), i forordning (EU) nr.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virksomheder som defineret i artikel 4, stk. 1, nr. 27), i forordning (EU) nr. 575/2013, som ikke er institutter nævnt i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Finansielle selskaber — Risikovægtede eksponeringer — Eksponeringer opgjort efter standardmetoden</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mod finansielle selskaber, og som er omfattet af artikel 122 i forordning (EU) nr.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virksomheder som defineret i artikel 4, stk. 1, nr. 27), i forordning (EU) nr. 575/2013, som ikke er institutter nævnt i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Finansielle selskaber — Risikovægtede eksponeringer — Eksponeringer opgjort efter IRB-metoden</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risikovægtede eksponeringsværdi af aktiver, der er eksponeringer opgjort efter IRB-metoden mod finansielle selskaber i henhold til artikel 147, stk. 2, litra c), i forordning (EU) nr. 575/2013, hvis disse eksponeringer </w:t>
            </w:r>
            <w:r>
              <w:rPr>
                <w:rFonts w:ascii="Times New Roman" w:hAnsi="Times New Roman"/>
                <w:sz w:val="24"/>
              </w:rPr>
              <w:lastRenderedPageBreak/>
              <w:t>ikke er sikret ved pant i fast ejendom i overensstemmelse med artikel 199, stk. 1, litra a), i forordning (EU) nr.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virksomheder som defineret i artikel 4, stk. 1, nr. 27), i forordning (EU) nr. 575/2013, som ikke er institutter nævnt i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Ikkefinansielle selskaber – Eksponeringsværdi bag gearingsgraden – Eksponeringer opgjort efter standardmetoden</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ikkefinansielle selskaber, og som er omfattet af artikel 122 i forordning (EU) nr.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{0260,0010} og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Ikkefinansielle selskaber – Eksponeringsværdi bag gearingsgraden – Eksponeringer opgjort efter IRB-metoden</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Eksponeringsværdien bag gearingsgraden af aktiver, der er eksponeringer opgjort efter IRB-metoden mod </w:t>
            </w:r>
            <w:r>
              <w:rPr>
                <w:rFonts w:ascii="Times New Roman" w:hAnsi="Times New Roman"/>
                <w:b/>
                <w:bCs/>
                <w:sz w:val="24"/>
              </w:rPr>
              <w:t>ikkefinansielle</w:t>
            </w:r>
            <w:r>
              <w:rPr>
                <w:rFonts w:ascii="Times New Roman" w:hAnsi="Times New Roman"/>
                <w:sz w:val="24"/>
              </w:rPr>
              <w:t xml:space="preserve"> selskaber i henhold til artikel 147, stk. 2, litra c), i forordning (EU) nr. 575/2013, hvis disse eksponeringer ikke er sikret ved pant i fast ejendom i overensstemmelse med artikel 199, stk. 1, litra a), i forordning (EU) nr.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{0260,0020} og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Ikkefinansielle selskaber — Risikovægtede eksponeringer — Eksponeringer opgjort efter standardmetoden</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mod ikkefinansielle selskaber, og som er omfattet af artikel 122 i forordning (EU) nr.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{0260,0030} og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Ikkefinansielle selskaber — Risikovægtede eksponeringer — Eksponeringer opgjort efter IRB-metoden</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risikovægtede eksponeringsværdi af aktiver, der er eksponeringer opgjort efter IRB-metoden mod </w:t>
            </w:r>
            <w:r>
              <w:rPr>
                <w:rFonts w:ascii="Times New Roman" w:hAnsi="Times New Roman"/>
                <w:b/>
                <w:bCs/>
                <w:sz w:val="24"/>
              </w:rPr>
              <w:t>ikkefinansielle</w:t>
            </w:r>
            <w:r>
              <w:rPr>
                <w:rFonts w:ascii="Times New Roman" w:hAnsi="Times New Roman"/>
                <w:sz w:val="24"/>
              </w:rPr>
              <w:t xml:space="preserve"> selskaber i henhold til artikel 147, stk. 2, litra c), i forordning (EU) nr. 575/2013, hvis disse eksponeringer ikke er sikret ved pant i fast ejendom i overensstemmelse med artikel 199, stk. 1, litra a), i forordning (EU) nr.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Dette er summen af {0260,0040} og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SMV-eksponeringer – Eksponeringsværdi bag gearingsgraden – Eksponeringer opgjort efter standardmetoden</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selskaber i form af små og mellemstore virksomheder, og som er omfattet af artikel 122 i forordning (EU) nr.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For så vidt angår denne celle skal institutterne anvende termen "små og mellemstore virksomheder" som defineret i artikel 501, stk. 2, litra b), i forordning (EU) nr.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SMV-eksponeringer – Eksponeringsværdi bag gearingsgraden – Eksponeringer opgjort efter IRB-metoden</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IRB-metoden mod selskaber i henhold til artikel 147, stk. 2, litra c), i forordning (EU) nr. 575/2013, hvis disse eksponeringer er eksponeringer mod små og mellemstore virksomheder og ikke er sikret ved pant i fast ejendom i overensstemmelse med artikel 199, stk. 1, litra a), i forordning (EU) nr.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For så vidt angår denne celle skal institutterne anvende termen "små og mellemstore virksomheder" som defineret i artikel 501, stk. 2, litra b), i forordning (EU) nr.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SMV-eksponeringer — Risikovægtede eksponeringer — Eksponeringer opgjort efter standardmetoden</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risikovægtede eksponeringsværdi af aktiver, der er eksponeringer opgjort efter standardmetoden mod selskaber i form af små og mellemstore </w:t>
            </w:r>
            <w:r>
              <w:rPr>
                <w:rFonts w:ascii="Times New Roman" w:hAnsi="Times New Roman"/>
                <w:sz w:val="24"/>
              </w:rPr>
              <w:lastRenderedPageBreak/>
              <w:t>virksomheder, og som er omfattet af artikel 122 i forordning (EU) nr.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For så vidt angår denne celle skal institutterne anvende termen "små og mellemstore virksomheder" som defineret i artikel 501, stk. 2, litra b), i forordning (EU) nr.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SMV-eksponeringer — Risikovægtede eksponeringer — Eksponeringer opgjort efter IRB-metoden</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selskaber i henhold til artikel 147, stk. 2, litra c), i forordning (EU) nr. 575/2013, hvis disse eksponeringer er eksponeringer mod små og mellemstore virksomheder og ikke er sikret ved pant i fast ejendom i overensstemmelse med artikel 199, stk. 1, litra a), i forordning (EU) nr.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For så vidt angår denne celle skal institutterne anvende termen "små og mellemstore virksomheder" som defineret i artikel 501, stk. 2, litra b), i forordning (EU) nr.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Andre eksponeringer end SMV-eksponeringer – Eksponeringsværdi bag gearingsgraden – Eksponeringer opgjort efter standardmetoden</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selskaber, og som er omfattet af artikel 122 i forordning (EU) nr. 575/2013, og som ikke indberettes i {0230;0040} og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Andre eksponeringer end SMV-eksponeringer – Eksponeringsværdi bag gearingsgraden – Eksponeringer opgjort efter IRB-metoden</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Eksponeringsværdien bag gearingsgraden af aktiver, der er eksponeringer opgjort efter IRB-metoden mod selskaber i henhold til artikel 147, stk. 2, litra c), i forordning (EU) nr. 575/2013, hvis disse eksponeringer ikke er sikret ved pant i fast ejendom i overensstemmelse med artikel 199, stk. 1, litra a), i forordning (EU) nr. 575/2013, og som ikke er indberettet i {0230;0040} og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Andre eksponeringer end SMV-eksponeringer — Risikovægtede eksponeringer — Eksponeringer opgjort efter standardmetoden</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standardmetoden mod selskaber, og som er omfattet af artikel 122 i forordning (EU) nr. 575/2013, og som ikke indberettes i {0230;0040} og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Andre eksponeringer end SMV-eksponeringer — Risikovægtede eksponeringer — Eksponeringer opgjort efter IRB-metoden</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Den risikovægtede eksponeringsværdi af aktiver, der er eksponeringer opgjort efter IRB-metoden mod selskaber i henhold til artikel 147, stk. 2, litra c), i forordning (EU) nr. 575/2013, hvis disse eksponeringer ikke er sikret ved pant i fast ejendom i overensstemmelse med artikel 199, stk. 1, litra a), i forordning (EU) nr. 575/2013, og som ikke er indberettet i {0230;0040} og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Misligholdte eksponeringer – Eksponeringsværdi bag gearingsgraden – Eksponeringer opgjort efter standardmetoden</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Institutter skal indberette eksponeringsværdien bag gearingsgraden af aktiver, der er misligholdte eksponeringer opgjort efter standardmetoden, og som dermed er omfattet af artikel 127 i forordning (EU) nr.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Misligholdte eksponeringer – Eksponeringsværdi bag gearingsgraden – Eksponeringer opgjort efter IRB-metoden</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eksponeringsværdien bag gearingsgraden af aktiver, der er kategoriseret i de eksponeringsklasser, der er opført i artikel 147, stk. 2, i forordning (EU) nr. 575/2013, hvis misligholdelse som defineret i artikel 178 i forordning (EU) nr. 575/2013 har fundet sted.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Misligholdte eksponeringer — Risikovægtede eksponeringer — Eksponeringer opgjort efter standardmetoden</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 skal indberette den risikovægtede eksponeringsværdi af aktiver, der er misligholdte eksponeringer, og som dermed er omfattet af artikel 127 i forordning (EU) nr.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Misligholdte eksponeringer — Risikovægtede eksponeringer — Eksponeringer opgjort efter IRB-metoden</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Institutter skal indberette den risikovægtede eksponeringsværdi af aktiver, der er kategoriseret i de eksponeringsklasser, der er opført i artikel 147, stk. 2, i forordning (EU) nr. 575/2013, hvis misligholdelse som defineret i artikel 178 i forordning (EU) nr. 575/2013 har fundet sted.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Andre eksponeringer — Eksponeringsværdi bag gearingsgraden — Eksponeringer opgjort efter standardmetoden</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kategoriseret i de eksponeringsklasser, der er opført i artikel 112, litra k), m), n), o), p) og q), i forordning (EU) nr.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aktiver, der fratrækkes kapitalgrundlaget (f.eks. immaterielle aktiver), men som ikke kan kategoriseres på anden måde her, selv om en sådan kategorisering ikke kræves med henblik på at bestemme det risikobaserede kapitalgrundlagskrav i kolonne {*; 0030} og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Andre eksponeringer — Eksponeringsværdi bag gearingsgraden — Eksponeringer opgjort efter IRB-metoden</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kategoriseret i de eksponeringsklasser, der er opført i artikel 147, stk. 2, litra e), ea), f) og g), i forordning (EU) nr.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aktiver, der fratrækkes kapitalgrundlaget (f.eks. immaterielle aktiver), men som ikke kan kategoriseres på anden måde her, selv om en sådan kategorisering ikke kræves med henblik på at bestemme det risikobaserede kapitalgrundlagskrav i kolonne {*; 0030} og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Andre eksponeringer — Risikovægtede eksponeringer — Eksponeringer opgjort efter standardmetoden</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kategoriseret i de eksponeringsklasser, der er opført i artikel 112, litra k), m), n), o), p) og q), i forordning (EU) nr.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Andre eksponeringer — Risikovægtede eksponeringer — Eksponeringer opgjort efter IRB-metoden</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Den risikovægtede eksponeringsværdi af aktiver, der er kategoriseret i de eksponeringsklasser, der er opført i artikel 147, stk. 2, litra e), ea), f) og g), i forordning (EU) nr.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Securitiseringseksponeringer — Eksponeringsværdi bag gearingsgraden — Eksponeringer opgjort efter standardmetoden</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aktiver, der er eksponeringer opgjort efter standardmetoden mod securitiseringer, og som er omfattet af artikel 112, litra m), i forordning (EU) nr.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Securitiseringseksponeringer — Eksponeringsværdi bag gearingsgraden — Eksponeringer opgjort efter IRB-metoden</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securitiseringer, og som er omfattet af artikel 147, stk. 2, litra f), i forordning (EU) nr.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Securitiseringseksponeringer — Risikovægtede eksponeringer — Eksponeringer opgjort efter standardmetoden</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standardmetoden mod securitiseringer, og som er omfattet af artikel 112, litra m), i forordning (EU) nr.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Securitiseringseksponeringer — Risikovægtede eksponeringer — Eksponeringer opgjort efter IRB-metoden</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aktiver, der er eksponeringer opgjort efter IRB-metoden mod securitiseringer, og som er omfattet af artikel 147, stk. 2, litra f), i forordning (EU) nr.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Eksponeringsværdi bag gearingsgraden — Eksponeringer opgjort efter standardmetoden</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Eksponeringsværdien bag gearingsgraden af balanceførte poster vedrørende udlån til en eksportør eller importør af varer eller tjenester via import- og eksportkreditter og lignende transaktioner.</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Eksponeringsværdi bag gearingsgraden — Eksponeringer opgjort efter IRB-metoden</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balanceførte poster vedrørende udlån til en eksportør eller importør af varer eller tjenester via import- og eksportkreditter og lignende transaktioner.</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IRB-metoden.</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Risikovægtede eksponeringer — Eksponeringer opgjort efter standardmetoden</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balanceførte poster vedrørende udlån til en eksportør eller importør af varer eller tjenester via import- og eksportkreditter og lignende transaktioner.</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Handelsfinansiering (memorandumpost) — Risikovægtede eksponeringer — Eksponeringer opgjort efter IRB-metoden</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Den risikovægtede eksponeringsværdi af balanceførte poster vedrørende udlån til en eksportør eller importør af varer eller tjenester via import- og eksportkreditter og lignende transaktioner.</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I henhold til en officiel eksportkreditforsikringsordning – Eksponeringsværdi bag gearingsgraden – Eksponeringer opgjort efter standardmetoden</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Eksponeringsværdien bag gearingsgraden af balanceførte poster vedrørende handelsfinansiering i henhold til en officiel eksportkreditforsikringsordning.</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w:t>
            </w:r>
            <w:r>
              <w:rPr>
                <w:rFonts w:ascii="Times New Roman" w:hAnsi="Times New Roman"/>
                <w:sz w:val="24"/>
              </w:rPr>
              <w:lastRenderedPageBreak/>
              <w:t xml:space="preserve">garanteres i kredittens løbetid), bistandsfinansiering (kreditter og tilskud), eksportkreditforsikring og garantier.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Institutterne skal indberette denne post fratrukket misligholdte eksponeringer opgjort efter standardmetoden.</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I henhold til en officiel eksportkreditforsikringsordning – Eksponeringsværdi bag gearingsgraden – Eksponeringer opgjort efter IRB-metoden</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Eksponeringsværdien bag gearingsgraden af balanceførte poster vedrørende handelsfinansiering i henhold til en officiel eksportkreditforsikringsordning.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i henhold til officiel eksportkreditforsikringsordning — Risikovægtede eksponeringer — Eksponeringer opgjort efter standardmetoden</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Den risikovægtede eksponeringsværdi af balanceførte poster vedrørende handelsfinansiering i henhold til en officiel eksportkreditforsikringsordning.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standardmetoden.</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heraf: i henhold til officiel eksportkreditforsikringsordning — Risikovægtede eksponeringer — Eksponeringer opgjort efter IRB-metoden</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Det risikovægtede eksponeringsbeløb for balanceførte poster vedrørende handelsfinansiering i henhold til en officiel eksportkreditforsikringsordning.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lastRenderedPageBreak/>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Institutterne skal indberette denne post fratrukket misligholdte eksponeringer opgjort efter IRB-metoden.</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521732"/>
      <w:r>
        <w:rPr>
          <w:rFonts w:ascii="Times New Roman" w:hAnsi="Times New Roman"/>
          <w:b/>
          <w:sz w:val="24"/>
        </w:rPr>
        <w:t>6.</w:t>
      </w:r>
      <w:r>
        <w:tab/>
      </w:r>
      <w:r>
        <w:rPr>
          <w:rFonts w:ascii="Times New Roman" w:hAnsi="Times New Roman"/>
          <w:b/>
          <w:sz w:val="24"/>
        </w:rPr>
        <w:t>C 44.00 – Generelle oplysninger (LR5)</w:t>
      </w:r>
      <w:bookmarkEnd w:id="74"/>
      <w:bookmarkEnd w:id="75"/>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tab/>
      </w:r>
      <w:r>
        <w:rPr>
          <w:rFonts w:ascii="Times New Roman" w:hAnsi="Times New Roman"/>
          <w:sz w:val="24"/>
        </w:rPr>
        <w:t>Her indberettes yderligere oplysninger med henblik på at kategorisere instituttets aktiviteter og reguleringsmæssige valg.</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Række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og kolonne</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Vejledning</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Instituttets selskabsstruktur</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Instituttet skal klassificere sin selskabsstruktur i en af følgende kategorier:</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Aktieselskab</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Gensidigt selskab/kooperativt selskab</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Andre ikkeaktieselskaber</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Behandling af derivater</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Instituttet skal angive den regelomfattede behandling af derivater ved hjælp af følgende kategorier:</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Standardmetoden for modpartskreditrisiko</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Forenklet standardmetode for modpartskreditrisiko</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Den oprindelige eksponeringsmetode.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Instituttype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Instituttet skal klassificere sin instituttype i en af følgende kategorier:</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Almindelig bankvirksomhed (detail-, forretnings- og investeringsbanker)</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Detail- og forretningsbankvirksomhed</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lastRenderedPageBreak/>
              <w:t>-</w:t>
            </w:r>
            <w:r>
              <w:tab/>
            </w:r>
            <w:r>
              <w:rPr>
                <w:rFonts w:ascii="Times New Roman" w:hAnsi="Times New Roman"/>
                <w:sz w:val="24"/>
              </w:rPr>
              <w:t>Investeringsbankvirksomhed</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Specialiseret långivning</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Offentlige udviklingskreditinstitutter</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Anden forretningsmodel.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Institut med en offentlig udviklingsenhed</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Institutter, som ikke er offentlige udviklingskreditinstitutter, skal angive, om de har en offentlig udviklingsenhed.</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Enhed, der garanterer for den/det offentlige udviklingskreditinstitut/-enhed i overensstemmelse med artikel 429a, stk. 2, litra d), i CRR: centralregering eller regional eller lokal myndighed</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De institutter, der enten er et offentligt udviklingskreditinstitut eller har en offentlig udviklingsenhed, skal indberette, om de er garanteret af en centralregering eller en regional eller lokal myndighed.</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Institutter skal angive "TRUE" i den række, der svarer til den eller de relevante typer af udbyder af kreditrisikoafdækning, og ellers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Centralregering, der garanterer for den/det offentlige udviklingskreditinstitut/-enhed</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Regional myndighed, der garanterer for den/det offentlige udviklingskreditinstitut/-enhed</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Lokal myndighed, der garanterer for den/det offentlige udviklingskreditinstitut/-enhed</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Type af modtaget garanti i overensstemmelse med artikel 429a, stk. 2, litra d), i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De institutter, der enten er et offentligt udviklingskreditinstitut eller har en offentlig udviklingsenhed, skal indberette typen af modtaget garanti.</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Institutter skal angive "TRUE" i den række, der svarer til den eller de relevante garantityper, og ellers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Forpligtelse til at opretholde kreditinstitutters levedygtighed</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Direkte garanti for kreditinstitutters kapitalgrundlagskrav, finansieringskrav eller ydede støttelån</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Indirekte garanti for kreditinstitutters kapitalgrundlagskrav, finansieringskrav eller ydede støttelån</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521733"/>
      <w:r>
        <w:rPr>
          <w:rFonts w:ascii="Times New Roman" w:hAnsi="Times New Roman"/>
          <w:b/>
          <w:sz w:val="24"/>
        </w:rPr>
        <w:lastRenderedPageBreak/>
        <w:t>7.</w:t>
      </w:r>
      <w:r>
        <w:tab/>
      </w:r>
      <w:r>
        <w:rPr>
          <w:rFonts w:ascii="Times New Roman" w:hAnsi="Times New Roman"/>
          <w:b/>
          <w:sz w:val="24"/>
        </w:rPr>
        <w:t>C 48.00 Gearingsgradens volatilitet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tab/>
      </w:r>
      <w:r>
        <w:rPr>
          <w:rFonts w:ascii="Times New Roman" w:hAnsi="Times New Roman"/>
          <w:sz w:val="24"/>
        </w:rPr>
        <w:t xml:space="preserve">Oplysningerne indsamles med henblik på at overvåge gearingsgradens volatilitet. Disse oplysninger indberettes kun af store institutter.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521734"/>
      <w:r>
        <w:rPr>
          <w:rFonts w:ascii="Times New Roman" w:hAnsi="Times New Roman"/>
          <w:b/>
          <w:sz w:val="24"/>
        </w:rPr>
        <w:t>8.</w:t>
      </w:r>
      <w:r>
        <w:tab/>
      </w:r>
      <w:r>
        <w:rPr>
          <w:rFonts w:ascii="Times New Roman" w:hAnsi="Times New Roman"/>
          <w:b/>
          <w:sz w:val="24"/>
        </w:rPr>
        <w:t>C 48.01 Gearingsgradens volatilitet: Gennemsnitlig værdi for indberetningsperioden</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Række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og kolonne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Vejledning</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Gennemsnitlig værdi for indberetningsperioden — SFT'ers eksponeringsværdi</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Institutter skal indberette den gennemsnitlige værdi af de daglige værdier af SFT-eksponeringsværdien med fradrag af det ikke medregnede CCP-element af kundeclearede handelseksponeringer som fastsat i række 0010 og 0050 i skema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Gennemsnitlig værdi for indberetningsperioden — Justeringer for regnskabsmæssige transaktioner vedrørende salg af værdipapirer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Institutter skal indberette den gennemsnitlige værdi af indberetningsperiodens daglige værdier af justeringer for regnskabsmæssige transaktioner vedrørende salg af værdipapirer som fastsat i række 0230 af skema C 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521735"/>
      <w:r>
        <w:rPr>
          <w:rFonts w:ascii="Times New Roman" w:hAnsi="Times New Roman"/>
          <w:b/>
          <w:sz w:val="24"/>
        </w:rPr>
        <w:t>9.</w:t>
      </w:r>
      <w:r>
        <w:tab/>
      </w:r>
      <w:r>
        <w:rPr>
          <w:rFonts w:ascii="Times New Roman" w:hAnsi="Times New Roman"/>
          <w:b/>
          <w:sz w:val="24"/>
        </w:rPr>
        <w:t>C 48.02 Gearingsgradens volatilitet: Daglige værdier for indberetningsperioden</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tab/>
      </w:r>
      <w:r>
        <w:rPr>
          <w:rFonts w:ascii="Times New Roman" w:hAnsi="Times New Roman"/>
          <w:sz w:val="24"/>
        </w:rPr>
        <w:t xml:space="preserve">De daglige værdier i løbet af kvartalet skal indberettes.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Række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og kolonne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Vejledning</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Referencedato inden for indberetningsperiode</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Institutter skal indberette, hvilken dato den indberettede daglige værdi vedrører. Hver dag i indberetningsperioden skal indberettes.</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SFT'ers eksponeringsværdi</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Institutter skal indberette de daglige værdier af SFT-eksponeringsværdien med fradrag af det ikke medregnede CCP-element af kundeclearede handelseksponeringer som fastsat i række 0010 og 0050 i skema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lastRenderedPageBreak/>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Justeringer for regnskabsmæssige transaktioner vedrørende salg af værdipapirer</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Institutter skal indberette indberetningsperiodens daglige værdier af justeringer for regnskabsmæssige transaktioner vedrørende salg af værdipapirer som fastsat i række 0230 i skema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37F6355A"/>
    <w:lvl w:ilvl="0" w:tplc="9AE0EB18">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A2019C4"/>
    <w:lvl w:ilvl="0" w:tplc="9AE0EB18">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65029"/>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D94"/>
    <w:rsid w:val="00975FC6"/>
    <w:rsid w:val="00976466"/>
    <w:rsid w:val="00976643"/>
    <w:rsid w:val="00976BCC"/>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3491"/>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a-D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2.xml><?xml version="1.0" encoding="utf-8"?>
<ds:datastoreItem xmlns:ds="http://schemas.openxmlformats.org/officeDocument/2006/customXml" ds:itemID="{F9AFAFE5-6D0A-49E5-B652-AD5A8B5596C9}"/>
</file>

<file path=customXml/itemProps3.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4.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5.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6.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74</Pages>
  <Words>20496</Words>
  <Characters>136887</Characters>
  <Application>Microsoft Office Word</Application>
  <DocSecurity>0</DocSecurity>
  <Lines>3111</Lines>
  <Paragraphs>1710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155673</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2025-01-23T09:48:30Z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44c24d8f-70ca-4724-a8a2-5f1664f37345</vt:lpwstr>
  </property>
  <property fmtid="{D5CDD505-2E9C-101B-9397-08002B2CF9AE}" pid="12" name="MSIP_Label_6bd9ddd1-4d20-43f6-abfa-fc3c07406f94_ContentBits">
    <vt:lpwstr>0</vt:lpwstr>
  </property>
</Properties>
</file>